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06112" w14:textId="36E90EBA" w:rsidR="00AF73A0" w:rsidRDefault="00AF73A0">
      <w:pPr>
        <w:rPr>
          <w:rFonts w:ascii="Times New Roman" w:hAnsi="Times New Roman" w:cs="Times New Roman"/>
          <w:sz w:val="28"/>
          <w:szCs w:val="28"/>
        </w:rPr>
      </w:pPr>
      <w:r w:rsidRPr="00AF73A0">
        <w:rPr>
          <w:rFonts w:ascii="Times New Roman" w:hAnsi="Times New Roman" w:cs="Times New Roman"/>
          <w:sz w:val="28"/>
          <w:szCs w:val="28"/>
        </w:rPr>
        <w:t xml:space="preserve">Name: </w:t>
      </w:r>
      <w:r w:rsidR="005C743B" w:rsidRPr="005C743B">
        <w:rPr>
          <w:rFonts w:ascii="Times New Roman" w:hAnsi="Times New Roman" w:cs="Times New Roman"/>
          <w:sz w:val="28"/>
          <w:szCs w:val="28"/>
        </w:rPr>
        <w:t>Md. Mashrurul Haque</w:t>
      </w:r>
    </w:p>
    <w:p w14:paraId="1AC4EAAA" w14:textId="3D29E652" w:rsidR="00AF73A0" w:rsidRDefault="00AF73A0">
      <w:pPr>
        <w:rPr>
          <w:rFonts w:ascii="Times New Roman" w:hAnsi="Times New Roman" w:cs="Times New Roman"/>
          <w:sz w:val="28"/>
          <w:szCs w:val="28"/>
        </w:rPr>
      </w:pPr>
      <w:r>
        <w:rPr>
          <w:rFonts w:ascii="Times New Roman" w:hAnsi="Times New Roman" w:cs="Times New Roman"/>
          <w:sz w:val="28"/>
          <w:szCs w:val="28"/>
        </w:rPr>
        <w:t xml:space="preserve">ID: </w:t>
      </w:r>
      <w:r w:rsidR="005C743B">
        <w:rPr>
          <w:rFonts w:ascii="Times New Roman" w:hAnsi="Times New Roman" w:cs="Times New Roman"/>
          <w:sz w:val="28"/>
          <w:szCs w:val="28"/>
        </w:rPr>
        <w:t>2435257</w:t>
      </w:r>
    </w:p>
    <w:p w14:paraId="25C19641" w14:textId="60F1B744" w:rsidR="00AF73A0" w:rsidRDefault="00AF73A0">
      <w:pPr>
        <w:rPr>
          <w:rFonts w:ascii="Times New Roman" w:hAnsi="Times New Roman" w:cs="Times New Roman"/>
          <w:sz w:val="28"/>
          <w:szCs w:val="28"/>
        </w:rPr>
      </w:pPr>
      <w:r>
        <w:rPr>
          <w:rFonts w:ascii="Times New Roman" w:hAnsi="Times New Roman" w:cs="Times New Roman"/>
          <w:sz w:val="28"/>
          <w:szCs w:val="28"/>
        </w:rPr>
        <w:t xml:space="preserve">Module: </w:t>
      </w:r>
      <w:r w:rsidR="005C743B">
        <w:rPr>
          <w:rFonts w:ascii="Times New Roman" w:hAnsi="Times New Roman" w:cs="Times New Roman"/>
          <w:sz w:val="28"/>
          <w:szCs w:val="28"/>
        </w:rPr>
        <w:t>Data Security</w:t>
      </w:r>
      <w:r w:rsidR="00C960C0">
        <w:rPr>
          <w:rFonts w:ascii="Times New Roman" w:hAnsi="Times New Roman" w:cs="Times New Roman"/>
          <w:sz w:val="28"/>
          <w:szCs w:val="28"/>
        </w:rPr>
        <w:t xml:space="preserve">, </w:t>
      </w:r>
      <w:r w:rsidR="005C743B">
        <w:rPr>
          <w:rFonts w:ascii="Times New Roman" w:hAnsi="Times New Roman" w:cs="Times New Roman"/>
          <w:sz w:val="28"/>
          <w:szCs w:val="28"/>
        </w:rPr>
        <w:t>Governance</w:t>
      </w:r>
      <w:r w:rsidR="00C960C0">
        <w:rPr>
          <w:rFonts w:ascii="Times New Roman" w:hAnsi="Times New Roman" w:cs="Times New Roman"/>
          <w:sz w:val="28"/>
          <w:szCs w:val="28"/>
        </w:rPr>
        <w:t xml:space="preserve"> and Compliance</w:t>
      </w:r>
      <w:r w:rsidR="005C743B">
        <w:rPr>
          <w:rFonts w:ascii="Times New Roman" w:hAnsi="Times New Roman" w:cs="Times New Roman"/>
          <w:sz w:val="28"/>
          <w:szCs w:val="28"/>
        </w:rPr>
        <w:br/>
        <w:t xml:space="preserve">Programme: </w:t>
      </w:r>
      <w:r w:rsidR="00C960C0">
        <w:rPr>
          <w:rFonts w:ascii="Times New Roman" w:hAnsi="Times New Roman" w:cs="Times New Roman"/>
          <w:sz w:val="28"/>
          <w:szCs w:val="28"/>
        </w:rPr>
        <w:t>MSc in Cybersecurity and Digital Forensics</w:t>
      </w:r>
    </w:p>
    <w:p w14:paraId="0EC90FAC" w14:textId="314A91BD" w:rsidR="005C743B" w:rsidRPr="00AF73A0" w:rsidRDefault="005C743B">
      <w:pPr>
        <w:rPr>
          <w:rFonts w:ascii="Times New Roman" w:hAnsi="Times New Roman" w:cs="Times New Roman"/>
          <w:sz w:val="28"/>
          <w:szCs w:val="28"/>
        </w:rPr>
      </w:pPr>
      <w:r>
        <w:rPr>
          <w:rFonts w:ascii="Times New Roman" w:hAnsi="Times New Roman" w:cs="Times New Roman"/>
          <w:sz w:val="28"/>
          <w:szCs w:val="28"/>
        </w:rPr>
        <w:t xml:space="preserve">Date of Submission: </w:t>
      </w:r>
      <w:r w:rsidR="00C960C0">
        <w:rPr>
          <w:rFonts w:ascii="Times New Roman" w:hAnsi="Times New Roman" w:cs="Times New Roman"/>
          <w:sz w:val="28"/>
          <w:szCs w:val="28"/>
        </w:rPr>
        <w:t>1</w:t>
      </w:r>
      <w:r w:rsidR="00892C4F">
        <w:rPr>
          <w:rFonts w:ascii="Times New Roman" w:hAnsi="Times New Roman" w:cs="Times New Roman"/>
          <w:sz w:val="28"/>
          <w:szCs w:val="28"/>
        </w:rPr>
        <w:t>9</w:t>
      </w:r>
      <w:r w:rsidR="00C960C0">
        <w:rPr>
          <w:rFonts w:ascii="Times New Roman" w:hAnsi="Times New Roman" w:cs="Times New Roman"/>
          <w:sz w:val="28"/>
          <w:szCs w:val="28"/>
        </w:rPr>
        <w:t>/12/2025</w:t>
      </w:r>
    </w:p>
    <w:p w14:paraId="26FC6CFC" w14:textId="6B3903B7" w:rsidR="005B32B7" w:rsidRDefault="00E01499">
      <w:pPr>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sdt>
      <w:sdtPr>
        <w:rPr>
          <w:rFonts w:asciiTheme="minorHAnsi" w:eastAsiaTheme="minorHAnsi" w:hAnsiTheme="minorHAnsi" w:cstheme="minorBidi"/>
          <w:color w:val="auto"/>
          <w:kern w:val="2"/>
          <w:sz w:val="22"/>
          <w:szCs w:val="22"/>
          <w:lang w:val="en-GB"/>
          <w14:ligatures w14:val="standardContextual"/>
        </w:rPr>
        <w:id w:val="-550150288"/>
        <w:docPartObj>
          <w:docPartGallery w:val="Table of Contents"/>
          <w:docPartUnique/>
        </w:docPartObj>
      </w:sdtPr>
      <w:sdtEndPr>
        <w:rPr>
          <w:b/>
          <w:bCs/>
          <w:noProof/>
        </w:rPr>
      </w:sdtEndPr>
      <w:sdtContent>
        <w:p w14:paraId="3CEDCE99" w14:textId="4837E627" w:rsidR="005B32B7" w:rsidRPr="00B32C9B" w:rsidRDefault="005B32B7">
          <w:pPr>
            <w:pStyle w:val="TOCHeading"/>
            <w:rPr>
              <w:rFonts w:ascii="Times New Roman" w:hAnsi="Times New Roman" w:cs="Times New Roman"/>
              <w:b/>
              <w:bCs/>
              <w:color w:val="auto"/>
              <w:sz w:val="24"/>
              <w:szCs w:val="24"/>
            </w:rPr>
          </w:pPr>
          <w:r w:rsidRPr="00B32C9B">
            <w:rPr>
              <w:rFonts w:ascii="Times New Roman" w:hAnsi="Times New Roman" w:cs="Times New Roman"/>
              <w:b/>
              <w:bCs/>
              <w:color w:val="auto"/>
              <w:sz w:val="24"/>
              <w:szCs w:val="24"/>
            </w:rPr>
            <w:t>Table of Contents</w:t>
          </w:r>
        </w:p>
        <w:p w14:paraId="1B6168ED" w14:textId="3E4089E6" w:rsidR="002133FC" w:rsidRDefault="005B32B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999511" w:history="1">
            <w:r w:rsidR="002133FC" w:rsidRPr="005F3597">
              <w:rPr>
                <w:rStyle w:val="Hyperlink"/>
                <w:rFonts w:ascii="Times New Roman" w:hAnsi="Times New Roman" w:cs="Times New Roman"/>
                <w:b/>
                <w:bCs/>
                <w:noProof/>
              </w:rPr>
              <w:t>1. Introduction</w:t>
            </w:r>
            <w:r w:rsidR="002133FC">
              <w:rPr>
                <w:noProof/>
                <w:webHidden/>
              </w:rPr>
              <w:tab/>
            </w:r>
            <w:r w:rsidR="002133FC">
              <w:rPr>
                <w:noProof/>
                <w:webHidden/>
              </w:rPr>
              <w:fldChar w:fldCharType="begin"/>
            </w:r>
            <w:r w:rsidR="002133FC">
              <w:rPr>
                <w:noProof/>
                <w:webHidden/>
              </w:rPr>
              <w:instrText xml:space="preserve"> PAGEREF _Toc216999511 \h </w:instrText>
            </w:r>
            <w:r w:rsidR="002133FC">
              <w:rPr>
                <w:noProof/>
                <w:webHidden/>
              </w:rPr>
            </w:r>
            <w:r w:rsidR="002133FC">
              <w:rPr>
                <w:noProof/>
                <w:webHidden/>
              </w:rPr>
              <w:fldChar w:fldCharType="separate"/>
            </w:r>
            <w:r w:rsidR="002133FC">
              <w:rPr>
                <w:noProof/>
                <w:webHidden/>
              </w:rPr>
              <w:t>4</w:t>
            </w:r>
            <w:r w:rsidR="002133FC">
              <w:rPr>
                <w:noProof/>
                <w:webHidden/>
              </w:rPr>
              <w:fldChar w:fldCharType="end"/>
            </w:r>
          </w:hyperlink>
        </w:p>
        <w:p w14:paraId="03031C0D" w14:textId="3FA42109" w:rsidR="002133FC" w:rsidRDefault="002133FC">
          <w:pPr>
            <w:pStyle w:val="TOC1"/>
            <w:tabs>
              <w:tab w:val="right" w:leader="dot" w:pos="9016"/>
            </w:tabs>
            <w:rPr>
              <w:rFonts w:eastAsiaTheme="minorEastAsia"/>
              <w:noProof/>
              <w:sz w:val="24"/>
              <w:szCs w:val="24"/>
              <w:lang w:eastAsia="en-GB"/>
            </w:rPr>
          </w:pPr>
          <w:hyperlink w:anchor="_Toc216999512" w:history="1">
            <w:r w:rsidRPr="005F3597">
              <w:rPr>
                <w:rStyle w:val="Hyperlink"/>
                <w:rFonts w:ascii="Times New Roman" w:hAnsi="Times New Roman" w:cs="Times New Roman"/>
                <w:b/>
                <w:bCs/>
                <w:noProof/>
              </w:rPr>
              <w:t>2. Case Overview: NatureGreen (NG)</w:t>
            </w:r>
            <w:r>
              <w:rPr>
                <w:noProof/>
                <w:webHidden/>
              </w:rPr>
              <w:tab/>
            </w:r>
            <w:r>
              <w:rPr>
                <w:noProof/>
                <w:webHidden/>
              </w:rPr>
              <w:fldChar w:fldCharType="begin"/>
            </w:r>
            <w:r>
              <w:rPr>
                <w:noProof/>
                <w:webHidden/>
              </w:rPr>
              <w:instrText xml:space="preserve"> PAGEREF _Toc216999512 \h </w:instrText>
            </w:r>
            <w:r>
              <w:rPr>
                <w:noProof/>
                <w:webHidden/>
              </w:rPr>
            </w:r>
            <w:r>
              <w:rPr>
                <w:noProof/>
                <w:webHidden/>
              </w:rPr>
              <w:fldChar w:fldCharType="separate"/>
            </w:r>
            <w:r>
              <w:rPr>
                <w:noProof/>
                <w:webHidden/>
              </w:rPr>
              <w:t>5</w:t>
            </w:r>
            <w:r>
              <w:rPr>
                <w:noProof/>
                <w:webHidden/>
              </w:rPr>
              <w:fldChar w:fldCharType="end"/>
            </w:r>
          </w:hyperlink>
        </w:p>
        <w:p w14:paraId="2957CAEF" w14:textId="4BB08EBE" w:rsidR="002133FC" w:rsidRDefault="002133FC">
          <w:pPr>
            <w:pStyle w:val="TOC1"/>
            <w:tabs>
              <w:tab w:val="right" w:leader="dot" w:pos="9016"/>
            </w:tabs>
            <w:rPr>
              <w:rFonts w:eastAsiaTheme="minorEastAsia"/>
              <w:noProof/>
              <w:sz w:val="24"/>
              <w:szCs w:val="24"/>
              <w:lang w:eastAsia="en-GB"/>
            </w:rPr>
          </w:pPr>
          <w:hyperlink w:anchor="_Toc216999513" w:history="1">
            <w:r w:rsidRPr="005F3597">
              <w:rPr>
                <w:rStyle w:val="Hyperlink"/>
                <w:rFonts w:ascii="Times New Roman" w:hAnsi="Times New Roman" w:cs="Times New Roman"/>
                <w:b/>
                <w:bCs/>
                <w:noProof/>
              </w:rPr>
              <w:t>3. Research on Frameworks and Models</w:t>
            </w:r>
            <w:r>
              <w:rPr>
                <w:noProof/>
                <w:webHidden/>
              </w:rPr>
              <w:tab/>
            </w:r>
            <w:r>
              <w:rPr>
                <w:noProof/>
                <w:webHidden/>
              </w:rPr>
              <w:fldChar w:fldCharType="begin"/>
            </w:r>
            <w:r>
              <w:rPr>
                <w:noProof/>
                <w:webHidden/>
              </w:rPr>
              <w:instrText xml:space="preserve"> PAGEREF _Toc216999513 \h </w:instrText>
            </w:r>
            <w:r>
              <w:rPr>
                <w:noProof/>
                <w:webHidden/>
              </w:rPr>
            </w:r>
            <w:r>
              <w:rPr>
                <w:noProof/>
                <w:webHidden/>
              </w:rPr>
              <w:fldChar w:fldCharType="separate"/>
            </w:r>
            <w:r>
              <w:rPr>
                <w:noProof/>
                <w:webHidden/>
              </w:rPr>
              <w:t>6</w:t>
            </w:r>
            <w:r>
              <w:rPr>
                <w:noProof/>
                <w:webHidden/>
              </w:rPr>
              <w:fldChar w:fldCharType="end"/>
            </w:r>
          </w:hyperlink>
        </w:p>
        <w:p w14:paraId="2810ECBF" w14:textId="55BAE1F8" w:rsidR="002133FC" w:rsidRDefault="002133FC">
          <w:pPr>
            <w:pStyle w:val="TOC2"/>
            <w:tabs>
              <w:tab w:val="right" w:leader="dot" w:pos="9016"/>
            </w:tabs>
            <w:rPr>
              <w:rFonts w:eastAsiaTheme="minorEastAsia"/>
              <w:noProof/>
              <w:sz w:val="24"/>
              <w:szCs w:val="24"/>
              <w:lang w:eastAsia="en-GB"/>
            </w:rPr>
          </w:pPr>
          <w:hyperlink w:anchor="_Toc216999514" w:history="1">
            <w:r w:rsidRPr="005F3597">
              <w:rPr>
                <w:rStyle w:val="Hyperlink"/>
                <w:rFonts w:ascii="Times New Roman" w:hAnsi="Times New Roman" w:cs="Times New Roman"/>
                <w:b/>
                <w:bCs/>
                <w:noProof/>
              </w:rPr>
              <w:t>3.1 ISO/IEC 27001 and ISO/IEC 27002 (ISMS and Control Guidance)</w:t>
            </w:r>
            <w:r>
              <w:rPr>
                <w:noProof/>
                <w:webHidden/>
              </w:rPr>
              <w:tab/>
            </w:r>
            <w:r>
              <w:rPr>
                <w:noProof/>
                <w:webHidden/>
              </w:rPr>
              <w:fldChar w:fldCharType="begin"/>
            </w:r>
            <w:r>
              <w:rPr>
                <w:noProof/>
                <w:webHidden/>
              </w:rPr>
              <w:instrText xml:space="preserve"> PAGEREF _Toc216999514 \h </w:instrText>
            </w:r>
            <w:r>
              <w:rPr>
                <w:noProof/>
                <w:webHidden/>
              </w:rPr>
            </w:r>
            <w:r>
              <w:rPr>
                <w:noProof/>
                <w:webHidden/>
              </w:rPr>
              <w:fldChar w:fldCharType="separate"/>
            </w:r>
            <w:r>
              <w:rPr>
                <w:noProof/>
                <w:webHidden/>
              </w:rPr>
              <w:t>6</w:t>
            </w:r>
            <w:r>
              <w:rPr>
                <w:noProof/>
                <w:webHidden/>
              </w:rPr>
              <w:fldChar w:fldCharType="end"/>
            </w:r>
          </w:hyperlink>
        </w:p>
        <w:p w14:paraId="2C573587" w14:textId="13D2B264" w:rsidR="002133FC" w:rsidRDefault="002133FC">
          <w:pPr>
            <w:pStyle w:val="TOC2"/>
            <w:tabs>
              <w:tab w:val="right" w:leader="dot" w:pos="9016"/>
            </w:tabs>
            <w:rPr>
              <w:rFonts w:eastAsiaTheme="minorEastAsia"/>
              <w:noProof/>
              <w:sz w:val="24"/>
              <w:szCs w:val="24"/>
              <w:lang w:eastAsia="en-GB"/>
            </w:rPr>
          </w:pPr>
          <w:hyperlink w:anchor="_Toc216999515" w:history="1">
            <w:r w:rsidRPr="005F3597">
              <w:rPr>
                <w:rStyle w:val="Hyperlink"/>
                <w:rFonts w:ascii="Times New Roman" w:hAnsi="Times New Roman" w:cs="Times New Roman"/>
                <w:b/>
                <w:bCs/>
                <w:noProof/>
              </w:rPr>
              <w:t>3.2 NIST Cybersecurity Framework (CSF) (Outcomes Based Structure)</w:t>
            </w:r>
            <w:r>
              <w:rPr>
                <w:noProof/>
                <w:webHidden/>
              </w:rPr>
              <w:tab/>
            </w:r>
            <w:r>
              <w:rPr>
                <w:noProof/>
                <w:webHidden/>
              </w:rPr>
              <w:fldChar w:fldCharType="begin"/>
            </w:r>
            <w:r>
              <w:rPr>
                <w:noProof/>
                <w:webHidden/>
              </w:rPr>
              <w:instrText xml:space="preserve"> PAGEREF _Toc216999515 \h </w:instrText>
            </w:r>
            <w:r>
              <w:rPr>
                <w:noProof/>
                <w:webHidden/>
              </w:rPr>
            </w:r>
            <w:r>
              <w:rPr>
                <w:noProof/>
                <w:webHidden/>
              </w:rPr>
              <w:fldChar w:fldCharType="separate"/>
            </w:r>
            <w:r>
              <w:rPr>
                <w:noProof/>
                <w:webHidden/>
              </w:rPr>
              <w:t>6</w:t>
            </w:r>
            <w:r>
              <w:rPr>
                <w:noProof/>
                <w:webHidden/>
              </w:rPr>
              <w:fldChar w:fldCharType="end"/>
            </w:r>
          </w:hyperlink>
        </w:p>
        <w:p w14:paraId="28AD433A" w14:textId="7C3A036F" w:rsidR="002133FC" w:rsidRDefault="002133FC">
          <w:pPr>
            <w:pStyle w:val="TOC2"/>
            <w:tabs>
              <w:tab w:val="right" w:leader="dot" w:pos="9016"/>
            </w:tabs>
            <w:rPr>
              <w:rFonts w:eastAsiaTheme="minorEastAsia"/>
              <w:noProof/>
              <w:sz w:val="24"/>
              <w:szCs w:val="24"/>
              <w:lang w:eastAsia="en-GB"/>
            </w:rPr>
          </w:pPr>
          <w:hyperlink w:anchor="_Toc216999516" w:history="1">
            <w:r w:rsidRPr="005F3597">
              <w:rPr>
                <w:rStyle w:val="Hyperlink"/>
                <w:rFonts w:ascii="Times New Roman" w:hAnsi="Times New Roman" w:cs="Times New Roman"/>
                <w:b/>
                <w:bCs/>
                <w:noProof/>
              </w:rPr>
              <w:t>3.3 NIST RMF (SP 800-37) and NIST SP 800-53 (Risk Process and Control Catalogue)</w:t>
            </w:r>
            <w:r>
              <w:rPr>
                <w:noProof/>
                <w:webHidden/>
              </w:rPr>
              <w:tab/>
            </w:r>
            <w:r>
              <w:rPr>
                <w:noProof/>
                <w:webHidden/>
              </w:rPr>
              <w:fldChar w:fldCharType="begin"/>
            </w:r>
            <w:r>
              <w:rPr>
                <w:noProof/>
                <w:webHidden/>
              </w:rPr>
              <w:instrText xml:space="preserve"> PAGEREF _Toc216999516 \h </w:instrText>
            </w:r>
            <w:r>
              <w:rPr>
                <w:noProof/>
                <w:webHidden/>
              </w:rPr>
            </w:r>
            <w:r>
              <w:rPr>
                <w:noProof/>
                <w:webHidden/>
              </w:rPr>
              <w:fldChar w:fldCharType="separate"/>
            </w:r>
            <w:r>
              <w:rPr>
                <w:noProof/>
                <w:webHidden/>
              </w:rPr>
              <w:t>6</w:t>
            </w:r>
            <w:r>
              <w:rPr>
                <w:noProof/>
                <w:webHidden/>
              </w:rPr>
              <w:fldChar w:fldCharType="end"/>
            </w:r>
          </w:hyperlink>
        </w:p>
        <w:p w14:paraId="19F8D0FA" w14:textId="7740EFF1" w:rsidR="002133FC" w:rsidRDefault="002133FC">
          <w:pPr>
            <w:pStyle w:val="TOC2"/>
            <w:tabs>
              <w:tab w:val="right" w:leader="dot" w:pos="9016"/>
            </w:tabs>
            <w:rPr>
              <w:rFonts w:eastAsiaTheme="minorEastAsia"/>
              <w:noProof/>
              <w:sz w:val="24"/>
              <w:szCs w:val="24"/>
              <w:lang w:eastAsia="en-GB"/>
            </w:rPr>
          </w:pPr>
          <w:hyperlink w:anchor="_Toc216999517" w:history="1">
            <w:r w:rsidRPr="005F3597">
              <w:rPr>
                <w:rStyle w:val="Hyperlink"/>
                <w:rFonts w:ascii="Times New Roman" w:hAnsi="Times New Roman" w:cs="Times New Roman"/>
                <w:b/>
                <w:bCs/>
                <w:noProof/>
              </w:rPr>
              <w:t>3.4 CIS Critical Security Controls (Prioritised, Practical Safeguards)</w:t>
            </w:r>
            <w:r>
              <w:rPr>
                <w:noProof/>
                <w:webHidden/>
              </w:rPr>
              <w:tab/>
            </w:r>
            <w:r>
              <w:rPr>
                <w:noProof/>
                <w:webHidden/>
              </w:rPr>
              <w:fldChar w:fldCharType="begin"/>
            </w:r>
            <w:r>
              <w:rPr>
                <w:noProof/>
                <w:webHidden/>
              </w:rPr>
              <w:instrText xml:space="preserve"> PAGEREF _Toc216999517 \h </w:instrText>
            </w:r>
            <w:r>
              <w:rPr>
                <w:noProof/>
                <w:webHidden/>
              </w:rPr>
            </w:r>
            <w:r>
              <w:rPr>
                <w:noProof/>
                <w:webHidden/>
              </w:rPr>
              <w:fldChar w:fldCharType="separate"/>
            </w:r>
            <w:r>
              <w:rPr>
                <w:noProof/>
                <w:webHidden/>
              </w:rPr>
              <w:t>7</w:t>
            </w:r>
            <w:r>
              <w:rPr>
                <w:noProof/>
                <w:webHidden/>
              </w:rPr>
              <w:fldChar w:fldCharType="end"/>
            </w:r>
          </w:hyperlink>
        </w:p>
        <w:p w14:paraId="7975D68A" w14:textId="25FAF91C" w:rsidR="002133FC" w:rsidRDefault="002133FC">
          <w:pPr>
            <w:pStyle w:val="TOC2"/>
            <w:tabs>
              <w:tab w:val="right" w:leader="dot" w:pos="9016"/>
            </w:tabs>
            <w:rPr>
              <w:rFonts w:eastAsiaTheme="minorEastAsia"/>
              <w:noProof/>
              <w:sz w:val="24"/>
              <w:szCs w:val="24"/>
              <w:lang w:eastAsia="en-GB"/>
            </w:rPr>
          </w:pPr>
          <w:hyperlink w:anchor="_Toc216999518" w:history="1">
            <w:r w:rsidRPr="005F3597">
              <w:rPr>
                <w:rStyle w:val="Hyperlink"/>
                <w:rFonts w:ascii="Times New Roman" w:hAnsi="Times New Roman" w:cs="Times New Roman"/>
                <w:b/>
                <w:bCs/>
                <w:noProof/>
              </w:rPr>
              <w:t>3.5 COBIT 2019 (Governance of Information and Technology)</w:t>
            </w:r>
            <w:r>
              <w:rPr>
                <w:noProof/>
                <w:webHidden/>
              </w:rPr>
              <w:tab/>
            </w:r>
            <w:r>
              <w:rPr>
                <w:noProof/>
                <w:webHidden/>
              </w:rPr>
              <w:fldChar w:fldCharType="begin"/>
            </w:r>
            <w:r>
              <w:rPr>
                <w:noProof/>
                <w:webHidden/>
              </w:rPr>
              <w:instrText xml:space="preserve"> PAGEREF _Toc216999518 \h </w:instrText>
            </w:r>
            <w:r>
              <w:rPr>
                <w:noProof/>
                <w:webHidden/>
              </w:rPr>
            </w:r>
            <w:r>
              <w:rPr>
                <w:noProof/>
                <w:webHidden/>
              </w:rPr>
              <w:fldChar w:fldCharType="separate"/>
            </w:r>
            <w:r>
              <w:rPr>
                <w:noProof/>
                <w:webHidden/>
              </w:rPr>
              <w:t>7</w:t>
            </w:r>
            <w:r>
              <w:rPr>
                <w:noProof/>
                <w:webHidden/>
              </w:rPr>
              <w:fldChar w:fldCharType="end"/>
            </w:r>
          </w:hyperlink>
        </w:p>
        <w:p w14:paraId="38B47687" w14:textId="5AC3C371" w:rsidR="002133FC" w:rsidRDefault="002133FC">
          <w:pPr>
            <w:pStyle w:val="TOC2"/>
            <w:tabs>
              <w:tab w:val="right" w:leader="dot" w:pos="9016"/>
            </w:tabs>
            <w:rPr>
              <w:rFonts w:eastAsiaTheme="minorEastAsia"/>
              <w:noProof/>
              <w:sz w:val="24"/>
              <w:szCs w:val="24"/>
              <w:lang w:eastAsia="en-GB"/>
            </w:rPr>
          </w:pPr>
          <w:hyperlink w:anchor="_Toc216999519" w:history="1">
            <w:r w:rsidRPr="005F3597">
              <w:rPr>
                <w:rStyle w:val="Hyperlink"/>
                <w:rFonts w:ascii="Times New Roman" w:hAnsi="Times New Roman" w:cs="Times New Roman"/>
                <w:b/>
                <w:bCs/>
                <w:noProof/>
              </w:rPr>
              <w:t>3.6 ITIL 4 (Service Management and Operational Stability)</w:t>
            </w:r>
            <w:r>
              <w:rPr>
                <w:noProof/>
                <w:webHidden/>
              </w:rPr>
              <w:tab/>
            </w:r>
            <w:r>
              <w:rPr>
                <w:noProof/>
                <w:webHidden/>
              </w:rPr>
              <w:fldChar w:fldCharType="begin"/>
            </w:r>
            <w:r>
              <w:rPr>
                <w:noProof/>
                <w:webHidden/>
              </w:rPr>
              <w:instrText xml:space="preserve"> PAGEREF _Toc216999519 \h </w:instrText>
            </w:r>
            <w:r>
              <w:rPr>
                <w:noProof/>
                <w:webHidden/>
              </w:rPr>
            </w:r>
            <w:r>
              <w:rPr>
                <w:noProof/>
                <w:webHidden/>
              </w:rPr>
              <w:fldChar w:fldCharType="separate"/>
            </w:r>
            <w:r>
              <w:rPr>
                <w:noProof/>
                <w:webHidden/>
              </w:rPr>
              <w:t>7</w:t>
            </w:r>
            <w:r>
              <w:rPr>
                <w:noProof/>
                <w:webHidden/>
              </w:rPr>
              <w:fldChar w:fldCharType="end"/>
            </w:r>
          </w:hyperlink>
        </w:p>
        <w:p w14:paraId="7E33DF66" w14:textId="2A920606" w:rsidR="002133FC" w:rsidRDefault="002133FC">
          <w:pPr>
            <w:pStyle w:val="TOC2"/>
            <w:tabs>
              <w:tab w:val="right" w:leader="dot" w:pos="9016"/>
            </w:tabs>
            <w:rPr>
              <w:rFonts w:eastAsiaTheme="minorEastAsia"/>
              <w:noProof/>
              <w:sz w:val="24"/>
              <w:szCs w:val="24"/>
              <w:lang w:eastAsia="en-GB"/>
            </w:rPr>
          </w:pPr>
          <w:hyperlink w:anchor="_Toc216999520" w:history="1">
            <w:r w:rsidRPr="005F3597">
              <w:rPr>
                <w:rStyle w:val="Hyperlink"/>
                <w:rFonts w:ascii="Times New Roman" w:hAnsi="Times New Roman" w:cs="Times New Roman"/>
                <w:b/>
                <w:bCs/>
                <w:noProof/>
              </w:rPr>
              <w:t>3.7 PCI DSS (Payment Security Compliance, Where Relevant)</w:t>
            </w:r>
            <w:r>
              <w:rPr>
                <w:noProof/>
                <w:webHidden/>
              </w:rPr>
              <w:tab/>
            </w:r>
            <w:r>
              <w:rPr>
                <w:noProof/>
                <w:webHidden/>
              </w:rPr>
              <w:fldChar w:fldCharType="begin"/>
            </w:r>
            <w:r>
              <w:rPr>
                <w:noProof/>
                <w:webHidden/>
              </w:rPr>
              <w:instrText xml:space="preserve"> PAGEREF _Toc216999520 \h </w:instrText>
            </w:r>
            <w:r>
              <w:rPr>
                <w:noProof/>
                <w:webHidden/>
              </w:rPr>
            </w:r>
            <w:r>
              <w:rPr>
                <w:noProof/>
                <w:webHidden/>
              </w:rPr>
              <w:fldChar w:fldCharType="separate"/>
            </w:r>
            <w:r>
              <w:rPr>
                <w:noProof/>
                <w:webHidden/>
              </w:rPr>
              <w:t>8</w:t>
            </w:r>
            <w:r>
              <w:rPr>
                <w:noProof/>
                <w:webHidden/>
              </w:rPr>
              <w:fldChar w:fldCharType="end"/>
            </w:r>
          </w:hyperlink>
        </w:p>
        <w:p w14:paraId="270E3B66" w14:textId="2DA13300" w:rsidR="002133FC" w:rsidRDefault="002133FC">
          <w:pPr>
            <w:pStyle w:val="TOC2"/>
            <w:tabs>
              <w:tab w:val="right" w:leader="dot" w:pos="9016"/>
            </w:tabs>
            <w:rPr>
              <w:rFonts w:eastAsiaTheme="minorEastAsia"/>
              <w:noProof/>
              <w:sz w:val="24"/>
              <w:szCs w:val="24"/>
              <w:lang w:eastAsia="en-GB"/>
            </w:rPr>
          </w:pPr>
          <w:hyperlink w:anchor="_Toc216999521" w:history="1">
            <w:r w:rsidRPr="005F3597">
              <w:rPr>
                <w:rStyle w:val="Hyperlink"/>
                <w:rFonts w:ascii="Times New Roman" w:hAnsi="Times New Roman" w:cs="Times New Roman"/>
                <w:b/>
                <w:bCs/>
                <w:noProof/>
              </w:rPr>
              <w:t>3.8 SOC 2 and the Trust Services Criteria (Assurance for Service Organisations)</w:t>
            </w:r>
            <w:r>
              <w:rPr>
                <w:noProof/>
                <w:webHidden/>
              </w:rPr>
              <w:tab/>
            </w:r>
            <w:r>
              <w:rPr>
                <w:noProof/>
                <w:webHidden/>
              </w:rPr>
              <w:fldChar w:fldCharType="begin"/>
            </w:r>
            <w:r>
              <w:rPr>
                <w:noProof/>
                <w:webHidden/>
              </w:rPr>
              <w:instrText xml:space="preserve"> PAGEREF _Toc216999521 \h </w:instrText>
            </w:r>
            <w:r>
              <w:rPr>
                <w:noProof/>
                <w:webHidden/>
              </w:rPr>
            </w:r>
            <w:r>
              <w:rPr>
                <w:noProof/>
                <w:webHidden/>
              </w:rPr>
              <w:fldChar w:fldCharType="separate"/>
            </w:r>
            <w:r>
              <w:rPr>
                <w:noProof/>
                <w:webHidden/>
              </w:rPr>
              <w:t>8</w:t>
            </w:r>
            <w:r>
              <w:rPr>
                <w:noProof/>
                <w:webHidden/>
              </w:rPr>
              <w:fldChar w:fldCharType="end"/>
            </w:r>
          </w:hyperlink>
        </w:p>
        <w:p w14:paraId="68098EE5" w14:textId="37ADE7A7" w:rsidR="002133FC" w:rsidRDefault="002133FC">
          <w:pPr>
            <w:pStyle w:val="TOC2"/>
            <w:tabs>
              <w:tab w:val="right" w:leader="dot" w:pos="9016"/>
            </w:tabs>
            <w:rPr>
              <w:rFonts w:eastAsiaTheme="minorEastAsia"/>
              <w:noProof/>
              <w:sz w:val="24"/>
              <w:szCs w:val="24"/>
              <w:lang w:eastAsia="en-GB"/>
            </w:rPr>
          </w:pPr>
          <w:hyperlink w:anchor="_Toc216999522" w:history="1">
            <w:r w:rsidRPr="005F3597">
              <w:rPr>
                <w:rStyle w:val="Hyperlink"/>
                <w:rFonts w:ascii="Times New Roman" w:hAnsi="Times New Roman" w:cs="Times New Roman"/>
                <w:b/>
                <w:bCs/>
                <w:noProof/>
              </w:rPr>
              <w:t>3.9 Zero Trust (Architecture Approach for BYOD, Cloud, Wireless)</w:t>
            </w:r>
            <w:r>
              <w:rPr>
                <w:noProof/>
                <w:webHidden/>
              </w:rPr>
              <w:tab/>
            </w:r>
            <w:r>
              <w:rPr>
                <w:noProof/>
                <w:webHidden/>
              </w:rPr>
              <w:fldChar w:fldCharType="begin"/>
            </w:r>
            <w:r>
              <w:rPr>
                <w:noProof/>
                <w:webHidden/>
              </w:rPr>
              <w:instrText xml:space="preserve"> PAGEREF _Toc216999522 \h </w:instrText>
            </w:r>
            <w:r>
              <w:rPr>
                <w:noProof/>
                <w:webHidden/>
              </w:rPr>
            </w:r>
            <w:r>
              <w:rPr>
                <w:noProof/>
                <w:webHidden/>
              </w:rPr>
              <w:fldChar w:fldCharType="separate"/>
            </w:r>
            <w:r>
              <w:rPr>
                <w:noProof/>
                <w:webHidden/>
              </w:rPr>
              <w:t>8</w:t>
            </w:r>
            <w:r>
              <w:rPr>
                <w:noProof/>
                <w:webHidden/>
              </w:rPr>
              <w:fldChar w:fldCharType="end"/>
            </w:r>
          </w:hyperlink>
        </w:p>
        <w:p w14:paraId="51BBD509" w14:textId="0A15B8F7" w:rsidR="002133FC" w:rsidRDefault="002133FC">
          <w:pPr>
            <w:pStyle w:val="TOC1"/>
            <w:tabs>
              <w:tab w:val="right" w:leader="dot" w:pos="9016"/>
            </w:tabs>
            <w:rPr>
              <w:rFonts w:eastAsiaTheme="minorEastAsia"/>
              <w:noProof/>
              <w:sz w:val="24"/>
              <w:szCs w:val="24"/>
              <w:lang w:eastAsia="en-GB"/>
            </w:rPr>
          </w:pPr>
          <w:hyperlink w:anchor="_Toc216999523" w:history="1">
            <w:r w:rsidRPr="005F3597">
              <w:rPr>
                <w:rStyle w:val="Hyperlink"/>
                <w:rFonts w:ascii="Times New Roman" w:hAnsi="Times New Roman" w:cs="Times New Roman"/>
                <w:b/>
                <w:bCs/>
                <w:noProof/>
              </w:rPr>
              <w:t>4. Selected Frameworks/Models for NatureGreen (NG)</w:t>
            </w:r>
            <w:r>
              <w:rPr>
                <w:noProof/>
                <w:webHidden/>
              </w:rPr>
              <w:tab/>
            </w:r>
            <w:r>
              <w:rPr>
                <w:noProof/>
                <w:webHidden/>
              </w:rPr>
              <w:fldChar w:fldCharType="begin"/>
            </w:r>
            <w:r>
              <w:rPr>
                <w:noProof/>
                <w:webHidden/>
              </w:rPr>
              <w:instrText xml:space="preserve"> PAGEREF _Toc216999523 \h </w:instrText>
            </w:r>
            <w:r>
              <w:rPr>
                <w:noProof/>
                <w:webHidden/>
              </w:rPr>
            </w:r>
            <w:r>
              <w:rPr>
                <w:noProof/>
                <w:webHidden/>
              </w:rPr>
              <w:fldChar w:fldCharType="separate"/>
            </w:r>
            <w:r>
              <w:rPr>
                <w:noProof/>
                <w:webHidden/>
              </w:rPr>
              <w:t>9</w:t>
            </w:r>
            <w:r>
              <w:rPr>
                <w:noProof/>
                <w:webHidden/>
              </w:rPr>
              <w:fldChar w:fldCharType="end"/>
            </w:r>
          </w:hyperlink>
        </w:p>
        <w:p w14:paraId="2DE89F0D" w14:textId="184520AA" w:rsidR="002133FC" w:rsidRDefault="002133FC">
          <w:pPr>
            <w:pStyle w:val="TOC1"/>
            <w:tabs>
              <w:tab w:val="right" w:leader="dot" w:pos="9016"/>
            </w:tabs>
            <w:rPr>
              <w:rFonts w:eastAsiaTheme="minorEastAsia"/>
              <w:noProof/>
              <w:sz w:val="24"/>
              <w:szCs w:val="24"/>
              <w:lang w:eastAsia="en-GB"/>
            </w:rPr>
          </w:pPr>
          <w:hyperlink w:anchor="_Toc216999524" w:history="1">
            <w:r w:rsidRPr="005F3597">
              <w:rPr>
                <w:rStyle w:val="Hyperlink"/>
                <w:rFonts w:ascii="Times New Roman" w:hAnsi="Times New Roman" w:cs="Times New Roman"/>
                <w:b/>
                <w:bCs/>
                <w:noProof/>
              </w:rPr>
              <w:t>5. Architecture Figure</w:t>
            </w:r>
            <w:r>
              <w:rPr>
                <w:noProof/>
                <w:webHidden/>
              </w:rPr>
              <w:tab/>
            </w:r>
            <w:r>
              <w:rPr>
                <w:noProof/>
                <w:webHidden/>
              </w:rPr>
              <w:fldChar w:fldCharType="begin"/>
            </w:r>
            <w:r>
              <w:rPr>
                <w:noProof/>
                <w:webHidden/>
              </w:rPr>
              <w:instrText xml:space="preserve"> PAGEREF _Toc216999524 \h </w:instrText>
            </w:r>
            <w:r>
              <w:rPr>
                <w:noProof/>
                <w:webHidden/>
              </w:rPr>
            </w:r>
            <w:r>
              <w:rPr>
                <w:noProof/>
                <w:webHidden/>
              </w:rPr>
              <w:fldChar w:fldCharType="separate"/>
            </w:r>
            <w:r>
              <w:rPr>
                <w:noProof/>
                <w:webHidden/>
              </w:rPr>
              <w:t>11</w:t>
            </w:r>
            <w:r>
              <w:rPr>
                <w:noProof/>
                <w:webHidden/>
              </w:rPr>
              <w:fldChar w:fldCharType="end"/>
            </w:r>
          </w:hyperlink>
        </w:p>
        <w:p w14:paraId="502A74F6" w14:textId="18FE4EAE" w:rsidR="002133FC" w:rsidRDefault="002133FC">
          <w:pPr>
            <w:pStyle w:val="TOC1"/>
            <w:tabs>
              <w:tab w:val="right" w:leader="dot" w:pos="9016"/>
            </w:tabs>
            <w:rPr>
              <w:rFonts w:eastAsiaTheme="minorEastAsia"/>
              <w:noProof/>
              <w:sz w:val="24"/>
              <w:szCs w:val="24"/>
              <w:lang w:eastAsia="en-GB"/>
            </w:rPr>
          </w:pPr>
          <w:hyperlink w:anchor="_Toc216999525" w:history="1">
            <w:r w:rsidRPr="005F3597">
              <w:rPr>
                <w:rStyle w:val="Hyperlink"/>
                <w:rFonts w:ascii="Times New Roman" w:hAnsi="Times New Roman" w:cs="Times New Roman"/>
                <w:b/>
                <w:bCs/>
                <w:noProof/>
              </w:rPr>
              <w:t>6. Domain Mapping and Security Design for NG</w:t>
            </w:r>
            <w:r>
              <w:rPr>
                <w:noProof/>
                <w:webHidden/>
              </w:rPr>
              <w:tab/>
            </w:r>
            <w:r>
              <w:rPr>
                <w:noProof/>
                <w:webHidden/>
              </w:rPr>
              <w:fldChar w:fldCharType="begin"/>
            </w:r>
            <w:r>
              <w:rPr>
                <w:noProof/>
                <w:webHidden/>
              </w:rPr>
              <w:instrText xml:space="preserve"> PAGEREF _Toc216999525 \h </w:instrText>
            </w:r>
            <w:r>
              <w:rPr>
                <w:noProof/>
                <w:webHidden/>
              </w:rPr>
            </w:r>
            <w:r>
              <w:rPr>
                <w:noProof/>
                <w:webHidden/>
              </w:rPr>
              <w:fldChar w:fldCharType="separate"/>
            </w:r>
            <w:r>
              <w:rPr>
                <w:noProof/>
                <w:webHidden/>
              </w:rPr>
              <w:t>12</w:t>
            </w:r>
            <w:r>
              <w:rPr>
                <w:noProof/>
                <w:webHidden/>
              </w:rPr>
              <w:fldChar w:fldCharType="end"/>
            </w:r>
          </w:hyperlink>
        </w:p>
        <w:p w14:paraId="07D5E6E6" w14:textId="4BB7140A" w:rsidR="002133FC" w:rsidRDefault="002133FC">
          <w:pPr>
            <w:pStyle w:val="TOC1"/>
            <w:tabs>
              <w:tab w:val="right" w:leader="dot" w:pos="9016"/>
            </w:tabs>
            <w:rPr>
              <w:rFonts w:eastAsiaTheme="minorEastAsia"/>
              <w:noProof/>
              <w:sz w:val="24"/>
              <w:szCs w:val="24"/>
              <w:lang w:eastAsia="en-GB"/>
            </w:rPr>
          </w:pPr>
          <w:hyperlink w:anchor="_Toc216999526" w:history="1">
            <w:r w:rsidRPr="005F3597">
              <w:rPr>
                <w:rStyle w:val="Hyperlink"/>
                <w:rFonts w:ascii="Times New Roman" w:hAnsi="Times New Roman" w:cs="Times New Roman"/>
                <w:b/>
                <w:bCs/>
                <w:noProof/>
              </w:rPr>
              <w:t>7. Conclusion</w:t>
            </w:r>
            <w:r>
              <w:rPr>
                <w:noProof/>
                <w:webHidden/>
              </w:rPr>
              <w:tab/>
            </w:r>
            <w:r>
              <w:rPr>
                <w:noProof/>
                <w:webHidden/>
              </w:rPr>
              <w:fldChar w:fldCharType="begin"/>
            </w:r>
            <w:r>
              <w:rPr>
                <w:noProof/>
                <w:webHidden/>
              </w:rPr>
              <w:instrText xml:space="preserve"> PAGEREF _Toc216999526 \h </w:instrText>
            </w:r>
            <w:r>
              <w:rPr>
                <w:noProof/>
                <w:webHidden/>
              </w:rPr>
            </w:r>
            <w:r>
              <w:rPr>
                <w:noProof/>
                <w:webHidden/>
              </w:rPr>
              <w:fldChar w:fldCharType="separate"/>
            </w:r>
            <w:r>
              <w:rPr>
                <w:noProof/>
                <w:webHidden/>
              </w:rPr>
              <w:t>14</w:t>
            </w:r>
            <w:r>
              <w:rPr>
                <w:noProof/>
                <w:webHidden/>
              </w:rPr>
              <w:fldChar w:fldCharType="end"/>
            </w:r>
          </w:hyperlink>
        </w:p>
        <w:p w14:paraId="3407BDC1" w14:textId="19477A0C" w:rsidR="002133FC" w:rsidRDefault="002133FC">
          <w:pPr>
            <w:pStyle w:val="TOC1"/>
            <w:tabs>
              <w:tab w:val="right" w:leader="dot" w:pos="9016"/>
            </w:tabs>
            <w:rPr>
              <w:rFonts w:eastAsiaTheme="minorEastAsia"/>
              <w:noProof/>
              <w:sz w:val="24"/>
              <w:szCs w:val="24"/>
              <w:lang w:eastAsia="en-GB"/>
            </w:rPr>
          </w:pPr>
          <w:hyperlink w:anchor="_Toc216999527" w:history="1">
            <w:r w:rsidRPr="005F3597">
              <w:rPr>
                <w:rStyle w:val="Hyperlink"/>
                <w:rFonts w:ascii="Times New Roman" w:hAnsi="Times New Roman" w:cs="Times New Roman"/>
                <w:b/>
                <w:bCs/>
                <w:noProof/>
              </w:rPr>
              <w:t>8. References</w:t>
            </w:r>
            <w:r>
              <w:rPr>
                <w:noProof/>
                <w:webHidden/>
              </w:rPr>
              <w:tab/>
            </w:r>
            <w:r>
              <w:rPr>
                <w:noProof/>
                <w:webHidden/>
              </w:rPr>
              <w:fldChar w:fldCharType="begin"/>
            </w:r>
            <w:r>
              <w:rPr>
                <w:noProof/>
                <w:webHidden/>
              </w:rPr>
              <w:instrText xml:space="preserve"> PAGEREF _Toc216999527 \h </w:instrText>
            </w:r>
            <w:r>
              <w:rPr>
                <w:noProof/>
                <w:webHidden/>
              </w:rPr>
            </w:r>
            <w:r>
              <w:rPr>
                <w:noProof/>
                <w:webHidden/>
              </w:rPr>
              <w:fldChar w:fldCharType="separate"/>
            </w:r>
            <w:r>
              <w:rPr>
                <w:noProof/>
                <w:webHidden/>
              </w:rPr>
              <w:t>15</w:t>
            </w:r>
            <w:r>
              <w:rPr>
                <w:noProof/>
                <w:webHidden/>
              </w:rPr>
              <w:fldChar w:fldCharType="end"/>
            </w:r>
          </w:hyperlink>
        </w:p>
        <w:p w14:paraId="0A1B8F43" w14:textId="2807516F" w:rsidR="005B32B7" w:rsidRDefault="005B32B7">
          <w:r>
            <w:rPr>
              <w:b/>
              <w:bCs/>
              <w:noProof/>
            </w:rPr>
            <w:fldChar w:fldCharType="end"/>
          </w:r>
        </w:p>
      </w:sdtContent>
    </w:sdt>
    <w:p w14:paraId="6E2BA27A" w14:textId="77777777" w:rsidR="00B32C9B" w:rsidRDefault="00B32C9B">
      <w:pPr>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br w:type="page"/>
      </w:r>
    </w:p>
    <w:p w14:paraId="36901EB6" w14:textId="044A8FBA" w:rsidR="00B32C9B" w:rsidRDefault="00B32C9B">
      <w:pPr>
        <w:rPr>
          <w:rFonts w:ascii="Times New Roman" w:eastAsiaTheme="majorEastAsia" w:hAnsi="Times New Roman" w:cs="Times New Roman"/>
          <w:sz w:val="24"/>
          <w:szCs w:val="24"/>
        </w:rPr>
      </w:pPr>
      <w:r>
        <w:rPr>
          <w:rFonts w:ascii="Times New Roman" w:eastAsiaTheme="majorEastAsia" w:hAnsi="Times New Roman" w:cs="Times New Roman"/>
          <w:b/>
          <w:bCs/>
          <w:sz w:val="28"/>
          <w:szCs w:val="28"/>
        </w:rPr>
        <w:lastRenderedPageBreak/>
        <w:t>List of Figures:</w:t>
      </w:r>
    </w:p>
    <w:p w14:paraId="51F70C79" w14:textId="32F635B4" w:rsidR="00B32C9B" w:rsidRPr="00B32C9B" w:rsidRDefault="00B32C9B" w:rsidP="00B32C9B">
      <w:pPr>
        <w:rPr>
          <w:rFonts w:ascii="Times New Roman" w:hAnsi="Times New Roman" w:cs="Times New Roman"/>
          <w:sz w:val="24"/>
          <w:szCs w:val="24"/>
        </w:rPr>
      </w:pPr>
      <w:r w:rsidRPr="00B32C9B">
        <w:rPr>
          <w:rFonts w:ascii="Times New Roman" w:hAnsi="Times New Roman" w:cs="Times New Roman"/>
          <w:sz w:val="24"/>
          <w:szCs w:val="24"/>
        </w:rPr>
        <w:t>Fig. 1: Conceptual secure IT architecture for NatureGreen (NG)</w:t>
      </w:r>
      <w:r w:rsidR="004A3519">
        <w:rPr>
          <w:rFonts w:ascii="Times New Roman" w:hAnsi="Times New Roman" w:cs="Times New Roman"/>
          <w:sz w:val="24"/>
          <w:szCs w:val="24"/>
        </w:rPr>
        <w:t>…………………… 11</w:t>
      </w:r>
    </w:p>
    <w:p w14:paraId="11B728FA" w14:textId="5DD7D528" w:rsidR="00BD2CDB" w:rsidRDefault="00BD2CDB">
      <w:pPr>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 xml:space="preserve">List of </w:t>
      </w:r>
      <w:r w:rsidR="004A3519">
        <w:rPr>
          <w:rFonts w:ascii="Times New Roman" w:eastAsiaTheme="majorEastAsia" w:hAnsi="Times New Roman" w:cs="Times New Roman"/>
          <w:b/>
          <w:bCs/>
          <w:sz w:val="28"/>
          <w:szCs w:val="28"/>
        </w:rPr>
        <w:t>T</w:t>
      </w:r>
      <w:r>
        <w:rPr>
          <w:rFonts w:ascii="Times New Roman" w:eastAsiaTheme="majorEastAsia" w:hAnsi="Times New Roman" w:cs="Times New Roman"/>
          <w:b/>
          <w:bCs/>
          <w:sz w:val="28"/>
          <w:szCs w:val="28"/>
        </w:rPr>
        <w:t>ables:</w:t>
      </w:r>
    </w:p>
    <w:p w14:paraId="1F73FA83" w14:textId="018CA175" w:rsidR="00BD2CDB" w:rsidRPr="004A3519" w:rsidRDefault="00BD2CDB">
      <w:pPr>
        <w:rPr>
          <w:rFonts w:ascii="Times New Roman" w:eastAsiaTheme="majorEastAsia" w:hAnsi="Times New Roman" w:cs="Times New Roman"/>
          <w:sz w:val="24"/>
          <w:szCs w:val="24"/>
        </w:rPr>
      </w:pPr>
      <w:r w:rsidRPr="00BD2CDB">
        <w:rPr>
          <w:rFonts w:ascii="Times New Roman" w:eastAsiaTheme="majorEastAsia" w:hAnsi="Times New Roman" w:cs="Times New Roman"/>
          <w:sz w:val="24"/>
          <w:szCs w:val="24"/>
        </w:rPr>
        <w:t>Table 1:</w:t>
      </w:r>
      <w:r w:rsidRPr="00BD2CDB">
        <w:rPr>
          <w:rFonts w:ascii="Times New Roman" w:eastAsiaTheme="majorEastAsia" w:hAnsi="Times New Roman" w:cs="Times New Roman"/>
          <w:b/>
          <w:bCs/>
          <w:sz w:val="28"/>
          <w:szCs w:val="28"/>
        </w:rPr>
        <w:t xml:space="preserve"> </w:t>
      </w:r>
      <w:r w:rsidRPr="00BD2CDB">
        <w:rPr>
          <w:rFonts w:ascii="Times New Roman" w:eastAsiaTheme="majorEastAsia" w:hAnsi="Times New Roman" w:cs="Times New Roman"/>
          <w:sz w:val="24"/>
          <w:szCs w:val="24"/>
        </w:rPr>
        <w:t>Selected frameworks and their role in NG’s security programme</w:t>
      </w:r>
      <w:r w:rsidRPr="00BD2CDB">
        <w:rPr>
          <w:rFonts w:ascii="Times New Roman" w:eastAsiaTheme="majorEastAsia" w:hAnsi="Times New Roman" w:cs="Times New Roman"/>
          <w:b/>
          <w:bCs/>
          <w:sz w:val="28"/>
          <w:szCs w:val="28"/>
        </w:rPr>
        <w:t xml:space="preserve"> </w:t>
      </w:r>
      <w:r w:rsidR="004A3519">
        <w:rPr>
          <w:rFonts w:ascii="Times New Roman" w:eastAsiaTheme="majorEastAsia" w:hAnsi="Times New Roman" w:cs="Times New Roman"/>
          <w:sz w:val="24"/>
          <w:szCs w:val="24"/>
        </w:rPr>
        <w:t>………… 09</w:t>
      </w:r>
    </w:p>
    <w:p w14:paraId="75494B1A" w14:textId="08A8C27F" w:rsidR="00BD2CDB" w:rsidRPr="00BD2CDB" w:rsidRDefault="00BD2CDB">
      <w:pPr>
        <w:rPr>
          <w:rFonts w:ascii="Times New Roman" w:eastAsiaTheme="majorEastAsia" w:hAnsi="Times New Roman" w:cs="Times New Roman"/>
          <w:sz w:val="24"/>
          <w:szCs w:val="24"/>
        </w:rPr>
      </w:pPr>
      <w:r w:rsidRPr="00BD2CDB">
        <w:rPr>
          <w:rFonts w:ascii="Times New Roman" w:eastAsiaTheme="majorEastAsia" w:hAnsi="Times New Roman" w:cs="Times New Roman"/>
          <w:sz w:val="24"/>
          <w:szCs w:val="24"/>
        </w:rPr>
        <w:t>Table 2: 7 Domains mapped to key controls for NatureGreen (NG)</w:t>
      </w:r>
      <w:r w:rsidR="004A3519">
        <w:rPr>
          <w:rFonts w:ascii="Times New Roman" w:eastAsiaTheme="majorEastAsia" w:hAnsi="Times New Roman" w:cs="Times New Roman"/>
          <w:sz w:val="24"/>
          <w:szCs w:val="24"/>
        </w:rPr>
        <w:t xml:space="preserve"> ……………</w:t>
      </w:r>
      <w:proofErr w:type="gramStart"/>
      <w:r w:rsidR="004A3519">
        <w:rPr>
          <w:rFonts w:ascii="Times New Roman" w:eastAsiaTheme="majorEastAsia" w:hAnsi="Times New Roman" w:cs="Times New Roman"/>
          <w:sz w:val="24"/>
          <w:szCs w:val="24"/>
        </w:rPr>
        <w:t>…..</w:t>
      </w:r>
      <w:proofErr w:type="gramEnd"/>
      <w:r w:rsidR="004A3519">
        <w:rPr>
          <w:rFonts w:ascii="Times New Roman" w:eastAsiaTheme="majorEastAsia" w:hAnsi="Times New Roman" w:cs="Times New Roman"/>
          <w:sz w:val="24"/>
          <w:szCs w:val="24"/>
        </w:rPr>
        <w:t xml:space="preserve"> 12</w:t>
      </w:r>
    </w:p>
    <w:p w14:paraId="7D1A195F" w14:textId="7FDB69BA" w:rsidR="00E01499" w:rsidRDefault="005440A4">
      <w:pPr>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br w:type="page"/>
      </w:r>
    </w:p>
    <w:p w14:paraId="4FC48303" w14:textId="2D53E189" w:rsidR="00F230F7" w:rsidRPr="00D55043" w:rsidRDefault="00F230F7" w:rsidP="00F230F7">
      <w:pPr>
        <w:pStyle w:val="Heading1"/>
        <w:rPr>
          <w:rFonts w:ascii="Times New Roman" w:hAnsi="Times New Roman" w:cs="Times New Roman"/>
          <w:b/>
          <w:bCs/>
          <w:color w:val="auto"/>
          <w:sz w:val="28"/>
          <w:szCs w:val="28"/>
        </w:rPr>
      </w:pPr>
      <w:bookmarkStart w:id="0" w:name="_Toc216999511"/>
      <w:r w:rsidRPr="00D55043">
        <w:rPr>
          <w:rFonts w:ascii="Times New Roman" w:hAnsi="Times New Roman" w:cs="Times New Roman"/>
          <w:b/>
          <w:bCs/>
          <w:color w:val="auto"/>
          <w:sz w:val="28"/>
          <w:szCs w:val="28"/>
        </w:rPr>
        <w:lastRenderedPageBreak/>
        <w:t>1. Introduction</w:t>
      </w:r>
      <w:bookmarkEnd w:id="0"/>
    </w:p>
    <w:p w14:paraId="1DDCCA6B" w14:textId="4C3FED47" w:rsidR="003D168C" w:rsidRPr="003D168C" w:rsidRDefault="003D168C" w:rsidP="003D168C">
      <w:pPr>
        <w:jc w:val="both"/>
        <w:rPr>
          <w:rFonts w:ascii="Times New Roman" w:hAnsi="Times New Roman" w:cs="Times New Roman"/>
          <w:sz w:val="24"/>
          <w:szCs w:val="24"/>
        </w:rPr>
      </w:pPr>
      <w:r w:rsidRPr="003D168C">
        <w:rPr>
          <w:rFonts w:ascii="Times New Roman" w:hAnsi="Times New Roman" w:cs="Times New Roman"/>
          <w:sz w:val="24"/>
          <w:szCs w:val="24"/>
        </w:rPr>
        <w:t>NatureGreen (NG) operates in a modern digital environment where cloud services, extensive wireless connectivity, and a strong online presence create clear business value but also introduce significant information security and compliance challenges. In NG’s case, the organisation relies heavily on cloud services for staff and customer-facing systems and estimates that around 95% of its network is wireless. At the same time, NG faces pressure to permit Bring Your Own Device (BYOD) access for both staff and customers, while also protecting sensitive personal information and high-value intellectual property (IP). These characteristics collectively expand the attack surface and increase the likelihood of security incidents if appropriate governance, policies, and technical controls are not in place.</w:t>
      </w:r>
    </w:p>
    <w:p w14:paraId="6641BC36" w14:textId="2400C2DA" w:rsidR="003D168C" w:rsidRPr="003D168C" w:rsidRDefault="003D168C" w:rsidP="003D168C">
      <w:pPr>
        <w:jc w:val="both"/>
        <w:rPr>
          <w:rFonts w:ascii="Times New Roman" w:hAnsi="Times New Roman" w:cs="Times New Roman"/>
          <w:sz w:val="24"/>
          <w:szCs w:val="24"/>
        </w:rPr>
      </w:pPr>
      <w:r w:rsidRPr="003D168C">
        <w:rPr>
          <w:rFonts w:ascii="Times New Roman" w:hAnsi="Times New Roman" w:cs="Times New Roman"/>
          <w:sz w:val="24"/>
          <w:szCs w:val="24"/>
        </w:rPr>
        <w:t>Information security in this context cannot be treated as a purely technical activity. Effective protection requires a balanced focus on people, process, and technology, because human behaviour, unclear responsibilities, and weak organisational practices can undermine even well-designed technical controls [1]. In addition, organisations must demonstrate due care and due diligence by aligning security practices with legal and ethical responsibilities, particularly when processing personal data at scale and operating across multiple jurisdictions [2].</w:t>
      </w:r>
    </w:p>
    <w:p w14:paraId="2688F968" w14:textId="51401F62" w:rsidR="003D168C" w:rsidRPr="003D168C" w:rsidRDefault="003D168C" w:rsidP="003D168C">
      <w:pPr>
        <w:jc w:val="both"/>
        <w:rPr>
          <w:rFonts w:ascii="Times New Roman" w:hAnsi="Times New Roman" w:cs="Times New Roman"/>
          <w:sz w:val="24"/>
          <w:szCs w:val="24"/>
        </w:rPr>
      </w:pPr>
      <w:r w:rsidRPr="003D168C">
        <w:rPr>
          <w:rFonts w:ascii="Times New Roman" w:hAnsi="Times New Roman" w:cs="Times New Roman"/>
          <w:sz w:val="24"/>
          <w:szCs w:val="24"/>
        </w:rPr>
        <w:t>This report builds a clear path from recognised security frameworks to a practical approach for NG. It reviews major frameworks and models, including ISO/IEC 27001/27002, NIST CSF, NIST RMF and SP 800-53, CIS Controls, COBIT 2019, ITIL 4, PCI DSS, SOC 2, and Zero Trust. It then selects a focused set that best fits NG’s cloud, wireless, and BYOD environment and maps key principles and controls to infrastructure domains to show how security can be implemented in a structured and realistic way [1].</w:t>
      </w:r>
    </w:p>
    <w:p w14:paraId="0C56B732" w14:textId="23794E9B" w:rsidR="00E01499" w:rsidRDefault="003D168C" w:rsidP="003D168C">
      <w:pPr>
        <w:jc w:val="both"/>
        <w:rPr>
          <w:rFonts w:ascii="Times New Roman" w:hAnsi="Times New Roman" w:cs="Times New Roman"/>
          <w:sz w:val="24"/>
          <w:szCs w:val="24"/>
        </w:rPr>
      </w:pPr>
      <w:r w:rsidRPr="003D168C">
        <w:rPr>
          <w:rFonts w:ascii="Times New Roman" w:hAnsi="Times New Roman" w:cs="Times New Roman"/>
          <w:sz w:val="24"/>
          <w:szCs w:val="24"/>
        </w:rPr>
        <w:t>Finally, the report explains why standards and regulations must be updated regularly. Technology, threats, and legal expectations change quickly, so organisations must continuously maintain and improve their governance, policies, and controls to protect people and data and to remain compliant [2].</w:t>
      </w:r>
    </w:p>
    <w:p w14:paraId="11346E54" w14:textId="686AF9FB" w:rsidR="00D55043" w:rsidRPr="00D55043" w:rsidRDefault="00E01499" w:rsidP="00E01499">
      <w:pPr>
        <w:rPr>
          <w:rFonts w:ascii="Times New Roman" w:hAnsi="Times New Roman" w:cs="Times New Roman"/>
          <w:sz w:val="24"/>
          <w:szCs w:val="24"/>
        </w:rPr>
      </w:pPr>
      <w:r>
        <w:rPr>
          <w:rFonts w:ascii="Times New Roman" w:hAnsi="Times New Roman" w:cs="Times New Roman"/>
          <w:sz w:val="24"/>
          <w:szCs w:val="24"/>
        </w:rPr>
        <w:br w:type="page"/>
      </w:r>
    </w:p>
    <w:p w14:paraId="5B20F533" w14:textId="2B8C3101" w:rsidR="00F230F7" w:rsidRPr="00E01499" w:rsidRDefault="00F230F7" w:rsidP="00F230F7">
      <w:pPr>
        <w:pStyle w:val="Heading1"/>
        <w:rPr>
          <w:rFonts w:ascii="Times New Roman" w:hAnsi="Times New Roman" w:cs="Times New Roman"/>
          <w:b/>
          <w:bCs/>
          <w:color w:val="auto"/>
          <w:sz w:val="28"/>
          <w:szCs w:val="28"/>
        </w:rPr>
      </w:pPr>
      <w:bookmarkStart w:id="1" w:name="_Toc216999512"/>
      <w:r w:rsidRPr="00E01499">
        <w:rPr>
          <w:rFonts w:ascii="Times New Roman" w:hAnsi="Times New Roman" w:cs="Times New Roman"/>
          <w:b/>
          <w:bCs/>
          <w:color w:val="auto"/>
          <w:sz w:val="28"/>
          <w:szCs w:val="28"/>
        </w:rPr>
        <w:lastRenderedPageBreak/>
        <w:t>2. Case Overview: NatureGreen (NG)</w:t>
      </w:r>
      <w:bookmarkEnd w:id="1"/>
    </w:p>
    <w:p w14:paraId="2D530455" w14:textId="4A8F90F6" w:rsidR="00E01499" w:rsidRPr="00E01499" w:rsidRDefault="00E01499" w:rsidP="00E01499">
      <w:pPr>
        <w:jc w:val="both"/>
        <w:rPr>
          <w:rFonts w:ascii="Times New Roman" w:hAnsi="Times New Roman" w:cs="Times New Roman"/>
          <w:sz w:val="24"/>
          <w:szCs w:val="24"/>
        </w:rPr>
      </w:pPr>
      <w:r w:rsidRPr="00E01499">
        <w:rPr>
          <w:rFonts w:ascii="Times New Roman" w:hAnsi="Times New Roman" w:cs="Times New Roman"/>
          <w:sz w:val="24"/>
          <w:szCs w:val="24"/>
        </w:rPr>
        <w:t>NatureGreen (NG) is a global health and wellness brand with a large workforce and an international customer base. In the case scenario, NG uses cloud services to deliver IT services to staff and customers and operates a network that is heavily wireless (around 95%). The organisation also has a strong online and social media presence for marketing and customer engagement. A key pressure facing NG is the demand to support Bring Your Own Device (BYOD) access for both staff and customers. At the same time, NG must protect sensitive personal information (staff and customer data) and safeguard valuable intellectual property (IP) that could be extremely damaging if stolen or exposed.</w:t>
      </w:r>
    </w:p>
    <w:p w14:paraId="1BEE259D" w14:textId="00B90ABB" w:rsidR="00E01499" w:rsidRPr="00E01499" w:rsidRDefault="00E01499" w:rsidP="00E01499">
      <w:pPr>
        <w:jc w:val="both"/>
        <w:rPr>
          <w:rFonts w:ascii="Times New Roman" w:hAnsi="Times New Roman" w:cs="Times New Roman"/>
          <w:sz w:val="24"/>
          <w:szCs w:val="24"/>
        </w:rPr>
      </w:pPr>
      <w:r w:rsidRPr="00E01499">
        <w:rPr>
          <w:rFonts w:ascii="Times New Roman" w:hAnsi="Times New Roman" w:cs="Times New Roman"/>
          <w:sz w:val="24"/>
          <w:szCs w:val="24"/>
        </w:rPr>
        <w:t>From an information security point of view, NG’s most critical assets can be grouped into two broad categories: privacy data of individuals and corporate intellectual property. These are the types of information that typically require the strongest protection because their compromise can create legal, financial, and reputational harm. Protecting them also directly supports the core security goals of confidentiality, integrity, and availability (CIA). [1]</w:t>
      </w:r>
    </w:p>
    <w:p w14:paraId="338D629D" w14:textId="55DD67D9" w:rsidR="00E01499" w:rsidRPr="00E01499" w:rsidRDefault="00E01499" w:rsidP="00E01499">
      <w:pPr>
        <w:jc w:val="both"/>
        <w:rPr>
          <w:rFonts w:ascii="Times New Roman" w:hAnsi="Times New Roman" w:cs="Times New Roman"/>
          <w:sz w:val="24"/>
          <w:szCs w:val="24"/>
        </w:rPr>
      </w:pPr>
      <w:r w:rsidRPr="00E01499">
        <w:rPr>
          <w:rFonts w:ascii="Times New Roman" w:hAnsi="Times New Roman" w:cs="Times New Roman"/>
          <w:sz w:val="24"/>
          <w:szCs w:val="24"/>
        </w:rPr>
        <w:t>NG’s operating model creates multiple “risk hotspots” across its environment. A wireless-first infrastructure increases exposure to unauthorised access and interception if access control and segmentation are not strong. BYOD increases endpoint risk because personal devices may be poorly configured, unpatched, or shared, and are harder to govern than corporate-managed endpoints. In addition, heavy cloud reliance increases the importance of strong identity and authentication, secure configuration, and monitoring, because cloud misconfiguration and credential compromise are common pathways to data exposure. These issues often become visible first in the user domain, where human behaviour is frequently described as the weakest link in security and where poor decisions (for example clicking unsafe links or sharing credentials) can bypass technical defences. [1]</w:t>
      </w:r>
    </w:p>
    <w:p w14:paraId="56F2D5B1" w14:textId="29E5C75A" w:rsidR="00E01499" w:rsidRPr="00E01499" w:rsidRDefault="00E01499" w:rsidP="00E01499">
      <w:pPr>
        <w:jc w:val="both"/>
        <w:rPr>
          <w:rFonts w:ascii="Times New Roman" w:hAnsi="Times New Roman" w:cs="Times New Roman"/>
          <w:sz w:val="24"/>
          <w:szCs w:val="24"/>
        </w:rPr>
      </w:pPr>
      <w:r w:rsidRPr="00E01499">
        <w:rPr>
          <w:rFonts w:ascii="Times New Roman" w:hAnsi="Times New Roman" w:cs="Times New Roman"/>
          <w:sz w:val="24"/>
          <w:szCs w:val="24"/>
        </w:rPr>
        <w:t>A further challenge in the scenario is a clear governance and policy gap. Good security does not happen simply because tools exist; it requires a foundation of policies, standards, and practices that define responsibilities, guide acceptable behaviour, and ensure controls are consistently applied. Governance also matters because it links security to organisational objectives and ensures oversight at senior levels, rather than leaving security decisions scattered across teams. [3]</w:t>
      </w:r>
    </w:p>
    <w:p w14:paraId="3A54CC05" w14:textId="22C14EFA" w:rsidR="00BD6D4C" w:rsidRDefault="00E01499" w:rsidP="00E01499">
      <w:pPr>
        <w:jc w:val="both"/>
        <w:rPr>
          <w:rFonts w:ascii="Times New Roman" w:hAnsi="Times New Roman" w:cs="Times New Roman"/>
          <w:sz w:val="24"/>
          <w:szCs w:val="24"/>
        </w:rPr>
      </w:pPr>
      <w:r w:rsidRPr="00E01499">
        <w:rPr>
          <w:rFonts w:ascii="Times New Roman" w:hAnsi="Times New Roman" w:cs="Times New Roman"/>
          <w:sz w:val="24"/>
          <w:szCs w:val="24"/>
        </w:rPr>
        <w:t>For NG, the practical need is therefore to move from “security in disarray” to a structured approach that combines: (</w:t>
      </w:r>
      <w:proofErr w:type="spellStart"/>
      <w:r w:rsidRPr="00E01499">
        <w:rPr>
          <w:rFonts w:ascii="Times New Roman" w:hAnsi="Times New Roman" w:cs="Times New Roman"/>
          <w:sz w:val="24"/>
          <w:szCs w:val="24"/>
        </w:rPr>
        <w:t>i</w:t>
      </w:r>
      <w:proofErr w:type="spellEnd"/>
      <w:r w:rsidRPr="00E01499">
        <w:rPr>
          <w:rFonts w:ascii="Times New Roman" w:hAnsi="Times New Roman" w:cs="Times New Roman"/>
          <w:sz w:val="24"/>
          <w:szCs w:val="24"/>
        </w:rPr>
        <w:t>) clear governance and policies, (ii) risk management to prioritise what matters most, and (iii) technical and operational controls that work in a cloud, wireless and BYOD environment. Risk management is especially important because it provides a repeatable way to identify, analyse, evaluate, and treat risks, and it links security investment to real business impact. [4]</w:t>
      </w:r>
    </w:p>
    <w:p w14:paraId="73C70A12" w14:textId="1A01E626" w:rsidR="00E01499" w:rsidRPr="00FD070B" w:rsidRDefault="00BD6D4C" w:rsidP="00E01499">
      <w:pPr>
        <w:rPr>
          <w:rFonts w:ascii="Times New Roman" w:hAnsi="Times New Roman" w:cs="Times New Roman"/>
          <w:sz w:val="24"/>
          <w:szCs w:val="24"/>
        </w:rPr>
      </w:pPr>
      <w:r>
        <w:rPr>
          <w:rFonts w:ascii="Times New Roman" w:hAnsi="Times New Roman" w:cs="Times New Roman"/>
          <w:sz w:val="24"/>
          <w:szCs w:val="24"/>
        </w:rPr>
        <w:br w:type="page"/>
      </w:r>
    </w:p>
    <w:p w14:paraId="2D129C01" w14:textId="185C649A" w:rsidR="00F230F7" w:rsidRPr="00AF0E81" w:rsidRDefault="00F230F7" w:rsidP="00F230F7">
      <w:pPr>
        <w:pStyle w:val="Heading1"/>
        <w:rPr>
          <w:rFonts w:ascii="Times New Roman" w:hAnsi="Times New Roman" w:cs="Times New Roman"/>
          <w:b/>
          <w:bCs/>
          <w:color w:val="auto"/>
          <w:sz w:val="28"/>
          <w:szCs w:val="28"/>
        </w:rPr>
      </w:pPr>
      <w:bookmarkStart w:id="2" w:name="_Toc216999513"/>
      <w:r w:rsidRPr="00AF0E81">
        <w:rPr>
          <w:rFonts w:ascii="Times New Roman" w:hAnsi="Times New Roman" w:cs="Times New Roman"/>
          <w:b/>
          <w:bCs/>
          <w:color w:val="auto"/>
          <w:sz w:val="28"/>
          <w:szCs w:val="28"/>
        </w:rPr>
        <w:lastRenderedPageBreak/>
        <w:t>3. Research on Frameworks and Models</w:t>
      </w:r>
      <w:bookmarkEnd w:id="2"/>
    </w:p>
    <w:p w14:paraId="42E8BD98" w14:textId="54954057"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A useful way to think about security frameworks is that they are maps, not</w:t>
      </w:r>
      <w:r w:rsidR="00BD6D4C">
        <w:rPr>
          <w:rFonts w:ascii="Times New Roman" w:hAnsi="Times New Roman" w:cs="Times New Roman"/>
          <w:sz w:val="24"/>
          <w:szCs w:val="24"/>
        </w:rPr>
        <w:t xml:space="preserve"> a </w:t>
      </w:r>
      <w:r w:rsidRPr="00AF0E81">
        <w:rPr>
          <w:rFonts w:ascii="Times New Roman" w:hAnsi="Times New Roman" w:cs="Times New Roman"/>
          <w:sz w:val="24"/>
          <w:szCs w:val="24"/>
        </w:rPr>
        <w:t>one</w:t>
      </w:r>
      <w:r w:rsidR="00745D75">
        <w:rPr>
          <w:rFonts w:ascii="Times New Roman" w:hAnsi="Times New Roman" w:cs="Times New Roman"/>
          <w:sz w:val="24"/>
          <w:szCs w:val="24"/>
        </w:rPr>
        <w:t>-size-</w:t>
      </w:r>
      <w:r>
        <w:rPr>
          <w:rFonts w:ascii="Times New Roman" w:hAnsi="Times New Roman" w:cs="Times New Roman"/>
          <w:sz w:val="24"/>
          <w:szCs w:val="24"/>
        </w:rPr>
        <w:t>that</w:t>
      </w:r>
      <w:r w:rsidR="00745D75">
        <w:rPr>
          <w:rFonts w:ascii="Times New Roman" w:hAnsi="Times New Roman" w:cs="Times New Roman"/>
          <w:sz w:val="24"/>
          <w:szCs w:val="24"/>
        </w:rPr>
        <w:t>-</w:t>
      </w:r>
      <w:r w:rsidRPr="00AF0E81">
        <w:rPr>
          <w:rFonts w:ascii="Times New Roman" w:hAnsi="Times New Roman" w:cs="Times New Roman"/>
          <w:sz w:val="24"/>
          <w:szCs w:val="24"/>
        </w:rPr>
        <w:t>fits</w:t>
      </w:r>
      <w:r w:rsidR="00745D75">
        <w:rPr>
          <w:rFonts w:ascii="Times New Roman" w:hAnsi="Times New Roman" w:cs="Times New Roman"/>
          <w:sz w:val="24"/>
          <w:szCs w:val="24"/>
        </w:rPr>
        <w:t>-</w:t>
      </w:r>
      <w:r>
        <w:rPr>
          <w:rFonts w:ascii="Times New Roman" w:hAnsi="Times New Roman" w:cs="Times New Roman"/>
          <w:sz w:val="24"/>
          <w:szCs w:val="24"/>
        </w:rPr>
        <w:t xml:space="preserve"> </w:t>
      </w:r>
      <w:r w:rsidRPr="00AF0E81">
        <w:rPr>
          <w:rFonts w:ascii="Times New Roman" w:hAnsi="Times New Roman" w:cs="Times New Roman"/>
          <w:sz w:val="24"/>
          <w:szCs w:val="24"/>
        </w:rPr>
        <w:t>all. They help an organisation avoid starting from scratch by providing proven structures for governance, risk decisions, policies, and controls</w:t>
      </w:r>
      <w:r>
        <w:rPr>
          <w:rFonts w:ascii="Times New Roman" w:hAnsi="Times New Roman" w:cs="Times New Roman"/>
          <w:sz w:val="24"/>
          <w:szCs w:val="24"/>
        </w:rPr>
        <w:t xml:space="preserve"> </w:t>
      </w:r>
      <w:r w:rsidRPr="00AF0E81">
        <w:rPr>
          <w:rFonts w:ascii="Times New Roman" w:hAnsi="Times New Roman" w:cs="Times New Roman"/>
          <w:sz w:val="24"/>
          <w:szCs w:val="24"/>
        </w:rPr>
        <w:t>but they still need to be tailored to the real environment and business priorities. This matters for NG because its cloud-heavy, wireless-heavy, BYOD-friendly environment means the security approach must be consistent, measurable, and repeatable across many locations and users [</w:t>
      </w:r>
      <w:r w:rsidR="00BD6D4C">
        <w:rPr>
          <w:rFonts w:ascii="Times New Roman" w:hAnsi="Times New Roman" w:cs="Times New Roman"/>
          <w:sz w:val="24"/>
          <w:szCs w:val="24"/>
        </w:rPr>
        <w:t>3</w:t>
      </w:r>
      <w:r w:rsidRPr="00AF0E81">
        <w:rPr>
          <w:rFonts w:ascii="Times New Roman" w:hAnsi="Times New Roman" w:cs="Times New Roman"/>
          <w:sz w:val="24"/>
          <w:szCs w:val="24"/>
        </w:rPr>
        <w:t xml:space="preserve">]. </w:t>
      </w:r>
    </w:p>
    <w:p w14:paraId="22651984" w14:textId="77777777"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To keep this section clear, the frameworks below are grouped by the main job they do: (1) management system, (2) outcomes-based improvement, (3) control catalogues and prioritised safeguards, (4) governance and service management, and (5) assurance/compliance and modern architecture.</w:t>
      </w:r>
    </w:p>
    <w:p w14:paraId="3378292E" w14:textId="509E6044" w:rsidR="00AF0E81" w:rsidRPr="00AF0E81" w:rsidRDefault="00AF0E81" w:rsidP="00AF0E81">
      <w:pPr>
        <w:pStyle w:val="Heading2"/>
        <w:rPr>
          <w:rFonts w:ascii="Times New Roman" w:hAnsi="Times New Roman" w:cs="Times New Roman"/>
          <w:b/>
          <w:bCs/>
          <w:color w:val="auto"/>
          <w:sz w:val="24"/>
          <w:szCs w:val="24"/>
        </w:rPr>
      </w:pPr>
      <w:bookmarkStart w:id="3" w:name="_Toc216999514"/>
      <w:r w:rsidRPr="00AF0E81">
        <w:rPr>
          <w:rFonts w:ascii="Times New Roman" w:hAnsi="Times New Roman" w:cs="Times New Roman"/>
          <w:b/>
          <w:bCs/>
          <w:color w:val="auto"/>
          <w:sz w:val="24"/>
          <w:szCs w:val="24"/>
        </w:rPr>
        <w:t xml:space="preserve">3.1 ISO/IEC 27001 and ISO/IEC 27002 (ISMS and </w:t>
      </w:r>
      <w:r w:rsidR="00EC444E">
        <w:rPr>
          <w:rFonts w:ascii="Times New Roman" w:hAnsi="Times New Roman" w:cs="Times New Roman"/>
          <w:b/>
          <w:bCs/>
          <w:color w:val="auto"/>
          <w:sz w:val="24"/>
          <w:szCs w:val="24"/>
        </w:rPr>
        <w:t>C</w:t>
      </w:r>
      <w:r w:rsidRPr="00AF0E81">
        <w:rPr>
          <w:rFonts w:ascii="Times New Roman" w:hAnsi="Times New Roman" w:cs="Times New Roman"/>
          <w:b/>
          <w:bCs/>
          <w:color w:val="auto"/>
          <w:sz w:val="24"/>
          <w:szCs w:val="24"/>
        </w:rPr>
        <w:t xml:space="preserve">ontrol </w:t>
      </w:r>
      <w:r w:rsidR="00EC444E">
        <w:rPr>
          <w:rFonts w:ascii="Times New Roman" w:hAnsi="Times New Roman" w:cs="Times New Roman"/>
          <w:b/>
          <w:bCs/>
          <w:color w:val="auto"/>
          <w:sz w:val="24"/>
          <w:szCs w:val="24"/>
        </w:rPr>
        <w:t>G</w:t>
      </w:r>
      <w:r w:rsidRPr="00AF0E81">
        <w:rPr>
          <w:rFonts w:ascii="Times New Roman" w:hAnsi="Times New Roman" w:cs="Times New Roman"/>
          <w:b/>
          <w:bCs/>
          <w:color w:val="auto"/>
          <w:sz w:val="24"/>
          <w:szCs w:val="24"/>
        </w:rPr>
        <w:t>uidance)</w:t>
      </w:r>
      <w:bookmarkEnd w:id="3"/>
    </w:p>
    <w:p w14:paraId="23D0A0B4" w14:textId="7788213F"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ISO/IEC 27001 is best understood as the “management system backbone” for information security. It specifies what an organisation must put in place to run an Information Security Management System (ISMS)</w:t>
      </w:r>
      <w:r>
        <w:rPr>
          <w:rFonts w:ascii="Times New Roman" w:hAnsi="Times New Roman" w:cs="Times New Roman"/>
          <w:sz w:val="24"/>
          <w:szCs w:val="24"/>
        </w:rPr>
        <w:t xml:space="preserve"> </w:t>
      </w:r>
      <w:r w:rsidRPr="00AF0E81">
        <w:rPr>
          <w:rFonts w:ascii="Times New Roman" w:hAnsi="Times New Roman" w:cs="Times New Roman"/>
          <w:sz w:val="24"/>
          <w:szCs w:val="24"/>
        </w:rPr>
        <w:t>including leadership commitment, risk-based planning, internal audits, continual improvement, and evidence that controls are operating (not just written down) [</w:t>
      </w:r>
      <w:r w:rsidR="00745D75">
        <w:rPr>
          <w:rFonts w:ascii="Times New Roman" w:hAnsi="Times New Roman" w:cs="Times New Roman"/>
          <w:sz w:val="24"/>
          <w:szCs w:val="24"/>
        </w:rPr>
        <w:t>5</w:t>
      </w:r>
      <w:r w:rsidRPr="00AF0E81">
        <w:rPr>
          <w:rFonts w:ascii="Times New Roman" w:hAnsi="Times New Roman" w:cs="Times New Roman"/>
          <w:sz w:val="24"/>
          <w:szCs w:val="24"/>
        </w:rPr>
        <w:t>].</w:t>
      </w:r>
    </w:p>
    <w:p w14:paraId="15B1EED0" w14:textId="3CDDEC71"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ISO/IEC 27002 then supports this by offering practical control guidance</w:t>
      </w:r>
      <w:r>
        <w:rPr>
          <w:rFonts w:ascii="Times New Roman" w:hAnsi="Times New Roman" w:cs="Times New Roman"/>
          <w:sz w:val="24"/>
          <w:szCs w:val="24"/>
        </w:rPr>
        <w:t xml:space="preserve"> </w:t>
      </w:r>
      <w:r w:rsidRPr="00AF0E81">
        <w:rPr>
          <w:rFonts w:ascii="Times New Roman" w:hAnsi="Times New Roman" w:cs="Times New Roman"/>
          <w:sz w:val="24"/>
          <w:szCs w:val="24"/>
        </w:rPr>
        <w:t>a structured catalogue of controls and implementation advice that helps translate a security policy into concrete safeguards [</w:t>
      </w:r>
      <w:r w:rsidR="00745D75">
        <w:rPr>
          <w:rFonts w:ascii="Times New Roman" w:hAnsi="Times New Roman" w:cs="Times New Roman"/>
          <w:sz w:val="24"/>
          <w:szCs w:val="24"/>
        </w:rPr>
        <w:t>6</w:t>
      </w:r>
      <w:r w:rsidRPr="00AF0E81">
        <w:rPr>
          <w:rFonts w:ascii="Times New Roman" w:hAnsi="Times New Roman" w:cs="Times New Roman"/>
          <w:sz w:val="24"/>
          <w:szCs w:val="24"/>
        </w:rPr>
        <w:t>]. In NG’s case, this is valuable because the company currently has no established security policy, and ISO-style structure helps turn “security is a priority” into a managed programme with clear scope, ownership, documentation, and improvement cycles [5].</w:t>
      </w:r>
    </w:p>
    <w:p w14:paraId="662357BC" w14:textId="77777777"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ISO is strong for building order from disarray: policies → risk decisions → controls → audits → improvements. That fits NG’s need to protect customer data and valuable IP consistently across countries and teams [5]. </w:t>
      </w:r>
    </w:p>
    <w:p w14:paraId="7546FC2B" w14:textId="63E0B146" w:rsidR="00AF0E81" w:rsidRPr="00AF0E81" w:rsidRDefault="00AF0E81" w:rsidP="00AF0E81">
      <w:pPr>
        <w:pStyle w:val="Heading2"/>
        <w:rPr>
          <w:rFonts w:ascii="Times New Roman" w:hAnsi="Times New Roman" w:cs="Times New Roman"/>
          <w:b/>
          <w:bCs/>
          <w:color w:val="auto"/>
          <w:sz w:val="24"/>
          <w:szCs w:val="24"/>
        </w:rPr>
      </w:pPr>
      <w:bookmarkStart w:id="4" w:name="_Toc216999515"/>
      <w:r w:rsidRPr="00AF0E81">
        <w:rPr>
          <w:rFonts w:ascii="Times New Roman" w:hAnsi="Times New Roman" w:cs="Times New Roman"/>
          <w:b/>
          <w:bCs/>
          <w:color w:val="auto"/>
          <w:sz w:val="24"/>
          <w:szCs w:val="24"/>
        </w:rPr>
        <w:t>3.2 NIST Cybersecurity Framework (CSF) (</w:t>
      </w:r>
      <w:r w:rsidR="00EC444E">
        <w:rPr>
          <w:rFonts w:ascii="Times New Roman" w:hAnsi="Times New Roman" w:cs="Times New Roman"/>
          <w:b/>
          <w:bCs/>
          <w:color w:val="auto"/>
          <w:sz w:val="24"/>
          <w:szCs w:val="24"/>
        </w:rPr>
        <w:t>O</w:t>
      </w:r>
      <w:r w:rsidRPr="00AF0E81">
        <w:rPr>
          <w:rFonts w:ascii="Times New Roman" w:hAnsi="Times New Roman" w:cs="Times New Roman"/>
          <w:b/>
          <w:bCs/>
          <w:color w:val="auto"/>
          <w:sz w:val="24"/>
          <w:szCs w:val="24"/>
        </w:rPr>
        <w:t>utcomes</w:t>
      </w:r>
      <w:r w:rsidR="00EC444E">
        <w:rPr>
          <w:rFonts w:ascii="Times New Roman" w:hAnsi="Times New Roman" w:cs="Times New Roman"/>
          <w:b/>
          <w:bCs/>
          <w:color w:val="auto"/>
          <w:sz w:val="24"/>
          <w:szCs w:val="24"/>
        </w:rPr>
        <w:t xml:space="preserve"> B</w:t>
      </w:r>
      <w:r w:rsidRPr="00AF0E81">
        <w:rPr>
          <w:rFonts w:ascii="Times New Roman" w:hAnsi="Times New Roman" w:cs="Times New Roman"/>
          <w:b/>
          <w:bCs/>
          <w:color w:val="auto"/>
          <w:sz w:val="24"/>
          <w:szCs w:val="24"/>
        </w:rPr>
        <w:t xml:space="preserve">ased </w:t>
      </w:r>
      <w:r w:rsidR="00EC444E">
        <w:rPr>
          <w:rFonts w:ascii="Times New Roman" w:hAnsi="Times New Roman" w:cs="Times New Roman"/>
          <w:b/>
          <w:bCs/>
          <w:color w:val="auto"/>
          <w:sz w:val="24"/>
          <w:szCs w:val="24"/>
        </w:rPr>
        <w:t>S</w:t>
      </w:r>
      <w:r w:rsidRPr="00AF0E81">
        <w:rPr>
          <w:rFonts w:ascii="Times New Roman" w:hAnsi="Times New Roman" w:cs="Times New Roman"/>
          <w:b/>
          <w:bCs/>
          <w:color w:val="auto"/>
          <w:sz w:val="24"/>
          <w:szCs w:val="24"/>
        </w:rPr>
        <w:t>tructure)</w:t>
      </w:r>
      <w:bookmarkEnd w:id="4"/>
    </w:p>
    <w:p w14:paraId="3F44EB04" w14:textId="3878C28F"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The NIST Cybersecurity Framework (CSF) is widely used as a practical “organising structure” for cybersecurity outcomes. The original CSF is often taught using five core functions (Identify, Protect, Detect, Respond, Recover) [</w:t>
      </w:r>
      <w:r w:rsidR="00745D75">
        <w:rPr>
          <w:rFonts w:ascii="Times New Roman" w:hAnsi="Times New Roman" w:cs="Times New Roman"/>
          <w:sz w:val="24"/>
          <w:szCs w:val="24"/>
        </w:rPr>
        <w:t>8</w:t>
      </w:r>
      <w:r w:rsidRPr="00AF0E81">
        <w:rPr>
          <w:rFonts w:ascii="Times New Roman" w:hAnsi="Times New Roman" w:cs="Times New Roman"/>
          <w:sz w:val="24"/>
          <w:szCs w:val="24"/>
        </w:rPr>
        <w:t xml:space="preserve">]. </w:t>
      </w:r>
    </w:p>
    <w:p w14:paraId="52C7CBFC" w14:textId="128A7A46"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However, the latest NIST CSF 2.0 expands this model by adding Govern as an explicit function. This matters because it puts decision-making, roles, oversight, and risk direction on the same level as technical protection work [</w:t>
      </w:r>
      <w:r w:rsidR="00745D75">
        <w:rPr>
          <w:rFonts w:ascii="Times New Roman" w:hAnsi="Times New Roman" w:cs="Times New Roman"/>
          <w:sz w:val="24"/>
          <w:szCs w:val="24"/>
        </w:rPr>
        <w:t>7</w:t>
      </w:r>
      <w:r w:rsidRPr="00AF0E81">
        <w:rPr>
          <w:rFonts w:ascii="Times New Roman" w:hAnsi="Times New Roman" w:cs="Times New Roman"/>
          <w:sz w:val="24"/>
          <w:szCs w:val="24"/>
        </w:rPr>
        <w:t>].</w:t>
      </w:r>
    </w:p>
    <w:p w14:paraId="75F44357" w14:textId="3CFB420C"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CSF is excellent for explaining security to non-technical leadership and showing maturity gaps. For NG, it can be used to structure the programme around outcomes like knowing what assets exist (including BYOD), protecting wireless access, detecting abnormal access, responding to incidents quickly, and recovering services</w:t>
      </w:r>
      <w:r w:rsidR="00EC444E">
        <w:rPr>
          <w:rFonts w:ascii="Times New Roman" w:hAnsi="Times New Roman" w:cs="Times New Roman"/>
          <w:sz w:val="24"/>
          <w:szCs w:val="24"/>
        </w:rPr>
        <w:t xml:space="preserve"> </w:t>
      </w:r>
      <w:r w:rsidRPr="00AF0E81">
        <w:rPr>
          <w:rFonts w:ascii="Times New Roman" w:hAnsi="Times New Roman" w:cs="Times New Roman"/>
          <w:sz w:val="24"/>
          <w:szCs w:val="24"/>
        </w:rPr>
        <w:t xml:space="preserve">under clear governance [8]. </w:t>
      </w:r>
    </w:p>
    <w:p w14:paraId="36C84BD4" w14:textId="56881F45" w:rsidR="00AF0E81" w:rsidRPr="00AF0E81" w:rsidRDefault="00AF0E81" w:rsidP="00EC444E">
      <w:pPr>
        <w:pStyle w:val="Heading2"/>
        <w:rPr>
          <w:rFonts w:ascii="Times New Roman" w:hAnsi="Times New Roman" w:cs="Times New Roman"/>
          <w:b/>
          <w:bCs/>
          <w:color w:val="auto"/>
          <w:sz w:val="24"/>
          <w:szCs w:val="24"/>
        </w:rPr>
      </w:pPr>
      <w:bookmarkStart w:id="5" w:name="_Toc216999516"/>
      <w:r w:rsidRPr="00AF0E81">
        <w:rPr>
          <w:rFonts w:ascii="Times New Roman" w:hAnsi="Times New Roman" w:cs="Times New Roman"/>
          <w:b/>
          <w:bCs/>
          <w:color w:val="auto"/>
          <w:sz w:val="24"/>
          <w:szCs w:val="24"/>
        </w:rPr>
        <w:t>3.3 NIST RMF (SP 800-37) and NIST SP 800-53 (</w:t>
      </w:r>
      <w:r w:rsidR="00EC444E">
        <w:rPr>
          <w:rFonts w:ascii="Times New Roman" w:hAnsi="Times New Roman" w:cs="Times New Roman"/>
          <w:b/>
          <w:bCs/>
          <w:color w:val="auto"/>
          <w:sz w:val="24"/>
          <w:szCs w:val="24"/>
        </w:rPr>
        <w:t>R</w:t>
      </w:r>
      <w:r w:rsidRPr="00AF0E81">
        <w:rPr>
          <w:rFonts w:ascii="Times New Roman" w:hAnsi="Times New Roman" w:cs="Times New Roman"/>
          <w:b/>
          <w:bCs/>
          <w:color w:val="auto"/>
          <w:sz w:val="24"/>
          <w:szCs w:val="24"/>
        </w:rPr>
        <w:t xml:space="preserve">isk </w:t>
      </w:r>
      <w:r w:rsidR="00EC444E">
        <w:rPr>
          <w:rFonts w:ascii="Times New Roman" w:hAnsi="Times New Roman" w:cs="Times New Roman"/>
          <w:b/>
          <w:bCs/>
          <w:color w:val="auto"/>
          <w:sz w:val="24"/>
          <w:szCs w:val="24"/>
        </w:rPr>
        <w:t>P</w:t>
      </w:r>
      <w:r w:rsidRPr="00AF0E81">
        <w:rPr>
          <w:rFonts w:ascii="Times New Roman" w:hAnsi="Times New Roman" w:cs="Times New Roman"/>
          <w:b/>
          <w:bCs/>
          <w:color w:val="auto"/>
          <w:sz w:val="24"/>
          <w:szCs w:val="24"/>
        </w:rPr>
        <w:t xml:space="preserve">rocess </w:t>
      </w:r>
      <w:r w:rsidR="00EC444E">
        <w:rPr>
          <w:rFonts w:ascii="Times New Roman" w:hAnsi="Times New Roman" w:cs="Times New Roman"/>
          <w:b/>
          <w:bCs/>
          <w:color w:val="auto"/>
          <w:sz w:val="24"/>
          <w:szCs w:val="24"/>
        </w:rPr>
        <w:t>and</w:t>
      </w:r>
      <w:r w:rsidRPr="00AF0E81">
        <w:rPr>
          <w:rFonts w:ascii="Times New Roman" w:hAnsi="Times New Roman" w:cs="Times New Roman"/>
          <w:b/>
          <w:bCs/>
          <w:color w:val="auto"/>
          <w:sz w:val="24"/>
          <w:szCs w:val="24"/>
        </w:rPr>
        <w:t xml:space="preserve"> </w:t>
      </w:r>
      <w:r w:rsidR="00EC444E">
        <w:rPr>
          <w:rFonts w:ascii="Times New Roman" w:hAnsi="Times New Roman" w:cs="Times New Roman"/>
          <w:b/>
          <w:bCs/>
          <w:color w:val="auto"/>
          <w:sz w:val="24"/>
          <w:szCs w:val="24"/>
        </w:rPr>
        <w:t>C</w:t>
      </w:r>
      <w:r w:rsidRPr="00AF0E81">
        <w:rPr>
          <w:rFonts w:ascii="Times New Roman" w:hAnsi="Times New Roman" w:cs="Times New Roman"/>
          <w:b/>
          <w:bCs/>
          <w:color w:val="auto"/>
          <w:sz w:val="24"/>
          <w:szCs w:val="24"/>
        </w:rPr>
        <w:t xml:space="preserve">ontrol </w:t>
      </w:r>
      <w:r w:rsidR="00EC444E">
        <w:rPr>
          <w:rFonts w:ascii="Times New Roman" w:hAnsi="Times New Roman" w:cs="Times New Roman"/>
          <w:b/>
          <w:bCs/>
          <w:color w:val="auto"/>
          <w:sz w:val="24"/>
          <w:szCs w:val="24"/>
        </w:rPr>
        <w:t>C</w:t>
      </w:r>
      <w:r w:rsidRPr="00AF0E81">
        <w:rPr>
          <w:rFonts w:ascii="Times New Roman" w:hAnsi="Times New Roman" w:cs="Times New Roman"/>
          <w:b/>
          <w:bCs/>
          <w:color w:val="auto"/>
          <w:sz w:val="24"/>
          <w:szCs w:val="24"/>
        </w:rPr>
        <w:t>atalogue)</w:t>
      </w:r>
      <w:bookmarkEnd w:id="5"/>
    </w:p>
    <w:p w14:paraId="3D11DB28" w14:textId="6DCD1CC0"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 xml:space="preserve">Where CSF is “what good looks like”, the NIST Risk Management Framework (RMF) is a disciplined process for managing security and privacy risk across the system life cycle. It </w:t>
      </w:r>
      <w:r w:rsidRPr="00AF0E81">
        <w:rPr>
          <w:rFonts w:ascii="Times New Roman" w:hAnsi="Times New Roman" w:cs="Times New Roman"/>
          <w:sz w:val="24"/>
          <w:szCs w:val="24"/>
        </w:rPr>
        <w:lastRenderedPageBreak/>
        <w:t>describes a structured approach that includes categorisation, control selection, implementation, assessment, authorisation, and continuous monitoring [9].</w:t>
      </w:r>
    </w:p>
    <w:p w14:paraId="711170E2" w14:textId="07AB369F"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 xml:space="preserve">NIST SP 800-53 Rev. 5 is the companion control catalogue used in many RMF implementations. It provides a comprehensive set of security and privacy controls, organised in families, and designed to be tailored based on risk and context [10]. </w:t>
      </w:r>
    </w:p>
    <w:p w14:paraId="259F61A8" w14:textId="3792903B"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NG needs repeatability. RMF gives a cycle for “how we manage risk properly,” while SP 800-53 provides the detailed control options for things like access control, audit logging, configuration management, incident response, and supplier risk [9], [10]. This connects directly with your course view that risk management requires a formal methodology and must be continuously monitored and improved</w:t>
      </w:r>
      <w:r w:rsidR="00686092">
        <w:rPr>
          <w:rFonts w:ascii="Times New Roman" w:hAnsi="Times New Roman" w:cs="Times New Roman"/>
          <w:sz w:val="24"/>
          <w:szCs w:val="24"/>
        </w:rPr>
        <w:t xml:space="preserve"> </w:t>
      </w:r>
      <w:r w:rsidRPr="00AF0E81">
        <w:rPr>
          <w:rFonts w:ascii="Times New Roman" w:hAnsi="Times New Roman" w:cs="Times New Roman"/>
          <w:sz w:val="24"/>
          <w:szCs w:val="24"/>
        </w:rPr>
        <w:t>not treated as a one-off activity [4].</w:t>
      </w:r>
    </w:p>
    <w:p w14:paraId="6E722213" w14:textId="47F73CE9" w:rsidR="00AF0E81" w:rsidRPr="00AF0E81" w:rsidRDefault="00AF0E81" w:rsidP="00EC444E">
      <w:pPr>
        <w:pStyle w:val="Heading2"/>
        <w:rPr>
          <w:rFonts w:ascii="Times New Roman" w:hAnsi="Times New Roman" w:cs="Times New Roman"/>
          <w:b/>
          <w:bCs/>
          <w:color w:val="auto"/>
          <w:sz w:val="24"/>
          <w:szCs w:val="24"/>
        </w:rPr>
      </w:pPr>
      <w:bookmarkStart w:id="6" w:name="_Toc216999517"/>
      <w:r w:rsidRPr="00AF0E81">
        <w:rPr>
          <w:rFonts w:ascii="Times New Roman" w:hAnsi="Times New Roman" w:cs="Times New Roman"/>
          <w:b/>
          <w:bCs/>
          <w:color w:val="auto"/>
          <w:sz w:val="24"/>
          <w:szCs w:val="24"/>
        </w:rPr>
        <w:t>3.4 CIS Critical Security Controls (</w:t>
      </w:r>
      <w:r w:rsidR="00EC444E">
        <w:rPr>
          <w:rFonts w:ascii="Times New Roman" w:hAnsi="Times New Roman" w:cs="Times New Roman"/>
          <w:b/>
          <w:bCs/>
          <w:color w:val="auto"/>
          <w:sz w:val="24"/>
          <w:szCs w:val="24"/>
        </w:rPr>
        <w:t>P</w:t>
      </w:r>
      <w:r w:rsidRPr="00AF0E81">
        <w:rPr>
          <w:rFonts w:ascii="Times New Roman" w:hAnsi="Times New Roman" w:cs="Times New Roman"/>
          <w:b/>
          <w:bCs/>
          <w:color w:val="auto"/>
          <w:sz w:val="24"/>
          <w:szCs w:val="24"/>
        </w:rPr>
        <w:t xml:space="preserve">rioritised, </w:t>
      </w:r>
      <w:r w:rsidR="00EC444E">
        <w:rPr>
          <w:rFonts w:ascii="Times New Roman" w:hAnsi="Times New Roman" w:cs="Times New Roman"/>
          <w:b/>
          <w:bCs/>
          <w:color w:val="auto"/>
          <w:sz w:val="24"/>
          <w:szCs w:val="24"/>
        </w:rPr>
        <w:t>P</w:t>
      </w:r>
      <w:r w:rsidRPr="00AF0E81">
        <w:rPr>
          <w:rFonts w:ascii="Times New Roman" w:hAnsi="Times New Roman" w:cs="Times New Roman"/>
          <w:b/>
          <w:bCs/>
          <w:color w:val="auto"/>
          <w:sz w:val="24"/>
          <w:szCs w:val="24"/>
        </w:rPr>
        <w:t xml:space="preserve">ractical </w:t>
      </w:r>
      <w:r w:rsidR="00EC444E">
        <w:rPr>
          <w:rFonts w:ascii="Times New Roman" w:hAnsi="Times New Roman" w:cs="Times New Roman"/>
          <w:b/>
          <w:bCs/>
          <w:color w:val="auto"/>
          <w:sz w:val="24"/>
          <w:szCs w:val="24"/>
        </w:rPr>
        <w:t>S</w:t>
      </w:r>
      <w:r w:rsidRPr="00AF0E81">
        <w:rPr>
          <w:rFonts w:ascii="Times New Roman" w:hAnsi="Times New Roman" w:cs="Times New Roman"/>
          <w:b/>
          <w:bCs/>
          <w:color w:val="auto"/>
          <w:sz w:val="24"/>
          <w:szCs w:val="24"/>
        </w:rPr>
        <w:t>afeguards)</w:t>
      </w:r>
      <w:bookmarkEnd w:id="6"/>
    </w:p>
    <w:p w14:paraId="2B922E03" w14:textId="73C5D040"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 xml:space="preserve">The CIS Critical Security Controls are a set of prioritised safeguards focused on defending against common, real-world attacks. CIS presents them as practical, measurable best practices and explicitly frames them </w:t>
      </w:r>
      <w:r w:rsidR="00EC444E" w:rsidRPr="00AF0E81">
        <w:rPr>
          <w:rFonts w:ascii="Times New Roman" w:hAnsi="Times New Roman" w:cs="Times New Roman"/>
          <w:sz w:val="24"/>
          <w:szCs w:val="24"/>
        </w:rPr>
        <w:t>to</w:t>
      </w:r>
      <w:r w:rsidRPr="00AF0E81">
        <w:rPr>
          <w:rFonts w:ascii="Times New Roman" w:hAnsi="Times New Roman" w:cs="Times New Roman"/>
          <w:sz w:val="24"/>
          <w:szCs w:val="24"/>
        </w:rPr>
        <w:t xml:space="preserve"> strengthen security in a prioritised manner [11].</w:t>
      </w:r>
    </w:p>
    <w:p w14:paraId="58CD5B61" w14:textId="4AD4014D"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CIS Controls are particularly useful when a company needs to move fast and reduce risk quickly</w:t>
      </w:r>
      <w:r w:rsidR="00EC444E">
        <w:rPr>
          <w:rFonts w:ascii="Times New Roman" w:hAnsi="Times New Roman" w:cs="Times New Roman"/>
          <w:sz w:val="24"/>
          <w:szCs w:val="24"/>
        </w:rPr>
        <w:t xml:space="preserve"> </w:t>
      </w:r>
      <w:r w:rsidRPr="00AF0E81">
        <w:rPr>
          <w:rFonts w:ascii="Times New Roman" w:hAnsi="Times New Roman" w:cs="Times New Roman"/>
          <w:sz w:val="24"/>
          <w:szCs w:val="24"/>
        </w:rPr>
        <w:t>especially in environments dealing with mobility, cloud use, and changing attacker tactics [1</w:t>
      </w:r>
      <w:r w:rsidR="00745D75">
        <w:rPr>
          <w:rFonts w:ascii="Times New Roman" w:hAnsi="Times New Roman" w:cs="Times New Roman"/>
          <w:sz w:val="24"/>
          <w:szCs w:val="24"/>
        </w:rPr>
        <w:t>1</w:t>
      </w:r>
      <w:r w:rsidRPr="00AF0E81">
        <w:rPr>
          <w:rFonts w:ascii="Times New Roman" w:hAnsi="Times New Roman" w:cs="Times New Roman"/>
          <w:sz w:val="24"/>
          <w:szCs w:val="24"/>
        </w:rPr>
        <w:t>]. For NG, CIS can provide an “action list” for the first 90–180 days (e.g., asset inventories for devices and software, secure configuration baselines, vulnerability management, logging, MFA and access control management, and incident readiness).</w:t>
      </w:r>
    </w:p>
    <w:p w14:paraId="59376F3B" w14:textId="650E2ABC" w:rsidR="00AF0E81" w:rsidRPr="00AF0E81" w:rsidRDefault="00AF0E81" w:rsidP="00EC444E">
      <w:pPr>
        <w:pStyle w:val="Heading2"/>
        <w:rPr>
          <w:rFonts w:ascii="Times New Roman" w:hAnsi="Times New Roman" w:cs="Times New Roman"/>
          <w:b/>
          <w:bCs/>
          <w:color w:val="auto"/>
          <w:sz w:val="24"/>
          <w:szCs w:val="24"/>
        </w:rPr>
      </w:pPr>
      <w:bookmarkStart w:id="7" w:name="_Toc216999518"/>
      <w:r w:rsidRPr="00AF0E81">
        <w:rPr>
          <w:rFonts w:ascii="Times New Roman" w:hAnsi="Times New Roman" w:cs="Times New Roman"/>
          <w:b/>
          <w:bCs/>
          <w:color w:val="auto"/>
          <w:sz w:val="24"/>
          <w:szCs w:val="24"/>
        </w:rPr>
        <w:t>3.5 COBIT 2019 (</w:t>
      </w:r>
      <w:r w:rsidR="00EC444E" w:rsidRPr="00EC444E">
        <w:rPr>
          <w:rFonts w:ascii="Times New Roman" w:hAnsi="Times New Roman" w:cs="Times New Roman"/>
          <w:b/>
          <w:bCs/>
          <w:color w:val="auto"/>
          <w:sz w:val="24"/>
          <w:szCs w:val="24"/>
        </w:rPr>
        <w:t>G</w:t>
      </w:r>
      <w:r w:rsidRPr="00AF0E81">
        <w:rPr>
          <w:rFonts w:ascii="Times New Roman" w:hAnsi="Times New Roman" w:cs="Times New Roman"/>
          <w:b/>
          <w:bCs/>
          <w:color w:val="auto"/>
          <w:sz w:val="24"/>
          <w:szCs w:val="24"/>
        </w:rPr>
        <w:t xml:space="preserve">overnance of </w:t>
      </w:r>
      <w:r w:rsidR="00EC444E" w:rsidRPr="00EC444E">
        <w:rPr>
          <w:rFonts w:ascii="Times New Roman" w:hAnsi="Times New Roman" w:cs="Times New Roman"/>
          <w:b/>
          <w:bCs/>
          <w:color w:val="auto"/>
          <w:sz w:val="24"/>
          <w:szCs w:val="24"/>
        </w:rPr>
        <w:t>I</w:t>
      </w:r>
      <w:r w:rsidRPr="00AF0E81">
        <w:rPr>
          <w:rFonts w:ascii="Times New Roman" w:hAnsi="Times New Roman" w:cs="Times New Roman"/>
          <w:b/>
          <w:bCs/>
          <w:color w:val="auto"/>
          <w:sz w:val="24"/>
          <w:szCs w:val="24"/>
        </w:rPr>
        <w:t xml:space="preserve">nformation and </w:t>
      </w:r>
      <w:r w:rsidR="00EC444E" w:rsidRPr="00EC444E">
        <w:rPr>
          <w:rFonts w:ascii="Times New Roman" w:hAnsi="Times New Roman" w:cs="Times New Roman"/>
          <w:b/>
          <w:bCs/>
          <w:color w:val="auto"/>
          <w:sz w:val="24"/>
          <w:szCs w:val="24"/>
        </w:rPr>
        <w:t>T</w:t>
      </w:r>
      <w:r w:rsidRPr="00AF0E81">
        <w:rPr>
          <w:rFonts w:ascii="Times New Roman" w:hAnsi="Times New Roman" w:cs="Times New Roman"/>
          <w:b/>
          <w:bCs/>
          <w:color w:val="auto"/>
          <w:sz w:val="24"/>
          <w:szCs w:val="24"/>
        </w:rPr>
        <w:t>echnology)</w:t>
      </w:r>
      <w:bookmarkEnd w:id="7"/>
    </w:p>
    <w:p w14:paraId="3EB2FFDA" w14:textId="00617FD2"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COBIT 2019 focuses on enterprise governance of information and technology</w:t>
      </w:r>
      <w:r w:rsidR="00EC444E">
        <w:rPr>
          <w:rFonts w:ascii="Times New Roman" w:hAnsi="Times New Roman" w:cs="Times New Roman"/>
          <w:sz w:val="24"/>
          <w:szCs w:val="24"/>
        </w:rPr>
        <w:t xml:space="preserve"> </w:t>
      </w:r>
      <w:r w:rsidRPr="00AF0E81">
        <w:rPr>
          <w:rFonts w:ascii="Times New Roman" w:hAnsi="Times New Roman" w:cs="Times New Roman"/>
          <w:sz w:val="24"/>
          <w:szCs w:val="24"/>
        </w:rPr>
        <w:t>helping organisations align security and IT with business goals, define decision rights, set performance measures, and ensure accountability. COBIT 2019 is structured around governance and management objectives (commonly described as 40 objectives organised into domains), providing a clear model for who decides what, and how results are monitored [1</w:t>
      </w:r>
      <w:r w:rsidR="00745D75">
        <w:rPr>
          <w:rFonts w:ascii="Times New Roman" w:hAnsi="Times New Roman" w:cs="Times New Roman"/>
          <w:sz w:val="24"/>
          <w:szCs w:val="24"/>
        </w:rPr>
        <w:t>2</w:t>
      </w:r>
      <w:r w:rsidRPr="00AF0E81">
        <w:rPr>
          <w:rFonts w:ascii="Times New Roman" w:hAnsi="Times New Roman" w:cs="Times New Roman"/>
          <w:sz w:val="24"/>
          <w:szCs w:val="24"/>
        </w:rPr>
        <w:t>].</w:t>
      </w:r>
    </w:p>
    <w:p w14:paraId="5E8A2E49" w14:textId="5D398730"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NG’s problem is not only technical</w:t>
      </w:r>
      <w:r w:rsidR="00EC444E">
        <w:rPr>
          <w:rFonts w:ascii="Times New Roman" w:hAnsi="Times New Roman" w:cs="Times New Roman"/>
          <w:sz w:val="24"/>
          <w:szCs w:val="24"/>
        </w:rPr>
        <w:t xml:space="preserve"> </w:t>
      </w:r>
      <w:r w:rsidRPr="00AF0E81">
        <w:rPr>
          <w:rFonts w:ascii="Times New Roman" w:hAnsi="Times New Roman" w:cs="Times New Roman"/>
          <w:sz w:val="24"/>
          <w:szCs w:val="24"/>
        </w:rPr>
        <w:t>“everything is in disarray.” COBIT helps design an operating model where the board/senior management can set direction and ensure security investments deliver value, while management executes. This also matches the course emphasis on governance as the bridge that turns compliance into actionable strategy [3].</w:t>
      </w:r>
    </w:p>
    <w:p w14:paraId="761E8527" w14:textId="59E3DB5E" w:rsidR="00AF0E81" w:rsidRPr="00AF0E81" w:rsidRDefault="00AF0E81" w:rsidP="00EC444E">
      <w:pPr>
        <w:pStyle w:val="Heading2"/>
        <w:rPr>
          <w:rFonts w:ascii="Times New Roman" w:hAnsi="Times New Roman" w:cs="Times New Roman"/>
          <w:b/>
          <w:bCs/>
          <w:color w:val="auto"/>
          <w:sz w:val="24"/>
          <w:szCs w:val="24"/>
        </w:rPr>
      </w:pPr>
      <w:bookmarkStart w:id="8" w:name="_Toc216999519"/>
      <w:r w:rsidRPr="00AF0E81">
        <w:rPr>
          <w:rFonts w:ascii="Times New Roman" w:hAnsi="Times New Roman" w:cs="Times New Roman"/>
          <w:b/>
          <w:bCs/>
          <w:color w:val="auto"/>
          <w:sz w:val="24"/>
          <w:szCs w:val="24"/>
        </w:rPr>
        <w:t>3.6 ITIL 4 (</w:t>
      </w:r>
      <w:r w:rsidR="00EC444E" w:rsidRPr="00EC444E">
        <w:rPr>
          <w:rFonts w:ascii="Times New Roman" w:hAnsi="Times New Roman" w:cs="Times New Roman"/>
          <w:b/>
          <w:bCs/>
          <w:color w:val="auto"/>
          <w:sz w:val="24"/>
          <w:szCs w:val="24"/>
        </w:rPr>
        <w:t>S</w:t>
      </w:r>
      <w:r w:rsidRPr="00AF0E81">
        <w:rPr>
          <w:rFonts w:ascii="Times New Roman" w:hAnsi="Times New Roman" w:cs="Times New Roman"/>
          <w:b/>
          <w:bCs/>
          <w:color w:val="auto"/>
          <w:sz w:val="24"/>
          <w:szCs w:val="24"/>
        </w:rPr>
        <w:t xml:space="preserve">ervice </w:t>
      </w:r>
      <w:r w:rsidR="00EC444E" w:rsidRPr="00EC444E">
        <w:rPr>
          <w:rFonts w:ascii="Times New Roman" w:hAnsi="Times New Roman" w:cs="Times New Roman"/>
          <w:b/>
          <w:bCs/>
          <w:color w:val="auto"/>
          <w:sz w:val="24"/>
          <w:szCs w:val="24"/>
        </w:rPr>
        <w:t>M</w:t>
      </w:r>
      <w:r w:rsidRPr="00AF0E81">
        <w:rPr>
          <w:rFonts w:ascii="Times New Roman" w:hAnsi="Times New Roman" w:cs="Times New Roman"/>
          <w:b/>
          <w:bCs/>
          <w:color w:val="auto"/>
          <w:sz w:val="24"/>
          <w:szCs w:val="24"/>
        </w:rPr>
        <w:t xml:space="preserve">anagement and </w:t>
      </w:r>
      <w:r w:rsidR="00EC444E" w:rsidRPr="00EC444E">
        <w:rPr>
          <w:rFonts w:ascii="Times New Roman" w:hAnsi="Times New Roman" w:cs="Times New Roman"/>
          <w:b/>
          <w:bCs/>
          <w:color w:val="auto"/>
          <w:sz w:val="24"/>
          <w:szCs w:val="24"/>
        </w:rPr>
        <w:t>O</w:t>
      </w:r>
      <w:r w:rsidRPr="00AF0E81">
        <w:rPr>
          <w:rFonts w:ascii="Times New Roman" w:hAnsi="Times New Roman" w:cs="Times New Roman"/>
          <w:b/>
          <w:bCs/>
          <w:color w:val="auto"/>
          <w:sz w:val="24"/>
          <w:szCs w:val="24"/>
        </w:rPr>
        <w:t xml:space="preserve">perational </w:t>
      </w:r>
      <w:r w:rsidR="00EC444E" w:rsidRPr="00EC444E">
        <w:rPr>
          <w:rFonts w:ascii="Times New Roman" w:hAnsi="Times New Roman" w:cs="Times New Roman"/>
          <w:b/>
          <w:bCs/>
          <w:color w:val="auto"/>
          <w:sz w:val="24"/>
          <w:szCs w:val="24"/>
        </w:rPr>
        <w:t>S</w:t>
      </w:r>
      <w:r w:rsidRPr="00AF0E81">
        <w:rPr>
          <w:rFonts w:ascii="Times New Roman" w:hAnsi="Times New Roman" w:cs="Times New Roman"/>
          <w:b/>
          <w:bCs/>
          <w:color w:val="auto"/>
          <w:sz w:val="24"/>
          <w:szCs w:val="24"/>
        </w:rPr>
        <w:t>tability)</w:t>
      </w:r>
      <w:bookmarkEnd w:id="8"/>
    </w:p>
    <w:p w14:paraId="0BE712D2" w14:textId="36B1C588"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ITIL 4 is not a “security framework” in the same way as ISO 27001 or NIST RMF, but it matters because security controls often fail due to weak operations (poor change control, unclear incident handling, inconsistent service ownership). ITIL 4 describes service management concepts like governance, the service value chain, and continual improvement [1</w:t>
      </w:r>
      <w:r w:rsidR="00745D75">
        <w:rPr>
          <w:rFonts w:ascii="Times New Roman" w:hAnsi="Times New Roman" w:cs="Times New Roman"/>
          <w:sz w:val="24"/>
          <w:szCs w:val="24"/>
        </w:rPr>
        <w:t>3</w:t>
      </w:r>
      <w:r w:rsidRPr="00AF0E81">
        <w:rPr>
          <w:rFonts w:ascii="Times New Roman" w:hAnsi="Times New Roman" w:cs="Times New Roman"/>
          <w:sz w:val="24"/>
          <w:szCs w:val="24"/>
        </w:rPr>
        <w:t xml:space="preserve">]. </w:t>
      </w:r>
    </w:p>
    <w:p w14:paraId="67FB6A1D" w14:textId="12857442"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With cloud services and heavy wireless reliance, NG must run security as part of normal IT operations</w:t>
      </w:r>
      <w:r w:rsidR="00686092">
        <w:rPr>
          <w:rFonts w:ascii="Times New Roman" w:hAnsi="Times New Roman" w:cs="Times New Roman"/>
          <w:sz w:val="24"/>
          <w:szCs w:val="24"/>
        </w:rPr>
        <w:t xml:space="preserve"> </w:t>
      </w:r>
      <w:r w:rsidRPr="00AF0E81">
        <w:rPr>
          <w:rFonts w:ascii="Times New Roman" w:hAnsi="Times New Roman" w:cs="Times New Roman"/>
          <w:sz w:val="24"/>
          <w:szCs w:val="24"/>
        </w:rPr>
        <w:t xml:space="preserve">especially for change enablement, incident management, problem management, and supplier management. ITIL supports consistency and </w:t>
      </w:r>
      <w:r w:rsidRPr="00AF0E81">
        <w:rPr>
          <w:rFonts w:ascii="Times New Roman" w:hAnsi="Times New Roman" w:cs="Times New Roman"/>
          <w:sz w:val="24"/>
          <w:szCs w:val="24"/>
        </w:rPr>
        <w:lastRenderedPageBreak/>
        <w:t>helps make security “how we operate” rather than “extra work when something goes wrong” [1</w:t>
      </w:r>
      <w:r w:rsidR="00BD6D4C">
        <w:rPr>
          <w:rFonts w:ascii="Times New Roman" w:hAnsi="Times New Roman" w:cs="Times New Roman"/>
          <w:sz w:val="24"/>
          <w:szCs w:val="24"/>
        </w:rPr>
        <w:t>3</w:t>
      </w:r>
      <w:r w:rsidRPr="00AF0E81">
        <w:rPr>
          <w:rFonts w:ascii="Times New Roman" w:hAnsi="Times New Roman" w:cs="Times New Roman"/>
          <w:sz w:val="24"/>
          <w:szCs w:val="24"/>
        </w:rPr>
        <w:t xml:space="preserve">]. </w:t>
      </w:r>
    </w:p>
    <w:p w14:paraId="3322C935" w14:textId="5EA70DE3" w:rsidR="00AF0E81" w:rsidRPr="00AF0E81" w:rsidRDefault="00AF0E81" w:rsidP="00686092">
      <w:pPr>
        <w:pStyle w:val="Heading2"/>
        <w:rPr>
          <w:rFonts w:ascii="Times New Roman" w:hAnsi="Times New Roman" w:cs="Times New Roman"/>
          <w:b/>
          <w:bCs/>
          <w:color w:val="auto"/>
          <w:sz w:val="24"/>
          <w:szCs w:val="24"/>
        </w:rPr>
      </w:pPr>
      <w:bookmarkStart w:id="9" w:name="_Toc216999520"/>
      <w:r w:rsidRPr="00AF0E81">
        <w:rPr>
          <w:rFonts w:ascii="Times New Roman" w:hAnsi="Times New Roman" w:cs="Times New Roman"/>
          <w:b/>
          <w:bCs/>
          <w:color w:val="auto"/>
          <w:sz w:val="24"/>
          <w:szCs w:val="24"/>
        </w:rPr>
        <w:t>3.7 PCI DSS (</w:t>
      </w:r>
      <w:r w:rsidR="00686092" w:rsidRPr="00686092">
        <w:rPr>
          <w:rFonts w:ascii="Times New Roman" w:hAnsi="Times New Roman" w:cs="Times New Roman"/>
          <w:b/>
          <w:bCs/>
          <w:color w:val="auto"/>
          <w:sz w:val="24"/>
          <w:szCs w:val="24"/>
        </w:rPr>
        <w:t>P</w:t>
      </w:r>
      <w:r w:rsidRPr="00AF0E81">
        <w:rPr>
          <w:rFonts w:ascii="Times New Roman" w:hAnsi="Times New Roman" w:cs="Times New Roman"/>
          <w:b/>
          <w:bCs/>
          <w:color w:val="auto"/>
          <w:sz w:val="24"/>
          <w:szCs w:val="24"/>
        </w:rPr>
        <w:t xml:space="preserve">ayment </w:t>
      </w:r>
      <w:r w:rsidR="00686092" w:rsidRPr="00686092">
        <w:rPr>
          <w:rFonts w:ascii="Times New Roman" w:hAnsi="Times New Roman" w:cs="Times New Roman"/>
          <w:b/>
          <w:bCs/>
          <w:color w:val="auto"/>
          <w:sz w:val="24"/>
          <w:szCs w:val="24"/>
        </w:rPr>
        <w:t>S</w:t>
      </w:r>
      <w:r w:rsidRPr="00AF0E81">
        <w:rPr>
          <w:rFonts w:ascii="Times New Roman" w:hAnsi="Times New Roman" w:cs="Times New Roman"/>
          <w:b/>
          <w:bCs/>
          <w:color w:val="auto"/>
          <w:sz w:val="24"/>
          <w:szCs w:val="24"/>
        </w:rPr>
        <w:t xml:space="preserve">ecurity </w:t>
      </w:r>
      <w:r w:rsidR="00686092" w:rsidRPr="00686092">
        <w:rPr>
          <w:rFonts w:ascii="Times New Roman" w:hAnsi="Times New Roman" w:cs="Times New Roman"/>
          <w:b/>
          <w:bCs/>
          <w:color w:val="auto"/>
          <w:sz w:val="24"/>
          <w:szCs w:val="24"/>
        </w:rPr>
        <w:t>C</w:t>
      </w:r>
      <w:r w:rsidRPr="00AF0E81">
        <w:rPr>
          <w:rFonts w:ascii="Times New Roman" w:hAnsi="Times New Roman" w:cs="Times New Roman"/>
          <w:b/>
          <w:bCs/>
          <w:color w:val="auto"/>
          <w:sz w:val="24"/>
          <w:szCs w:val="24"/>
        </w:rPr>
        <w:t xml:space="preserve">ompliance, </w:t>
      </w:r>
      <w:r w:rsidR="00686092" w:rsidRPr="00686092">
        <w:rPr>
          <w:rFonts w:ascii="Times New Roman" w:hAnsi="Times New Roman" w:cs="Times New Roman"/>
          <w:b/>
          <w:bCs/>
          <w:color w:val="auto"/>
          <w:sz w:val="24"/>
          <w:szCs w:val="24"/>
        </w:rPr>
        <w:t>W</w:t>
      </w:r>
      <w:r w:rsidRPr="00AF0E81">
        <w:rPr>
          <w:rFonts w:ascii="Times New Roman" w:hAnsi="Times New Roman" w:cs="Times New Roman"/>
          <w:b/>
          <w:bCs/>
          <w:color w:val="auto"/>
          <w:sz w:val="24"/>
          <w:szCs w:val="24"/>
        </w:rPr>
        <w:t xml:space="preserve">here </w:t>
      </w:r>
      <w:r w:rsidR="00686092" w:rsidRPr="00686092">
        <w:rPr>
          <w:rFonts w:ascii="Times New Roman" w:hAnsi="Times New Roman" w:cs="Times New Roman"/>
          <w:b/>
          <w:bCs/>
          <w:color w:val="auto"/>
          <w:sz w:val="24"/>
          <w:szCs w:val="24"/>
        </w:rPr>
        <w:t>R</w:t>
      </w:r>
      <w:r w:rsidRPr="00AF0E81">
        <w:rPr>
          <w:rFonts w:ascii="Times New Roman" w:hAnsi="Times New Roman" w:cs="Times New Roman"/>
          <w:b/>
          <w:bCs/>
          <w:color w:val="auto"/>
          <w:sz w:val="24"/>
          <w:szCs w:val="24"/>
        </w:rPr>
        <w:t>elevant)</w:t>
      </w:r>
      <w:bookmarkEnd w:id="9"/>
    </w:p>
    <w:p w14:paraId="588DB498" w14:textId="74536170"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PCI DSS is a global security standard designed to protect payment account data in environments that store, process, or transmit cardholder data [1</w:t>
      </w:r>
      <w:r w:rsidR="00745D75">
        <w:rPr>
          <w:rFonts w:ascii="Times New Roman" w:hAnsi="Times New Roman" w:cs="Times New Roman"/>
          <w:sz w:val="24"/>
          <w:szCs w:val="24"/>
        </w:rPr>
        <w:t>4</w:t>
      </w:r>
      <w:r w:rsidRPr="00AF0E81">
        <w:rPr>
          <w:rFonts w:ascii="Times New Roman" w:hAnsi="Times New Roman" w:cs="Times New Roman"/>
          <w:sz w:val="24"/>
          <w:szCs w:val="24"/>
        </w:rPr>
        <w:t>]. The PCI Security Standards Council also publishes updates and supporting materials (e.g., v4.0.1 revisions and validation tools like SAQs) to keep requirements clear and usable [1</w:t>
      </w:r>
      <w:r w:rsidR="00745D75">
        <w:rPr>
          <w:rFonts w:ascii="Times New Roman" w:hAnsi="Times New Roman" w:cs="Times New Roman"/>
          <w:sz w:val="24"/>
          <w:szCs w:val="24"/>
        </w:rPr>
        <w:t>5</w:t>
      </w:r>
      <w:r w:rsidRPr="00AF0E81">
        <w:rPr>
          <w:rFonts w:ascii="Times New Roman" w:hAnsi="Times New Roman" w:cs="Times New Roman"/>
          <w:sz w:val="24"/>
          <w:szCs w:val="24"/>
        </w:rPr>
        <w:t>].</w:t>
      </w:r>
    </w:p>
    <w:p w14:paraId="32C4D9D8" w14:textId="20131833"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If NG sells online and handles card payments (directly or via partners), PCI DSS becomes a non-negotiable compliance driver for that part of the environment. Even if payment processing is outsourced, PCI still influences supplier requirements, segmentation decisions, logging, and access controls [1</w:t>
      </w:r>
      <w:r w:rsidR="00745D75">
        <w:rPr>
          <w:rFonts w:ascii="Times New Roman" w:hAnsi="Times New Roman" w:cs="Times New Roman"/>
          <w:sz w:val="24"/>
          <w:szCs w:val="24"/>
        </w:rPr>
        <w:t>4</w:t>
      </w:r>
      <w:r w:rsidRPr="00AF0E81">
        <w:rPr>
          <w:rFonts w:ascii="Times New Roman" w:hAnsi="Times New Roman" w:cs="Times New Roman"/>
          <w:sz w:val="24"/>
          <w:szCs w:val="24"/>
        </w:rPr>
        <w:t>].</w:t>
      </w:r>
    </w:p>
    <w:p w14:paraId="44E611A7" w14:textId="70F002A7" w:rsidR="00AF0E81" w:rsidRPr="00AF0E81" w:rsidRDefault="00AF0E81" w:rsidP="00686092">
      <w:pPr>
        <w:pStyle w:val="Heading2"/>
        <w:rPr>
          <w:rFonts w:ascii="Times New Roman" w:hAnsi="Times New Roman" w:cs="Times New Roman"/>
          <w:b/>
          <w:bCs/>
          <w:color w:val="auto"/>
          <w:sz w:val="24"/>
          <w:szCs w:val="24"/>
        </w:rPr>
      </w:pPr>
      <w:bookmarkStart w:id="10" w:name="_Toc216999521"/>
      <w:r w:rsidRPr="00AF0E81">
        <w:rPr>
          <w:rFonts w:ascii="Times New Roman" w:hAnsi="Times New Roman" w:cs="Times New Roman"/>
          <w:b/>
          <w:bCs/>
          <w:color w:val="auto"/>
          <w:sz w:val="24"/>
          <w:szCs w:val="24"/>
        </w:rPr>
        <w:t>3.8 SOC 2 and the Trust Services Criteria (</w:t>
      </w:r>
      <w:r w:rsidR="00686092" w:rsidRPr="00686092">
        <w:rPr>
          <w:rFonts w:ascii="Times New Roman" w:hAnsi="Times New Roman" w:cs="Times New Roman"/>
          <w:b/>
          <w:bCs/>
          <w:color w:val="auto"/>
          <w:sz w:val="24"/>
          <w:szCs w:val="24"/>
        </w:rPr>
        <w:t>A</w:t>
      </w:r>
      <w:r w:rsidRPr="00AF0E81">
        <w:rPr>
          <w:rFonts w:ascii="Times New Roman" w:hAnsi="Times New Roman" w:cs="Times New Roman"/>
          <w:b/>
          <w:bCs/>
          <w:color w:val="auto"/>
          <w:sz w:val="24"/>
          <w:szCs w:val="24"/>
        </w:rPr>
        <w:t xml:space="preserve">ssurance for </w:t>
      </w:r>
      <w:r w:rsidR="00686092" w:rsidRPr="00686092">
        <w:rPr>
          <w:rFonts w:ascii="Times New Roman" w:hAnsi="Times New Roman" w:cs="Times New Roman"/>
          <w:b/>
          <w:bCs/>
          <w:color w:val="auto"/>
          <w:sz w:val="24"/>
          <w:szCs w:val="24"/>
        </w:rPr>
        <w:t>S</w:t>
      </w:r>
      <w:r w:rsidRPr="00AF0E81">
        <w:rPr>
          <w:rFonts w:ascii="Times New Roman" w:hAnsi="Times New Roman" w:cs="Times New Roman"/>
          <w:b/>
          <w:bCs/>
          <w:color w:val="auto"/>
          <w:sz w:val="24"/>
          <w:szCs w:val="24"/>
        </w:rPr>
        <w:t xml:space="preserve">ervice </w:t>
      </w:r>
      <w:r w:rsidR="00686092" w:rsidRPr="00686092">
        <w:rPr>
          <w:rFonts w:ascii="Times New Roman" w:hAnsi="Times New Roman" w:cs="Times New Roman"/>
          <w:b/>
          <w:bCs/>
          <w:color w:val="auto"/>
          <w:sz w:val="24"/>
          <w:szCs w:val="24"/>
        </w:rPr>
        <w:t>O</w:t>
      </w:r>
      <w:r w:rsidRPr="00AF0E81">
        <w:rPr>
          <w:rFonts w:ascii="Times New Roman" w:hAnsi="Times New Roman" w:cs="Times New Roman"/>
          <w:b/>
          <w:bCs/>
          <w:color w:val="auto"/>
          <w:sz w:val="24"/>
          <w:szCs w:val="24"/>
        </w:rPr>
        <w:t>rganisations)</w:t>
      </w:r>
      <w:bookmarkEnd w:id="10"/>
    </w:p>
    <w:p w14:paraId="494019DF" w14:textId="275B3B6E"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A SOC 2 examination/report is an attestation focused on controls relevant to the Trust Services Criteria categories: security, availability, processing integrity, confidentiality, and privacy. The Trust Services Criteria are published by the AICPA and used as the basis for evaluating controls in SOC reporting engagements [1</w:t>
      </w:r>
      <w:r w:rsidR="00745D75">
        <w:rPr>
          <w:rFonts w:ascii="Times New Roman" w:hAnsi="Times New Roman" w:cs="Times New Roman"/>
          <w:sz w:val="24"/>
          <w:szCs w:val="24"/>
        </w:rPr>
        <w:t>6</w:t>
      </w:r>
      <w:r w:rsidRPr="00AF0E81">
        <w:rPr>
          <w:rFonts w:ascii="Times New Roman" w:hAnsi="Times New Roman" w:cs="Times New Roman"/>
          <w:sz w:val="24"/>
          <w:szCs w:val="24"/>
        </w:rPr>
        <w:t>].</w:t>
      </w:r>
    </w:p>
    <w:p w14:paraId="547861E7" w14:textId="698DE9CB"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NG uses cloud services and likely relies on third-party platforms. SOC 2 is valuable for supplier assurance (choosing vendors that can prove control effectiveness) and for NG’s own credibility if it provides digital services to customers and partners [1</w:t>
      </w:r>
      <w:r w:rsidR="00BD6D4C">
        <w:rPr>
          <w:rFonts w:ascii="Times New Roman" w:hAnsi="Times New Roman" w:cs="Times New Roman"/>
          <w:sz w:val="24"/>
          <w:szCs w:val="24"/>
        </w:rPr>
        <w:t>6</w:t>
      </w:r>
      <w:r w:rsidRPr="00AF0E81">
        <w:rPr>
          <w:rFonts w:ascii="Times New Roman" w:hAnsi="Times New Roman" w:cs="Times New Roman"/>
          <w:sz w:val="24"/>
          <w:szCs w:val="24"/>
        </w:rPr>
        <w:t xml:space="preserve">]. </w:t>
      </w:r>
    </w:p>
    <w:p w14:paraId="2950C099" w14:textId="460951E8" w:rsidR="00AF0E81" w:rsidRPr="00AF0E81" w:rsidRDefault="00AF0E81" w:rsidP="00686092">
      <w:pPr>
        <w:pStyle w:val="Heading2"/>
        <w:rPr>
          <w:rFonts w:ascii="Times New Roman" w:hAnsi="Times New Roman" w:cs="Times New Roman"/>
          <w:b/>
          <w:bCs/>
          <w:color w:val="auto"/>
          <w:sz w:val="24"/>
          <w:szCs w:val="24"/>
        </w:rPr>
      </w:pPr>
      <w:bookmarkStart w:id="11" w:name="_Toc216999522"/>
      <w:r w:rsidRPr="00AF0E81">
        <w:rPr>
          <w:rFonts w:ascii="Times New Roman" w:hAnsi="Times New Roman" w:cs="Times New Roman"/>
          <w:b/>
          <w:bCs/>
          <w:color w:val="auto"/>
          <w:sz w:val="24"/>
          <w:szCs w:val="24"/>
        </w:rPr>
        <w:t>3.9 Zero Trust (</w:t>
      </w:r>
      <w:r w:rsidR="00686092">
        <w:rPr>
          <w:rFonts w:ascii="Times New Roman" w:hAnsi="Times New Roman" w:cs="Times New Roman"/>
          <w:b/>
          <w:bCs/>
          <w:color w:val="auto"/>
          <w:sz w:val="24"/>
          <w:szCs w:val="24"/>
        </w:rPr>
        <w:t>A</w:t>
      </w:r>
      <w:r w:rsidRPr="00AF0E81">
        <w:rPr>
          <w:rFonts w:ascii="Times New Roman" w:hAnsi="Times New Roman" w:cs="Times New Roman"/>
          <w:b/>
          <w:bCs/>
          <w:color w:val="auto"/>
          <w:sz w:val="24"/>
          <w:szCs w:val="24"/>
        </w:rPr>
        <w:t xml:space="preserve">rchitecture </w:t>
      </w:r>
      <w:r w:rsidR="00686092">
        <w:rPr>
          <w:rFonts w:ascii="Times New Roman" w:hAnsi="Times New Roman" w:cs="Times New Roman"/>
          <w:b/>
          <w:bCs/>
          <w:color w:val="auto"/>
          <w:sz w:val="24"/>
          <w:szCs w:val="24"/>
        </w:rPr>
        <w:t>A</w:t>
      </w:r>
      <w:r w:rsidRPr="00AF0E81">
        <w:rPr>
          <w:rFonts w:ascii="Times New Roman" w:hAnsi="Times New Roman" w:cs="Times New Roman"/>
          <w:b/>
          <w:bCs/>
          <w:color w:val="auto"/>
          <w:sz w:val="24"/>
          <w:szCs w:val="24"/>
        </w:rPr>
        <w:t>pproach for BYOD</w:t>
      </w:r>
      <w:r w:rsidR="00686092">
        <w:rPr>
          <w:rFonts w:ascii="Times New Roman" w:hAnsi="Times New Roman" w:cs="Times New Roman"/>
          <w:b/>
          <w:bCs/>
          <w:color w:val="auto"/>
          <w:sz w:val="24"/>
          <w:szCs w:val="24"/>
        </w:rPr>
        <w:t>, C</w:t>
      </w:r>
      <w:r w:rsidRPr="00AF0E81">
        <w:rPr>
          <w:rFonts w:ascii="Times New Roman" w:hAnsi="Times New Roman" w:cs="Times New Roman"/>
          <w:b/>
          <w:bCs/>
          <w:color w:val="auto"/>
          <w:sz w:val="24"/>
          <w:szCs w:val="24"/>
        </w:rPr>
        <w:t>loud</w:t>
      </w:r>
      <w:r w:rsidR="00686092">
        <w:rPr>
          <w:rFonts w:ascii="Times New Roman" w:hAnsi="Times New Roman" w:cs="Times New Roman"/>
          <w:b/>
          <w:bCs/>
          <w:color w:val="auto"/>
          <w:sz w:val="24"/>
          <w:szCs w:val="24"/>
        </w:rPr>
        <w:t>, W</w:t>
      </w:r>
      <w:r w:rsidRPr="00AF0E81">
        <w:rPr>
          <w:rFonts w:ascii="Times New Roman" w:hAnsi="Times New Roman" w:cs="Times New Roman"/>
          <w:b/>
          <w:bCs/>
          <w:color w:val="auto"/>
          <w:sz w:val="24"/>
          <w:szCs w:val="24"/>
        </w:rPr>
        <w:t>ireless)</w:t>
      </w:r>
      <w:bookmarkEnd w:id="11"/>
    </w:p>
    <w:p w14:paraId="19F973B8" w14:textId="3CDD7329" w:rsidR="00AF0E81" w:rsidRPr="00AF0E81" w:rsidRDefault="00AF0E81" w:rsidP="00AF0E81">
      <w:pPr>
        <w:jc w:val="both"/>
        <w:rPr>
          <w:rFonts w:ascii="Times New Roman" w:hAnsi="Times New Roman" w:cs="Times New Roman"/>
          <w:sz w:val="24"/>
          <w:szCs w:val="24"/>
        </w:rPr>
      </w:pPr>
      <w:r w:rsidRPr="00AF0E81">
        <w:rPr>
          <w:rFonts w:ascii="Times New Roman" w:hAnsi="Times New Roman" w:cs="Times New Roman"/>
          <w:sz w:val="24"/>
          <w:szCs w:val="24"/>
        </w:rPr>
        <w:t>Zero Trust is an approach that moves security away from assuming “inside the network = trusted.” Instead, it focuses on verifying users, devices, and access requests continuously, with strong identity, device posture, segmentation, and monitoring. NIST SP 800-207 defines Zero Trust as an evolving set of paradigms shifting defence from static perimeters to users, assets, and resources [</w:t>
      </w:r>
      <w:r w:rsidR="00745D75">
        <w:rPr>
          <w:rFonts w:ascii="Times New Roman" w:hAnsi="Times New Roman" w:cs="Times New Roman"/>
          <w:sz w:val="24"/>
          <w:szCs w:val="24"/>
        </w:rPr>
        <w:t>17</w:t>
      </w:r>
      <w:r w:rsidRPr="00AF0E81">
        <w:rPr>
          <w:rFonts w:ascii="Times New Roman" w:hAnsi="Times New Roman" w:cs="Times New Roman"/>
          <w:sz w:val="24"/>
          <w:szCs w:val="24"/>
        </w:rPr>
        <w:t>].</w:t>
      </w:r>
    </w:p>
    <w:p w14:paraId="6A2A09E3" w14:textId="290D9273" w:rsidR="00686092" w:rsidRDefault="00AF0E81" w:rsidP="00AF0E81">
      <w:pPr>
        <w:jc w:val="both"/>
        <w:rPr>
          <w:rFonts w:ascii="Times New Roman" w:hAnsi="Times New Roman" w:cs="Times New Roman"/>
          <w:sz w:val="24"/>
          <w:szCs w:val="24"/>
        </w:rPr>
      </w:pPr>
      <w:r w:rsidRPr="00AF0E81">
        <w:rPr>
          <w:rFonts w:ascii="Times New Roman" w:hAnsi="Times New Roman" w:cs="Times New Roman"/>
          <w:b/>
          <w:bCs/>
          <w:sz w:val="24"/>
          <w:szCs w:val="24"/>
        </w:rPr>
        <w:t>Why it’s helpful for NG:</w:t>
      </w:r>
      <w:r w:rsidRPr="00AF0E81">
        <w:rPr>
          <w:rFonts w:ascii="Times New Roman" w:hAnsi="Times New Roman" w:cs="Times New Roman"/>
          <w:sz w:val="24"/>
          <w:szCs w:val="24"/>
        </w:rPr>
        <w:t xml:space="preserve"> NG’s biggest risk drivers (BYOD pressure, cloud usage, and 95% wireless) all weaken traditional perimeter thinking. Zero Trust fits because it treats BYOD devices and remote users as untrusted by default, and it supports safer access to sensitive data and IP through identity-driven access control, least privilege, and continuous evaluation [</w:t>
      </w:r>
      <w:r w:rsidR="00BD6D4C">
        <w:rPr>
          <w:rFonts w:ascii="Times New Roman" w:hAnsi="Times New Roman" w:cs="Times New Roman"/>
          <w:sz w:val="24"/>
          <w:szCs w:val="24"/>
        </w:rPr>
        <w:t>17</w:t>
      </w:r>
      <w:r w:rsidRPr="00AF0E81">
        <w:rPr>
          <w:rFonts w:ascii="Times New Roman" w:hAnsi="Times New Roman" w:cs="Times New Roman"/>
          <w:sz w:val="24"/>
          <w:szCs w:val="24"/>
        </w:rPr>
        <w:t xml:space="preserve">]. </w:t>
      </w:r>
    </w:p>
    <w:p w14:paraId="1A71551F" w14:textId="55E70F74" w:rsidR="00AF0E81" w:rsidRPr="00FD070B" w:rsidRDefault="00686092" w:rsidP="00AF0E81">
      <w:pPr>
        <w:rPr>
          <w:rFonts w:ascii="Times New Roman" w:hAnsi="Times New Roman" w:cs="Times New Roman"/>
          <w:sz w:val="24"/>
          <w:szCs w:val="24"/>
        </w:rPr>
      </w:pPr>
      <w:r>
        <w:rPr>
          <w:rFonts w:ascii="Times New Roman" w:hAnsi="Times New Roman" w:cs="Times New Roman"/>
          <w:sz w:val="24"/>
          <w:szCs w:val="24"/>
        </w:rPr>
        <w:br w:type="page"/>
      </w:r>
    </w:p>
    <w:p w14:paraId="622B91D6" w14:textId="4BBFADBF" w:rsidR="00F230F7" w:rsidRPr="00FD070B" w:rsidRDefault="00F230F7" w:rsidP="00F230F7">
      <w:pPr>
        <w:pStyle w:val="Heading1"/>
        <w:rPr>
          <w:rFonts w:ascii="Times New Roman" w:hAnsi="Times New Roman" w:cs="Times New Roman"/>
          <w:b/>
          <w:bCs/>
          <w:color w:val="auto"/>
          <w:sz w:val="28"/>
          <w:szCs w:val="28"/>
        </w:rPr>
      </w:pPr>
      <w:bookmarkStart w:id="12" w:name="_Toc216999523"/>
      <w:r w:rsidRPr="00FD070B">
        <w:rPr>
          <w:rFonts w:ascii="Times New Roman" w:hAnsi="Times New Roman" w:cs="Times New Roman"/>
          <w:b/>
          <w:bCs/>
          <w:color w:val="auto"/>
          <w:sz w:val="28"/>
          <w:szCs w:val="28"/>
        </w:rPr>
        <w:lastRenderedPageBreak/>
        <w:t>4. Selected Frameworks</w:t>
      </w:r>
      <w:r w:rsidR="00EC444E" w:rsidRPr="00FD070B">
        <w:rPr>
          <w:rFonts w:ascii="Times New Roman" w:hAnsi="Times New Roman" w:cs="Times New Roman"/>
          <w:b/>
          <w:bCs/>
          <w:color w:val="auto"/>
          <w:sz w:val="28"/>
          <w:szCs w:val="28"/>
        </w:rPr>
        <w:t>/Models</w:t>
      </w:r>
      <w:r w:rsidRPr="00FD070B">
        <w:rPr>
          <w:rFonts w:ascii="Times New Roman" w:hAnsi="Times New Roman" w:cs="Times New Roman"/>
          <w:b/>
          <w:bCs/>
          <w:color w:val="auto"/>
          <w:sz w:val="28"/>
          <w:szCs w:val="28"/>
        </w:rPr>
        <w:t xml:space="preserve"> </w:t>
      </w:r>
      <w:r w:rsidR="00FD070B">
        <w:rPr>
          <w:rFonts w:ascii="Times New Roman" w:hAnsi="Times New Roman" w:cs="Times New Roman"/>
          <w:b/>
          <w:bCs/>
          <w:color w:val="auto"/>
          <w:sz w:val="28"/>
          <w:szCs w:val="28"/>
        </w:rPr>
        <w:t>for NatureGreen (NG)</w:t>
      </w:r>
      <w:bookmarkEnd w:id="12"/>
    </w:p>
    <w:p w14:paraId="2AC88D17" w14:textId="27422580" w:rsidR="00FD070B" w:rsidRPr="00FD070B" w:rsidRDefault="00FD070B" w:rsidP="00FD070B">
      <w:pPr>
        <w:jc w:val="both"/>
        <w:rPr>
          <w:rFonts w:ascii="Times New Roman" w:hAnsi="Times New Roman" w:cs="Times New Roman"/>
          <w:sz w:val="24"/>
          <w:szCs w:val="24"/>
        </w:rPr>
      </w:pPr>
      <w:r w:rsidRPr="00FD070B">
        <w:rPr>
          <w:rFonts w:ascii="Times New Roman" w:hAnsi="Times New Roman" w:cs="Times New Roman"/>
          <w:sz w:val="24"/>
          <w:szCs w:val="24"/>
        </w:rPr>
        <w:t xml:space="preserve">NG’s environment is cloud-driven, heavily wireless, and under pressure to support BYOD for both staff and customers. In a situation like this, it is not realistic to </w:t>
      </w:r>
      <w:r>
        <w:rPr>
          <w:rFonts w:ascii="Times New Roman" w:hAnsi="Times New Roman" w:cs="Times New Roman"/>
          <w:sz w:val="24"/>
          <w:szCs w:val="24"/>
        </w:rPr>
        <w:t>i</w:t>
      </w:r>
      <w:r w:rsidRPr="00FD070B">
        <w:rPr>
          <w:rFonts w:ascii="Times New Roman" w:hAnsi="Times New Roman" w:cs="Times New Roman"/>
          <w:sz w:val="24"/>
          <w:szCs w:val="24"/>
        </w:rPr>
        <w:t>mplement every framework fully. A better approach is to select a small set of complementary frameworks</w:t>
      </w:r>
      <w:r>
        <w:rPr>
          <w:rFonts w:ascii="Times New Roman" w:hAnsi="Times New Roman" w:cs="Times New Roman"/>
          <w:sz w:val="24"/>
          <w:szCs w:val="24"/>
        </w:rPr>
        <w:t xml:space="preserve"> </w:t>
      </w:r>
      <w:r w:rsidRPr="00FD070B">
        <w:rPr>
          <w:rFonts w:ascii="Times New Roman" w:hAnsi="Times New Roman" w:cs="Times New Roman"/>
          <w:sz w:val="24"/>
          <w:szCs w:val="24"/>
        </w:rPr>
        <w:t>each with a clear role</w:t>
      </w:r>
      <w:r>
        <w:rPr>
          <w:rFonts w:ascii="Times New Roman" w:hAnsi="Times New Roman" w:cs="Times New Roman"/>
          <w:sz w:val="24"/>
          <w:szCs w:val="24"/>
        </w:rPr>
        <w:t xml:space="preserve">, </w:t>
      </w:r>
      <w:r w:rsidRPr="00FD070B">
        <w:rPr>
          <w:rFonts w:ascii="Times New Roman" w:hAnsi="Times New Roman" w:cs="Times New Roman"/>
          <w:sz w:val="24"/>
          <w:szCs w:val="24"/>
        </w:rPr>
        <w:t>so the security programme is both manageable and auditable. For NG, the recommended approach is a hybrid model: ISO/IEC 27001/27002 as the core management system and control baseline, NIST CSF 2.0 as the organising structure for cybersecurity outcomes and maturity, Zero Trust as the access and security architecture for cloud/wireless/BYOD, and the CIS Controls as a practical set of prioritised safeguards to implement key protections quickly. [5], [6], [7], [11], [17]</w:t>
      </w:r>
    </w:p>
    <w:p w14:paraId="2868A10F" w14:textId="234104DE" w:rsidR="00FD070B" w:rsidRDefault="00FD070B" w:rsidP="00FD070B">
      <w:pPr>
        <w:jc w:val="both"/>
        <w:rPr>
          <w:rFonts w:ascii="Times New Roman" w:hAnsi="Times New Roman" w:cs="Times New Roman"/>
          <w:sz w:val="24"/>
          <w:szCs w:val="24"/>
        </w:rPr>
      </w:pPr>
      <w:r w:rsidRPr="00FD070B">
        <w:rPr>
          <w:rFonts w:ascii="Times New Roman" w:hAnsi="Times New Roman" w:cs="Times New Roman"/>
          <w:sz w:val="24"/>
          <w:szCs w:val="24"/>
        </w:rPr>
        <w:t>To support governance and day-to-day operations, COBIT 2019 is used to define decision rights and oversight at senior levels, while ITIL 4 is used to operationalise security through consistent processes such as incident management, change enablement, and service continuity. [12], [13] Finally, PCI DSS and SOC 2 / Trust Services Criteria are treated as “assurance and compliance overlays,” applied where relevant</w:t>
      </w:r>
      <w:r>
        <w:rPr>
          <w:rFonts w:ascii="Times New Roman" w:hAnsi="Times New Roman" w:cs="Times New Roman"/>
          <w:sz w:val="24"/>
          <w:szCs w:val="24"/>
        </w:rPr>
        <w:t xml:space="preserve"> and </w:t>
      </w:r>
      <w:r w:rsidRPr="00FD070B">
        <w:rPr>
          <w:rFonts w:ascii="Times New Roman" w:hAnsi="Times New Roman" w:cs="Times New Roman"/>
          <w:sz w:val="24"/>
          <w:szCs w:val="24"/>
        </w:rPr>
        <w:t>PCI DSS for payment environments (if NG processes or stores card data) and SOC 2/TSC to strengthen third-party assurance and supplier selection for cloud services. [14]</w:t>
      </w:r>
      <w:r>
        <w:rPr>
          <w:rFonts w:ascii="Times New Roman" w:hAnsi="Times New Roman" w:cs="Times New Roman"/>
          <w:sz w:val="24"/>
          <w:szCs w:val="24"/>
        </w:rPr>
        <w:t xml:space="preserve">, [15], </w:t>
      </w:r>
      <w:r w:rsidRPr="00FD070B">
        <w:rPr>
          <w:rFonts w:ascii="Times New Roman" w:hAnsi="Times New Roman" w:cs="Times New Roman"/>
          <w:sz w:val="24"/>
          <w:szCs w:val="24"/>
        </w:rPr>
        <w:t>[16]</w:t>
      </w:r>
    </w:p>
    <w:p w14:paraId="27DBD450" w14:textId="736E5FCA" w:rsidR="00B32C9B" w:rsidRPr="00B32C9B" w:rsidRDefault="00B32C9B" w:rsidP="00FD070B">
      <w:pPr>
        <w:jc w:val="both"/>
        <w:rPr>
          <w:rFonts w:ascii="Times New Roman" w:hAnsi="Times New Roman" w:cs="Times New Roman"/>
          <w:b/>
          <w:bCs/>
          <w:sz w:val="24"/>
          <w:szCs w:val="24"/>
        </w:rPr>
      </w:pPr>
      <w:r>
        <w:rPr>
          <w:rFonts w:ascii="Times New Roman" w:hAnsi="Times New Roman" w:cs="Times New Roman"/>
          <w:sz w:val="24"/>
          <w:szCs w:val="24"/>
        </w:rPr>
        <w:t xml:space="preserve">                    </w:t>
      </w:r>
      <w:bookmarkStart w:id="13" w:name="_Hlk216985648"/>
      <w:r w:rsidRPr="00B32C9B">
        <w:rPr>
          <w:rFonts w:ascii="Times New Roman" w:hAnsi="Times New Roman" w:cs="Times New Roman"/>
          <w:b/>
          <w:bCs/>
          <w:sz w:val="24"/>
          <w:szCs w:val="24"/>
        </w:rPr>
        <w:t>Table 1: Selected frameworks and their role in NG’s security programme</w:t>
      </w:r>
      <w:bookmarkEnd w:id="13"/>
    </w:p>
    <w:tbl>
      <w:tblPr>
        <w:tblStyle w:val="TableGridLight"/>
        <w:tblW w:w="9634" w:type="dxa"/>
        <w:tblLook w:val="04A0" w:firstRow="1" w:lastRow="0" w:firstColumn="1" w:lastColumn="0" w:noHBand="0" w:noVBand="1"/>
      </w:tblPr>
      <w:tblGrid>
        <w:gridCol w:w="1429"/>
        <w:gridCol w:w="4975"/>
        <w:gridCol w:w="3230"/>
      </w:tblGrid>
      <w:tr w:rsidR="00FD070B" w:rsidRPr="00FD070B" w14:paraId="29E499E8" w14:textId="77777777" w:rsidTr="005440A4">
        <w:trPr>
          <w:trHeight w:val="579"/>
        </w:trPr>
        <w:tc>
          <w:tcPr>
            <w:tcW w:w="0" w:type="auto"/>
            <w:hideMark/>
          </w:tcPr>
          <w:p w14:paraId="6B6B561F" w14:textId="77777777" w:rsidR="00FD070B" w:rsidRPr="00FD070B" w:rsidRDefault="00FD070B" w:rsidP="005440A4">
            <w:pPr>
              <w:spacing w:after="160" w:line="259" w:lineRule="auto"/>
              <w:jc w:val="center"/>
              <w:rPr>
                <w:rFonts w:ascii="Times New Roman" w:hAnsi="Times New Roman" w:cs="Times New Roman"/>
                <w:b/>
                <w:bCs/>
                <w:sz w:val="24"/>
                <w:szCs w:val="24"/>
              </w:rPr>
            </w:pPr>
            <w:r w:rsidRPr="00FD070B">
              <w:rPr>
                <w:rFonts w:ascii="Times New Roman" w:hAnsi="Times New Roman" w:cs="Times New Roman"/>
                <w:b/>
                <w:bCs/>
                <w:sz w:val="24"/>
                <w:szCs w:val="24"/>
              </w:rPr>
              <w:t>Framework / Model</w:t>
            </w:r>
          </w:p>
        </w:tc>
        <w:tc>
          <w:tcPr>
            <w:tcW w:w="4975" w:type="dxa"/>
            <w:hideMark/>
          </w:tcPr>
          <w:p w14:paraId="4DF8477E" w14:textId="7B99EAFF" w:rsidR="00FD070B" w:rsidRPr="00FD070B" w:rsidRDefault="00FD070B" w:rsidP="005440A4">
            <w:pPr>
              <w:spacing w:after="160" w:line="259" w:lineRule="auto"/>
              <w:jc w:val="center"/>
              <w:rPr>
                <w:rFonts w:ascii="Times New Roman" w:hAnsi="Times New Roman" w:cs="Times New Roman"/>
                <w:b/>
                <w:bCs/>
                <w:sz w:val="24"/>
                <w:szCs w:val="24"/>
              </w:rPr>
            </w:pPr>
            <w:r w:rsidRPr="00FD070B">
              <w:rPr>
                <w:rFonts w:ascii="Times New Roman" w:hAnsi="Times New Roman" w:cs="Times New Roman"/>
                <w:b/>
                <w:bCs/>
                <w:sz w:val="24"/>
                <w:szCs w:val="24"/>
              </w:rPr>
              <w:t xml:space="preserve">Why </w:t>
            </w:r>
            <w:r w:rsidR="00101D3D">
              <w:rPr>
                <w:rFonts w:ascii="Times New Roman" w:hAnsi="Times New Roman" w:cs="Times New Roman"/>
                <w:b/>
                <w:bCs/>
                <w:sz w:val="24"/>
                <w:szCs w:val="24"/>
              </w:rPr>
              <w:t>S</w:t>
            </w:r>
            <w:r w:rsidRPr="00FD070B">
              <w:rPr>
                <w:rFonts w:ascii="Times New Roman" w:hAnsi="Times New Roman" w:cs="Times New Roman"/>
                <w:b/>
                <w:bCs/>
                <w:sz w:val="24"/>
                <w:szCs w:val="24"/>
              </w:rPr>
              <w:t>elected</w:t>
            </w:r>
          </w:p>
        </w:tc>
        <w:tc>
          <w:tcPr>
            <w:tcW w:w="3230" w:type="dxa"/>
            <w:hideMark/>
          </w:tcPr>
          <w:p w14:paraId="48DB8E08" w14:textId="29AC0CB5" w:rsidR="00FD070B" w:rsidRPr="00FD070B" w:rsidRDefault="00FD070B" w:rsidP="005440A4">
            <w:pPr>
              <w:spacing w:after="160" w:line="259" w:lineRule="auto"/>
              <w:jc w:val="center"/>
              <w:rPr>
                <w:rFonts w:ascii="Times New Roman" w:hAnsi="Times New Roman" w:cs="Times New Roman"/>
                <w:b/>
                <w:bCs/>
                <w:sz w:val="24"/>
                <w:szCs w:val="24"/>
              </w:rPr>
            </w:pPr>
            <w:r w:rsidRPr="00FD070B">
              <w:rPr>
                <w:rFonts w:ascii="Times New Roman" w:hAnsi="Times New Roman" w:cs="Times New Roman"/>
                <w:b/>
                <w:bCs/>
                <w:sz w:val="24"/>
                <w:szCs w:val="24"/>
              </w:rPr>
              <w:t xml:space="preserve">Key NG </w:t>
            </w:r>
            <w:r w:rsidR="00101D3D">
              <w:rPr>
                <w:rFonts w:ascii="Times New Roman" w:hAnsi="Times New Roman" w:cs="Times New Roman"/>
                <w:b/>
                <w:bCs/>
                <w:sz w:val="24"/>
                <w:szCs w:val="24"/>
              </w:rPr>
              <w:t>R</w:t>
            </w:r>
            <w:r w:rsidRPr="00FD070B">
              <w:rPr>
                <w:rFonts w:ascii="Times New Roman" w:hAnsi="Times New Roman" w:cs="Times New Roman"/>
                <w:b/>
                <w:bCs/>
                <w:sz w:val="24"/>
                <w:szCs w:val="24"/>
              </w:rPr>
              <w:t xml:space="preserve">isks </w:t>
            </w:r>
            <w:r w:rsidR="00101D3D">
              <w:rPr>
                <w:rFonts w:ascii="Times New Roman" w:hAnsi="Times New Roman" w:cs="Times New Roman"/>
                <w:b/>
                <w:bCs/>
                <w:sz w:val="24"/>
                <w:szCs w:val="24"/>
              </w:rPr>
              <w:t>A</w:t>
            </w:r>
            <w:r w:rsidRPr="00FD070B">
              <w:rPr>
                <w:rFonts w:ascii="Times New Roman" w:hAnsi="Times New Roman" w:cs="Times New Roman"/>
                <w:b/>
                <w:bCs/>
                <w:sz w:val="24"/>
                <w:szCs w:val="24"/>
              </w:rPr>
              <w:t>ddressed</w:t>
            </w:r>
          </w:p>
        </w:tc>
      </w:tr>
      <w:tr w:rsidR="00FD070B" w:rsidRPr="00FD070B" w14:paraId="4B3A0CDE" w14:textId="77777777" w:rsidTr="005440A4">
        <w:trPr>
          <w:trHeight w:val="944"/>
        </w:trPr>
        <w:tc>
          <w:tcPr>
            <w:tcW w:w="0" w:type="auto"/>
            <w:hideMark/>
          </w:tcPr>
          <w:p w14:paraId="41F11A52"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ISO/IEC 27001</w:t>
            </w:r>
          </w:p>
        </w:tc>
        <w:tc>
          <w:tcPr>
            <w:tcW w:w="4975" w:type="dxa"/>
            <w:hideMark/>
          </w:tcPr>
          <w:p w14:paraId="5909A967"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Gives NG structure: scope, policies, risk cycle, audits, improvement</w:t>
            </w:r>
          </w:p>
        </w:tc>
        <w:tc>
          <w:tcPr>
            <w:tcW w:w="3230" w:type="dxa"/>
            <w:hideMark/>
          </w:tcPr>
          <w:p w14:paraId="62B4C017" w14:textId="77777777" w:rsidR="00FD070B" w:rsidRPr="00FD070B" w:rsidRDefault="00FD070B" w:rsidP="00FD070B">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“Security in disarray”, lack of policies, inconsistent practices [5]</w:t>
            </w:r>
          </w:p>
        </w:tc>
      </w:tr>
      <w:tr w:rsidR="00FD070B" w:rsidRPr="00FD070B" w14:paraId="2AA25174" w14:textId="77777777" w:rsidTr="005440A4">
        <w:trPr>
          <w:trHeight w:val="854"/>
        </w:trPr>
        <w:tc>
          <w:tcPr>
            <w:tcW w:w="0" w:type="auto"/>
            <w:hideMark/>
          </w:tcPr>
          <w:p w14:paraId="0D0C8AAD"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ISO/IEC 27002</w:t>
            </w:r>
          </w:p>
        </w:tc>
        <w:tc>
          <w:tcPr>
            <w:tcW w:w="4975" w:type="dxa"/>
            <w:hideMark/>
          </w:tcPr>
          <w:p w14:paraId="2ABB5A67"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Provides control guidance to translate policy into safeguards</w:t>
            </w:r>
          </w:p>
        </w:tc>
        <w:tc>
          <w:tcPr>
            <w:tcW w:w="3230" w:type="dxa"/>
            <w:hideMark/>
          </w:tcPr>
          <w:p w14:paraId="7087F3D6"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Access control, data protection, operational security [6]</w:t>
            </w:r>
          </w:p>
        </w:tc>
      </w:tr>
      <w:tr w:rsidR="00FD070B" w:rsidRPr="00FD070B" w14:paraId="3424B9C5" w14:textId="77777777" w:rsidTr="005440A4">
        <w:trPr>
          <w:trHeight w:val="1071"/>
        </w:trPr>
        <w:tc>
          <w:tcPr>
            <w:tcW w:w="0" w:type="auto"/>
            <w:hideMark/>
          </w:tcPr>
          <w:p w14:paraId="301B9A98" w14:textId="77777777" w:rsidR="00FD070B" w:rsidRPr="00FD070B" w:rsidRDefault="00FD070B" w:rsidP="00FD070B">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NIST CSF 2.0</w:t>
            </w:r>
          </w:p>
        </w:tc>
        <w:tc>
          <w:tcPr>
            <w:tcW w:w="4975" w:type="dxa"/>
            <w:hideMark/>
          </w:tcPr>
          <w:p w14:paraId="4CC31DF1" w14:textId="5CB02E8D" w:rsidR="00FD070B" w:rsidRPr="00FD070B" w:rsidRDefault="00FD070B" w:rsidP="00FD070B">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Organises security into</w:t>
            </w:r>
            <w:r>
              <w:rPr>
                <w:rFonts w:ascii="Times New Roman" w:hAnsi="Times New Roman" w:cs="Times New Roman"/>
                <w:sz w:val="24"/>
                <w:szCs w:val="24"/>
              </w:rPr>
              <w:t xml:space="preserve"> </w:t>
            </w:r>
            <w:r w:rsidRPr="00FD070B">
              <w:rPr>
                <w:rFonts w:ascii="Times New Roman" w:hAnsi="Times New Roman" w:cs="Times New Roman"/>
                <w:sz w:val="24"/>
                <w:szCs w:val="24"/>
              </w:rPr>
              <w:t>Govern/Identify/Protect/Detect/Respond/Recover</w:t>
            </w:r>
          </w:p>
        </w:tc>
        <w:tc>
          <w:tcPr>
            <w:tcW w:w="3230" w:type="dxa"/>
            <w:hideMark/>
          </w:tcPr>
          <w:p w14:paraId="74607992" w14:textId="67FD9B1B"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Cloud</w:t>
            </w:r>
            <w:r w:rsidR="00101D3D">
              <w:rPr>
                <w:rFonts w:ascii="Times New Roman" w:hAnsi="Times New Roman" w:cs="Times New Roman"/>
                <w:sz w:val="24"/>
                <w:szCs w:val="24"/>
              </w:rPr>
              <w:t>,</w:t>
            </w:r>
            <w:r w:rsidRPr="00FD070B">
              <w:rPr>
                <w:rFonts w:ascii="Times New Roman" w:hAnsi="Times New Roman" w:cs="Times New Roman"/>
                <w:sz w:val="24"/>
                <w:szCs w:val="24"/>
              </w:rPr>
              <w:t xml:space="preserve"> wireless</w:t>
            </w:r>
            <w:r w:rsidR="00101D3D">
              <w:rPr>
                <w:rFonts w:ascii="Times New Roman" w:hAnsi="Times New Roman" w:cs="Times New Roman"/>
                <w:sz w:val="24"/>
                <w:szCs w:val="24"/>
              </w:rPr>
              <w:t>,</w:t>
            </w:r>
            <w:r w:rsidRPr="00FD070B">
              <w:rPr>
                <w:rFonts w:ascii="Times New Roman" w:hAnsi="Times New Roman" w:cs="Times New Roman"/>
                <w:sz w:val="24"/>
                <w:szCs w:val="24"/>
              </w:rPr>
              <w:t xml:space="preserve"> BYOD capability coverage and gap identification [7]</w:t>
            </w:r>
          </w:p>
        </w:tc>
      </w:tr>
      <w:tr w:rsidR="00FD070B" w:rsidRPr="00FD070B" w14:paraId="78522F1A" w14:textId="77777777" w:rsidTr="005440A4">
        <w:trPr>
          <w:trHeight w:val="987"/>
        </w:trPr>
        <w:tc>
          <w:tcPr>
            <w:tcW w:w="0" w:type="auto"/>
            <w:hideMark/>
          </w:tcPr>
          <w:p w14:paraId="7FF78B69"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Zero Trust (NIST SP 800-207)</w:t>
            </w:r>
          </w:p>
        </w:tc>
        <w:tc>
          <w:tcPr>
            <w:tcW w:w="4975" w:type="dxa"/>
            <w:hideMark/>
          </w:tcPr>
          <w:p w14:paraId="285F37CD" w14:textId="7A6703DE" w:rsidR="00FD070B" w:rsidRPr="00FD070B" w:rsidRDefault="00FD070B" w:rsidP="00FD070B">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Removes implicit trust</w:t>
            </w:r>
            <w:r w:rsidR="00101D3D">
              <w:rPr>
                <w:rFonts w:ascii="Times New Roman" w:hAnsi="Times New Roman" w:cs="Times New Roman"/>
                <w:sz w:val="24"/>
                <w:szCs w:val="24"/>
              </w:rPr>
              <w:t>,</w:t>
            </w:r>
            <w:r w:rsidRPr="00FD070B">
              <w:rPr>
                <w:rFonts w:ascii="Times New Roman" w:hAnsi="Times New Roman" w:cs="Times New Roman"/>
                <w:sz w:val="24"/>
                <w:szCs w:val="24"/>
              </w:rPr>
              <w:t xml:space="preserve"> continuous verification for users/devices</w:t>
            </w:r>
          </w:p>
        </w:tc>
        <w:tc>
          <w:tcPr>
            <w:tcW w:w="3230" w:type="dxa"/>
            <w:hideMark/>
          </w:tcPr>
          <w:p w14:paraId="67EC890A"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Credential theft, BYOD risks, lateral movement on wireless networks [17]</w:t>
            </w:r>
          </w:p>
        </w:tc>
      </w:tr>
      <w:tr w:rsidR="00FD070B" w:rsidRPr="00FD070B" w14:paraId="47AF0C54" w14:textId="77777777" w:rsidTr="005440A4">
        <w:trPr>
          <w:trHeight w:val="1266"/>
        </w:trPr>
        <w:tc>
          <w:tcPr>
            <w:tcW w:w="0" w:type="auto"/>
            <w:hideMark/>
          </w:tcPr>
          <w:p w14:paraId="03E5FCEC"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CIS Controls v8</w:t>
            </w:r>
          </w:p>
        </w:tc>
        <w:tc>
          <w:tcPr>
            <w:tcW w:w="4975" w:type="dxa"/>
            <w:hideMark/>
          </w:tcPr>
          <w:p w14:paraId="7D7EE8F9" w14:textId="77777777"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Practical “what to do first” controls and measurable actions</w:t>
            </w:r>
          </w:p>
        </w:tc>
        <w:tc>
          <w:tcPr>
            <w:tcW w:w="3230" w:type="dxa"/>
            <w:hideMark/>
          </w:tcPr>
          <w:p w14:paraId="08BCA267" w14:textId="77777777"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Phishing, endpoint compromise, cloud misconfiguration, weak logging [11]</w:t>
            </w:r>
          </w:p>
        </w:tc>
      </w:tr>
      <w:tr w:rsidR="00FD070B" w:rsidRPr="00FD070B" w14:paraId="070417BD" w14:textId="77777777" w:rsidTr="00101D3D">
        <w:trPr>
          <w:trHeight w:val="1632"/>
        </w:trPr>
        <w:tc>
          <w:tcPr>
            <w:tcW w:w="0" w:type="auto"/>
            <w:hideMark/>
          </w:tcPr>
          <w:p w14:paraId="2178D439"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COBIT 2019</w:t>
            </w:r>
          </w:p>
        </w:tc>
        <w:tc>
          <w:tcPr>
            <w:tcW w:w="4975" w:type="dxa"/>
            <w:hideMark/>
          </w:tcPr>
          <w:p w14:paraId="46529DD8"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Clarifies who decides, who owns risk, and how performance is monitored</w:t>
            </w:r>
          </w:p>
        </w:tc>
        <w:tc>
          <w:tcPr>
            <w:tcW w:w="3230" w:type="dxa"/>
            <w:hideMark/>
          </w:tcPr>
          <w:p w14:paraId="6A7E36AA" w14:textId="77777777"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Governance gaps, risk ownership, strategic alignment [12]</w:t>
            </w:r>
          </w:p>
        </w:tc>
      </w:tr>
      <w:tr w:rsidR="00FD070B" w:rsidRPr="00FD070B" w14:paraId="43C00307" w14:textId="77777777" w:rsidTr="0086140A">
        <w:trPr>
          <w:trHeight w:val="983"/>
        </w:trPr>
        <w:tc>
          <w:tcPr>
            <w:tcW w:w="0" w:type="auto"/>
            <w:hideMark/>
          </w:tcPr>
          <w:p w14:paraId="430F6A6D"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lastRenderedPageBreak/>
              <w:t>ITIL 4</w:t>
            </w:r>
          </w:p>
        </w:tc>
        <w:tc>
          <w:tcPr>
            <w:tcW w:w="4975" w:type="dxa"/>
            <w:hideMark/>
          </w:tcPr>
          <w:p w14:paraId="69D6F2CB" w14:textId="77777777"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Makes security reliable through incident/change/continuity practices</w:t>
            </w:r>
          </w:p>
        </w:tc>
        <w:tc>
          <w:tcPr>
            <w:tcW w:w="3230" w:type="dxa"/>
            <w:hideMark/>
          </w:tcPr>
          <w:p w14:paraId="762D526C" w14:textId="77777777"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Slow response, uncontrolled changes, weak resilience [13]</w:t>
            </w:r>
          </w:p>
        </w:tc>
      </w:tr>
      <w:tr w:rsidR="00FD070B" w:rsidRPr="00FD070B" w14:paraId="45266D16" w14:textId="77777777" w:rsidTr="0086140A">
        <w:trPr>
          <w:trHeight w:val="838"/>
        </w:trPr>
        <w:tc>
          <w:tcPr>
            <w:tcW w:w="0" w:type="auto"/>
            <w:hideMark/>
          </w:tcPr>
          <w:p w14:paraId="3840FEE2"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PCI DSS (if applicable)</w:t>
            </w:r>
          </w:p>
        </w:tc>
        <w:tc>
          <w:tcPr>
            <w:tcW w:w="4975" w:type="dxa"/>
            <w:hideMark/>
          </w:tcPr>
          <w:p w14:paraId="0F8B1EA3"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Mandatory requirements for cardholder data environments</w:t>
            </w:r>
          </w:p>
        </w:tc>
        <w:tc>
          <w:tcPr>
            <w:tcW w:w="3230" w:type="dxa"/>
            <w:hideMark/>
          </w:tcPr>
          <w:p w14:paraId="67230291" w14:textId="77777777" w:rsidR="00FD070B" w:rsidRPr="00FD070B" w:rsidRDefault="00FD070B" w:rsidP="00FD070B">
            <w:pPr>
              <w:spacing w:after="160" w:line="259" w:lineRule="auto"/>
              <w:jc w:val="both"/>
              <w:rPr>
                <w:rFonts w:ascii="Times New Roman" w:hAnsi="Times New Roman" w:cs="Times New Roman"/>
                <w:sz w:val="24"/>
                <w:szCs w:val="24"/>
              </w:rPr>
            </w:pPr>
            <w:r w:rsidRPr="00FD070B">
              <w:rPr>
                <w:rFonts w:ascii="Times New Roman" w:hAnsi="Times New Roman" w:cs="Times New Roman"/>
                <w:sz w:val="24"/>
                <w:szCs w:val="24"/>
              </w:rPr>
              <w:t>Payment fraud, cardholder data exposure [14], [15]</w:t>
            </w:r>
          </w:p>
        </w:tc>
      </w:tr>
      <w:tr w:rsidR="00FD070B" w:rsidRPr="00FD070B" w14:paraId="3674A0ED" w14:textId="77777777" w:rsidTr="00101D3D">
        <w:trPr>
          <w:trHeight w:val="1325"/>
        </w:trPr>
        <w:tc>
          <w:tcPr>
            <w:tcW w:w="0" w:type="auto"/>
            <w:hideMark/>
          </w:tcPr>
          <w:p w14:paraId="6E33BADC" w14:textId="77777777"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SOC 2 / TSC</w:t>
            </w:r>
          </w:p>
        </w:tc>
        <w:tc>
          <w:tcPr>
            <w:tcW w:w="4975" w:type="dxa"/>
            <w:hideMark/>
          </w:tcPr>
          <w:p w14:paraId="45AFB6FB" w14:textId="77777777"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Improves supplier assurance and trust for cloud/third parties</w:t>
            </w:r>
          </w:p>
        </w:tc>
        <w:tc>
          <w:tcPr>
            <w:tcW w:w="3230" w:type="dxa"/>
            <w:hideMark/>
          </w:tcPr>
          <w:p w14:paraId="010BA2E3" w14:textId="77777777" w:rsidR="00FD070B" w:rsidRPr="00FD070B" w:rsidRDefault="00FD070B" w:rsidP="00101D3D">
            <w:pPr>
              <w:spacing w:after="160" w:line="259" w:lineRule="auto"/>
              <w:rPr>
                <w:rFonts w:ascii="Times New Roman" w:hAnsi="Times New Roman" w:cs="Times New Roman"/>
                <w:sz w:val="24"/>
                <w:szCs w:val="24"/>
              </w:rPr>
            </w:pPr>
            <w:r w:rsidRPr="00FD070B">
              <w:rPr>
                <w:rFonts w:ascii="Times New Roman" w:hAnsi="Times New Roman" w:cs="Times New Roman"/>
                <w:sz w:val="24"/>
                <w:szCs w:val="24"/>
              </w:rPr>
              <w:t>Third-party risk, customer trust, evidence of controls [16]</w:t>
            </w:r>
          </w:p>
        </w:tc>
      </w:tr>
    </w:tbl>
    <w:p w14:paraId="7D44B951" w14:textId="5AE59754" w:rsidR="00FD070B" w:rsidRPr="00FD070B" w:rsidRDefault="00101D3D" w:rsidP="005B32B7">
      <w:pPr>
        <w:rPr>
          <w:rFonts w:ascii="Times New Roman" w:hAnsi="Times New Roman" w:cs="Times New Roman"/>
          <w:sz w:val="24"/>
          <w:szCs w:val="24"/>
        </w:rPr>
      </w:pPr>
      <w:r>
        <w:rPr>
          <w:rFonts w:ascii="Times New Roman" w:hAnsi="Times New Roman" w:cs="Times New Roman"/>
          <w:sz w:val="24"/>
          <w:szCs w:val="24"/>
        </w:rPr>
        <w:br w:type="page"/>
      </w:r>
    </w:p>
    <w:p w14:paraId="14E8832A" w14:textId="093DA248" w:rsidR="00F230F7" w:rsidRDefault="00F230F7" w:rsidP="00F230F7">
      <w:pPr>
        <w:pStyle w:val="Heading1"/>
        <w:rPr>
          <w:rFonts w:ascii="Times New Roman" w:hAnsi="Times New Roman" w:cs="Times New Roman"/>
          <w:b/>
          <w:bCs/>
          <w:color w:val="auto"/>
          <w:sz w:val="28"/>
          <w:szCs w:val="28"/>
        </w:rPr>
      </w:pPr>
      <w:bookmarkStart w:id="14" w:name="_Toc216999524"/>
      <w:r w:rsidRPr="00FD070B">
        <w:rPr>
          <w:rFonts w:ascii="Times New Roman" w:hAnsi="Times New Roman" w:cs="Times New Roman"/>
          <w:b/>
          <w:bCs/>
          <w:color w:val="auto"/>
          <w:sz w:val="28"/>
          <w:szCs w:val="28"/>
        </w:rPr>
        <w:lastRenderedPageBreak/>
        <w:t>5. Architecture Figure</w:t>
      </w:r>
      <w:bookmarkEnd w:id="14"/>
    </w:p>
    <w:p w14:paraId="6E860CBF" w14:textId="4BF09CEC" w:rsidR="00101D3D" w:rsidRDefault="00892C4F" w:rsidP="00101D3D">
      <w:r>
        <w:rPr>
          <w:noProof/>
        </w:rPr>
        <w:drawing>
          <wp:inline distT="0" distB="0" distL="0" distR="0" wp14:anchorId="68C0EFB6" wp14:editId="40FDA9AE">
            <wp:extent cx="5644800" cy="4734349"/>
            <wp:effectExtent l="0" t="0" r="0" b="9525"/>
            <wp:docPr id="1585707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0738" name="Picture 158570738"/>
                    <pic:cNvPicPr/>
                  </pic:nvPicPr>
                  <pic:blipFill rotWithShape="1">
                    <a:blip r:embed="rId8">
                      <a:extLst>
                        <a:ext uri="{28A0092B-C50C-407E-A947-70E740481C1C}">
                          <a14:useLocalDpi xmlns:a14="http://schemas.microsoft.com/office/drawing/2010/main" val="0"/>
                        </a:ext>
                      </a:extLst>
                    </a:blip>
                    <a:srcRect l="27511" t="25460" r="29646" b="10659"/>
                    <a:stretch>
                      <a:fillRect/>
                    </a:stretch>
                  </pic:blipFill>
                  <pic:spPr bwMode="auto">
                    <a:xfrm>
                      <a:off x="0" y="0"/>
                      <a:ext cx="5668070" cy="4753866"/>
                    </a:xfrm>
                    <a:prstGeom prst="rect">
                      <a:avLst/>
                    </a:prstGeom>
                    <a:ln>
                      <a:noFill/>
                    </a:ln>
                    <a:extLst>
                      <a:ext uri="{53640926-AAD7-44D8-BBD7-CCE9431645EC}">
                        <a14:shadowObscured xmlns:a14="http://schemas.microsoft.com/office/drawing/2010/main"/>
                      </a:ext>
                    </a:extLst>
                  </pic:spPr>
                </pic:pic>
              </a:graphicData>
            </a:graphic>
          </wp:inline>
        </w:drawing>
      </w:r>
    </w:p>
    <w:p w14:paraId="34ACF3A3" w14:textId="59636A01" w:rsidR="005440A4" w:rsidRPr="00B32C9B" w:rsidRDefault="005440A4" w:rsidP="0086140A">
      <w:pPr>
        <w:jc w:val="center"/>
        <w:rPr>
          <w:rFonts w:ascii="Times New Roman" w:hAnsi="Times New Roman" w:cs="Times New Roman"/>
          <w:b/>
          <w:bCs/>
        </w:rPr>
      </w:pPr>
      <w:r w:rsidRPr="00B32C9B">
        <w:rPr>
          <w:rFonts w:ascii="Times New Roman" w:hAnsi="Times New Roman" w:cs="Times New Roman"/>
          <w:b/>
          <w:bCs/>
        </w:rPr>
        <w:t>Fig. 1: Conceptual secure IT architecture for NatureGreen (NG</w:t>
      </w:r>
      <w:r w:rsidR="0086140A" w:rsidRPr="00B32C9B">
        <w:rPr>
          <w:rFonts w:ascii="Times New Roman" w:hAnsi="Times New Roman" w:cs="Times New Roman"/>
          <w:b/>
          <w:bCs/>
        </w:rPr>
        <w:t>)</w:t>
      </w:r>
    </w:p>
    <w:p w14:paraId="07D1F222" w14:textId="7A595C49" w:rsidR="0062235D" w:rsidRDefault="0086140A" w:rsidP="0086140A">
      <w:pPr>
        <w:jc w:val="both"/>
        <w:rPr>
          <w:rFonts w:ascii="Times New Roman" w:hAnsi="Times New Roman" w:cs="Times New Roman"/>
          <w:sz w:val="24"/>
          <w:szCs w:val="24"/>
        </w:rPr>
      </w:pPr>
      <w:r w:rsidRPr="0086140A">
        <w:rPr>
          <w:rFonts w:ascii="Times New Roman" w:hAnsi="Times New Roman" w:cs="Times New Roman"/>
          <w:sz w:val="24"/>
          <w:szCs w:val="24"/>
        </w:rPr>
        <w:t>This diagram summarises a simple but complete security design for NG. Users (including remote users and BYOD devices) access services through controlled entry points (DMZ) and strong identity controls (MFA/IAM). Traffic and data flows are then protected by a dedicated security control layer that combines prevention (next-gen firewall, DLP), detection (IDS/IPS, SIEM/SOC), and response (incident handling). Separate guest/BYOD networking reduces risk by limiting lateral movement, while backup and disaster recovery support service continuity and recovery. Overall, the architecture is designed to be practical for NG’s cloud and wireless environment while remaining aligned with recognised security management and Zero Trust guidance. [5]</w:t>
      </w:r>
      <w:r>
        <w:rPr>
          <w:rFonts w:ascii="Times New Roman" w:hAnsi="Times New Roman" w:cs="Times New Roman"/>
          <w:sz w:val="24"/>
          <w:szCs w:val="24"/>
        </w:rPr>
        <w:t xml:space="preserve">, [6], </w:t>
      </w:r>
      <w:r w:rsidRPr="0086140A">
        <w:rPr>
          <w:rFonts w:ascii="Times New Roman" w:hAnsi="Times New Roman" w:cs="Times New Roman"/>
          <w:sz w:val="24"/>
          <w:szCs w:val="24"/>
        </w:rPr>
        <w:t>[7], [11], [13], [17]</w:t>
      </w:r>
    </w:p>
    <w:p w14:paraId="51364C16" w14:textId="77777777" w:rsidR="0062235D" w:rsidRDefault="0062235D">
      <w:pPr>
        <w:rPr>
          <w:rFonts w:ascii="Times New Roman" w:hAnsi="Times New Roman" w:cs="Times New Roman"/>
          <w:sz w:val="24"/>
          <w:szCs w:val="24"/>
        </w:rPr>
      </w:pPr>
      <w:r>
        <w:rPr>
          <w:rFonts w:ascii="Times New Roman" w:hAnsi="Times New Roman" w:cs="Times New Roman"/>
          <w:sz w:val="24"/>
          <w:szCs w:val="24"/>
        </w:rPr>
        <w:br w:type="page"/>
      </w:r>
    </w:p>
    <w:p w14:paraId="2B65C593" w14:textId="77777777" w:rsidR="0086140A" w:rsidRPr="0086140A" w:rsidRDefault="0086140A" w:rsidP="0086140A">
      <w:pPr>
        <w:jc w:val="both"/>
        <w:rPr>
          <w:rFonts w:ascii="Times New Roman" w:hAnsi="Times New Roman" w:cs="Times New Roman"/>
          <w:sz w:val="24"/>
          <w:szCs w:val="24"/>
        </w:rPr>
      </w:pPr>
    </w:p>
    <w:p w14:paraId="123A2849" w14:textId="0393767F" w:rsidR="00F230F7" w:rsidRDefault="00F230F7" w:rsidP="00F230F7">
      <w:pPr>
        <w:pStyle w:val="Heading1"/>
        <w:rPr>
          <w:rFonts w:ascii="Times New Roman" w:hAnsi="Times New Roman" w:cs="Times New Roman"/>
          <w:b/>
          <w:bCs/>
          <w:color w:val="auto"/>
          <w:sz w:val="28"/>
          <w:szCs w:val="28"/>
        </w:rPr>
      </w:pPr>
      <w:bookmarkStart w:id="15" w:name="_Toc216999525"/>
      <w:r w:rsidRPr="00FD070B">
        <w:rPr>
          <w:rFonts w:ascii="Times New Roman" w:hAnsi="Times New Roman" w:cs="Times New Roman"/>
          <w:b/>
          <w:bCs/>
          <w:color w:val="auto"/>
          <w:sz w:val="28"/>
          <w:szCs w:val="28"/>
        </w:rPr>
        <w:t>6. Domain Mapping and Security Design for NG</w:t>
      </w:r>
      <w:bookmarkEnd w:id="15"/>
    </w:p>
    <w:p w14:paraId="3574C8CA" w14:textId="2D489294" w:rsidR="00B32C9B" w:rsidRDefault="00CE1B42" w:rsidP="00CE1B42">
      <w:pPr>
        <w:jc w:val="both"/>
        <w:rPr>
          <w:rFonts w:ascii="Times New Roman" w:hAnsi="Times New Roman" w:cs="Times New Roman"/>
          <w:sz w:val="24"/>
          <w:szCs w:val="24"/>
        </w:rPr>
      </w:pPr>
      <w:r w:rsidRPr="00CE1B42">
        <w:rPr>
          <w:rFonts w:ascii="Times New Roman" w:hAnsi="Times New Roman" w:cs="Times New Roman"/>
          <w:sz w:val="24"/>
          <w:szCs w:val="24"/>
        </w:rPr>
        <w:t>This section explains how NG can turn the selected frameworks into practical controls by mapping them to the 7 domains of IT infrastructure (User, Workstation, LAN, LAN-to-WAN, WAN, Remote Access, and System/Application). This approach is helpful because it breaks a complex environment into smaller parts, making risks easier to see and controls easier to assign and manage. [1]</w:t>
      </w:r>
    </w:p>
    <w:p w14:paraId="45D2C87C" w14:textId="6CBDE93A" w:rsidR="00B32C9B" w:rsidRPr="00B32C9B" w:rsidRDefault="00B32C9B" w:rsidP="00CE1B42">
      <w:pPr>
        <w:jc w:val="both"/>
        <w:rPr>
          <w:rFonts w:ascii="Times New Roman" w:hAnsi="Times New Roman" w:cs="Times New Roman"/>
          <w:b/>
          <w:bCs/>
          <w:sz w:val="24"/>
          <w:szCs w:val="24"/>
        </w:rPr>
      </w:pPr>
      <w:r>
        <w:rPr>
          <w:rFonts w:ascii="Times New Roman" w:hAnsi="Times New Roman" w:cs="Times New Roman"/>
          <w:sz w:val="24"/>
          <w:szCs w:val="24"/>
        </w:rPr>
        <w:t xml:space="preserve">                   </w:t>
      </w:r>
      <w:bookmarkStart w:id="16" w:name="_Hlk216985753"/>
      <w:r w:rsidRPr="00B32C9B">
        <w:rPr>
          <w:rFonts w:ascii="Times New Roman" w:hAnsi="Times New Roman" w:cs="Times New Roman"/>
          <w:b/>
          <w:bCs/>
          <w:sz w:val="24"/>
          <w:szCs w:val="24"/>
        </w:rPr>
        <w:t>Table 2: 7 Domains mapped to key controls for NatureGreen (NG)</w:t>
      </w:r>
      <w:bookmarkEnd w:id="16"/>
    </w:p>
    <w:tbl>
      <w:tblPr>
        <w:tblStyle w:val="TableGridLight"/>
        <w:tblW w:w="9625" w:type="dxa"/>
        <w:tblLayout w:type="fixed"/>
        <w:tblLook w:val="04A0" w:firstRow="1" w:lastRow="0" w:firstColumn="1" w:lastColumn="0" w:noHBand="0" w:noVBand="1"/>
      </w:tblPr>
      <w:tblGrid>
        <w:gridCol w:w="1885"/>
        <w:gridCol w:w="1620"/>
        <w:gridCol w:w="3600"/>
        <w:gridCol w:w="2520"/>
      </w:tblGrid>
      <w:tr w:rsidR="00174785" w:rsidRPr="00174785" w14:paraId="558A6DFB" w14:textId="77777777" w:rsidTr="00B32C9B">
        <w:tc>
          <w:tcPr>
            <w:tcW w:w="1885" w:type="dxa"/>
            <w:hideMark/>
          </w:tcPr>
          <w:p w14:paraId="7ECD0FEA" w14:textId="77777777" w:rsidR="00174785" w:rsidRPr="00174785" w:rsidRDefault="00174785" w:rsidP="00672BB9">
            <w:pPr>
              <w:rPr>
                <w:rFonts w:ascii="Times New Roman" w:eastAsiaTheme="majorEastAsia" w:hAnsi="Times New Roman" w:cs="Times New Roman"/>
                <w:b/>
                <w:bCs/>
                <w:sz w:val="24"/>
                <w:szCs w:val="24"/>
              </w:rPr>
            </w:pPr>
            <w:r w:rsidRPr="00174785">
              <w:rPr>
                <w:rFonts w:ascii="Times New Roman" w:eastAsiaTheme="majorEastAsia" w:hAnsi="Times New Roman" w:cs="Times New Roman"/>
                <w:b/>
                <w:bCs/>
                <w:sz w:val="24"/>
                <w:szCs w:val="24"/>
              </w:rPr>
              <w:t>7 Domains of IT Infrastructure</w:t>
            </w:r>
          </w:p>
        </w:tc>
        <w:tc>
          <w:tcPr>
            <w:tcW w:w="1620" w:type="dxa"/>
            <w:hideMark/>
          </w:tcPr>
          <w:p w14:paraId="1BE87766" w14:textId="77777777" w:rsidR="00174785" w:rsidRPr="00174785" w:rsidRDefault="00174785" w:rsidP="00672BB9">
            <w:pPr>
              <w:rPr>
                <w:rFonts w:ascii="Times New Roman" w:eastAsiaTheme="majorEastAsia" w:hAnsi="Times New Roman" w:cs="Times New Roman"/>
                <w:b/>
                <w:bCs/>
                <w:sz w:val="24"/>
                <w:szCs w:val="24"/>
              </w:rPr>
            </w:pPr>
            <w:r w:rsidRPr="00174785">
              <w:rPr>
                <w:rFonts w:ascii="Times New Roman" w:eastAsiaTheme="majorEastAsia" w:hAnsi="Times New Roman" w:cs="Times New Roman"/>
                <w:b/>
                <w:bCs/>
                <w:sz w:val="24"/>
                <w:szCs w:val="24"/>
              </w:rPr>
              <w:t>What it covers at NG</w:t>
            </w:r>
          </w:p>
        </w:tc>
        <w:tc>
          <w:tcPr>
            <w:tcW w:w="3600" w:type="dxa"/>
            <w:hideMark/>
          </w:tcPr>
          <w:p w14:paraId="40395367" w14:textId="77777777" w:rsidR="00174785" w:rsidRPr="00174785" w:rsidRDefault="00174785" w:rsidP="00672BB9">
            <w:pPr>
              <w:rPr>
                <w:rFonts w:ascii="Times New Roman" w:eastAsiaTheme="majorEastAsia" w:hAnsi="Times New Roman" w:cs="Times New Roman"/>
                <w:b/>
                <w:bCs/>
                <w:sz w:val="24"/>
                <w:szCs w:val="24"/>
              </w:rPr>
            </w:pPr>
            <w:r w:rsidRPr="00174785">
              <w:rPr>
                <w:rFonts w:ascii="Times New Roman" w:eastAsiaTheme="majorEastAsia" w:hAnsi="Times New Roman" w:cs="Times New Roman"/>
                <w:b/>
                <w:bCs/>
                <w:sz w:val="24"/>
                <w:szCs w:val="24"/>
              </w:rPr>
              <w:t>Key security controls (what NG should implement)</w:t>
            </w:r>
          </w:p>
        </w:tc>
        <w:tc>
          <w:tcPr>
            <w:tcW w:w="2520" w:type="dxa"/>
            <w:hideMark/>
          </w:tcPr>
          <w:p w14:paraId="72417DF7" w14:textId="77777777" w:rsidR="00174785" w:rsidRPr="00174785" w:rsidRDefault="00174785" w:rsidP="00672BB9">
            <w:pPr>
              <w:rPr>
                <w:rFonts w:ascii="Times New Roman" w:eastAsiaTheme="majorEastAsia" w:hAnsi="Times New Roman" w:cs="Times New Roman"/>
                <w:b/>
                <w:bCs/>
                <w:sz w:val="24"/>
                <w:szCs w:val="24"/>
              </w:rPr>
            </w:pPr>
            <w:r w:rsidRPr="00174785">
              <w:rPr>
                <w:rFonts w:ascii="Times New Roman" w:eastAsiaTheme="majorEastAsia" w:hAnsi="Times New Roman" w:cs="Times New Roman"/>
                <w:b/>
                <w:bCs/>
                <w:sz w:val="24"/>
                <w:szCs w:val="24"/>
              </w:rPr>
              <w:t>Framework links</w:t>
            </w:r>
          </w:p>
        </w:tc>
      </w:tr>
      <w:tr w:rsidR="00174785" w:rsidRPr="00174785" w14:paraId="6C2CD253" w14:textId="77777777" w:rsidTr="00B32C9B">
        <w:tc>
          <w:tcPr>
            <w:tcW w:w="1885" w:type="dxa"/>
            <w:hideMark/>
          </w:tcPr>
          <w:p w14:paraId="3AAA1CC3"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1) User Domain</w:t>
            </w:r>
          </w:p>
        </w:tc>
        <w:tc>
          <w:tcPr>
            <w:tcW w:w="1620" w:type="dxa"/>
            <w:hideMark/>
          </w:tcPr>
          <w:p w14:paraId="2B1E31DE"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Employees, admins, contractors, customers</w:t>
            </w:r>
          </w:p>
        </w:tc>
        <w:tc>
          <w:tcPr>
            <w:tcW w:w="3600" w:type="dxa"/>
            <w:hideMark/>
          </w:tcPr>
          <w:p w14:paraId="406BE0FF" w14:textId="77777777" w:rsidR="00174785" w:rsidRPr="00174785" w:rsidRDefault="00174785" w:rsidP="00B32C9B">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Security awareness + phishing training; Acceptable Use + BYOD agreement; MFA for staff/admins; least privilege; periodic access reviews; monitoring of suspicious behaviour</w:t>
            </w:r>
          </w:p>
        </w:tc>
        <w:tc>
          <w:tcPr>
            <w:tcW w:w="2520" w:type="dxa"/>
            <w:hideMark/>
          </w:tcPr>
          <w:p w14:paraId="05A37E31"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ISO 27001/27002 [5], [6]; NIST CSF [7], [8]; NIST 800-53 [10]; CIS [11]; Zero Trust [17]</w:t>
            </w:r>
          </w:p>
        </w:tc>
      </w:tr>
      <w:tr w:rsidR="00174785" w:rsidRPr="00174785" w14:paraId="27638081" w14:textId="77777777" w:rsidTr="00B32C9B">
        <w:tc>
          <w:tcPr>
            <w:tcW w:w="1885" w:type="dxa"/>
            <w:hideMark/>
          </w:tcPr>
          <w:p w14:paraId="0E8DA0A8"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2) Workstation Domain</w:t>
            </w:r>
          </w:p>
        </w:tc>
        <w:tc>
          <w:tcPr>
            <w:tcW w:w="1620" w:type="dxa"/>
            <w:hideMark/>
          </w:tcPr>
          <w:p w14:paraId="6A591316"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Corporate endpoints + personal BYOD devices</w:t>
            </w:r>
          </w:p>
        </w:tc>
        <w:tc>
          <w:tcPr>
            <w:tcW w:w="3600" w:type="dxa"/>
            <w:hideMark/>
          </w:tcPr>
          <w:p w14:paraId="763E2CD3"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Asset inventory (devices/software); patching; endpoint protection (EDR/AV); device encryption; MDM / device posture checks for BYOD; baseline secure configuration</w:t>
            </w:r>
          </w:p>
        </w:tc>
        <w:tc>
          <w:tcPr>
            <w:tcW w:w="2520" w:type="dxa"/>
            <w:hideMark/>
          </w:tcPr>
          <w:p w14:paraId="4A4A81D4" w14:textId="75C369C0"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 xml:space="preserve">CIS </w:t>
            </w:r>
            <w:r w:rsidR="00ED1661">
              <w:rPr>
                <w:rFonts w:ascii="Times New Roman" w:eastAsiaTheme="majorEastAsia" w:hAnsi="Times New Roman" w:cs="Times New Roman"/>
                <w:sz w:val="24"/>
                <w:szCs w:val="24"/>
              </w:rPr>
              <w:t>Controls v8</w:t>
            </w:r>
            <w:r w:rsidRPr="00174785">
              <w:rPr>
                <w:rFonts w:ascii="Times New Roman" w:eastAsiaTheme="majorEastAsia" w:hAnsi="Times New Roman" w:cs="Times New Roman"/>
                <w:sz w:val="24"/>
                <w:szCs w:val="24"/>
              </w:rPr>
              <w:t>[11]; NIST 800-53 [10]; Zero Trust posture-based access [17]</w:t>
            </w:r>
          </w:p>
        </w:tc>
      </w:tr>
      <w:tr w:rsidR="00174785" w:rsidRPr="00174785" w14:paraId="3608A707" w14:textId="77777777" w:rsidTr="00B32C9B">
        <w:tc>
          <w:tcPr>
            <w:tcW w:w="1885" w:type="dxa"/>
            <w:hideMark/>
          </w:tcPr>
          <w:p w14:paraId="2F458A37"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3) LAN Domain</w:t>
            </w:r>
          </w:p>
        </w:tc>
        <w:tc>
          <w:tcPr>
            <w:tcW w:w="1620" w:type="dxa"/>
            <w:hideMark/>
          </w:tcPr>
          <w:p w14:paraId="19D4200C"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Internal wired + wireless networks (critical for NG)</w:t>
            </w:r>
          </w:p>
        </w:tc>
        <w:tc>
          <w:tcPr>
            <w:tcW w:w="3600" w:type="dxa"/>
            <w:hideMark/>
          </w:tcPr>
          <w:p w14:paraId="79DE2B72"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Network segmentation (VLANs); separate corporate vs guest/BYOD SSIDs; NAC/802.1X; internal traffic monitoring; restrict lateral movement</w:t>
            </w:r>
          </w:p>
        </w:tc>
        <w:tc>
          <w:tcPr>
            <w:tcW w:w="2520" w:type="dxa"/>
            <w:hideMark/>
          </w:tcPr>
          <w:p w14:paraId="5B35B25E"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NIST CSF Detect [8]; CIS [11]; Zero Trust segmentation [17]; ISO control guidance [6]</w:t>
            </w:r>
          </w:p>
        </w:tc>
      </w:tr>
      <w:tr w:rsidR="00174785" w:rsidRPr="00174785" w14:paraId="50DFC9F3" w14:textId="77777777" w:rsidTr="00B32C9B">
        <w:tc>
          <w:tcPr>
            <w:tcW w:w="1885" w:type="dxa"/>
            <w:hideMark/>
          </w:tcPr>
          <w:p w14:paraId="04FC7A15"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4) LAN-to-WAN Domain</w:t>
            </w:r>
          </w:p>
        </w:tc>
        <w:tc>
          <w:tcPr>
            <w:tcW w:w="1620" w:type="dxa"/>
            <w:hideMark/>
          </w:tcPr>
          <w:p w14:paraId="64E4367E"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Perimeter, gateways, DMZ, internet-facing services</w:t>
            </w:r>
          </w:p>
        </w:tc>
        <w:tc>
          <w:tcPr>
            <w:tcW w:w="3600" w:type="dxa"/>
            <w:hideMark/>
          </w:tcPr>
          <w:p w14:paraId="220B68D3"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DMZ for web/email; next-gen firewalls; IDS/IPS; secure DNS/web filtering; centralised logs to SIEM/SOC</w:t>
            </w:r>
          </w:p>
        </w:tc>
        <w:tc>
          <w:tcPr>
            <w:tcW w:w="2520" w:type="dxa"/>
            <w:hideMark/>
          </w:tcPr>
          <w:p w14:paraId="2AC13375"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CIS [11]; NIST CSF Protect/Detect [8]; ITIL incident escalation [13]</w:t>
            </w:r>
          </w:p>
        </w:tc>
      </w:tr>
      <w:tr w:rsidR="00174785" w:rsidRPr="00174785" w14:paraId="1E76F98C" w14:textId="77777777" w:rsidTr="00B32C9B">
        <w:tc>
          <w:tcPr>
            <w:tcW w:w="1885" w:type="dxa"/>
            <w:hideMark/>
          </w:tcPr>
          <w:p w14:paraId="34533CD4"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5) WAN Domain</w:t>
            </w:r>
          </w:p>
        </w:tc>
        <w:tc>
          <w:tcPr>
            <w:tcW w:w="1620" w:type="dxa"/>
            <w:hideMark/>
          </w:tcPr>
          <w:p w14:paraId="78516AC7"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Internet + cloud connectivity + third parties</w:t>
            </w:r>
          </w:p>
        </w:tc>
        <w:tc>
          <w:tcPr>
            <w:tcW w:w="3600" w:type="dxa"/>
            <w:hideMark/>
          </w:tcPr>
          <w:p w14:paraId="667A455C"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Encrypted connections (TLS/VPN); secure APIs; cloud configuration monitoring; vendor/security requirements in contracts; supplier assurance (SOC-aligned)</w:t>
            </w:r>
          </w:p>
        </w:tc>
        <w:tc>
          <w:tcPr>
            <w:tcW w:w="2520" w:type="dxa"/>
            <w:hideMark/>
          </w:tcPr>
          <w:p w14:paraId="7BC3B801" w14:textId="0F95AEA5"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 xml:space="preserve">NIST 800-53 [10]; CIS </w:t>
            </w:r>
            <w:proofErr w:type="gramStart"/>
            <w:r w:rsidR="003E7948">
              <w:rPr>
                <w:rFonts w:ascii="Times New Roman" w:eastAsiaTheme="majorEastAsia" w:hAnsi="Times New Roman" w:cs="Times New Roman"/>
                <w:sz w:val="24"/>
                <w:szCs w:val="24"/>
              </w:rPr>
              <w:t>Control</w:t>
            </w:r>
            <w:r w:rsidRPr="00174785">
              <w:rPr>
                <w:rFonts w:ascii="Times New Roman" w:eastAsiaTheme="majorEastAsia" w:hAnsi="Times New Roman" w:cs="Times New Roman"/>
                <w:sz w:val="24"/>
                <w:szCs w:val="24"/>
              </w:rPr>
              <w:t>[</w:t>
            </w:r>
            <w:proofErr w:type="gramEnd"/>
            <w:r w:rsidRPr="00174785">
              <w:rPr>
                <w:rFonts w:ascii="Times New Roman" w:eastAsiaTheme="majorEastAsia" w:hAnsi="Times New Roman" w:cs="Times New Roman"/>
                <w:sz w:val="24"/>
                <w:szCs w:val="24"/>
              </w:rPr>
              <w:t>11]; SOC 2/TSC assurance [16]; COBIT governance oversight [12]</w:t>
            </w:r>
          </w:p>
        </w:tc>
      </w:tr>
      <w:tr w:rsidR="00174785" w:rsidRPr="00174785" w14:paraId="5942B183" w14:textId="77777777" w:rsidTr="00B32C9B">
        <w:tc>
          <w:tcPr>
            <w:tcW w:w="1885" w:type="dxa"/>
            <w:hideMark/>
          </w:tcPr>
          <w:p w14:paraId="55503B03"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6) Remote Access Domain</w:t>
            </w:r>
          </w:p>
        </w:tc>
        <w:tc>
          <w:tcPr>
            <w:tcW w:w="1620" w:type="dxa"/>
            <w:hideMark/>
          </w:tcPr>
          <w:p w14:paraId="01F4C30D"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Remote staff, travelling users, partner access</w:t>
            </w:r>
          </w:p>
        </w:tc>
        <w:tc>
          <w:tcPr>
            <w:tcW w:w="3600" w:type="dxa"/>
            <w:hideMark/>
          </w:tcPr>
          <w:p w14:paraId="25EB7ED9"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MFA + step-up authentication; conditional access (risk-based); ZTNA-style access; restrict admin access; session monitoring</w:t>
            </w:r>
          </w:p>
        </w:tc>
        <w:tc>
          <w:tcPr>
            <w:tcW w:w="2520" w:type="dxa"/>
            <w:hideMark/>
          </w:tcPr>
          <w:p w14:paraId="566E1C5B"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Zero Trust [17]; NIST 800-53 identity/access [10]; NIST CSF [7]</w:t>
            </w:r>
          </w:p>
        </w:tc>
      </w:tr>
      <w:tr w:rsidR="00174785" w:rsidRPr="00174785" w14:paraId="2C5F482D" w14:textId="77777777" w:rsidTr="00B32C9B">
        <w:tc>
          <w:tcPr>
            <w:tcW w:w="1885" w:type="dxa"/>
            <w:hideMark/>
          </w:tcPr>
          <w:p w14:paraId="6EA0E25A" w14:textId="6527941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7)System/Application Domain</w:t>
            </w:r>
          </w:p>
        </w:tc>
        <w:tc>
          <w:tcPr>
            <w:tcW w:w="1620" w:type="dxa"/>
            <w:hideMark/>
          </w:tcPr>
          <w:p w14:paraId="2D1888E3"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t xml:space="preserve">Cloud workloads, applications, </w:t>
            </w:r>
            <w:r w:rsidRPr="00174785">
              <w:rPr>
                <w:rFonts w:ascii="Times New Roman" w:eastAsiaTheme="majorEastAsia" w:hAnsi="Times New Roman" w:cs="Times New Roman"/>
                <w:sz w:val="24"/>
                <w:szCs w:val="24"/>
              </w:rPr>
              <w:lastRenderedPageBreak/>
              <w:t>databases (PII + IP)</w:t>
            </w:r>
          </w:p>
        </w:tc>
        <w:tc>
          <w:tcPr>
            <w:tcW w:w="3600" w:type="dxa"/>
            <w:hideMark/>
          </w:tcPr>
          <w:p w14:paraId="21483F6A"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lastRenderedPageBreak/>
              <w:t xml:space="preserve">Strong access control + logging; secure configuration baselines; vulnerability management; </w:t>
            </w:r>
            <w:r w:rsidRPr="00174785">
              <w:rPr>
                <w:rFonts w:ascii="Times New Roman" w:eastAsiaTheme="majorEastAsia" w:hAnsi="Times New Roman" w:cs="Times New Roman"/>
                <w:sz w:val="24"/>
                <w:szCs w:val="24"/>
              </w:rPr>
              <w:lastRenderedPageBreak/>
              <w:t>controlled change; backups/DR; incident response playbooks</w:t>
            </w:r>
          </w:p>
        </w:tc>
        <w:tc>
          <w:tcPr>
            <w:tcW w:w="2520" w:type="dxa"/>
            <w:hideMark/>
          </w:tcPr>
          <w:p w14:paraId="6BB57BE7" w14:textId="77777777" w:rsidR="00174785" w:rsidRPr="00174785" w:rsidRDefault="00174785" w:rsidP="00672BB9">
            <w:pPr>
              <w:rPr>
                <w:rFonts w:ascii="Times New Roman" w:eastAsiaTheme="majorEastAsia" w:hAnsi="Times New Roman" w:cs="Times New Roman"/>
                <w:sz w:val="24"/>
                <w:szCs w:val="24"/>
              </w:rPr>
            </w:pPr>
            <w:r w:rsidRPr="00174785">
              <w:rPr>
                <w:rFonts w:ascii="Times New Roman" w:eastAsiaTheme="majorEastAsia" w:hAnsi="Times New Roman" w:cs="Times New Roman"/>
                <w:sz w:val="24"/>
                <w:szCs w:val="24"/>
              </w:rPr>
              <w:lastRenderedPageBreak/>
              <w:t xml:space="preserve">ISO ISMS governance [5], ISO controls [6]; NIST RMF [9]; NIST </w:t>
            </w:r>
            <w:r w:rsidRPr="00174785">
              <w:rPr>
                <w:rFonts w:ascii="Times New Roman" w:eastAsiaTheme="majorEastAsia" w:hAnsi="Times New Roman" w:cs="Times New Roman"/>
                <w:sz w:val="24"/>
                <w:szCs w:val="24"/>
              </w:rPr>
              <w:lastRenderedPageBreak/>
              <w:t>800-53 [10]; ITIL change/incident [13]; CIS [11]</w:t>
            </w:r>
          </w:p>
        </w:tc>
      </w:tr>
    </w:tbl>
    <w:p w14:paraId="3F20635E" w14:textId="77777777" w:rsidR="00B32C9B" w:rsidRDefault="00B32C9B" w:rsidP="00553C06">
      <w:pPr>
        <w:jc w:val="both"/>
        <w:rPr>
          <w:rFonts w:ascii="Times New Roman" w:hAnsi="Times New Roman" w:cs="Times New Roman"/>
          <w:sz w:val="24"/>
          <w:szCs w:val="24"/>
        </w:rPr>
      </w:pPr>
    </w:p>
    <w:p w14:paraId="2C6384F3" w14:textId="782BB089" w:rsidR="00CE1B42" w:rsidRPr="00CE1B42" w:rsidRDefault="00CE1B42" w:rsidP="00553C06">
      <w:pPr>
        <w:jc w:val="both"/>
        <w:rPr>
          <w:rFonts w:ascii="Times New Roman" w:hAnsi="Times New Roman" w:cs="Times New Roman"/>
          <w:sz w:val="24"/>
          <w:szCs w:val="24"/>
        </w:rPr>
      </w:pPr>
      <w:r w:rsidRPr="00CE1B42">
        <w:rPr>
          <w:rFonts w:ascii="Times New Roman" w:hAnsi="Times New Roman" w:cs="Times New Roman"/>
          <w:sz w:val="24"/>
          <w:szCs w:val="24"/>
        </w:rPr>
        <w:t>Even with a strong design, NG cannot treat security as done</w:t>
      </w:r>
      <w:r w:rsidR="00744CF9">
        <w:rPr>
          <w:rFonts w:ascii="Times New Roman" w:hAnsi="Times New Roman" w:cs="Times New Roman"/>
          <w:sz w:val="24"/>
          <w:szCs w:val="24"/>
        </w:rPr>
        <w:t>.</w:t>
      </w:r>
      <w:r w:rsidRPr="00CE1B42">
        <w:rPr>
          <w:rFonts w:ascii="Times New Roman" w:hAnsi="Times New Roman" w:cs="Times New Roman"/>
          <w:sz w:val="24"/>
          <w:szCs w:val="24"/>
        </w:rPr>
        <w:t xml:space="preserve"> Threats evolve, technology changes, and legal expectations shift</w:t>
      </w:r>
      <w:r w:rsidR="00553C06">
        <w:rPr>
          <w:rFonts w:ascii="Times New Roman" w:hAnsi="Times New Roman" w:cs="Times New Roman"/>
          <w:sz w:val="24"/>
          <w:szCs w:val="24"/>
        </w:rPr>
        <w:t xml:space="preserve"> </w:t>
      </w:r>
      <w:r w:rsidRPr="00CE1B42">
        <w:rPr>
          <w:rFonts w:ascii="Times New Roman" w:hAnsi="Times New Roman" w:cs="Times New Roman"/>
          <w:sz w:val="24"/>
          <w:szCs w:val="24"/>
        </w:rPr>
        <w:t>especially for global companies handling personal data and operating across jurisdictions. This is why organisations are expected to demonstrate ongoing due care and due diligence, meaning policies and controls must be reviewed, updated, and tested regularly. [2]</w:t>
      </w:r>
    </w:p>
    <w:p w14:paraId="00F03B6B" w14:textId="77777777" w:rsidR="00CE1B42" w:rsidRPr="00CE1B42" w:rsidRDefault="00CE1B42" w:rsidP="00553C06">
      <w:pPr>
        <w:jc w:val="both"/>
        <w:rPr>
          <w:rFonts w:ascii="Times New Roman" w:hAnsi="Times New Roman" w:cs="Times New Roman"/>
          <w:sz w:val="24"/>
          <w:szCs w:val="24"/>
        </w:rPr>
      </w:pPr>
      <w:r w:rsidRPr="00CE1B42">
        <w:rPr>
          <w:rFonts w:ascii="Times New Roman" w:hAnsi="Times New Roman" w:cs="Times New Roman"/>
          <w:sz w:val="24"/>
          <w:szCs w:val="24"/>
        </w:rPr>
        <w:t>From a practical perspective:</w:t>
      </w:r>
    </w:p>
    <w:p w14:paraId="1B2422E2" w14:textId="77777777" w:rsidR="00CE1B42" w:rsidRPr="00CE1B42" w:rsidRDefault="00CE1B42" w:rsidP="00553C06">
      <w:pPr>
        <w:numPr>
          <w:ilvl w:val="0"/>
          <w:numId w:val="9"/>
        </w:numPr>
        <w:jc w:val="both"/>
        <w:rPr>
          <w:rFonts w:ascii="Times New Roman" w:hAnsi="Times New Roman" w:cs="Times New Roman"/>
          <w:sz w:val="24"/>
          <w:szCs w:val="24"/>
        </w:rPr>
      </w:pPr>
      <w:r w:rsidRPr="00CE1B42">
        <w:rPr>
          <w:rFonts w:ascii="Times New Roman" w:hAnsi="Times New Roman" w:cs="Times New Roman"/>
          <w:sz w:val="24"/>
          <w:szCs w:val="24"/>
        </w:rPr>
        <w:t>New attack methods (e.g., phishing techniques, credential theft patterns) require updated awareness training and detection rules. [8], [11]</w:t>
      </w:r>
    </w:p>
    <w:p w14:paraId="545AF59E" w14:textId="77777777" w:rsidR="00CE1B42" w:rsidRPr="00CE1B42" w:rsidRDefault="00CE1B42" w:rsidP="00553C06">
      <w:pPr>
        <w:numPr>
          <w:ilvl w:val="0"/>
          <w:numId w:val="9"/>
        </w:numPr>
        <w:jc w:val="both"/>
        <w:rPr>
          <w:rFonts w:ascii="Times New Roman" w:hAnsi="Times New Roman" w:cs="Times New Roman"/>
          <w:sz w:val="24"/>
          <w:szCs w:val="24"/>
        </w:rPr>
      </w:pPr>
      <w:r w:rsidRPr="00CE1B42">
        <w:rPr>
          <w:rFonts w:ascii="Times New Roman" w:hAnsi="Times New Roman" w:cs="Times New Roman"/>
          <w:sz w:val="24"/>
          <w:szCs w:val="24"/>
        </w:rPr>
        <w:t>Cloud platforms and services evolve quickly, which creates new configuration and identity risks. [11]</w:t>
      </w:r>
    </w:p>
    <w:p w14:paraId="408D989C" w14:textId="77777777" w:rsidR="00CE1B42" w:rsidRPr="00CE1B42" w:rsidRDefault="00CE1B42" w:rsidP="00553C06">
      <w:pPr>
        <w:numPr>
          <w:ilvl w:val="0"/>
          <w:numId w:val="9"/>
        </w:numPr>
        <w:jc w:val="both"/>
        <w:rPr>
          <w:rFonts w:ascii="Times New Roman" w:hAnsi="Times New Roman" w:cs="Times New Roman"/>
          <w:sz w:val="24"/>
          <w:szCs w:val="24"/>
        </w:rPr>
      </w:pPr>
      <w:r w:rsidRPr="00CE1B42">
        <w:rPr>
          <w:rFonts w:ascii="Times New Roman" w:hAnsi="Times New Roman" w:cs="Times New Roman"/>
          <w:sz w:val="24"/>
          <w:szCs w:val="24"/>
        </w:rPr>
        <w:t>Governance must keep pace: roles, accountability, and risk appetite must be reviewed as the business grows and changes. [12]</w:t>
      </w:r>
    </w:p>
    <w:p w14:paraId="1324718A" w14:textId="77777777" w:rsidR="00CE1B42" w:rsidRPr="00CE1B42" w:rsidRDefault="00CE1B42" w:rsidP="00553C06">
      <w:pPr>
        <w:numPr>
          <w:ilvl w:val="0"/>
          <w:numId w:val="9"/>
        </w:numPr>
        <w:jc w:val="both"/>
        <w:rPr>
          <w:rFonts w:ascii="Times New Roman" w:hAnsi="Times New Roman" w:cs="Times New Roman"/>
          <w:sz w:val="24"/>
          <w:szCs w:val="24"/>
        </w:rPr>
      </w:pPr>
      <w:r w:rsidRPr="00CE1B42">
        <w:rPr>
          <w:rFonts w:ascii="Times New Roman" w:hAnsi="Times New Roman" w:cs="Times New Roman"/>
          <w:sz w:val="24"/>
          <w:szCs w:val="24"/>
        </w:rPr>
        <w:t>Operational practices must improve continuously so incident response and recovery stay effective in real events. [13]</w:t>
      </w:r>
    </w:p>
    <w:p w14:paraId="7E5B9C64" w14:textId="49EBC57A" w:rsidR="00C82E07" w:rsidRDefault="00CE1B42" w:rsidP="00C82E07">
      <w:pPr>
        <w:jc w:val="both"/>
        <w:rPr>
          <w:rFonts w:ascii="Times New Roman" w:hAnsi="Times New Roman" w:cs="Times New Roman"/>
          <w:sz w:val="24"/>
          <w:szCs w:val="24"/>
        </w:rPr>
      </w:pPr>
      <w:r w:rsidRPr="00CE1B42">
        <w:rPr>
          <w:rFonts w:ascii="Times New Roman" w:hAnsi="Times New Roman" w:cs="Times New Roman"/>
          <w:sz w:val="24"/>
          <w:szCs w:val="24"/>
        </w:rPr>
        <w:t>This continuous improvement mindset is consistent with an ISMS approach and helps NG remain resilient, compliant, and trustworthy over time. [5], [2]</w:t>
      </w:r>
    </w:p>
    <w:p w14:paraId="77328C9B" w14:textId="77777777" w:rsidR="00C82E07" w:rsidRDefault="00C82E07" w:rsidP="00C82E07">
      <w:pPr>
        <w:jc w:val="both"/>
        <w:rPr>
          <w:rFonts w:ascii="Times New Roman" w:hAnsi="Times New Roman" w:cs="Times New Roman"/>
          <w:sz w:val="24"/>
          <w:szCs w:val="24"/>
        </w:rPr>
      </w:pPr>
    </w:p>
    <w:p w14:paraId="1A0EEECC" w14:textId="0B050DFC" w:rsidR="00CE1B42" w:rsidRPr="00C82E07" w:rsidRDefault="00C82E07" w:rsidP="00C82E07">
      <w:pPr>
        <w:rPr>
          <w:rFonts w:ascii="Times New Roman" w:hAnsi="Times New Roman" w:cs="Times New Roman"/>
          <w:sz w:val="24"/>
          <w:szCs w:val="24"/>
        </w:rPr>
      </w:pPr>
      <w:r>
        <w:rPr>
          <w:rFonts w:ascii="Times New Roman" w:hAnsi="Times New Roman" w:cs="Times New Roman"/>
          <w:sz w:val="24"/>
          <w:szCs w:val="24"/>
        </w:rPr>
        <w:br w:type="page"/>
      </w:r>
    </w:p>
    <w:p w14:paraId="0A9479AD" w14:textId="07EA5426" w:rsidR="00C82E07" w:rsidRDefault="00F230F7" w:rsidP="00F230F7">
      <w:pPr>
        <w:pStyle w:val="Heading1"/>
        <w:rPr>
          <w:rFonts w:ascii="Times New Roman" w:hAnsi="Times New Roman" w:cs="Times New Roman"/>
          <w:b/>
          <w:bCs/>
          <w:color w:val="auto"/>
          <w:sz w:val="28"/>
          <w:szCs w:val="28"/>
        </w:rPr>
      </w:pPr>
      <w:bookmarkStart w:id="17" w:name="_Toc216999526"/>
      <w:r w:rsidRPr="00FD070B">
        <w:rPr>
          <w:rFonts w:ascii="Times New Roman" w:hAnsi="Times New Roman" w:cs="Times New Roman"/>
          <w:b/>
          <w:bCs/>
          <w:color w:val="auto"/>
          <w:sz w:val="28"/>
          <w:szCs w:val="28"/>
        </w:rPr>
        <w:lastRenderedPageBreak/>
        <w:t>7.</w:t>
      </w:r>
      <w:r w:rsidR="00FD070B">
        <w:rPr>
          <w:rFonts w:ascii="Times New Roman" w:hAnsi="Times New Roman" w:cs="Times New Roman"/>
          <w:b/>
          <w:bCs/>
          <w:color w:val="auto"/>
          <w:sz w:val="28"/>
          <w:szCs w:val="28"/>
        </w:rPr>
        <w:t xml:space="preserve"> </w:t>
      </w:r>
      <w:r w:rsidRPr="00FD070B">
        <w:rPr>
          <w:rFonts w:ascii="Times New Roman" w:hAnsi="Times New Roman" w:cs="Times New Roman"/>
          <w:b/>
          <w:bCs/>
          <w:color w:val="auto"/>
          <w:sz w:val="28"/>
          <w:szCs w:val="28"/>
        </w:rPr>
        <w:t>Conclusion</w:t>
      </w:r>
      <w:bookmarkEnd w:id="17"/>
    </w:p>
    <w:p w14:paraId="6061C986" w14:textId="66882B64" w:rsidR="00C82E07" w:rsidRPr="00C82E07" w:rsidRDefault="00C82E07" w:rsidP="00C82E07">
      <w:pPr>
        <w:jc w:val="both"/>
        <w:rPr>
          <w:rFonts w:ascii="Times New Roman" w:hAnsi="Times New Roman" w:cs="Times New Roman"/>
          <w:sz w:val="24"/>
          <w:szCs w:val="24"/>
        </w:rPr>
      </w:pPr>
      <w:r w:rsidRPr="00C82E07">
        <w:rPr>
          <w:rFonts w:ascii="Times New Roman" w:hAnsi="Times New Roman" w:cs="Times New Roman"/>
          <w:sz w:val="24"/>
          <w:szCs w:val="24"/>
        </w:rPr>
        <w:t>NatureGreen (NG) operates in a high-exposure environment where cloud services, a largely wireless network, and growing BYOD demand significantly increase security and compliance risk. To address this, the report reviewed major security frameworks and then selected a focused set that fits NG’s reality: ISO/IEC 27001/27002 to provide an ISMS foundation and control baseline, NIST CSF to structure outcomes and maturity, Zero Trust to manage access in cloud/wireless/BYOD conditions, and the CIS Controls to support practical implementation. Governance and operational consistency are strengthened through COBIT and ITIL, while PCI DSS and SOC 2/TSC can be applied where specific compliance or supplier assurance is needed. [5]</w:t>
      </w:r>
      <w:r>
        <w:rPr>
          <w:rFonts w:ascii="Times New Roman" w:hAnsi="Times New Roman" w:cs="Times New Roman"/>
          <w:sz w:val="24"/>
          <w:szCs w:val="24"/>
        </w:rPr>
        <w:t>,[6],</w:t>
      </w:r>
      <w:r w:rsidRPr="00C82E07">
        <w:rPr>
          <w:rFonts w:ascii="Times New Roman" w:hAnsi="Times New Roman" w:cs="Times New Roman"/>
          <w:sz w:val="24"/>
          <w:szCs w:val="24"/>
        </w:rPr>
        <w:t>[7]</w:t>
      </w:r>
    </w:p>
    <w:p w14:paraId="227CF3E5" w14:textId="77777777" w:rsidR="00C82E07" w:rsidRPr="00C82E07" w:rsidRDefault="00C82E07" w:rsidP="00C82E07">
      <w:pPr>
        <w:jc w:val="both"/>
        <w:rPr>
          <w:rFonts w:ascii="Times New Roman" w:hAnsi="Times New Roman" w:cs="Times New Roman"/>
          <w:sz w:val="24"/>
          <w:szCs w:val="24"/>
        </w:rPr>
      </w:pPr>
      <w:r w:rsidRPr="00C82E07">
        <w:rPr>
          <w:rFonts w:ascii="Times New Roman" w:hAnsi="Times New Roman" w:cs="Times New Roman"/>
          <w:sz w:val="24"/>
          <w:szCs w:val="24"/>
        </w:rPr>
        <w:t>By mapping these frameworks to the 7 domains of IT infrastructure, NG can move from an ad hoc security posture to a structured programme where responsibilities, controls, and monitoring are clearly defined across users, devices, networks, remote access, and critical applications. Finally, continuously updating policies, standards, and controls is essential for NG because threats, technologies, and legal expectations change rapidly; ongoing review and improvement demonstrates due care and due diligence and helps maintain trust with customers and stakeholders. [2], [5], [8], [13]</w:t>
      </w:r>
    </w:p>
    <w:p w14:paraId="3B60DA1A" w14:textId="77777777" w:rsidR="00C82E07" w:rsidRPr="00C82E07" w:rsidRDefault="00C82E07" w:rsidP="00C82E07"/>
    <w:p w14:paraId="5C74DD2E" w14:textId="77777777" w:rsidR="00C82E07" w:rsidRPr="00C82E07" w:rsidRDefault="00C82E07" w:rsidP="00C82E07"/>
    <w:p w14:paraId="57C050D8" w14:textId="0D9BDB69" w:rsidR="00F230F7" w:rsidRPr="00C82E07" w:rsidRDefault="00C82E07" w:rsidP="00C82E07">
      <w:pPr>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p w14:paraId="31F131DE" w14:textId="2BE93F4C" w:rsidR="00351659" w:rsidRPr="00FD070B" w:rsidRDefault="00F230F7" w:rsidP="00F230F7">
      <w:pPr>
        <w:pStyle w:val="Heading1"/>
        <w:rPr>
          <w:rFonts w:ascii="Times New Roman" w:hAnsi="Times New Roman" w:cs="Times New Roman"/>
          <w:b/>
          <w:bCs/>
          <w:color w:val="auto"/>
          <w:sz w:val="28"/>
          <w:szCs w:val="28"/>
        </w:rPr>
      </w:pPr>
      <w:bookmarkStart w:id="18" w:name="_Toc216999527"/>
      <w:r w:rsidRPr="00FD070B">
        <w:rPr>
          <w:rFonts w:ascii="Times New Roman" w:hAnsi="Times New Roman" w:cs="Times New Roman"/>
          <w:b/>
          <w:bCs/>
          <w:color w:val="auto"/>
          <w:sz w:val="28"/>
          <w:szCs w:val="28"/>
        </w:rPr>
        <w:lastRenderedPageBreak/>
        <w:t>8.</w:t>
      </w:r>
      <w:r w:rsidR="00FD070B">
        <w:rPr>
          <w:rFonts w:ascii="Times New Roman" w:hAnsi="Times New Roman" w:cs="Times New Roman"/>
          <w:b/>
          <w:bCs/>
          <w:color w:val="auto"/>
          <w:sz w:val="28"/>
          <w:szCs w:val="28"/>
        </w:rPr>
        <w:t xml:space="preserve"> </w:t>
      </w:r>
      <w:r w:rsidRPr="00FD070B">
        <w:rPr>
          <w:rFonts w:ascii="Times New Roman" w:hAnsi="Times New Roman" w:cs="Times New Roman"/>
          <w:b/>
          <w:bCs/>
          <w:color w:val="auto"/>
          <w:sz w:val="28"/>
          <w:szCs w:val="28"/>
        </w:rPr>
        <w:t>References</w:t>
      </w:r>
      <w:bookmarkEnd w:id="18"/>
      <w:r w:rsidRPr="00FD070B">
        <w:rPr>
          <w:rFonts w:ascii="Times New Roman" w:hAnsi="Times New Roman" w:cs="Times New Roman"/>
          <w:b/>
          <w:bCs/>
          <w:color w:val="auto"/>
          <w:sz w:val="28"/>
          <w:szCs w:val="28"/>
        </w:rPr>
        <w:t xml:space="preserve"> </w:t>
      </w:r>
    </w:p>
    <w:p w14:paraId="084A1C0A" w14:textId="28CC537F" w:rsidR="00D55043" w:rsidRPr="00D55043" w:rsidRDefault="00D55043" w:rsidP="00D55043">
      <w:pPr>
        <w:rPr>
          <w:rFonts w:ascii="Times New Roman" w:hAnsi="Times New Roman" w:cs="Times New Roman"/>
          <w:sz w:val="24"/>
          <w:szCs w:val="24"/>
        </w:rPr>
      </w:pPr>
      <w:r w:rsidRPr="00D55043">
        <w:rPr>
          <w:rFonts w:ascii="Times New Roman" w:hAnsi="Times New Roman" w:cs="Times New Roman"/>
          <w:sz w:val="24"/>
          <w:szCs w:val="24"/>
        </w:rPr>
        <w:t>[</w:t>
      </w:r>
      <w:r>
        <w:rPr>
          <w:rFonts w:ascii="Times New Roman" w:hAnsi="Times New Roman" w:cs="Times New Roman"/>
          <w:sz w:val="24"/>
          <w:szCs w:val="24"/>
        </w:rPr>
        <w:t>1</w:t>
      </w:r>
      <w:r w:rsidRPr="00D55043">
        <w:rPr>
          <w:rFonts w:ascii="Times New Roman" w:hAnsi="Times New Roman" w:cs="Times New Roman"/>
          <w:sz w:val="24"/>
          <w:szCs w:val="24"/>
        </w:rPr>
        <w:t>] “Week 1: Introduction to Information Security,” lecture slides, 2025.</w:t>
      </w:r>
    </w:p>
    <w:p w14:paraId="05A14E24" w14:textId="7EA21ED8" w:rsidR="00D55043" w:rsidRDefault="00D55043" w:rsidP="00D55043">
      <w:pPr>
        <w:rPr>
          <w:rFonts w:ascii="Times New Roman" w:hAnsi="Times New Roman" w:cs="Times New Roman"/>
          <w:sz w:val="24"/>
          <w:szCs w:val="24"/>
        </w:rPr>
      </w:pPr>
      <w:r w:rsidRPr="00D55043">
        <w:rPr>
          <w:rFonts w:ascii="Times New Roman" w:hAnsi="Times New Roman" w:cs="Times New Roman"/>
          <w:sz w:val="24"/>
          <w:szCs w:val="24"/>
        </w:rPr>
        <w:t>[</w:t>
      </w:r>
      <w:r>
        <w:rPr>
          <w:rFonts w:ascii="Times New Roman" w:hAnsi="Times New Roman" w:cs="Times New Roman"/>
          <w:sz w:val="24"/>
          <w:szCs w:val="24"/>
        </w:rPr>
        <w:t>2</w:t>
      </w:r>
      <w:r w:rsidRPr="00D55043">
        <w:rPr>
          <w:rFonts w:ascii="Times New Roman" w:hAnsi="Times New Roman" w:cs="Times New Roman"/>
          <w:sz w:val="24"/>
          <w:szCs w:val="24"/>
        </w:rPr>
        <w:t>] “Week 3: Compliance, Law and Ethics,” lecture slides, 2025.</w:t>
      </w:r>
    </w:p>
    <w:p w14:paraId="189D10B8" w14:textId="77777777" w:rsidR="00E01499" w:rsidRPr="00E01499" w:rsidRDefault="00E01499" w:rsidP="00E01499">
      <w:pPr>
        <w:rPr>
          <w:rFonts w:ascii="Times New Roman" w:hAnsi="Times New Roman" w:cs="Times New Roman"/>
          <w:sz w:val="24"/>
          <w:szCs w:val="24"/>
        </w:rPr>
      </w:pPr>
      <w:r w:rsidRPr="00E01499">
        <w:rPr>
          <w:rFonts w:ascii="Times New Roman" w:hAnsi="Times New Roman" w:cs="Times New Roman"/>
          <w:sz w:val="24"/>
          <w:szCs w:val="24"/>
        </w:rPr>
        <w:t>[3] “Week 4: Governance and Strategic Planning for Security,” lecture slides, 2025.</w:t>
      </w:r>
    </w:p>
    <w:p w14:paraId="5BA8DA86" w14:textId="5C97242E" w:rsidR="00E01499" w:rsidRDefault="00E01499" w:rsidP="00E01499">
      <w:pPr>
        <w:rPr>
          <w:rFonts w:ascii="Times New Roman" w:hAnsi="Times New Roman" w:cs="Times New Roman"/>
          <w:sz w:val="24"/>
          <w:szCs w:val="24"/>
        </w:rPr>
      </w:pPr>
      <w:r w:rsidRPr="00E01499">
        <w:rPr>
          <w:rFonts w:ascii="Times New Roman" w:hAnsi="Times New Roman" w:cs="Times New Roman"/>
          <w:sz w:val="24"/>
          <w:szCs w:val="24"/>
        </w:rPr>
        <w:t>[4] “Week 7: Risk Management,” lecture slides, 2025.</w:t>
      </w:r>
    </w:p>
    <w:p w14:paraId="39A099AB" w14:textId="313F1B9B"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[5] ISO/IEC, ISO/IEC 27001:2022</w:t>
      </w:r>
      <w:r>
        <w:rPr>
          <w:rFonts w:ascii="Times New Roman" w:hAnsi="Times New Roman" w:cs="Times New Roman"/>
          <w:sz w:val="24"/>
          <w:szCs w:val="24"/>
        </w:rPr>
        <w:t xml:space="preserve"> </w:t>
      </w:r>
      <w:r w:rsidRPr="00686092">
        <w:rPr>
          <w:rFonts w:ascii="Times New Roman" w:hAnsi="Times New Roman" w:cs="Times New Roman"/>
          <w:sz w:val="24"/>
          <w:szCs w:val="24"/>
        </w:rPr>
        <w:t>Information Security, Cybersecurity and Privacy Protection</w:t>
      </w:r>
      <w:r w:rsidR="00101D3D">
        <w:rPr>
          <w:rFonts w:ascii="Times New Roman" w:hAnsi="Times New Roman" w:cs="Times New Roman"/>
          <w:sz w:val="24"/>
          <w:szCs w:val="24"/>
        </w:rPr>
        <w:t xml:space="preserve"> </w:t>
      </w:r>
      <w:r w:rsidRPr="00686092">
        <w:rPr>
          <w:rFonts w:ascii="Times New Roman" w:hAnsi="Times New Roman" w:cs="Times New Roman"/>
          <w:sz w:val="24"/>
          <w:szCs w:val="24"/>
        </w:rPr>
        <w:t>Information Security Management Systems</w:t>
      </w:r>
      <w:r>
        <w:rPr>
          <w:rFonts w:ascii="Times New Roman" w:hAnsi="Times New Roman" w:cs="Times New Roman"/>
          <w:sz w:val="24"/>
          <w:szCs w:val="24"/>
        </w:rPr>
        <w:t xml:space="preserve"> </w:t>
      </w:r>
      <w:r w:rsidRPr="00686092">
        <w:rPr>
          <w:rFonts w:ascii="Times New Roman" w:hAnsi="Times New Roman" w:cs="Times New Roman"/>
          <w:sz w:val="24"/>
          <w:szCs w:val="24"/>
        </w:rPr>
        <w:t>Requirements, Geneva, Switzerland: International Organization for Standardization, 2022.</w:t>
      </w:r>
    </w:p>
    <w:p w14:paraId="24D2C92E" w14:textId="4D450FC9"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[6] ISO/IEC, ISO/IEC 27002:2022</w:t>
      </w:r>
      <w:r>
        <w:rPr>
          <w:rFonts w:ascii="Times New Roman" w:hAnsi="Times New Roman" w:cs="Times New Roman"/>
          <w:sz w:val="24"/>
          <w:szCs w:val="24"/>
        </w:rPr>
        <w:t xml:space="preserve"> </w:t>
      </w:r>
      <w:r w:rsidRPr="00686092">
        <w:rPr>
          <w:rFonts w:ascii="Times New Roman" w:hAnsi="Times New Roman" w:cs="Times New Roman"/>
          <w:sz w:val="24"/>
          <w:szCs w:val="24"/>
        </w:rPr>
        <w:t>Information Security, Cybersecurity and Privacy Protection</w:t>
      </w:r>
      <w:r w:rsidR="00101D3D">
        <w:rPr>
          <w:rFonts w:ascii="Times New Roman" w:hAnsi="Times New Roman" w:cs="Times New Roman"/>
          <w:sz w:val="24"/>
          <w:szCs w:val="24"/>
        </w:rPr>
        <w:t xml:space="preserve"> </w:t>
      </w:r>
      <w:r w:rsidRPr="00686092">
        <w:rPr>
          <w:rFonts w:ascii="Times New Roman" w:hAnsi="Times New Roman" w:cs="Times New Roman"/>
          <w:sz w:val="24"/>
          <w:szCs w:val="24"/>
        </w:rPr>
        <w:t>Information Security Controls, Geneva, Switzerland: International Organization for Standardization, 2022.</w:t>
      </w:r>
    </w:p>
    <w:p w14:paraId="5B19AFEA" w14:textId="108A56CD"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[7] National Institute of Standards and Technology, The NIST Cybersecurity Framework (CSF) 2.0, Gaithersburg, MD, USA: NIST, 2024.</w:t>
      </w:r>
    </w:p>
    <w:p w14:paraId="29F619BE" w14:textId="2630AF92"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[8] National Institute of Standards and Technology, Framework for Improving Critical Infrastructure Cybersecurity, Version 1.1, Gaithersburg, MD, USA: NIST, 2018.</w:t>
      </w:r>
    </w:p>
    <w:p w14:paraId="62DDB40B" w14:textId="34CC3740"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 xml:space="preserve">[9] R. Ross, V. Pillitteri, G. Dempsey, M. Riddle, and J. </w:t>
      </w:r>
      <w:proofErr w:type="spellStart"/>
      <w:r w:rsidRPr="00686092">
        <w:rPr>
          <w:rFonts w:ascii="Times New Roman" w:hAnsi="Times New Roman" w:cs="Times New Roman"/>
          <w:sz w:val="24"/>
          <w:szCs w:val="24"/>
        </w:rPr>
        <w:t>Guissanie</w:t>
      </w:r>
      <w:proofErr w:type="spellEnd"/>
      <w:r w:rsidRPr="00686092">
        <w:rPr>
          <w:rFonts w:ascii="Times New Roman" w:hAnsi="Times New Roman" w:cs="Times New Roman"/>
          <w:sz w:val="24"/>
          <w:szCs w:val="24"/>
        </w:rPr>
        <w:t>, Risk Management Framework for Information Systems and Organizations: A System Life Cycle Approach for Security and Privacy, NIST Special Publication 800-37 Rev. 2, Gaithersburg, MD, USA: NIST, 2018.</w:t>
      </w:r>
    </w:p>
    <w:p w14:paraId="35042395" w14:textId="19706978"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[10] J. T. Force et al., Security and Privacy Controls for Information Systems and Organizations, NIST Special Publication 800-53 Rev. 5, Gaithersburg, MD, USA: NIST, 2020.</w:t>
      </w:r>
    </w:p>
    <w:p w14:paraId="778D747E" w14:textId="615758F3"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 xml:space="preserve">[11] </w:t>
      </w:r>
      <w:proofErr w:type="spellStart"/>
      <w:r w:rsidRPr="00686092">
        <w:rPr>
          <w:rFonts w:ascii="Times New Roman" w:hAnsi="Times New Roman" w:cs="Times New Roman"/>
          <w:sz w:val="24"/>
          <w:szCs w:val="24"/>
        </w:rPr>
        <w:t>Center</w:t>
      </w:r>
      <w:proofErr w:type="spellEnd"/>
      <w:r w:rsidRPr="00686092">
        <w:rPr>
          <w:rFonts w:ascii="Times New Roman" w:hAnsi="Times New Roman" w:cs="Times New Roman"/>
          <w:sz w:val="24"/>
          <w:szCs w:val="24"/>
        </w:rPr>
        <w:t xml:space="preserve"> for Internet Security, CIS Critical Security Controls v8, East Greenbush, NY, USA: CIS, 2021.</w:t>
      </w:r>
    </w:p>
    <w:p w14:paraId="07013AAE" w14:textId="6EFC5C8F"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[12] ISACA, COBIT 2019 Framework: Governance and Management Objectives, Schaumburg, IL, USA: ISACA, 2018.</w:t>
      </w:r>
    </w:p>
    <w:p w14:paraId="6583DF77" w14:textId="6277C492"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[13] AXELOS, ITIL Foundation: ITIL 4 Edition, London, U.K.: TSO (The Stationery Office), 2019.</w:t>
      </w:r>
    </w:p>
    <w:p w14:paraId="752E04C4" w14:textId="27BD012A"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[14] PCI Security Standards Council, Payment Card Industry Data Security Standard (PCI DSS), Version 4.0, Wakefield, MA, USA: PCI SSC, 2022.</w:t>
      </w:r>
    </w:p>
    <w:p w14:paraId="3A87A4E7" w14:textId="18E25FDB"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[15] PCI Security Standards Council, Payment Card Industry Data Security Standard (PCI DSS), Version 4.0.1, Wakefield, MA, USA: PCI SSC, 2023.</w:t>
      </w:r>
    </w:p>
    <w:p w14:paraId="7D57FB15" w14:textId="0B9B29E6" w:rsidR="00686092" w:rsidRPr="00686092"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[16] American Institute of CPAs, Trust Services Criteria, New York, NY, USA: AICPA, 2017.</w:t>
      </w:r>
    </w:p>
    <w:p w14:paraId="6329320B" w14:textId="334843E6" w:rsidR="00686092" w:rsidRPr="00D55043" w:rsidRDefault="00686092" w:rsidP="00686092">
      <w:pPr>
        <w:rPr>
          <w:rFonts w:ascii="Times New Roman" w:hAnsi="Times New Roman" w:cs="Times New Roman"/>
          <w:sz w:val="24"/>
          <w:szCs w:val="24"/>
        </w:rPr>
      </w:pPr>
      <w:r w:rsidRPr="00686092">
        <w:rPr>
          <w:rFonts w:ascii="Times New Roman" w:hAnsi="Times New Roman" w:cs="Times New Roman"/>
          <w:sz w:val="24"/>
          <w:szCs w:val="24"/>
        </w:rPr>
        <w:t>[17] S. Rose, O. Borchert, S. Mitchell, and S. Connelly, Zero Trust Architecture, NIST Special Publication 800-207, Gaithersburg, MD, USA: NIST, 2020.</w:t>
      </w:r>
    </w:p>
    <w:sectPr w:rsidR="00686092" w:rsidRPr="00D550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0EF0C" w14:textId="77777777" w:rsidR="00EE196C" w:rsidRDefault="00EE196C" w:rsidP="00FD070B">
      <w:pPr>
        <w:spacing w:after="0" w:line="240" w:lineRule="auto"/>
      </w:pPr>
      <w:r>
        <w:separator/>
      </w:r>
    </w:p>
  </w:endnote>
  <w:endnote w:type="continuationSeparator" w:id="0">
    <w:p w14:paraId="5D7FA938" w14:textId="77777777" w:rsidR="00EE196C" w:rsidRDefault="00EE196C" w:rsidP="00FD0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56626" w14:textId="77777777" w:rsidR="00EE196C" w:rsidRDefault="00EE196C" w:rsidP="00FD070B">
      <w:pPr>
        <w:spacing w:after="0" w:line="240" w:lineRule="auto"/>
      </w:pPr>
      <w:r>
        <w:separator/>
      </w:r>
    </w:p>
  </w:footnote>
  <w:footnote w:type="continuationSeparator" w:id="0">
    <w:p w14:paraId="23F2E29D" w14:textId="77777777" w:rsidR="00EE196C" w:rsidRDefault="00EE196C" w:rsidP="00FD0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656A"/>
    <w:multiLevelType w:val="multilevel"/>
    <w:tmpl w:val="B3DE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B2C4E"/>
    <w:multiLevelType w:val="multilevel"/>
    <w:tmpl w:val="B7EC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83302"/>
    <w:multiLevelType w:val="multilevel"/>
    <w:tmpl w:val="0212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5276C"/>
    <w:multiLevelType w:val="multilevel"/>
    <w:tmpl w:val="04D8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32049"/>
    <w:multiLevelType w:val="multilevel"/>
    <w:tmpl w:val="B6BCE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A666C"/>
    <w:multiLevelType w:val="multilevel"/>
    <w:tmpl w:val="2E00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2C1398"/>
    <w:multiLevelType w:val="multilevel"/>
    <w:tmpl w:val="E066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6D3DF7"/>
    <w:multiLevelType w:val="multilevel"/>
    <w:tmpl w:val="D414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D014CE"/>
    <w:multiLevelType w:val="multilevel"/>
    <w:tmpl w:val="C03A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0566923">
    <w:abstractNumId w:val="3"/>
  </w:num>
  <w:num w:numId="2" w16cid:durableId="2014839483">
    <w:abstractNumId w:val="4"/>
  </w:num>
  <w:num w:numId="3" w16cid:durableId="1958293487">
    <w:abstractNumId w:val="7"/>
  </w:num>
  <w:num w:numId="4" w16cid:durableId="702023272">
    <w:abstractNumId w:val="6"/>
  </w:num>
  <w:num w:numId="5" w16cid:durableId="1149135134">
    <w:abstractNumId w:val="2"/>
  </w:num>
  <w:num w:numId="6" w16cid:durableId="1847744631">
    <w:abstractNumId w:val="8"/>
  </w:num>
  <w:num w:numId="7" w16cid:durableId="197395659">
    <w:abstractNumId w:val="5"/>
  </w:num>
  <w:num w:numId="8" w16cid:durableId="990250681">
    <w:abstractNumId w:val="0"/>
  </w:num>
  <w:num w:numId="9" w16cid:durableId="1582640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0F7"/>
    <w:rsid w:val="00101D3D"/>
    <w:rsid w:val="00113D3E"/>
    <w:rsid w:val="00174785"/>
    <w:rsid w:val="001B3097"/>
    <w:rsid w:val="002133FC"/>
    <w:rsid w:val="00351659"/>
    <w:rsid w:val="00370CFC"/>
    <w:rsid w:val="00373325"/>
    <w:rsid w:val="003D168C"/>
    <w:rsid w:val="003D28B3"/>
    <w:rsid w:val="003E7948"/>
    <w:rsid w:val="00493A9B"/>
    <w:rsid w:val="004A3519"/>
    <w:rsid w:val="004D690B"/>
    <w:rsid w:val="00525613"/>
    <w:rsid w:val="005440A4"/>
    <w:rsid w:val="00553C06"/>
    <w:rsid w:val="005B32B7"/>
    <w:rsid w:val="005C743B"/>
    <w:rsid w:val="006077F1"/>
    <w:rsid w:val="0062235D"/>
    <w:rsid w:val="00672BB9"/>
    <w:rsid w:val="00686092"/>
    <w:rsid w:val="006F7B9A"/>
    <w:rsid w:val="00744CF9"/>
    <w:rsid w:val="00745D75"/>
    <w:rsid w:val="00773BEC"/>
    <w:rsid w:val="007D33AA"/>
    <w:rsid w:val="0086140A"/>
    <w:rsid w:val="00892C4F"/>
    <w:rsid w:val="008B6588"/>
    <w:rsid w:val="009C3E44"/>
    <w:rsid w:val="00A96A79"/>
    <w:rsid w:val="00AF0E81"/>
    <w:rsid w:val="00AF73A0"/>
    <w:rsid w:val="00B32C9B"/>
    <w:rsid w:val="00BD2CDB"/>
    <w:rsid w:val="00BD6D4C"/>
    <w:rsid w:val="00C03AF7"/>
    <w:rsid w:val="00C1177D"/>
    <w:rsid w:val="00C82E07"/>
    <w:rsid w:val="00C960C0"/>
    <w:rsid w:val="00CE1B42"/>
    <w:rsid w:val="00D55043"/>
    <w:rsid w:val="00DA2540"/>
    <w:rsid w:val="00DB0C96"/>
    <w:rsid w:val="00E01499"/>
    <w:rsid w:val="00E616C8"/>
    <w:rsid w:val="00EC444E"/>
    <w:rsid w:val="00ED1661"/>
    <w:rsid w:val="00EE196C"/>
    <w:rsid w:val="00F00BFC"/>
    <w:rsid w:val="00F230F7"/>
    <w:rsid w:val="00FD070B"/>
    <w:rsid w:val="00FE0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2C519"/>
  <w15:chartTrackingRefBased/>
  <w15:docId w15:val="{22C69203-8BE3-4E8E-948A-60CD9B491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C9B"/>
  </w:style>
  <w:style w:type="paragraph" w:styleId="Heading1">
    <w:name w:val="heading 1"/>
    <w:basedOn w:val="Normal"/>
    <w:next w:val="Normal"/>
    <w:link w:val="Heading1Char"/>
    <w:uiPriority w:val="9"/>
    <w:qFormat/>
    <w:rsid w:val="00F230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30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30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30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30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30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0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0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0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0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30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30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30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30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30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0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0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0F7"/>
    <w:rPr>
      <w:rFonts w:eastAsiaTheme="majorEastAsia" w:cstheme="majorBidi"/>
      <w:color w:val="272727" w:themeColor="text1" w:themeTint="D8"/>
    </w:rPr>
  </w:style>
  <w:style w:type="paragraph" w:styleId="Title">
    <w:name w:val="Title"/>
    <w:basedOn w:val="Normal"/>
    <w:next w:val="Normal"/>
    <w:link w:val="TitleChar"/>
    <w:uiPriority w:val="10"/>
    <w:qFormat/>
    <w:rsid w:val="00F230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0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0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0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0F7"/>
    <w:pPr>
      <w:spacing w:before="160"/>
      <w:jc w:val="center"/>
    </w:pPr>
    <w:rPr>
      <w:i/>
      <w:iCs/>
      <w:color w:val="404040" w:themeColor="text1" w:themeTint="BF"/>
    </w:rPr>
  </w:style>
  <w:style w:type="character" w:customStyle="1" w:styleId="QuoteChar">
    <w:name w:val="Quote Char"/>
    <w:basedOn w:val="DefaultParagraphFont"/>
    <w:link w:val="Quote"/>
    <w:uiPriority w:val="29"/>
    <w:rsid w:val="00F230F7"/>
    <w:rPr>
      <w:i/>
      <w:iCs/>
      <w:color w:val="404040" w:themeColor="text1" w:themeTint="BF"/>
    </w:rPr>
  </w:style>
  <w:style w:type="paragraph" w:styleId="ListParagraph">
    <w:name w:val="List Paragraph"/>
    <w:basedOn w:val="Normal"/>
    <w:uiPriority w:val="34"/>
    <w:qFormat/>
    <w:rsid w:val="00F230F7"/>
    <w:pPr>
      <w:ind w:left="720"/>
      <w:contextualSpacing/>
    </w:pPr>
  </w:style>
  <w:style w:type="character" w:styleId="IntenseEmphasis">
    <w:name w:val="Intense Emphasis"/>
    <w:basedOn w:val="DefaultParagraphFont"/>
    <w:uiPriority w:val="21"/>
    <w:qFormat/>
    <w:rsid w:val="00F230F7"/>
    <w:rPr>
      <w:i/>
      <w:iCs/>
      <w:color w:val="0F4761" w:themeColor="accent1" w:themeShade="BF"/>
    </w:rPr>
  </w:style>
  <w:style w:type="paragraph" w:styleId="IntenseQuote">
    <w:name w:val="Intense Quote"/>
    <w:basedOn w:val="Normal"/>
    <w:next w:val="Normal"/>
    <w:link w:val="IntenseQuoteChar"/>
    <w:uiPriority w:val="30"/>
    <w:qFormat/>
    <w:rsid w:val="00F230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30F7"/>
    <w:rPr>
      <w:i/>
      <w:iCs/>
      <w:color w:val="0F4761" w:themeColor="accent1" w:themeShade="BF"/>
    </w:rPr>
  </w:style>
  <w:style w:type="character" w:styleId="IntenseReference">
    <w:name w:val="Intense Reference"/>
    <w:basedOn w:val="DefaultParagraphFont"/>
    <w:uiPriority w:val="32"/>
    <w:qFormat/>
    <w:rsid w:val="00F230F7"/>
    <w:rPr>
      <w:b/>
      <w:bCs/>
      <w:smallCaps/>
      <w:color w:val="0F4761" w:themeColor="accent1" w:themeShade="BF"/>
      <w:spacing w:val="5"/>
    </w:rPr>
  </w:style>
  <w:style w:type="character" w:styleId="Hyperlink">
    <w:name w:val="Hyperlink"/>
    <w:basedOn w:val="DefaultParagraphFont"/>
    <w:uiPriority w:val="99"/>
    <w:unhideWhenUsed/>
    <w:rsid w:val="00AF0E81"/>
    <w:rPr>
      <w:color w:val="467886" w:themeColor="hyperlink"/>
      <w:u w:val="single"/>
    </w:rPr>
  </w:style>
  <w:style w:type="character" w:styleId="UnresolvedMention">
    <w:name w:val="Unresolved Mention"/>
    <w:basedOn w:val="DefaultParagraphFont"/>
    <w:uiPriority w:val="99"/>
    <w:semiHidden/>
    <w:unhideWhenUsed/>
    <w:rsid w:val="00AF0E81"/>
    <w:rPr>
      <w:color w:val="605E5C"/>
      <w:shd w:val="clear" w:color="auto" w:fill="E1DFDD"/>
    </w:rPr>
  </w:style>
  <w:style w:type="paragraph" w:styleId="Header">
    <w:name w:val="header"/>
    <w:basedOn w:val="Normal"/>
    <w:link w:val="HeaderChar"/>
    <w:uiPriority w:val="99"/>
    <w:unhideWhenUsed/>
    <w:rsid w:val="00FD0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70B"/>
  </w:style>
  <w:style w:type="paragraph" w:styleId="Footer">
    <w:name w:val="footer"/>
    <w:basedOn w:val="Normal"/>
    <w:link w:val="FooterChar"/>
    <w:uiPriority w:val="99"/>
    <w:unhideWhenUsed/>
    <w:rsid w:val="00FD0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70B"/>
  </w:style>
  <w:style w:type="table" w:styleId="TableGridLight">
    <w:name w:val="Grid Table Light"/>
    <w:basedOn w:val="TableNormal"/>
    <w:uiPriority w:val="40"/>
    <w:rsid w:val="00FD07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5B32B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B32B7"/>
    <w:pPr>
      <w:spacing w:after="100"/>
    </w:pPr>
  </w:style>
  <w:style w:type="paragraph" w:styleId="TOC2">
    <w:name w:val="toc 2"/>
    <w:basedOn w:val="Normal"/>
    <w:next w:val="Normal"/>
    <w:autoRedefine/>
    <w:uiPriority w:val="39"/>
    <w:unhideWhenUsed/>
    <w:rsid w:val="005B32B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C130A-8905-456D-87B3-5DB192F05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15</Pages>
  <Words>4091</Words>
  <Characters>23320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Mashrurul Haque (2435257)</dc:creator>
  <cp:keywords/>
  <dc:description/>
  <cp:lastModifiedBy>Md. Mashrurul Haque (2435257)</cp:lastModifiedBy>
  <cp:revision>38</cp:revision>
  <dcterms:created xsi:type="dcterms:W3CDTF">2025-12-18T01:52:00Z</dcterms:created>
  <dcterms:modified xsi:type="dcterms:W3CDTF">2025-12-19T01:18:00Z</dcterms:modified>
</cp:coreProperties>
</file>