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25C14" w14:textId="77777777" w:rsidR="00A3574B" w:rsidRDefault="00A3574B" w:rsidP="00EE50A8">
      <w:pPr>
        <w:jc w:val="center"/>
        <w:rPr>
          <w:rStyle w:val="Strong"/>
          <w:sz w:val="32"/>
          <w:szCs w:val="32"/>
        </w:rPr>
      </w:pPr>
    </w:p>
    <w:p w14:paraId="63C347A6" w14:textId="77777777" w:rsidR="00A3574B" w:rsidRDefault="00A3574B" w:rsidP="00EE50A8">
      <w:pPr>
        <w:jc w:val="center"/>
        <w:rPr>
          <w:rStyle w:val="Strong"/>
          <w:sz w:val="32"/>
          <w:szCs w:val="32"/>
        </w:rPr>
      </w:pPr>
    </w:p>
    <w:p w14:paraId="55A0AA15" w14:textId="77777777" w:rsidR="00433677" w:rsidRPr="00B93F19" w:rsidRDefault="00DB0D74" w:rsidP="00EE50A8">
      <w:pPr>
        <w:jc w:val="center"/>
        <w:rPr>
          <w:rStyle w:val="Strong"/>
          <w:sz w:val="32"/>
          <w:szCs w:val="32"/>
        </w:rPr>
      </w:pPr>
      <w:r>
        <w:rPr>
          <w:rStyle w:val="Strong"/>
          <w:sz w:val="32"/>
          <w:szCs w:val="32"/>
        </w:rPr>
        <w:t>University of Wales Trinity Saint David</w:t>
      </w:r>
    </w:p>
    <w:p w14:paraId="0FA9CE5C" w14:textId="77777777" w:rsidR="00213196" w:rsidRPr="00B93F19" w:rsidRDefault="00DB0D74" w:rsidP="00437349">
      <w:pPr>
        <w:jc w:val="center"/>
        <w:rPr>
          <w:rStyle w:val="Strong"/>
          <w:sz w:val="32"/>
          <w:szCs w:val="32"/>
        </w:rPr>
      </w:pPr>
      <w:r>
        <w:rPr>
          <w:rStyle w:val="Strong"/>
          <w:sz w:val="32"/>
          <w:szCs w:val="32"/>
        </w:rPr>
        <w:t>School of Engineering</w:t>
      </w:r>
    </w:p>
    <w:p w14:paraId="005E5407" w14:textId="77777777" w:rsidR="00597617" w:rsidRDefault="00DB0D74" w:rsidP="00DB0D74">
      <w:pPr>
        <w:jc w:val="center"/>
        <w:rPr>
          <w:rStyle w:val="Strong"/>
          <w:sz w:val="32"/>
          <w:szCs w:val="32"/>
        </w:rPr>
      </w:pPr>
      <w:r>
        <w:rPr>
          <w:noProof/>
        </w:rPr>
        <w:drawing>
          <wp:inline distT="0" distB="0" distL="0" distR="0" wp14:anchorId="50A072DB" wp14:editId="36632821">
            <wp:extent cx="2139950" cy="2139950"/>
            <wp:effectExtent l="95250" t="95250" r="88900" b="88900"/>
            <wp:docPr id="3" name="Picture 3" descr="UWTSD Institute of Management an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UWTSD Institute of Management and Health"/>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39950" cy="21399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DCA3149" w14:textId="77777777" w:rsidR="00213196" w:rsidRDefault="00DB0D74" w:rsidP="00EE50A8">
      <w:pPr>
        <w:jc w:val="center"/>
        <w:rPr>
          <w:rStyle w:val="Strong"/>
          <w:sz w:val="32"/>
          <w:szCs w:val="32"/>
        </w:rPr>
      </w:pPr>
      <w:r>
        <w:rPr>
          <w:rStyle w:val="Strong"/>
          <w:sz w:val="32"/>
          <w:szCs w:val="32"/>
        </w:rPr>
        <w:t>L6 Independent Project</w:t>
      </w:r>
    </w:p>
    <w:p w14:paraId="10D1A5D3" w14:textId="77777777" w:rsidR="004F2F17" w:rsidRDefault="004F2F17" w:rsidP="004F2F17">
      <w:pPr>
        <w:spacing w:after="120"/>
        <w:jc w:val="center"/>
      </w:pPr>
      <w:r>
        <w:rPr>
          <w:b/>
          <w:sz w:val="36"/>
        </w:rPr>
        <w:t>Investigation of Remote Hot-Metal and Slag Sampling Methodologies for Safety and Process Optimisation in Electric Arc Furnace Steelmaking</w:t>
      </w:r>
    </w:p>
    <w:p w14:paraId="55D34B85" w14:textId="77777777" w:rsidR="00437349" w:rsidRDefault="00437349" w:rsidP="00437349">
      <w:pPr>
        <w:jc w:val="center"/>
        <w:rPr>
          <w:b/>
          <w:bCs/>
          <w:sz w:val="32"/>
          <w:szCs w:val="32"/>
        </w:rPr>
      </w:pPr>
    </w:p>
    <w:p w14:paraId="26050C2D" w14:textId="77777777" w:rsidR="00466EC6" w:rsidRPr="00DD3A17" w:rsidRDefault="00DB0D74" w:rsidP="00EE50A8">
      <w:pPr>
        <w:jc w:val="center"/>
        <w:rPr>
          <w:rStyle w:val="Strong"/>
          <w:sz w:val="32"/>
          <w:szCs w:val="32"/>
        </w:rPr>
      </w:pPr>
      <w:r>
        <w:rPr>
          <w:rStyle w:val="Strong"/>
          <w:sz w:val="32"/>
          <w:szCs w:val="32"/>
        </w:rPr>
        <w:t>ACMA6013</w:t>
      </w:r>
    </w:p>
    <w:p w14:paraId="2AB0F28A" w14:textId="77777777" w:rsidR="00597617" w:rsidRPr="00DD3A17" w:rsidRDefault="00597617" w:rsidP="006E355D">
      <w:pPr>
        <w:jc w:val="center"/>
        <w:rPr>
          <w:rStyle w:val="Strong"/>
          <w:sz w:val="32"/>
          <w:szCs w:val="32"/>
        </w:rPr>
      </w:pPr>
      <w:r>
        <w:t>BEng Advanced Manufacturing Operations</w:t>
      </w:r>
      <w:r>
        <w:br/>
        <w:t>Year of submission: 2026</w:t>
      </w:r>
    </w:p>
    <w:p w14:paraId="615569F4" w14:textId="77777777" w:rsidR="00532EB0" w:rsidRPr="00B93F19" w:rsidRDefault="00DB0D74" w:rsidP="00EE50A8">
      <w:pPr>
        <w:jc w:val="center"/>
        <w:rPr>
          <w:rStyle w:val="Strong"/>
          <w:sz w:val="32"/>
          <w:szCs w:val="32"/>
        </w:rPr>
      </w:pPr>
      <w:r>
        <w:rPr>
          <w:rStyle w:val="Strong"/>
          <w:sz w:val="32"/>
          <w:szCs w:val="32"/>
        </w:rPr>
        <w:t>Matthew Frey</w:t>
      </w:r>
    </w:p>
    <w:p w14:paraId="24CE9CF8" w14:textId="77777777" w:rsidR="00DB0D74" w:rsidRDefault="00DB0D74" w:rsidP="00DB0D74">
      <w:pPr>
        <w:jc w:val="center"/>
        <w:rPr>
          <w:rStyle w:val="Strong"/>
          <w:sz w:val="32"/>
          <w:szCs w:val="32"/>
        </w:rPr>
      </w:pPr>
      <w:r>
        <w:t>1302960</w:t>
      </w:r>
    </w:p>
    <w:p w14:paraId="25689C14" w14:textId="77777777" w:rsidR="00346068" w:rsidRPr="00B93F19" w:rsidRDefault="001D4852" w:rsidP="00DB0D74">
      <w:pPr>
        <w:jc w:val="center"/>
        <w:rPr>
          <w:rStyle w:val="Strong"/>
          <w:sz w:val="32"/>
          <w:szCs w:val="32"/>
        </w:rPr>
      </w:pPr>
      <w:r>
        <w:rPr>
          <w:rStyle w:val="Strong"/>
          <w:sz w:val="32"/>
          <w:szCs w:val="32"/>
        </w:rPr>
        <w:t>10/07/2026</w:t>
      </w:r>
    </w:p>
    <w:p w14:paraId="393877C5" w14:textId="77777777" w:rsidR="004F0CDE" w:rsidRDefault="004F0CDE">
      <w:pPr>
        <w:spacing w:line="259" w:lineRule="auto"/>
        <w:rPr>
          <w:rStyle w:val="Strong"/>
          <w:rFonts w:cs="Arial"/>
        </w:rPr>
        <w:sectPr w:rsidR="004F0CDE" w:rsidSect="00CA5152">
          <w:footerReference w:type="even" r:id="rId9"/>
          <w:footerReference w:type="default" r:id="rId10"/>
          <w:footerReference w:type="first" r:id="rId11"/>
          <w:pgSz w:w="11906" w:h="16838"/>
          <w:pgMar w:top="1440" w:right="1440" w:bottom="1440" w:left="1440" w:header="709" w:footer="709" w:gutter="0"/>
          <w:pgNumType w:start="1"/>
          <w:cols w:space="708"/>
          <w:titlePg/>
          <w:docGrid w:linePitch="360"/>
        </w:sectPr>
      </w:pPr>
    </w:p>
    <w:p w14:paraId="46578580" w14:textId="77777777" w:rsidR="004F2F17" w:rsidRPr="00277795" w:rsidRDefault="004F2F17" w:rsidP="004F2F17">
      <w:pPr>
        <w:pStyle w:val="Heading1"/>
        <w:numPr>
          <w:ilvl w:val="0"/>
          <w:numId w:val="0"/>
        </w:numPr>
        <w:ind w:left="432" w:hanging="432"/>
        <w:rPr>
          <w:rStyle w:val="Strong"/>
          <w:rFonts w:cs="Arial"/>
          <w:color w:val="0070C0"/>
        </w:rPr>
      </w:pPr>
      <w:bookmarkStart w:id="0" w:name="_Toc234060382"/>
      <w:bookmarkStart w:id="1" w:name="_Toc234699505"/>
      <w:r>
        <w:rPr>
          <w:rStyle w:val="Strong"/>
          <w:rFonts w:cs="Arial"/>
          <w:color w:val="0070C0"/>
        </w:rPr>
        <w:lastRenderedPageBreak/>
        <w:t>Declaration of Authenticity</w:t>
      </w:r>
      <w:bookmarkEnd w:id="0"/>
      <w:bookmarkEnd w:id="1"/>
    </w:p>
    <w:p w14:paraId="26A95D89" w14:textId="59D9A5CC" w:rsidR="00277795" w:rsidRDefault="00296D23" w:rsidP="00277795">
      <w:pPr>
        <w:spacing w:after="120"/>
      </w:pPr>
      <w:r>
        <w:rPr>
          <w:noProof/>
        </w:rPr>
        <w:drawing>
          <wp:anchor distT="0" distB="0" distL="114300" distR="114300" simplePos="0" relativeHeight="251679232" behindDoc="1" locked="0" layoutInCell="1" allowOverlap="1" wp14:anchorId="571FB9D7" wp14:editId="43AA2478">
            <wp:simplePos x="0" y="0"/>
            <wp:positionH relativeFrom="column">
              <wp:posOffset>822960</wp:posOffset>
            </wp:positionH>
            <wp:positionV relativeFrom="paragraph">
              <wp:posOffset>332740</wp:posOffset>
            </wp:positionV>
            <wp:extent cx="1494068" cy="995990"/>
            <wp:effectExtent l="0" t="0" r="0" b="0"/>
            <wp:wrapNone/>
            <wp:docPr id="601637282" name="Picture 5" descr="A black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637282" name="Picture 5" descr="A black text on a black backgroun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94068" cy="995990"/>
                    </a:xfrm>
                    <a:prstGeom prst="rect">
                      <a:avLst/>
                    </a:prstGeom>
                  </pic:spPr>
                </pic:pic>
              </a:graphicData>
            </a:graphic>
            <wp14:sizeRelH relativeFrom="page">
              <wp14:pctWidth>0</wp14:pctWidth>
            </wp14:sizeRelH>
            <wp14:sizeRelV relativeFrom="page">
              <wp14:pctHeight>0</wp14:pctHeight>
            </wp14:sizeRelV>
          </wp:anchor>
        </w:drawing>
      </w:r>
      <w:r w:rsidR="00277795">
        <w:t>This thesis is the result of the author's original research. It has been composed by the author and has not been previously submitted for examination which has led to the award of a degree.</w:t>
      </w:r>
      <w:r w:rsidRPr="00296D23">
        <w:rPr>
          <w:noProof/>
        </w:rPr>
        <w:t xml:space="preserve"> </w:t>
      </w:r>
    </w:p>
    <w:p w14:paraId="4A762909" w14:textId="2230C2B3" w:rsidR="00277795" w:rsidRDefault="00277795" w:rsidP="00277795">
      <w:pPr>
        <w:spacing w:after="120"/>
      </w:pPr>
      <w:r>
        <w:t>Signed: _______________________________        Date: ________</w:t>
      </w:r>
      <w:r w:rsidR="00296D23">
        <w:t>10.07.2026</w:t>
      </w:r>
      <w:r>
        <w:t>__________</w:t>
      </w:r>
    </w:p>
    <w:p w14:paraId="32111710" w14:textId="31F971B1" w:rsidR="00715EB6" w:rsidRDefault="00715EB6" w:rsidP="00715EB6"/>
    <w:p w14:paraId="54AE7DA7" w14:textId="2A7E9575" w:rsidR="00715EB6" w:rsidRDefault="00715EB6" w:rsidP="00715EB6"/>
    <w:p w14:paraId="45175C64" w14:textId="16603B81" w:rsidR="00715EB6" w:rsidRDefault="00715EB6" w:rsidP="00715EB6"/>
    <w:p w14:paraId="2C40314F" w14:textId="637B166A" w:rsidR="00715EB6" w:rsidRDefault="00715EB6" w:rsidP="00715EB6"/>
    <w:p w14:paraId="35B07A64" w14:textId="4990FA28" w:rsidR="00715EB6" w:rsidRDefault="00715EB6" w:rsidP="00715EB6"/>
    <w:p w14:paraId="4E542E3C" w14:textId="77777777" w:rsidR="00715EB6" w:rsidRDefault="00715EB6" w:rsidP="00715EB6"/>
    <w:p w14:paraId="0E7EA0D2" w14:textId="77777777" w:rsidR="00715EB6" w:rsidRDefault="00715EB6" w:rsidP="00715EB6"/>
    <w:p w14:paraId="2AEC56C8" w14:textId="6C220539" w:rsidR="00715EB6" w:rsidRDefault="00715EB6" w:rsidP="00715EB6"/>
    <w:p w14:paraId="47C9FCDD" w14:textId="77777777" w:rsidR="00715EB6" w:rsidRDefault="00715EB6" w:rsidP="00715EB6"/>
    <w:p w14:paraId="2AF68BB2" w14:textId="77777777" w:rsidR="00715EB6" w:rsidRDefault="00715EB6" w:rsidP="00715EB6"/>
    <w:p w14:paraId="4F59E43C" w14:textId="77777777" w:rsidR="00715EB6" w:rsidRDefault="00715EB6" w:rsidP="00715EB6"/>
    <w:p w14:paraId="4695B0F5" w14:textId="77777777" w:rsidR="00715EB6" w:rsidRDefault="00715EB6" w:rsidP="00715EB6"/>
    <w:p w14:paraId="77B274B4" w14:textId="76C93A2D" w:rsidR="00715EB6" w:rsidRDefault="00715EB6" w:rsidP="00715EB6"/>
    <w:p w14:paraId="14340518" w14:textId="77777777" w:rsidR="00715EB6" w:rsidRDefault="00715EB6" w:rsidP="00715EB6"/>
    <w:p w14:paraId="2AB42C2F" w14:textId="77777777" w:rsidR="00715EB6" w:rsidRDefault="00715EB6" w:rsidP="00715EB6"/>
    <w:p w14:paraId="5D0FBEF8" w14:textId="77777777" w:rsidR="00715EB6" w:rsidRDefault="00715EB6" w:rsidP="00715EB6"/>
    <w:p w14:paraId="401E1D44" w14:textId="77777777" w:rsidR="00715EB6" w:rsidRDefault="00715EB6" w:rsidP="00715EB6"/>
    <w:p w14:paraId="5E558621" w14:textId="77777777" w:rsidR="00715EB6" w:rsidRDefault="00715EB6" w:rsidP="00715EB6"/>
    <w:p w14:paraId="12078452" w14:textId="77777777" w:rsidR="00715EB6" w:rsidRDefault="00715EB6" w:rsidP="00715EB6"/>
    <w:p w14:paraId="456BF995" w14:textId="77777777" w:rsidR="00715EB6" w:rsidRDefault="00715EB6" w:rsidP="00715EB6"/>
    <w:p w14:paraId="5A52A105" w14:textId="77777777" w:rsidR="00715EB6" w:rsidRPr="00715EB6" w:rsidRDefault="00715EB6" w:rsidP="00715EB6"/>
    <w:p w14:paraId="2EF81921" w14:textId="77777777" w:rsidR="004F2F17" w:rsidRPr="00F873F3" w:rsidRDefault="00DB0D74" w:rsidP="00277795">
      <w:pPr>
        <w:pStyle w:val="Heading1"/>
        <w:numPr>
          <w:ilvl w:val="0"/>
          <w:numId w:val="0"/>
        </w:numPr>
        <w:rPr>
          <w:rFonts w:cs="Arial"/>
          <w:b/>
          <w:bCs/>
          <w:color w:val="0070C0"/>
        </w:rPr>
      </w:pPr>
      <w:bookmarkStart w:id="2" w:name="_Toc234060383"/>
      <w:bookmarkStart w:id="3" w:name="_Toc234699506"/>
      <w:r>
        <w:rPr>
          <w:rStyle w:val="Strong"/>
          <w:rFonts w:cs="Arial"/>
          <w:color w:val="0070C0"/>
        </w:rPr>
        <w:lastRenderedPageBreak/>
        <w:t>Abstract</w:t>
      </w:r>
      <w:bookmarkEnd w:id="2"/>
      <w:bookmarkEnd w:id="3"/>
      <w:r>
        <w:rPr>
          <w:rStyle w:val="Strong"/>
          <w:rFonts w:cs="Arial"/>
          <w:color w:val="0070C0"/>
        </w:rPr>
        <w:t xml:space="preserve"> </w:t>
      </w:r>
    </w:p>
    <w:p w14:paraId="7EE8D86F" w14:textId="77777777" w:rsidR="007F6D7B" w:rsidRDefault="007F6D7B" w:rsidP="007F6D7B">
      <w:r>
        <w:t>Project Invictus will replace integrated steelmaking at Port Talbot with a highly automated electric arc furnace (EAF) Meltshop. That transition makes repeatable liquid-steel and slag sampling a safety-critical design requirement, because the quality of analytical data affects furnace control, slag foaming, refractory life, downstream metallurgy and operator exposure. This project evaluates remote and automated sampling methods for EAF steel and slag, focusing on the Project Invictus design envelope: the available robotic equipment, probe geometry, sample transport requirements, machinery safety and human factors.</w:t>
      </w:r>
    </w:p>
    <w:p w14:paraId="45C4052C" w14:textId="77777777" w:rsidR="007F6D7B" w:rsidRDefault="007F6D7B" w:rsidP="007F6D7B">
      <w:r>
        <w:t>The methodology combined a literature review, analysis of OEM and supplier documents, stakeholder correspondence, dimensional feasibility assessment, task-based risk comparison and weighted optioneering with sensitivity analysis. The findings show that automated steel temperature measurement and sampling through the PolySAMPLE EAF robotic cell is technically mature and fits the safety and automation philosophy of the new Meltshop. Automated transport from robot to laboratory is feasible in principle, but its acceptance depends on validating thermal protection, dust tolerance, cargo handling, mis-sample recovery and the laboratory interface. Automated vertical EAF slag sampling remains the most uncertain element: the evidence supports slag sampling as a valuable process-control input, but does not confirm a proven, production-ready vertical slag sampler suitable for adoption before design freeze.</w:t>
      </w:r>
    </w:p>
    <w:p w14:paraId="0C074394" w14:textId="77777777" w:rsidR="007F6D7B" w:rsidRDefault="007F6D7B" w:rsidP="007F6D7B">
      <w:r>
        <w:t>The recommended strategy is therefore staged. Adopt the proven robotic steel sampling baseline, complete detailed engineering for protected sample transport, retain controlled manual contingency arrangements, and develop automated EAF slag sampling as a follow-on workstream supported by trials, OEM engagement and a formal safety lifecycle. The weighted evaluation, corrected and tested for sensitivity to the chosen weights, supports this conclusion across all weighting scenarios examined.</w:t>
      </w:r>
    </w:p>
    <w:p w14:paraId="0DB82909" w14:textId="77777777" w:rsidR="00C96167" w:rsidRDefault="00C96167" w:rsidP="00DD70B7"/>
    <w:p w14:paraId="6D0AEE72" w14:textId="77777777" w:rsidR="00C96167" w:rsidRDefault="00C96167" w:rsidP="00DD70B7"/>
    <w:p w14:paraId="576A83BF" w14:textId="77777777" w:rsidR="00F873F3" w:rsidRDefault="00F873F3" w:rsidP="00DD70B7"/>
    <w:p w14:paraId="2C4D2BA7" w14:textId="77777777" w:rsidR="00F873F3" w:rsidRDefault="00F873F3" w:rsidP="00DD70B7"/>
    <w:p w14:paraId="27906369" w14:textId="77777777" w:rsidR="00F873F3" w:rsidRDefault="00F873F3" w:rsidP="00DD70B7"/>
    <w:p w14:paraId="69428065" w14:textId="77777777" w:rsidR="00F873F3" w:rsidRDefault="00F873F3" w:rsidP="00DD70B7"/>
    <w:p w14:paraId="374486F2" w14:textId="77777777" w:rsidR="00F873F3" w:rsidRDefault="00F873F3" w:rsidP="00DD70B7"/>
    <w:p w14:paraId="5AF9CD1A" w14:textId="77777777" w:rsidR="00F873F3" w:rsidRDefault="00F873F3" w:rsidP="00DD70B7"/>
    <w:p w14:paraId="3C3E3A75" w14:textId="77777777" w:rsidR="00F873F3" w:rsidRPr="00F873F3" w:rsidRDefault="00F873F3" w:rsidP="00F873F3">
      <w:pPr>
        <w:pStyle w:val="Heading1"/>
        <w:numPr>
          <w:ilvl w:val="0"/>
          <w:numId w:val="0"/>
        </w:numPr>
        <w:ind w:left="432" w:hanging="432"/>
        <w:rPr>
          <w:b/>
          <w:bCs/>
          <w:color w:val="0070C0"/>
        </w:rPr>
      </w:pPr>
      <w:bookmarkStart w:id="4" w:name="_Toc234060384"/>
      <w:bookmarkStart w:id="5" w:name="_Toc234699507"/>
      <w:r>
        <w:rPr>
          <w:b/>
          <w:bCs/>
          <w:color w:val="0070C0"/>
        </w:rPr>
        <w:t>Acknowledgements</w:t>
      </w:r>
      <w:bookmarkEnd w:id="4"/>
      <w:bookmarkEnd w:id="5"/>
    </w:p>
    <w:p w14:paraId="3A557671" w14:textId="77777777" w:rsidR="00B97154" w:rsidRPr="00CE3E6A" w:rsidRDefault="00F133E6" w:rsidP="00CE3E6A">
      <w:pPr>
        <w:spacing w:after="120"/>
      </w:pPr>
      <w:r>
        <w:t>I would like to acknowledge the support of the Project Invictus engineering, operations, safety and supplier teams who provided access to project information, drawings, operational assumptions and technical discussion. I would also like to thank my university supervisors for their guidance during the independent project process. The views and judgements presented in this report are my own and are based on the source material available at the time of writing.</w:t>
      </w:r>
    </w:p>
    <w:p w14:paraId="7BADA204" w14:textId="77777777" w:rsidR="00236954" w:rsidRPr="00236954" w:rsidRDefault="00236954" w:rsidP="00236954">
      <w:pPr>
        <w:pStyle w:val="Heading1"/>
        <w:numPr>
          <w:ilvl w:val="0"/>
          <w:numId w:val="0"/>
        </w:numPr>
        <w:ind w:left="432" w:hanging="432"/>
        <w:rPr>
          <w:b/>
          <w:bCs/>
          <w:color w:val="0070C0"/>
        </w:rPr>
      </w:pPr>
      <w:bookmarkStart w:id="6" w:name="_Toc234060385"/>
      <w:bookmarkStart w:id="7" w:name="_Toc234699508"/>
      <w:r>
        <w:rPr>
          <w:b/>
          <w:bCs/>
          <w:color w:val="0070C0"/>
        </w:rPr>
        <w:t>List of Abbreviations</w:t>
      </w:r>
      <w:bookmarkEnd w:id="6"/>
      <w:bookmarkEnd w:id="7"/>
      <w:r>
        <w:rPr>
          <w:b/>
          <w:bCs/>
          <w:color w:val="0070C0"/>
        </w:rPr>
        <w:t xml:space="preserve"> </w:t>
      </w:r>
    </w:p>
    <w:p w14:paraId="4F2D72E8" w14:textId="77777777" w:rsidR="00ED0828" w:rsidRDefault="00ED0828" w:rsidP="00A8070F">
      <w:pPr>
        <w:pStyle w:val="Caption"/>
        <w:keepNext/>
      </w:pPr>
      <w:bookmarkStart w:id="8" w:name="_Toc234049061"/>
      <w:bookmarkStart w:id="9" w:name="_Toc234060450"/>
      <w:bookmarkStart w:id="10" w:name="_Toc234060460"/>
      <w:bookmarkEnd w:id="8"/>
      <w:bookmarkEnd w:id="9"/>
      <w:bookmarkEnd w:id="10"/>
    </w:p>
    <w:tbl>
      <w:tblPr>
        <w:tblStyle w:val="TableGrid"/>
        <w:tblW w:w="0" w:type="auto"/>
        <w:jc w:val="center"/>
        <w:tblLook w:val="04A0" w:firstRow="1" w:lastRow="0" w:firstColumn="1" w:lastColumn="0" w:noHBand="0" w:noVBand="1"/>
      </w:tblPr>
      <w:tblGrid>
        <w:gridCol w:w="2261"/>
        <w:gridCol w:w="6755"/>
      </w:tblGrid>
      <w:tr w:rsidR="002922F1" w14:paraId="652F05BE" w14:textId="77777777" w:rsidTr="002922F1">
        <w:trPr>
          <w:jc w:val="center"/>
        </w:trPr>
        <w:tc>
          <w:tcPr>
            <w:tcW w:w="2268" w:type="dxa"/>
            <w:shd w:val="clear" w:color="auto" w:fill="D9D9D9" w:themeFill="background1" w:themeFillShade="D9"/>
            <w:vAlign w:val="center"/>
          </w:tcPr>
          <w:p w14:paraId="1D9E0713" w14:textId="77777777" w:rsidR="002922F1" w:rsidRPr="002922F1" w:rsidRDefault="002922F1" w:rsidP="002922F1">
            <w:pPr>
              <w:jc w:val="center"/>
              <w:rPr>
                <w:b/>
                <w:bCs/>
              </w:rPr>
            </w:pPr>
            <w:r>
              <w:rPr>
                <w:b/>
                <w:bCs/>
              </w:rPr>
              <w:t>Abbreviation</w:t>
            </w:r>
          </w:p>
        </w:tc>
        <w:tc>
          <w:tcPr>
            <w:tcW w:w="6803" w:type="dxa"/>
            <w:shd w:val="clear" w:color="auto" w:fill="D9D9D9" w:themeFill="background1" w:themeFillShade="D9"/>
            <w:vAlign w:val="center"/>
          </w:tcPr>
          <w:p w14:paraId="528220BE" w14:textId="77777777" w:rsidR="002922F1" w:rsidRPr="002922F1" w:rsidRDefault="002922F1" w:rsidP="002922F1">
            <w:pPr>
              <w:jc w:val="center"/>
              <w:rPr>
                <w:b/>
                <w:bCs/>
              </w:rPr>
            </w:pPr>
            <w:r>
              <w:rPr>
                <w:b/>
                <w:bCs/>
              </w:rPr>
              <w:t>Meaning</w:t>
            </w:r>
          </w:p>
        </w:tc>
      </w:tr>
      <w:tr w:rsidR="002922F1" w14:paraId="451A9504" w14:textId="77777777" w:rsidTr="00354319">
        <w:trPr>
          <w:jc w:val="center"/>
        </w:trPr>
        <w:tc>
          <w:tcPr>
            <w:tcW w:w="2268" w:type="dxa"/>
          </w:tcPr>
          <w:p w14:paraId="57FC395E" w14:textId="77777777" w:rsidR="002922F1" w:rsidRDefault="002922F1" w:rsidP="00354319">
            <w:r>
              <w:t>ALARP</w:t>
            </w:r>
          </w:p>
        </w:tc>
        <w:tc>
          <w:tcPr>
            <w:tcW w:w="6803" w:type="dxa"/>
          </w:tcPr>
          <w:p w14:paraId="0231A1D8" w14:textId="77777777" w:rsidR="002922F1" w:rsidRDefault="002922F1" w:rsidP="00354319">
            <w:r>
              <w:t>As low as reasonably practicable</w:t>
            </w:r>
          </w:p>
        </w:tc>
      </w:tr>
      <w:tr w:rsidR="002922F1" w14:paraId="276CEF0D" w14:textId="77777777" w:rsidTr="00354319">
        <w:trPr>
          <w:jc w:val="center"/>
        </w:trPr>
        <w:tc>
          <w:tcPr>
            <w:tcW w:w="2268" w:type="dxa"/>
          </w:tcPr>
          <w:p w14:paraId="27D3811D" w14:textId="77777777" w:rsidR="002922F1" w:rsidRDefault="002922F1" w:rsidP="00354319">
            <w:r>
              <w:t>BOS</w:t>
            </w:r>
          </w:p>
        </w:tc>
        <w:tc>
          <w:tcPr>
            <w:tcW w:w="6803" w:type="dxa"/>
          </w:tcPr>
          <w:p w14:paraId="780D0B06" w14:textId="77777777" w:rsidR="002922F1" w:rsidRDefault="002922F1" w:rsidP="00354319">
            <w:r>
              <w:t>Basic oxygen steelmaking</w:t>
            </w:r>
          </w:p>
        </w:tc>
      </w:tr>
      <w:tr w:rsidR="002922F1" w14:paraId="7FBCB0AB" w14:textId="77777777" w:rsidTr="00354319">
        <w:trPr>
          <w:jc w:val="center"/>
        </w:trPr>
        <w:tc>
          <w:tcPr>
            <w:tcW w:w="2268" w:type="dxa"/>
          </w:tcPr>
          <w:p w14:paraId="191B8198" w14:textId="77777777" w:rsidR="002922F1" w:rsidRDefault="002922F1" w:rsidP="00354319">
            <w:r>
              <w:t>CDM</w:t>
            </w:r>
          </w:p>
        </w:tc>
        <w:tc>
          <w:tcPr>
            <w:tcW w:w="6803" w:type="dxa"/>
          </w:tcPr>
          <w:p w14:paraId="4F475CB7" w14:textId="77777777" w:rsidR="002922F1" w:rsidRDefault="002922F1" w:rsidP="00354319">
            <w:r>
              <w:t>Construction Design and Management</w:t>
            </w:r>
          </w:p>
        </w:tc>
      </w:tr>
      <w:tr w:rsidR="002922F1" w14:paraId="4933E2BE" w14:textId="77777777" w:rsidTr="00354319">
        <w:trPr>
          <w:jc w:val="center"/>
        </w:trPr>
        <w:tc>
          <w:tcPr>
            <w:tcW w:w="2268" w:type="dxa"/>
          </w:tcPr>
          <w:p w14:paraId="04D2884F" w14:textId="77777777" w:rsidR="002922F1" w:rsidRDefault="002922F1" w:rsidP="00354319">
            <w:r>
              <w:t>EAF</w:t>
            </w:r>
          </w:p>
        </w:tc>
        <w:tc>
          <w:tcPr>
            <w:tcW w:w="6803" w:type="dxa"/>
          </w:tcPr>
          <w:p w14:paraId="1BC3FFAA" w14:textId="77777777" w:rsidR="002922F1" w:rsidRDefault="002922F1" w:rsidP="00354319">
            <w:r>
              <w:t>Electric arc furnace</w:t>
            </w:r>
          </w:p>
        </w:tc>
      </w:tr>
      <w:tr w:rsidR="002922F1" w14:paraId="5EF48EDB" w14:textId="77777777" w:rsidTr="00354319">
        <w:trPr>
          <w:jc w:val="center"/>
        </w:trPr>
        <w:tc>
          <w:tcPr>
            <w:tcW w:w="2268" w:type="dxa"/>
          </w:tcPr>
          <w:p w14:paraId="668E5F86" w14:textId="77777777" w:rsidR="002922F1" w:rsidRDefault="002922F1" w:rsidP="00354319">
            <w:r>
              <w:t>EIS</w:t>
            </w:r>
          </w:p>
        </w:tc>
        <w:tc>
          <w:tcPr>
            <w:tcW w:w="6803" w:type="dxa"/>
          </w:tcPr>
          <w:p w14:paraId="7EF382F9" w14:textId="77777777" w:rsidR="002922F1" w:rsidRDefault="002922F1" w:rsidP="00354319">
            <w:r>
              <w:t>Equipment Integrity Standard</w:t>
            </w:r>
          </w:p>
        </w:tc>
      </w:tr>
      <w:tr w:rsidR="002922F1" w14:paraId="198AEE26" w14:textId="77777777" w:rsidTr="00354319">
        <w:trPr>
          <w:jc w:val="center"/>
        </w:trPr>
        <w:tc>
          <w:tcPr>
            <w:tcW w:w="2268" w:type="dxa"/>
          </w:tcPr>
          <w:p w14:paraId="67193FE6" w14:textId="77777777" w:rsidR="002922F1" w:rsidRDefault="002922F1" w:rsidP="00354319">
            <w:r>
              <w:t>FMEA</w:t>
            </w:r>
          </w:p>
        </w:tc>
        <w:tc>
          <w:tcPr>
            <w:tcW w:w="6803" w:type="dxa"/>
          </w:tcPr>
          <w:p w14:paraId="4EB53A50" w14:textId="77777777" w:rsidR="002922F1" w:rsidRDefault="002922F1" w:rsidP="00354319">
            <w:r>
              <w:t>Failure modes and effects analysis</w:t>
            </w:r>
          </w:p>
        </w:tc>
      </w:tr>
      <w:tr w:rsidR="002922F1" w14:paraId="0D1B2E50" w14:textId="77777777" w:rsidTr="00354319">
        <w:trPr>
          <w:jc w:val="center"/>
        </w:trPr>
        <w:tc>
          <w:tcPr>
            <w:tcW w:w="2268" w:type="dxa"/>
          </w:tcPr>
          <w:p w14:paraId="01DEEE8B" w14:textId="77777777" w:rsidR="002922F1" w:rsidRDefault="002922F1" w:rsidP="00354319">
            <w:r>
              <w:t>HAZID</w:t>
            </w:r>
          </w:p>
        </w:tc>
        <w:tc>
          <w:tcPr>
            <w:tcW w:w="6803" w:type="dxa"/>
          </w:tcPr>
          <w:p w14:paraId="6071E997" w14:textId="77777777" w:rsidR="002922F1" w:rsidRDefault="002922F1" w:rsidP="00354319">
            <w:r>
              <w:t>Hazard identification</w:t>
            </w:r>
          </w:p>
        </w:tc>
      </w:tr>
      <w:tr w:rsidR="002922F1" w14:paraId="01BFFE0E" w14:textId="77777777" w:rsidTr="00354319">
        <w:trPr>
          <w:jc w:val="center"/>
        </w:trPr>
        <w:tc>
          <w:tcPr>
            <w:tcW w:w="2268" w:type="dxa"/>
          </w:tcPr>
          <w:p w14:paraId="66CC5F1E" w14:textId="77777777" w:rsidR="002922F1" w:rsidRDefault="002922F1" w:rsidP="00354319">
            <w:r>
              <w:t>HAZOP</w:t>
            </w:r>
          </w:p>
        </w:tc>
        <w:tc>
          <w:tcPr>
            <w:tcW w:w="6803" w:type="dxa"/>
          </w:tcPr>
          <w:p w14:paraId="4969FA9C" w14:textId="77777777" w:rsidR="002922F1" w:rsidRDefault="002922F1" w:rsidP="00354319">
            <w:r>
              <w:t>Hazard and operability study</w:t>
            </w:r>
          </w:p>
        </w:tc>
      </w:tr>
      <w:tr w:rsidR="002922F1" w14:paraId="60247207" w14:textId="77777777" w:rsidTr="00354319">
        <w:trPr>
          <w:jc w:val="center"/>
        </w:trPr>
        <w:tc>
          <w:tcPr>
            <w:tcW w:w="2268" w:type="dxa"/>
          </w:tcPr>
          <w:p w14:paraId="3D820839" w14:textId="77777777" w:rsidR="002922F1" w:rsidRDefault="002922F1" w:rsidP="00354319">
            <w:r>
              <w:t>HMI</w:t>
            </w:r>
          </w:p>
        </w:tc>
        <w:tc>
          <w:tcPr>
            <w:tcW w:w="6803" w:type="dxa"/>
          </w:tcPr>
          <w:p w14:paraId="408241D5" w14:textId="77777777" w:rsidR="002922F1" w:rsidRDefault="002922F1" w:rsidP="00354319">
            <w:r>
              <w:t>Human-machine interface</w:t>
            </w:r>
          </w:p>
        </w:tc>
      </w:tr>
      <w:tr w:rsidR="002922F1" w14:paraId="6FAD017A" w14:textId="77777777" w:rsidTr="00354319">
        <w:trPr>
          <w:jc w:val="center"/>
        </w:trPr>
        <w:tc>
          <w:tcPr>
            <w:tcW w:w="2268" w:type="dxa"/>
          </w:tcPr>
          <w:p w14:paraId="713754BA" w14:textId="77777777" w:rsidR="002922F1" w:rsidRDefault="002922F1" w:rsidP="00354319">
            <w:r>
              <w:t>IRB</w:t>
            </w:r>
          </w:p>
        </w:tc>
        <w:tc>
          <w:tcPr>
            <w:tcW w:w="6803" w:type="dxa"/>
          </w:tcPr>
          <w:p w14:paraId="72BA49C5" w14:textId="77777777" w:rsidR="002922F1" w:rsidRDefault="002922F1" w:rsidP="00354319">
            <w:r>
              <w:t>Industrial robot</w:t>
            </w:r>
          </w:p>
        </w:tc>
      </w:tr>
      <w:tr w:rsidR="002922F1" w14:paraId="26A9CA11" w14:textId="77777777" w:rsidTr="00354319">
        <w:trPr>
          <w:jc w:val="center"/>
        </w:trPr>
        <w:tc>
          <w:tcPr>
            <w:tcW w:w="2268" w:type="dxa"/>
          </w:tcPr>
          <w:p w14:paraId="5B1E8959" w14:textId="77777777" w:rsidR="002922F1" w:rsidRDefault="002922F1" w:rsidP="00354319">
            <w:r>
              <w:t>LF</w:t>
            </w:r>
          </w:p>
        </w:tc>
        <w:tc>
          <w:tcPr>
            <w:tcW w:w="6803" w:type="dxa"/>
          </w:tcPr>
          <w:p w14:paraId="3D88080E" w14:textId="77777777" w:rsidR="002922F1" w:rsidRDefault="002922F1" w:rsidP="00354319">
            <w:r>
              <w:t>Ladle furnace</w:t>
            </w:r>
          </w:p>
        </w:tc>
      </w:tr>
      <w:tr w:rsidR="002922F1" w14:paraId="71CC2C9B" w14:textId="77777777" w:rsidTr="00354319">
        <w:trPr>
          <w:jc w:val="center"/>
        </w:trPr>
        <w:tc>
          <w:tcPr>
            <w:tcW w:w="2268" w:type="dxa"/>
          </w:tcPr>
          <w:p w14:paraId="5AB9C4DE" w14:textId="77777777" w:rsidR="002922F1" w:rsidRDefault="002922F1" w:rsidP="00354319">
            <w:r>
              <w:t>OEM</w:t>
            </w:r>
          </w:p>
        </w:tc>
        <w:tc>
          <w:tcPr>
            <w:tcW w:w="6803" w:type="dxa"/>
          </w:tcPr>
          <w:p w14:paraId="23C2588F" w14:textId="77777777" w:rsidR="002922F1" w:rsidRDefault="002922F1" w:rsidP="00354319">
            <w:r>
              <w:t>Original equipment manufacturer</w:t>
            </w:r>
          </w:p>
        </w:tc>
      </w:tr>
      <w:tr w:rsidR="002922F1" w14:paraId="602E16A3" w14:textId="77777777" w:rsidTr="00354319">
        <w:trPr>
          <w:jc w:val="center"/>
        </w:trPr>
        <w:tc>
          <w:tcPr>
            <w:tcW w:w="2268" w:type="dxa"/>
          </w:tcPr>
          <w:p w14:paraId="40D81B2A" w14:textId="77777777" w:rsidR="002922F1" w:rsidRDefault="002922F1" w:rsidP="00354319">
            <w:r>
              <w:t>PLC</w:t>
            </w:r>
          </w:p>
        </w:tc>
        <w:tc>
          <w:tcPr>
            <w:tcW w:w="6803" w:type="dxa"/>
          </w:tcPr>
          <w:p w14:paraId="3D96E077" w14:textId="77777777" w:rsidR="002922F1" w:rsidRDefault="002922F1" w:rsidP="00354319">
            <w:r>
              <w:t>Programmable logic controller</w:t>
            </w:r>
          </w:p>
        </w:tc>
      </w:tr>
      <w:tr w:rsidR="002922F1" w14:paraId="43CB3B6E" w14:textId="77777777" w:rsidTr="00354319">
        <w:trPr>
          <w:jc w:val="center"/>
        </w:trPr>
        <w:tc>
          <w:tcPr>
            <w:tcW w:w="2268" w:type="dxa"/>
          </w:tcPr>
          <w:p w14:paraId="63274A26" w14:textId="77777777" w:rsidR="002922F1" w:rsidRDefault="002922F1" w:rsidP="00354319">
            <w:r>
              <w:t>PPE</w:t>
            </w:r>
          </w:p>
        </w:tc>
        <w:tc>
          <w:tcPr>
            <w:tcW w:w="6803" w:type="dxa"/>
          </w:tcPr>
          <w:p w14:paraId="755472F6" w14:textId="77777777" w:rsidR="002922F1" w:rsidRDefault="002922F1" w:rsidP="00354319">
            <w:r>
              <w:t>Personal protective equipment</w:t>
            </w:r>
          </w:p>
        </w:tc>
      </w:tr>
      <w:tr w:rsidR="002922F1" w14:paraId="26615A7F" w14:textId="77777777" w:rsidTr="00354319">
        <w:trPr>
          <w:jc w:val="center"/>
        </w:trPr>
        <w:tc>
          <w:tcPr>
            <w:tcW w:w="2268" w:type="dxa"/>
          </w:tcPr>
          <w:p w14:paraId="66B3D2BC" w14:textId="77777777" w:rsidR="002922F1" w:rsidRDefault="002922F1" w:rsidP="00354319">
            <w:r>
              <w:t>SIF</w:t>
            </w:r>
          </w:p>
        </w:tc>
        <w:tc>
          <w:tcPr>
            <w:tcW w:w="6803" w:type="dxa"/>
          </w:tcPr>
          <w:p w14:paraId="1BA86618" w14:textId="77777777" w:rsidR="002922F1" w:rsidRDefault="002922F1" w:rsidP="00354319">
            <w:r>
              <w:t>Serious injury or fatality</w:t>
            </w:r>
          </w:p>
        </w:tc>
      </w:tr>
      <w:tr w:rsidR="002922F1" w14:paraId="60F24F76" w14:textId="77777777" w:rsidTr="00354319">
        <w:trPr>
          <w:jc w:val="center"/>
        </w:trPr>
        <w:tc>
          <w:tcPr>
            <w:tcW w:w="2268" w:type="dxa"/>
          </w:tcPr>
          <w:p w14:paraId="7FD98151" w14:textId="77777777" w:rsidR="002922F1" w:rsidRDefault="002922F1" w:rsidP="00354319">
            <w:r>
              <w:t>SIL</w:t>
            </w:r>
          </w:p>
        </w:tc>
        <w:tc>
          <w:tcPr>
            <w:tcW w:w="6803" w:type="dxa"/>
          </w:tcPr>
          <w:p w14:paraId="5642EFB1" w14:textId="77777777" w:rsidR="002922F1" w:rsidRDefault="002922F1" w:rsidP="00354319">
            <w:r>
              <w:t>Safety integrity level</w:t>
            </w:r>
          </w:p>
        </w:tc>
      </w:tr>
      <w:tr w:rsidR="002922F1" w14:paraId="2836C7F3" w14:textId="77777777" w:rsidTr="00354319">
        <w:trPr>
          <w:jc w:val="center"/>
        </w:trPr>
        <w:tc>
          <w:tcPr>
            <w:tcW w:w="2268" w:type="dxa"/>
          </w:tcPr>
          <w:p w14:paraId="4ADF4CDD" w14:textId="77777777" w:rsidR="002922F1" w:rsidRDefault="002922F1" w:rsidP="00354319">
            <w:r>
              <w:t>TOP</w:t>
            </w:r>
          </w:p>
        </w:tc>
        <w:tc>
          <w:tcPr>
            <w:tcW w:w="6803" w:type="dxa"/>
          </w:tcPr>
          <w:p w14:paraId="7394A2CF" w14:textId="77777777" w:rsidR="002922F1" w:rsidRDefault="002922F1" w:rsidP="00354319">
            <w:r>
              <w:t>Terminal owner point / utility connection point as used in project drawings</w:t>
            </w:r>
          </w:p>
        </w:tc>
      </w:tr>
      <w:tr w:rsidR="002922F1" w14:paraId="6B5F0125" w14:textId="77777777" w:rsidTr="00354319">
        <w:trPr>
          <w:jc w:val="center"/>
        </w:trPr>
        <w:tc>
          <w:tcPr>
            <w:tcW w:w="2268" w:type="dxa"/>
          </w:tcPr>
          <w:p w14:paraId="58A18C91" w14:textId="77777777" w:rsidR="002922F1" w:rsidRDefault="002922F1" w:rsidP="00354319">
            <w:r>
              <w:t>XRF</w:t>
            </w:r>
          </w:p>
        </w:tc>
        <w:tc>
          <w:tcPr>
            <w:tcW w:w="6803" w:type="dxa"/>
          </w:tcPr>
          <w:p w14:paraId="489A87F8" w14:textId="77777777" w:rsidR="002922F1" w:rsidRDefault="002922F1" w:rsidP="00354319">
            <w:r>
              <w:t>X-ray fluorescence</w:t>
            </w:r>
          </w:p>
        </w:tc>
      </w:tr>
    </w:tbl>
    <w:p w14:paraId="36BBD04B" w14:textId="77777777" w:rsidR="00CE3E6A" w:rsidRDefault="00CE3E6A">
      <w:pPr>
        <w:spacing w:before="240" w:after="120"/>
        <w:rPr>
          <w:b/>
          <w:color w:val="0070C0"/>
          <w:sz w:val="32"/>
          <w:szCs w:val="32"/>
        </w:rPr>
      </w:pPr>
    </w:p>
    <w:p w14:paraId="5E329DA5" w14:textId="77777777" w:rsidR="00CE3E6A" w:rsidRDefault="00CE3E6A">
      <w:pPr>
        <w:spacing w:before="240" w:after="120"/>
        <w:rPr>
          <w:b/>
          <w:color w:val="0070C0"/>
          <w:sz w:val="32"/>
          <w:szCs w:val="32"/>
        </w:rPr>
      </w:pPr>
    </w:p>
    <w:p w14:paraId="56D698F5" w14:textId="77777777" w:rsidR="00BB5565" w:rsidRDefault="00054777">
      <w:pPr>
        <w:spacing w:before="240" w:after="120"/>
        <w:rPr>
          <w:b/>
          <w:color w:val="0070C0"/>
          <w:sz w:val="32"/>
          <w:szCs w:val="32"/>
        </w:rPr>
      </w:pPr>
      <w:r>
        <w:rPr>
          <w:b/>
          <w:color w:val="0070C0"/>
          <w:sz w:val="32"/>
          <w:szCs w:val="32"/>
        </w:rPr>
        <w:lastRenderedPageBreak/>
        <w:t>Table of Contents</w:t>
      </w:r>
    </w:p>
    <w:sdt>
      <w:sdtPr>
        <w:rPr>
          <w:rFonts w:eastAsiaTheme="minorHAnsi" w:cstheme="minorBidi"/>
          <w:sz w:val="22"/>
          <w:szCs w:val="22"/>
        </w:rPr>
        <w:id w:val="-1439445247"/>
        <w:docPartObj>
          <w:docPartGallery w:val="Table of Contents"/>
          <w:docPartUnique/>
        </w:docPartObj>
      </w:sdtPr>
      <w:sdtEndPr>
        <w:rPr>
          <w:b/>
          <w:bCs/>
          <w:noProof/>
        </w:rPr>
      </w:sdtEndPr>
      <w:sdtContent>
        <w:p w14:paraId="01B6DCEE" w14:textId="77777777" w:rsidR="00837E9B" w:rsidRDefault="00837E9B" w:rsidP="00FF1726">
          <w:pPr>
            <w:pStyle w:val="TOCHeading"/>
            <w:numPr>
              <w:ilvl w:val="0"/>
              <w:numId w:val="0"/>
            </w:numPr>
          </w:pPr>
        </w:p>
        <w:p w14:paraId="1D5546BF" w14:textId="1E4E4361" w:rsidR="00250820" w:rsidRDefault="00837E9B">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4699505" w:history="1">
            <w:r w:rsidR="00250820" w:rsidRPr="006E002B">
              <w:rPr>
                <w:rStyle w:val="Hyperlink"/>
                <w:rFonts w:cs="Arial"/>
                <w:b/>
                <w:bCs/>
                <w:noProof/>
              </w:rPr>
              <w:t>Declaration of Authenticity</w:t>
            </w:r>
            <w:r w:rsidR="00250820">
              <w:rPr>
                <w:noProof/>
                <w:webHidden/>
              </w:rPr>
              <w:tab/>
            </w:r>
            <w:r w:rsidR="00250820">
              <w:rPr>
                <w:noProof/>
                <w:webHidden/>
              </w:rPr>
              <w:fldChar w:fldCharType="begin"/>
            </w:r>
            <w:r w:rsidR="00250820">
              <w:rPr>
                <w:noProof/>
                <w:webHidden/>
              </w:rPr>
              <w:instrText xml:space="preserve"> PAGEREF _Toc234699505 \h </w:instrText>
            </w:r>
            <w:r w:rsidR="00250820">
              <w:rPr>
                <w:noProof/>
                <w:webHidden/>
              </w:rPr>
            </w:r>
            <w:r w:rsidR="00250820">
              <w:rPr>
                <w:noProof/>
                <w:webHidden/>
              </w:rPr>
              <w:fldChar w:fldCharType="separate"/>
            </w:r>
            <w:r w:rsidR="00250820">
              <w:rPr>
                <w:noProof/>
                <w:webHidden/>
              </w:rPr>
              <w:t>2</w:t>
            </w:r>
            <w:r w:rsidR="00250820">
              <w:rPr>
                <w:noProof/>
                <w:webHidden/>
              </w:rPr>
              <w:fldChar w:fldCharType="end"/>
            </w:r>
          </w:hyperlink>
        </w:p>
        <w:p w14:paraId="6B87BD7D" w14:textId="12D277A2" w:rsidR="00250820" w:rsidRDefault="00250820">
          <w:pPr>
            <w:pStyle w:val="TOC1"/>
            <w:tabs>
              <w:tab w:val="right" w:leader="dot" w:pos="9016"/>
            </w:tabs>
            <w:rPr>
              <w:rFonts w:cstheme="minorBidi"/>
              <w:noProof/>
              <w:kern w:val="2"/>
              <w:sz w:val="24"/>
              <w:szCs w:val="24"/>
              <w:lang w:val="en-GB" w:eastAsia="en-GB"/>
              <w14:ligatures w14:val="standardContextual"/>
            </w:rPr>
          </w:pPr>
          <w:hyperlink w:anchor="_Toc234699506" w:history="1">
            <w:r w:rsidRPr="006E002B">
              <w:rPr>
                <w:rStyle w:val="Hyperlink"/>
                <w:rFonts w:cs="Arial"/>
                <w:b/>
                <w:bCs/>
                <w:noProof/>
              </w:rPr>
              <w:t>Abstract</w:t>
            </w:r>
            <w:r>
              <w:rPr>
                <w:noProof/>
                <w:webHidden/>
              </w:rPr>
              <w:tab/>
            </w:r>
            <w:r>
              <w:rPr>
                <w:noProof/>
                <w:webHidden/>
              </w:rPr>
              <w:fldChar w:fldCharType="begin"/>
            </w:r>
            <w:r>
              <w:rPr>
                <w:noProof/>
                <w:webHidden/>
              </w:rPr>
              <w:instrText xml:space="preserve"> PAGEREF _Toc234699506 \h </w:instrText>
            </w:r>
            <w:r>
              <w:rPr>
                <w:noProof/>
                <w:webHidden/>
              </w:rPr>
            </w:r>
            <w:r>
              <w:rPr>
                <w:noProof/>
                <w:webHidden/>
              </w:rPr>
              <w:fldChar w:fldCharType="separate"/>
            </w:r>
            <w:r>
              <w:rPr>
                <w:noProof/>
                <w:webHidden/>
              </w:rPr>
              <w:t>3</w:t>
            </w:r>
            <w:r>
              <w:rPr>
                <w:noProof/>
                <w:webHidden/>
              </w:rPr>
              <w:fldChar w:fldCharType="end"/>
            </w:r>
          </w:hyperlink>
        </w:p>
        <w:p w14:paraId="517D55C7" w14:textId="67C15D8C" w:rsidR="00250820" w:rsidRDefault="00250820">
          <w:pPr>
            <w:pStyle w:val="TOC1"/>
            <w:tabs>
              <w:tab w:val="right" w:leader="dot" w:pos="9016"/>
            </w:tabs>
            <w:rPr>
              <w:rFonts w:cstheme="minorBidi"/>
              <w:noProof/>
              <w:kern w:val="2"/>
              <w:sz w:val="24"/>
              <w:szCs w:val="24"/>
              <w:lang w:val="en-GB" w:eastAsia="en-GB"/>
              <w14:ligatures w14:val="standardContextual"/>
            </w:rPr>
          </w:pPr>
          <w:hyperlink w:anchor="_Toc234699507" w:history="1">
            <w:r w:rsidRPr="006E002B">
              <w:rPr>
                <w:rStyle w:val="Hyperlink"/>
                <w:b/>
                <w:bCs/>
                <w:noProof/>
              </w:rPr>
              <w:t>Acknowledgements</w:t>
            </w:r>
            <w:r>
              <w:rPr>
                <w:noProof/>
                <w:webHidden/>
              </w:rPr>
              <w:tab/>
            </w:r>
            <w:r>
              <w:rPr>
                <w:noProof/>
                <w:webHidden/>
              </w:rPr>
              <w:fldChar w:fldCharType="begin"/>
            </w:r>
            <w:r>
              <w:rPr>
                <w:noProof/>
                <w:webHidden/>
              </w:rPr>
              <w:instrText xml:space="preserve"> PAGEREF _Toc234699507 \h </w:instrText>
            </w:r>
            <w:r>
              <w:rPr>
                <w:noProof/>
                <w:webHidden/>
              </w:rPr>
            </w:r>
            <w:r>
              <w:rPr>
                <w:noProof/>
                <w:webHidden/>
              </w:rPr>
              <w:fldChar w:fldCharType="separate"/>
            </w:r>
            <w:r>
              <w:rPr>
                <w:noProof/>
                <w:webHidden/>
              </w:rPr>
              <w:t>4</w:t>
            </w:r>
            <w:r>
              <w:rPr>
                <w:noProof/>
                <w:webHidden/>
              </w:rPr>
              <w:fldChar w:fldCharType="end"/>
            </w:r>
          </w:hyperlink>
        </w:p>
        <w:p w14:paraId="50508663" w14:textId="193C187E" w:rsidR="00250820" w:rsidRDefault="00250820">
          <w:pPr>
            <w:pStyle w:val="TOC1"/>
            <w:tabs>
              <w:tab w:val="right" w:leader="dot" w:pos="9016"/>
            </w:tabs>
            <w:rPr>
              <w:rFonts w:cstheme="minorBidi"/>
              <w:noProof/>
              <w:kern w:val="2"/>
              <w:sz w:val="24"/>
              <w:szCs w:val="24"/>
              <w:lang w:val="en-GB" w:eastAsia="en-GB"/>
              <w14:ligatures w14:val="standardContextual"/>
            </w:rPr>
          </w:pPr>
          <w:hyperlink w:anchor="_Toc234699508" w:history="1">
            <w:r w:rsidRPr="006E002B">
              <w:rPr>
                <w:rStyle w:val="Hyperlink"/>
                <w:b/>
                <w:bCs/>
                <w:noProof/>
              </w:rPr>
              <w:t>List of Abbreviations</w:t>
            </w:r>
            <w:r>
              <w:rPr>
                <w:noProof/>
                <w:webHidden/>
              </w:rPr>
              <w:tab/>
            </w:r>
            <w:r>
              <w:rPr>
                <w:noProof/>
                <w:webHidden/>
              </w:rPr>
              <w:fldChar w:fldCharType="begin"/>
            </w:r>
            <w:r>
              <w:rPr>
                <w:noProof/>
                <w:webHidden/>
              </w:rPr>
              <w:instrText xml:space="preserve"> PAGEREF _Toc234699508 \h </w:instrText>
            </w:r>
            <w:r>
              <w:rPr>
                <w:noProof/>
                <w:webHidden/>
              </w:rPr>
            </w:r>
            <w:r>
              <w:rPr>
                <w:noProof/>
                <w:webHidden/>
              </w:rPr>
              <w:fldChar w:fldCharType="separate"/>
            </w:r>
            <w:r>
              <w:rPr>
                <w:noProof/>
                <w:webHidden/>
              </w:rPr>
              <w:t>4</w:t>
            </w:r>
            <w:r>
              <w:rPr>
                <w:noProof/>
                <w:webHidden/>
              </w:rPr>
              <w:fldChar w:fldCharType="end"/>
            </w:r>
          </w:hyperlink>
        </w:p>
        <w:p w14:paraId="3C406EAA" w14:textId="3DB697B8" w:rsidR="00250820" w:rsidRDefault="00250820">
          <w:pPr>
            <w:pStyle w:val="TOC1"/>
            <w:tabs>
              <w:tab w:val="left" w:pos="440"/>
              <w:tab w:val="right" w:leader="dot" w:pos="9016"/>
            </w:tabs>
            <w:rPr>
              <w:rFonts w:cstheme="minorBidi"/>
              <w:noProof/>
              <w:kern w:val="2"/>
              <w:sz w:val="24"/>
              <w:szCs w:val="24"/>
              <w:lang w:val="en-GB" w:eastAsia="en-GB"/>
              <w14:ligatures w14:val="standardContextual"/>
            </w:rPr>
          </w:pPr>
          <w:hyperlink w:anchor="_Toc234699509" w:history="1">
            <w:r w:rsidRPr="006E002B">
              <w:rPr>
                <w:rStyle w:val="Hyperlink"/>
                <w:b/>
                <w:bCs/>
                <w:noProof/>
              </w:rPr>
              <w:t>1</w:t>
            </w:r>
            <w:r>
              <w:rPr>
                <w:rFonts w:cstheme="minorBidi"/>
                <w:noProof/>
                <w:kern w:val="2"/>
                <w:sz w:val="24"/>
                <w:szCs w:val="24"/>
                <w:lang w:val="en-GB" w:eastAsia="en-GB"/>
                <w14:ligatures w14:val="standardContextual"/>
              </w:rPr>
              <w:tab/>
            </w:r>
            <w:r w:rsidRPr="006E002B">
              <w:rPr>
                <w:rStyle w:val="Hyperlink"/>
                <w:b/>
                <w:bCs/>
                <w:noProof/>
              </w:rPr>
              <w:t>Introduction</w:t>
            </w:r>
            <w:r>
              <w:rPr>
                <w:noProof/>
                <w:webHidden/>
              </w:rPr>
              <w:tab/>
            </w:r>
            <w:r>
              <w:rPr>
                <w:noProof/>
                <w:webHidden/>
              </w:rPr>
              <w:fldChar w:fldCharType="begin"/>
            </w:r>
            <w:r>
              <w:rPr>
                <w:noProof/>
                <w:webHidden/>
              </w:rPr>
              <w:instrText xml:space="preserve"> PAGEREF _Toc234699509 \h </w:instrText>
            </w:r>
            <w:r>
              <w:rPr>
                <w:noProof/>
                <w:webHidden/>
              </w:rPr>
            </w:r>
            <w:r>
              <w:rPr>
                <w:noProof/>
                <w:webHidden/>
              </w:rPr>
              <w:fldChar w:fldCharType="separate"/>
            </w:r>
            <w:r>
              <w:rPr>
                <w:noProof/>
                <w:webHidden/>
              </w:rPr>
              <w:t>10</w:t>
            </w:r>
            <w:r>
              <w:rPr>
                <w:noProof/>
                <w:webHidden/>
              </w:rPr>
              <w:fldChar w:fldCharType="end"/>
            </w:r>
          </w:hyperlink>
        </w:p>
        <w:p w14:paraId="0EE23C6A" w14:textId="61BECCE0"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10" w:history="1">
            <w:r w:rsidRPr="006E002B">
              <w:rPr>
                <w:rStyle w:val="Hyperlink"/>
                <w:noProof/>
              </w:rPr>
              <w:t>1.1</w:t>
            </w:r>
            <w:r>
              <w:rPr>
                <w:rFonts w:cstheme="minorBidi"/>
                <w:noProof/>
                <w:kern w:val="2"/>
                <w:sz w:val="24"/>
                <w:szCs w:val="24"/>
                <w:lang w:val="en-GB" w:eastAsia="en-GB"/>
                <w14:ligatures w14:val="standardContextual"/>
              </w:rPr>
              <w:tab/>
            </w:r>
            <w:r w:rsidRPr="006E002B">
              <w:rPr>
                <w:rStyle w:val="Hyperlink"/>
                <w:noProof/>
              </w:rPr>
              <w:t>Industrial Context</w:t>
            </w:r>
            <w:r>
              <w:rPr>
                <w:noProof/>
                <w:webHidden/>
              </w:rPr>
              <w:tab/>
            </w:r>
            <w:r>
              <w:rPr>
                <w:noProof/>
                <w:webHidden/>
              </w:rPr>
              <w:fldChar w:fldCharType="begin"/>
            </w:r>
            <w:r>
              <w:rPr>
                <w:noProof/>
                <w:webHidden/>
              </w:rPr>
              <w:instrText xml:space="preserve"> PAGEREF _Toc234699510 \h </w:instrText>
            </w:r>
            <w:r>
              <w:rPr>
                <w:noProof/>
                <w:webHidden/>
              </w:rPr>
            </w:r>
            <w:r>
              <w:rPr>
                <w:noProof/>
                <w:webHidden/>
              </w:rPr>
              <w:fldChar w:fldCharType="separate"/>
            </w:r>
            <w:r>
              <w:rPr>
                <w:noProof/>
                <w:webHidden/>
              </w:rPr>
              <w:t>10</w:t>
            </w:r>
            <w:r>
              <w:rPr>
                <w:noProof/>
                <w:webHidden/>
              </w:rPr>
              <w:fldChar w:fldCharType="end"/>
            </w:r>
          </w:hyperlink>
        </w:p>
        <w:p w14:paraId="18345B05" w14:textId="32C48689"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11" w:history="1">
            <w:r w:rsidRPr="006E002B">
              <w:rPr>
                <w:rStyle w:val="Hyperlink"/>
                <w:noProof/>
              </w:rPr>
              <w:t>1.2</w:t>
            </w:r>
            <w:r>
              <w:rPr>
                <w:rFonts w:cstheme="minorBidi"/>
                <w:noProof/>
                <w:kern w:val="2"/>
                <w:sz w:val="24"/>
                <w:szCs w:val="24"/>
                <w:lang w:val="en-GB" w:eastAsia="en-GB"/>
                <w14:ligatures w14:val="standardContextual"/>
              </w:rPr>
              <w:tab/>
            </w:r>
            <w:r w:rsidRPr="006E002B">
              <w:rPr>
                <w:rStyle w:val="Hyperlink"/>
                <w:noProof/>
              </w:rPr>
              <w:t>Problem Statement</w:t>
            </w:r>
            <w:r>
              <w:rPr>
                <w:noProof/>
                <w:webHidden/>
              </w:rPr>
              <w:tab/>
            </w:r>
            <w:r>
              <w:rPr>
                <w:noProof/>
                <w:webHidden/>
              </w:rPr>
              <w:fldChar w:fldCharType="begin"/>
            </w:r>
            <w:r>
              <w:rPr>
                <w:noProof/>
                <w:webHidden/>
              </w:rPr>
              <w:instrText xml:space="preserve"> PAGEREF _Toc234699511 \h </w:instrText>
            </w:r>
            <w:r>
              <w:rPr>
                <w:noProof/>
                <w:webHidden/>
              </w:rPr>
            </w:r>
            <w:r>
              <w:rPr>
                <w:noProof/>
                <w:webHidden/>
              </w:rPr>
              <w:fldChar w:fldCharType="separate"/>
            </w:r>
            <w:r>
              <w:rPr>
                <w:noProof/>
                <w:webHidden/>
              </w:rPr>
              <w:t>11</w:t>
            </w:r>
            <w:r>
              <w:rPr>
                <w:noProof/>
                <w:webHidden/>
              </w:rPr>
              <w:fldChar w:fldCharType="end"/>
            </w:r>
          </w:hyperlink>
        </w:p>
        <w:p w14:paraId="2B947E3F" w14:textId="562AF942"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12" w:history="1">
            <w:r w:rsidRPr="006E002B">
              <w:rPr>
                <w:rStyle w:val="Hyperlink"/>
                <w:noProof/>
              </w:rPr>
              <w:t>1.3</w:t>
            </w:r>
            <w:r>
              <w:rPr>
                <w:rFonts w:cstheme="minorBidi"/>
                <w:noProof/>
                <w:kern w:val="2"/>
                <w:sz w:val="24"/>
                <w:szCs w:val="24"/>
                <w:lang w:val="en-GB" w:eastAsia="en-GB"/>
                <w14:ligatures w14:val="standardContextual"/>
              </w:rPr>
              <w:tab/>
            </w:r>
            <w:r w:rsidRPr="006E002B">
              <w:rPr>
                <w:rStyle w:val="Hyperlink"/>
                <w:noProof/>
              </w:rPr>
              <w:t>Aims and objectives</w:t>
            </w:r>
            <w:r>
              <w:rPr>
                <w:noProof/>
                <w:webHidden/>
              </w:rPr>
              <w:tab/>
            </w:r>
            <w:r>
              <w:rPr>
                <w:noProof/>
                <w:webHidden/>
              </w:rPr>
              <w:fldChar w:fldCharType="begin"/>
            </w:r>
            <w:r>
              <w:rPr>
                <w:noProof/>
                <w:webHidden/>
              </w:rPr>
              <w:instrText xml:space="preserve"> PAGEREF _Toc234699512 \h </w:instrText>
            </w:r>
            <w:r>
              <w:rPr>
                <w:noProof/>
                <w:webHidden/>
              </w:rPr>
            </w:r>
            <w:r>
              <w:rPr>
                <w:noProof/>
                <w:webHidden/>
              </w:rPr>
              <w:fldChar w:fldCharType="separate"/>
            </w:r>
            <w:r>
              <w:rPr>
                <w:noProof/>
                <w:webHidden/>
              </w:rPr>
              <w:t>12</w:t>
            </w:r>
            <w:r>
              <w:rPr>
                <w:noProof/>
                <w:webHidden/>
              </w:rPr>
              <w:fldChar w:fldCharType="end"/>
            </w:r>
          </w:hyperlink>
        </w:p>
        <w:p w14:paraId="7ABC0FE6" w14:textId="7E1D2A6B"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13" w:history="1">
            <w:r w:rsidRPr="006E002B">
              <w:rPr>
                <w:rStyle w:val="Hyperlink"/>
                <w:noProof/>
              </w:rPr>
              <w:t>1.4</w:t>
            </w:r>
            <w:r>
              <w:rPr>
                <w:rFonts w:cstheme="minorBidi"/>
                <w:noProof/>
                <w:kern w:val="2"/>
                <w:sz w:val="24"/>
                <w:szCs w:val="24"/>
                <w:lang w:val="en-GB" w:eastAsia="en-GB"/>
                <w14:ligatures w14:val="standardContextual"/>
              </w:rPr>
              <w:tab/>
            </w:r>
            <w:r w:rsidRPr="006E002B">
              <w:rPr>
                <w:rStyle w:val="Hyperlink"/>
                <w:noProof/>
              </w:rPr>
              <w:t>Scope and author role</w:t>
            </w:r>
            <w:r>
              <w:rPr>
                <w:noProof/>
                <w:webHidden/>
              </w:rPr>
              <w:tab/>
            </w:r>
            <w:r>
              <w:rPr>
                <w:noProof/>
                <w:webHidden/>
              </w:rPr>
              <w:fldChar w:fldCharType="begin"/>
            </w:r>
            <w:r>
              <w:rPr>
                <w:noProof/>
                <w:webHidden/>
              </w:rPr>
              <w:instrText xml:space="preserve"> PAGEREF _Toc234699513 \h </w:instrText>
            </w:r>
            <w:r>
              <w:rPr>
                <w:noProof/>
                <w:webHidden/>
              </w:rPr>
            </w:r>
            <w:r>
              <w:rPr>
                <w:noProof/>
                <w:webHidden/>
              </w:rPr>
              <w:fldChar w:fldCharType="separate"/>
            </w:r>
            <w:r>
              <w:rPr>
                <w:noProof/>
                <w:webHidden/>
              </w:rPr>
              <w:t>13</w:t>
            </w:r>
            <w:r>
              <w:rPr>
                <w:noProof/>
                <w:webHidden/>
              </w:rPr>
              <w:fldChar w:fldCharType="end"/>
            </w:r>
          </w:hyperlink>
        </w:p>
        <w:p w14:paraId="1BBAE2AB" w14:textId="2586B8E9" w:rsidR="00250820" w:rsidRDefault="00250820">
          <w:pPr>
            <w:pStyle w:val="TOC1"/>
            <w:tabs>
              <w:tab w:val="left" w:pos="440"/>
              <w:tab w:val="right" w:leader="dot" w:pos="9016"/>
            </w:tabs>
            <w:rPr>
              <w:rFonts w:cstheme="minorBidi"/>
              <w:noProof/>
              <w:kern w:val="2"/>
              <w:sz w:val="24"/>
              <w:szCs w:val="24"/>
              <w:lang w:val="en-GB" w:eastAsia="en-GB"/>
              <w14:ligatures w14:val="standardContextual"/>
            </w:rPr>
          </w:pPr>
          <w:hyperlink w:anchor="_Toc234699514" w:history="1">
            <w:r w:rsidRPr="006E002B">
              <w:rPr>
                <w:rStyle w:val="Hyperlink"/>
                <w:b/>
                <w:bCs/>
                <w:noProof/>
              </w:rPr>
              <w:t>2</w:t>
            </w:r>
            <w:r>
              <w:rPr>
                <w:rFonts w:cstheme="minorBidi"/>
                <w:noProof/>
                <w:kern w:val="2"/>
                <w:sz w:val="24"/>
                <w:szCs w:val="24"/>
                <w:lang w:val="en-GB" w:eastAsia="en-GB"/>
                <w14:ligatures w14:val="standardContextual"/>
              </w:rPr>
              <w:tab/>
            </w:r>
            <w:r w:rsidRPr="006E002B">
              <w:rPr>
                <w:rStyle w:val="Hyperlink"/>
                <w:b/>
                <w:bCs/>
                <w:noProof/>
              </w:rPr>
              <w:t>Literature Review</w:t>
            </w:r>
            <w:r>
              <w:rPr>
                <w:noProof/>
                <w:webHidden/>
              </w:rPr>
              <w:tab/>
            </w:r>
            <w:r>
              <w:rPr>
                <w:noProof/>
                <w:webHidden/>
              </w:rPr>
              <w:fldChar w:fldCharType="begin"/>
            </w:r>
            <w:r>
              <w:rPr>
                <w:noProof/>
                <w:webHidden/>
              </w:rPr>
              <w:instrText xml:space="preserve"> PAGEREF _Toc234699514 \h </w:instrText>
            </w:r>
            <w:r>
              <w:rPr>
                <w:noProof/>
                <w:webHidden/>
              </w:rPr>
            </w:r>
            <w:r>
              <w:rPr>
                <w:noProof/>
                <w:webHidden/>
              </w:rPr>
              <w:fldChar w:fldCharType="separate"/>
            </w:r>
            <w:r>
              <w:rPr>
                <w:noProof/>
                <w:webHidden/>
              </w:rPr>
              <w:t>15</w:t>
            </w:r>
            <w:r>
              <w:rPr>
                <w:noProof/>
                <w:webHidden/>
              </w:rPr>
              <w:fldChar w:fldCharType="end"/>
            </w:r>
          </w:hyperlink>
        </w:p>
        <w:p w14:paraId="6B967430" w14:textId="464CFCEF"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15" w:history="1">
            <w:r w:rsidRPr="006E002B">
              <w:rPr>
                <w:rStyle w:val="Hyperlink"/>
                <w:noProof/>
              </w:rPr>
              <w:t>2.1</w:t>
            </w:r>
            <w:r>
              <w:rPr>
                <w:rFonts w:cstheme="minorBidi"/>
                <w:noProof/>
                <w:kern w:val="2"/>
                <w:sz w:val="24"/>
                <w:szCs w:val="24"/>
                <w:lang w:val="en-GB" w:eastAsia="en-GB"/>
                <w14:ligatures w14:val="standardContextual"/>
              </w:rPr>
              <w:tab/>
            </w:r>
            <w:r w:rsidRPr="006E002B">
              <w:rPr>
                <w:rStyle w:val="Hyperlink"/>
                <w:noProof/>
              </w:rPr>
              <w:t>EAF steelmaking and the need for reliable metallurgical data</w:t>
            </w:r>
            <w:r>
              <w:rPr>
                <w:noProof/>
                <w:webHidden/>
              </w:rPr>
              <w:tab/>
            </w:r>
            <w:r>
              <w:rPr>
                <w:noProof/>
                <w:webHidden/>
              </w:rPr>
              <w:fldChar w:fldCharType="begin"/>
            </w:r>
            <w:r>
              <w:rPr>
                <w:noProof/>
                <w:webHidden/>
              </w:rPr>
              <w:instrText xml:space="preserve"> PAGEREF _Toc234699515 \h </w:instrText>
            </w:r>
            <w:r>
              <w:rPr>
                <w:noProof/>
                <w:webHidden/>
              </w:rPr>
            </w:r>
            <w:r>
              <w:rPr>
                <w:noProof/>
                <w:webHidden/>
              </w:rPr>
              <w:fldChar w:fldCharType="separate"/>
            </w:r>
            <w:r>
              <w:rPr>
                <w:noProof/>
                <w:webHidden/>
              </w:rPr>
              <w:t>15</w:t>
            </w:r>
            <w:r>
              <w:rPr>
                <w:noProof/>
                <w:webHidden/>
              </w:rPr>
              <w:fldChar w:fldCharType="end"/>
            </w:r>
          </w:hyperlink>
        </w:p>
        <w:p w14:paraId="05F44CE1" w14:textId="44486A01"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16" w:history="1">
            <w:r w:rsidRPr="006E002B">
              <w:rPr>
                <w:rStyle w:val="Hyperlink"/>
                <w:noProof/>
              </w:rPr>
              <w:t>2.2</w:t>
            </w:r>
            <w:r>
              <w:rPr>
                <w:rFonts w:cstheme="minorBidi"/>
                <w:noProof/>
                <w:kern w:val="2"/>
                <w:sz w:val="24"/>
                <w:szCs w:val="24"/>
                <w:lang w:val="en-GB" w:eastAsia="en-GB"/>
                <w14:ligatures w14:val="standardContextual"/>
              </w:rPr>
              <w:tab/>
            </w:r>
            <w:r w:rsidRPr="006E002B">
              <w:rPr>
                <w:rStyle w:val="Hyperlink"/>
                <w:noProof/>
              </w:rPr>
              <w:t>Slag chemistry, foamability and refractory performance</w:t>
            </w:r>
            <w:r>
              <w:rPr>
                <w:noProof/>
                <w:webHidden/>
              </w:rPr>
              <w:tab/>
            </w:r>
            <w:r>
              <w:rPr>
                <w:noProof/>
                <w:webHidden/>
              </w:rPr>
              <w:fldChar w:fldCharType="begin"/>
            </w:r>
            <w:r>
              <w:rPr>
                <w:noProof/>
                <w:webHidden/>
              </w:rPr>
              <w:instrText xml:space="preserve"> PAGEREF _Toc234699516 \h </w:instrText>
            </w:r>
            <w:r>
              <w:rPr>
                <w:noProof/>
                <w:webHidden/>
              </w:rPr>
            </w:r>
            <w:r>
              <w:rPr>
                <w:noProof/>
                <w:webHidden/>
              </w:rPr>
              <w:fldChar w:fldCharType="separate"/>
            </w:r>
            <w:r>
              <w:rPr>
                <w:noProof/>
                <w:webHidden/>
              </w:rPr>
              <w:t>16</w:t>
            </w:r>
            <w:r>
              <w:rPr>
                <w:noProof/>
                <w:webHidden/>
              </w:rPr>
              <w:fldChar w:fldCharType="end"/>
            </w:r>
          </w:hyperlink>
        </w:p>
        <w:p w14:paraId="0835F563" w14:textId="05413E32"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17" w:history="1">
            <w:r w:rsidRPr="006E002B">
              <w:rPr>
                <w:rStyle w:val="Hyperlink"/>
                <w:noProof/>
              </w:rPr>
              <w:t>2.3</w:t>
            </w:r>
            <w:r>
              <w:rPr>
                <w:rFonts w:cstheme="minorBidi"/>
                <w:noProof/>
                <w:kern w:val="2"/>
                <w:sz w:val="24"/>
                <w:szCs w:val="24"/>
                <w:lang w:val="en-GB" w:eastAsia="en-GB"/>
                <w14:ligatures w14:val="standardContextual"/>
              </w:rPr>
              <w:tab/>
            </w:r>
            <w:r w:rsidRPr="006E002B">
              <w:rPr>
                <w:rStyle w:val="Hyperlink"/>
                <w:noProof/>
              </w:rPr>
              <w:t>Manual sampling and human factors</w:t>
            </w:r>
            <w:r>
              <w:rPr>
                <w:noProof/>
                <w:webHidden/>
              </w:rPr>
              <w:tab/>
            </w:r>
            <w:r>
              <w:rPr>
                <w:noProof/>
                <w:webHidden/>
              </w:rPr>
              <w:fldChar w:fldCharType="begin"/>
            </w:r>
            <w:r>
              <w:rPr>
                <w:noProof/>
                <w:webHidden/>
              </w:rPr>
              <w:instrText xml:space="preserve"> PAGEREF _Toc234699517 \h </w:instrText>
            </w:r>
            <w:r>
              <w:rPr>
                <w:noProof/>
                <w:webHidden/>
              </w:rPr>
            </w:r>
            <w:r>
              <w:rPr>
                <w:noProof/>
                <w:webHidden/>
              </w:rPr>
              <w:fldChar w:fldCharType="separate"/>
            </w:r>
            <w:r>
              <w:rPr>
                <w:noProof/>
                <w:webHidden/>
              </w:rPr>
              <w:t>17</w:t>
            </w:r>
            <w:r>
              <w:rPr>
                <w:noProof/>
                <w:webHidden/>
              </w:rPr>
              <w:fldChar w:fldCharType="end"/>
            </w:r>
          </w:hyperlink>
        </w:p>
        <w:p w14:paraId="1913796F" w14:textId="7FA0EAA6"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18" w:history="1">
            <w:r w:rsidRPr="006E002B">
              <w:rPr>
                <w:rStyle w:val="Hyperlink"/>
                <w:noProof/>
              </w:rPr>
              <w:t>2.4</w:t>
            </w:r>
            <w:r>
              <w:rPr>
                <w:rFonts w:cstheme="minorBidi"/>
                <w:noProof/>
                <w:kern w:val="2"/>
                <w:sz w:val="24"/>
                <w:szCs w:val="24"/>
                <w:lang w:val="en-GB" w:eastAsia="en-GB"/>
                <w14:ligatures w14:val="standardContextual"/>
              </w:rPr>
              <w:tab/>
            </w:r>
            <w:r w:rsidRPr="006E002B">
              <w:rPr>
                <w:rStyle w:val="Hyperlink"/>
                <w:noProof/>
              </w:rPr>
              <w:t>Robotics and automated sampling in steelmaking</w:t>
            </w:r>
            <w:r>
              <w:rPr>
                <w:noProof/>
                <w:webHidden/>
              </w:rPr>
              <w:tab/>
            </w:r>
            <w:r>
              <w:rPr>
                <w:noProof/>
                <w:webHidden/>
              </w:rPr>
              <w:fldChar w:fldCharType="begin"/>
            </w:r>
            <w:r>
              <w:rPr>
                <w:noProof/>
                <w:webHidden/>
              </w:rPr>
              <w:instrText xml:space="preserve"> PAGEREF _Toc234699518 \h </w:instrText>
            </w:r>
            <w:r>
              <w:rPr>
                <w:noProof/>
                <w:webHidden/>
              </w:rPr>
            </w:r>
            <w:r>
              <w:rPr>
                <w:noProof/>
                <w:webHidden/>
              </w:rPr>
              <w:fldChar w:fldCharType="separate"/>
            </w:r>
            <w:r>
              <w:rPr>
                <w:noProof/>
                <w:webHidden/>
              </w:rPr>
              <w:t>18</w:t>
            </w:r>
            <w:r>
              <w:rPr>
                <w:noProof/>
                <w:webHidden/>
              </w:rPr>
              <w:fldChar w:fldCharType="end"/>
            </w:r>
          </w:hyperlink>
        </w:p>
        <w:p w14:paraId="1B266015" w14:textId="2F8443AB"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19" w:history="1">
            <w:r w:rsidRPr="006E002B">
              <w:rPr>
                <w:rStyle w:val="Hyperlink"/>
                <w:noProof/>
              </w:rPr>
              <w:t>2.5</w:t>
            </w:r>
            <w:r>
              <w:rPr>
                <w:rFonts w:cstheme="minorBidi"/>
                <w:noProof/>
                <w:kern w:val="2"/>
                <w:sz w:val="24"/>
                <w:szCs w:val="24"/>
                <w:lang w:val="en-GB" w:eastAsia="en-GB"/>
                <w14:ligatures w14:val="standardContextual"/>
              </w:rPr>
              <w:tab/>
            </w:r>
            <w:r w:rsidRPr="006E002B">
              <w:rPr>
                <w:rStyle w:val="Hyperlink"/>
                <w:noProof/>
              </w:rPr>
              <w:t>Sample transport and analytical turnaround</w:t>
            </w:r>
            <w:r>
              <w:rPr>
                <w:noProof/>
                <w:webHidden/>
              </w:rPr>
              <w:tab/>
            </w:r>
            <w:r>
              <w:rPr>
                <w:noProof/>
                <w:webHidden/>
              </w:rPr>
              <w:fldChar w:fldCharType="begin"/>
            </w:r>
            <w:r>
              <w:rPr>
                <w:noProof/>
                <w:webHidden/>
              </w:rPr>
              <w:instrText xml:space="preserve"> PAGEREF _Toc234699519 \h </w:instrText>
            </w:r>
            <w:r>
              <w:rPr>
                <w:noProof/>
                <w:webHidden/>
              </w:rPr>
            </w:r>
            <w:r>
              <w:rPr>
                <w:noProof/>
                <w:webHidden/>
              </w:rPr>
              <w:fldChar w:fldCharType="separate"/>
            </w:r>
            <w:r>
              <w:rPr>
                <w:noProof/>
                <w:webHidden/>
              </w:rPr>
              <w:t>19</w:t>
            </w:r>
            <w:r>
              <w:rPr>
                <w:noProof/>
                <w:webHidden/>
              </w:rPr>
              <w:fldChar w:fldCharType="end"/>
            </w:r>
          </w:hyperlink>
        </w:p>
        <w:p w14:paraId="2A40C76B" w14:textId="1B6F0D36"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20" w:history="1">
            <w:r w:rsidRPr="006E002B">
              <w:rPr>
                <w:rStyle w:val="Hyperlink"/>
                <w:noProof/>
              </w:rPr>
              <w:t>2.6</w:t>
            </w:r>
            <w:r>
              <w:rPr>
                <w:rFonts w:cstheme="minorBidi"/>
                <w:noProof/>
                <w:kern w:val="2"/>
                <w:sz w:val="24"/>
                <w:szCs w:val="24"/>
                <w:lang w:val="en-GB" w:eastAsia="en-GB"/>
                <w14:ligatures w14:val="standardContextual"/>
              </w:rPr>
              <w:tab/>
            </w:r>
            <w:r w:rsidRPr="006E002B">
              <w:rPr>
                <w:rStyle w:val="Hyperlink"/>
                <w:noProof/>
              </w:rPr>
              <w:t>Safety, machinery and ergonomic standards</w:t>
            </w:r>
            <w:r>
              <w:rPr>
                <w:noProof/>
                <w:webHidden/>
              </w:rPr>
              <w:tab/>
            </w:r>
            <w:r>
              <w:rPr>
                <w:noProof/>
                <w:webHidden/>
              </w:rPr>
              <w:fldChar w:fldCharType="begin"/>
            </w:r>
            <w:r>
              <w:rPr>
                <w:noProof/>
                <w:webHidden/>
              </w:rPr>
              <w:instrText xml:space="preserve"> PAGEREF _Toc234699520 \h </w:instrText>
            </w:r>
            <w:r>
              <w:rPr>
                <w:noProof/>
                <w:webHidden/>
              </w:rPr>
            </w:r>
            <w:r>
              <w:rPr>
                <w:noProof/>
                <w:webHidden/>
              </w:rPr>
              <w:fldChar w:fldCharType="separate"/>
            </w:r>
            <w:r>
              <w:rPr>
                <w:noProof/>
                <w:webHidden/>
              </w:rPr>
              <w:t>19</w:t>
            </w:r>
            <w:r>
              <w:rPr>
                <w:noProof/>
                <w:webHidden/>
              </w:rPr>
              <w:fldChar w:fldCharType="end"/>
            </w:r>
          </w:hyperlink>
        </w:p>
        <w:p w14:paraId="122F19C8" w14:textId="437BB667"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21" w:history="1">
            <w:r w:rsidRPr="006E002B">
              <w:rPr>
                <w:rStyle w:val="Hyperlink"/>
                <w:noProof/>
              </w:rPr>
              <w:t>2.7</w:t>
            </w:r>
            <w:r>
              <w:rPr>
                <w:rFonts w:cstheme="minorBidi"/>
                <w:noProof/>
                <w:kern w:val="2"/>
                <w:sz w:val="24"/>
                <w:szCs w:val="24"/>
                <w:lang w:val="en-GB" w:eastAsia="en-GB"/>
                <w14:ligatures w14:val="standardContextual"/>
              </w:rPr>
              <w:tab/>
            </w:r>
            <w:r w:rsidRPr="006E002B">
              <w:rPr>
                <w:rStyle w:val="Hyperlink"/>
                <w:noProof/>
              </w:rPr>
              <w:t>Literature review synthesis</w:t>
            </w:r>
            <w:r>
              <w:rPr>
                <w:noProof/>
                <w:webHidden/>
              </w:rPr>
              <w:tab/>
            </w:r>
            <w:r>
              <w:rPr>
                <w:noProof/>
                <w:webHidden/>
              </w:rPr>
              <w:fldChar w:fldCharType="begin"/>
            </w:r>
            <w:r>
              <w:rPr>
                <w:noProof/>
                <w:webHidden/>
              </w:rPr>
              <w:instrText xml:space="preserve"> PAGEREF _Toc234699521 \h </w:instrText>
            </w:r>
            <w:r>
              <w:rPr>
                <w:noProof/>
                <w:webHidden/>
              </w:rPr>
            </w:r>
            <w:r>
              <w:rPr>
                <w:noProof/>
                <w:webHidden/>
              </w:rPr>
              <w:fldChar w:fldCharType="separate"/>
            </w:r>
            <w:r>
              <w:rPr>
                <w:noProof/>
                <w:webHidden/>
              </w:rPr>
              <w:t>20</w:t>
            </w:r>
            <w:r>
              <w:rPr>
                <w:noProof/>
                <w:webHidden/>
              </w:rPr>
              <w:fldChar w:fldCharType="end"/>
            </w:r>
          </w:hyperlink>
        </w:p>
        <w:p w14:paraId="33FCD331" w14:textId="444E2E28" w:rsidR="00250820" w:rsidRDefault="00250820">
          <w:pPr>
            <w:pStyle w:val="TOC1"/>
            <w:tabs>
              <w:tab w:val="left" w:pos="440"/>
              <w:tab w:val="right" w:leader="dot" w:pos="9016"/>
            </w:tabs>
            <w:rPr>
              <w:rFonts w:cstheme="minorBidi"/>
              <w:noProof/>
              <w:kern w:val="2"/>
              <w:sz w:val="24"/>
              <w:szCs w:val="24"/>
              <w:lang w:val="en-GB" w:eastAsia="en-GB"/>
              <w14:ligatures w14:val="standardContextual"/>
            </w:rPr>
          </w:pPr>
          <w:hyperlink w:anchor="_Toc234699522" w:history="1">
            <w:r w:rsidRPr="006E002B">
              <w:rPr>
                <w:rStyle w:val="Hyperlink"/>
                <w:b/>
                <w:bCs/>
                <w:noProof/>
              </w:rPr>
              <w:t>3</w:t>
            </w:r>
            <w:r>
              <w:rPr>
                <w:rFonts w:cstheme="minorBidi"/>
                <w:noProof/>
                <w:kern w:val="2"/>
                <w:sz w:val="24"/>
                <w:szCs w:val="24"/>
                <w:lang w:val="en-GB" w:eastAsia="en-GB"/>
                <w14:ligatures w14:val="standardContextual"/>
              </w:rPr>
              <w:tab/>
            </w:r>
            <w:r w:rsidRPr="006E002B">
              <w:rPr>
                <w:rStyle w:val="Hyperlink"/>
                <w:b/>
                <w:bCs/>
                <w:noProof/>
              </w:rPr>
              <w:t>Methodology</w:t>
            </w:r>
            <w:r>
              <w:rPr>
                <w:noProof/>
                <w:webHidden/>
              </w:rPr>
              <w:tab/>
            </w:r>
            <w:r>
              <w:rPr>
                <w:noProof/>
                <w:webHidden/>
              </w:rPr>
              <w:fldChar w:fldCharType="begin"/>
            </w:r>
            <w:r>
              <w:rPr>
                <w:noProof/>
                <w:webHidden/>
              </w:rPr>
              <w:instrText xml:space="preserve"> PAGEREF _Toc234699522 \h </w:instrText>
            </w:r>
            <w:r>
              <w:rPr>
                <w:noProof/>
                <w:webHidden/>
              </w:rPr>
            </w:r>
            <w:r>
              <w:rPr>
                <w:noProof/>
                <w:webHidden/>
              </w:rPr>
              <w:fldChar w:fldCharType="separate"/>
            </w:r>
            <w:r>
              <w:rPr>
                <w:noProof/>
                <w:webHidden/>
              </w:rPr>
              <w:t>21</w:t>
            </w:r>
            <w:r>
              <w:rPr>
                <w:noProof/>
                <w:webHidden/>
              </w:rPr>
              <w:fldChar w:fldCharType="end"/>
            </w:r>
          </w:hyperlink>
        </w:p>
        <w:p w14:paraId="053EC7DC" w14:textId="66397CC1"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23" w:history="1">
            <w:r w:rsidRPr="006E002B">
              <w:rPr>
                <w:rStyle w:val="Hyperlink"/>
                <w:noProof/>
              </w:rPr>
              <w:t>3.1</w:t>
            </w:r>
            <w:r>
              <w:rPr>
                <w:rFonts w:cstheme="minorBidi"/>
                <w:noProof/>
                <w:kern w:val="2"/>
                <w:sz w:val="24"/>
                <w:szCs w:val="24"/>
                <w:lang w:val="en-GB" w:eastAsia="en-GB"/>
                <w14:ligatures w14:val="standardContextual"/>
              </w:rPr>
              <w:tab/>
            </w:r>
            <w:r w:rsidRPr="006E002B">
              <w:rPr>
                <w:rStyle w:val="Hyperlink"/>
                <w:noProof/>
              </w:rPr>
              <w:t>Research design</w:t>
            </w:r>
            <w:r>
              <w:rPr>
                <w:noProof/>
                <w:webHidden/>
              </w:rPr>
              <w:tab/>
            </w:r>
            <w:r>
              <w:rPr>
                <w:noProof/>
                <w:webHidden/>
              </w:rPr>
              <w:fldChar w:fldCharType="begin"/>
            </w:r>
            <w:r>
              <w:rPr>
                <w:noProof/>
                <w:webHidden/>
              </w:rPr>
              <w:instrText xml:space="preserve"> PAGEREF _Toc234699523 \h </w:instrText>
            </w:r>
            <w:r>
              <w:rPr>
                <w:noProof/>
                <w:webHidden/>
              </w:rPr>
            </w:r>
            <w:r>
              <w:rPr>
                <w:noProof/>
                <w:webHidden/>
              </w:rPr>
              <w:fldChar w:fldCharType="separate"/>
            </w:r>
            <w:r>
              <w:rPr>
                <w:noProof/>
                <w:webHidden/>
              </w:rPr>
              <w:t>21</w:t>
            </w:r>
            <w:r>
              <w:rPr>
                <w:noProof/>
                <w:webHidden/>
              </w:rPr>
              <w:fldChar w:fldCharType="end"/>
            </w:r>
          </w:hyperlink>
        </w:p>
        <w:p w14:paraId="5485FA38" w14:textId="6694B4EE"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24" w:history="1">
            <w:r w:rsidRPr="006E002B">
              <w:rPr>
                <w:rStyle w:val="Hyperlink"/>
                <w:noProof/>
              </w:rPr>
              <w:t>3.2</w:t>
            </w:r>
            <w:r>
              <w:rPr>
                <w:rFonts w:cstheme="minorBidi"/>
                <w:noProof/>
                <w:kern w:val="2"/>
                <w:sz w:val="24"/>
                <w:szCs w:val="24"/>
                <w:lang w:val="en-GB" w:eastAsia="en-GB"/>
                <w14:ligatures w14:val="standardContextual"/>
              </w:rPr>
              <w:tab/>
            </w:r>
            <w:r w:rsidRPr="006E002B">
              <w:rPr>
                <w:rStyle w:val="Hyperlink"/>
                <w:noProof/>
              </w:rPr>
              <w:t>Source data</w:t>
            </w:r>
            <w:r>
              <w:rPr>
                <w:noProof/>
                <w:webHidden/>
              </w:rPr>
              <w:tab/>
            </w:r>
            <w:r>
              <w:rPr>
                <w:noProof/>
                <w:webHidden/>
              </w:rPr>
              <w:fldChar w:fldCharType="begin"/>
            </w:r>
            <w:r>
              <w:rPr>
                <w:noProof/>
                <w:webHidden/>
              </w:rPr>
              <w:instrText xml:space="preserve"> PAGEREF _Toc234699524 \h </w:instrText>
            </w:r>
            <w:r>
              <w:rPr>
                <w:noProof/>
                <w:webHidden/>
              </w:rPr>
            </w:r>
            <w:r>
              <w:rPr>
                <w:noProof/>
                <w:webHidden/>
              </w:rPr>
              <w:fldChar w:fldCharType="separate"/>
            </w:r>
            <w:r>
              <w:rPr>
                <w:noProof/>
                <w:webHidden/>
              </w:rPr>
              <w:t>21</w:t>
            </w:r>
            <w:r>
              <w:rPr>
                <w:noProof/>
                <w:webHidden/>
              </w:rPr>
              <w:fldChar w:fldCharType="end"/>
            </w:r>
          </w:hyperlink>
        </w:p>
        <w:p w14:paraId="32DD1222" w14:textId="4F62DEBB"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25" w:history="1">
            <w:r w:rsidRPr="006E002B">
              <w:rPr>
                <w:rStyle w:val="Hyperlink"/>
                <w:noProof/>
              </w:rPr>
              <w:t>3.3</w:t>
            </w:r>
            <w:r>
              <w:rPr>
                <w:rFonts w:cstheme="minorBidi"/>
                <w:noProof/>
                <w:kern w:val="2"/>
                <w:sz w:val="24"/>
                <w:szCs w:val="24"/>
                <w:lang w:val="en-GB" w:eastAsia="en-GB"/>
                <w14:ligatures w14:val="standardContextual"/>
              </w:rPr>
              <w:tab/>
            </w:r>
            <w:r w:rsidRPr="006E002B">
              <w:rPr>
                <w:rStyle w:val="Hyperlink"/>
                <w:noProof/>
              </w:rPr>
              <w:t>Option generation</w:t>
            </w:r>
            <w:r>
              <w:rPr>
                <w:noProof/>
                <w:webHidden/>
              </w:rPr>
              <w:tab/>
            </w:r>
            <w:r>
              <w:rPr>
                <w:noProof/>
                <w:webHidden/>
              </w:rPr>
              <w:fldChar w:fldCharType="begin"/>
            </w:r>
            <w:r>
              <w:rPr>
                <w:noProof/>
                <w:webHidden/>
              </w:rPr>
              <w:instrText xml:space="preserve"> PAGEREF _Toc234699525 \h </w:instrText>
            </w:r>
            <w:r>
              <w:rPr>
                <w:noProof/>
                <w:webHidden/>
              </w:rPr>
            </w:r>
            <w:r>
              <w:rPr>
                <w:noProof/>
                <w:webHidden/>
              </w:rPr>
              <w:fldChar w:fldCharType="separate"/>
            </w:r>
            <w:r>
              <w:rPr>
                <w:noProof/>
                <w:webHidden/>
              </w:rPr>
              <w:t>23</w:t>
            </w:r>
            <w:r>
              <w:rPr>
                <w:noProof/>
                <w:webHidden/>
              </w:rPr>
              <w:fldChar w:fldCharType="end"/>
            </w:r>
          </w:hyperlink>
        </w:p>
        <w:p w14:paraId="660D6962" w14:textId="7E19D4CE"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26" w:history="1">
            <w:r w:rsidRPr="006E002B">
              <w:rPr>
                <w:rStyle w:val="Hyperlink"/>
                <w:noProof/>
              </w:rPr>
              <w:t>3.4</w:t>
            </w:r>
            <w:r>
              <w:rPr>
                <w:rFonts w:cstheme="minorBidi"/>
                <w:noProof/>
                <w:kern w:val="2"/>
                <w:sz w:val="24"/>
                <w:szCs w:val="24"/>
                <w:lang w:val="en-GB" w:eastAsia="en-GB"/>
                <w14:ligatures w14:val="standardContextual"/>
              </w:rPr>
              <w:tab/>
            </w:r>
            <w:r w:rsidRPr="006E002B">
              <w:rPr>
                <w:rStyle w:val="Hyperlink"/>
                <w:noProof/>
              </w:rPr>
              <w:t>Evaluation criteria and weighting</w:t>
            </w:r>
            <w:r>
              <w:rPr>
                <w:noProof/>
                <w:webHidden/>
              </w:rPr>
              <w:tab/>
            </w:r>
            <w:r>
              <w:rPr>
                <w:noProof/>
                <w:webHidden/>
              </w:rPr>
              <w:fldChar w:fldCharType="begin"/>
            </w:r>
            <w:r>
              <w:rPr>
                <w:noProof/>
                <w:webHidden/>
              </w:rPr>
              <w:instrText xml:space="preserve"> PAGEREF _Toc234699526 \h </w:instrText>
            </w:r>
            <w:r>
              <w:rPr>
                <w:noProof/>
                <w:webHidden/>
              </w:rPr>
            </w:r>
            <w:r>
              <w:rPr>
                <w:noProof/>
                <w:webHidden/>
              </w:rPr>
              <w:fldChar w:fldCharType="separate"/>
            </w:r>
            <w:r>
              <w:rPr>
                <w:noProof/>
                <w:webHidden/>
              </w:rPr>
              <w:t>23</w:t>
            </w:r>
            <w:r>
              <w:rPr>
                <w:noProof/>
                <w:webHidden/>
              </w:rPr>
              <w:fldChar w:fldCharType="end"/>
            </w:r>
          </w:hyperlink>
        </w:p>
        <w:p w14:paraId="2B90B5EF" w14:textId="3DB87ECF"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27" w:history="1">
            <w:r w:rsidRPr="006E002B">
              <w:rPr>
                <w:rStyle w:val="Hyperlink"/>
                <w:noProof/>
              </w:rPr>
              <w:t>3.5</w:t>
            </w:r>
            <w:r>
              <w:rPr>
                <w:rFonts w:cstheme="minorBidi"/>
                <w:noProof/>
                <w:kern w:val="2"/>
                <w:sz w:val="24"/>
                <w:szCs w:val="24"/>
                <w:lang w:val="en-GB" w:eastAsia="en-GB"/>
                <w14:ligatures w14:val="standardContextual"/>
              </w:rPr>
              <w:tab/>
            </w:r>
            <w:r w:rsidRPr="006E002B">
              <w:rPr>
                <w:rStyle w:val="Hyperlink"/>
                <w:noProof/>
              </w:rPr>
              <w:t>Safety and human-factor assessment method</w:t>
            </w:r>
            <w:r>
              <w:rPr>
                <w:noProof/>
                <w:webHidden/>
              </w:rPr>
              <w:tab/>
            </w:r>
            <w:r>
              <w:rPr>
                <w:noProof/>
                <w:webHidden/>
              </w:rPr>
              <w:fldChar w:fldCharType="begin"/>
            </w:r>
            <w:r>
              <w:rPr>
                <w:noProof/>
                <w:webHidden/>
              </w:rPr>
              <w:instrText xml:space="preserve"> PAGEREF _Toc234699527 \h </w:instrText>
            </w:r>
            <w:r>
              <w:rPr>
                <w:noProof/>
                <w:webHidden/>
              </w:rPr>
            </w:r>
            <w:r>
              <w:rPr>
                <w:noProof/>
                <w:webHidden/>
              </w:rPr>
              <w:fldChar w:fldCharType="separate"/>
            </w:r>
            <w:r>
              <w:rPr>
                <w:noProof/>
                <w:webHidden/>
              </w:rPr>
              <w:t>24</w:t>
            </w:r>
            <w:r>
              <w:rPr>
                <w:noProof/>
                <w:webHidden/>
              </w:rPr>
              <w:fldChar w:fldCharType="end"/>
            </w:r>
          </w:hyperlink>
        </w:p>
        <w:p w14:paraId="69A069CA" w14:textId="2B3E13B1"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28" w:history="1">
            <w:r w:rsidRPr="006E002B">
              <w:rPr>
                <w:rStyle w:val="Hyperlink"/>
                <w:noProof/>
              </w:rPr>
              <w:t>3.6</w:t>
            </w:r>
            <w:r>
              <w:rPr>
                <w:rFonts w:cstheme="minorBidi"/>
                <w:noProof/>
                <w:kern w:val="2"/>
                <w:sz w:val="24"/>
                <w:szCs w:val="24"/>
                <w:lang w:val="en-GB" w:eastAsia="en-GB"/>
                <w14:ligatures w14:val="standardContextual"/>
              </w:rPr>
              <w:tab/>
            </w:r>
            <w:r w:rsidRPr="006E002B">
              <w:rPr>
                <w:rStyle w:val="Hyperlink"/>
                <w:noProof/>
              </w:rPr>
              <w:t>Limitations of the method</w:t>
            </w:r>
            <w:r>
              <w:rPr>
                <w:noProof/>
                <w:webHidden/>
              </w:rPr>
              <w:tab/>
            </w:r>
            <w:r>
              <w:rPr>
                <w:noProof/>
                <w:webHidden/>
              </w:rPr>
              <w:fldChar w:fldCharType="begin"/>
            </w:r>
            <w:r>
              <w:rPr>
                <w:noProof/>
                <w:webHidden/>
              </w:rPr>
              <w:instrText xml:space="preserve"> PAGEREF _Toc234699528 \h </w:instrText>
            </w:r>
            <w:r>
              <w:rPr>
                <w:noProof/>
                <w:webHidden/>
              </w:rPr>
            </w:r>
            <w:r>
              <w:rPr>
                <w:noProof/>
                <w:webHidden/>
              </w:rPr>
              <w:fldChar w:fldCharType="separate"/>
            </w:r>
            <w:r>
              <w:rPr>
                <w:noProof/>
                <w:webHidden/>
              </w:rPr>
              <w:t>25</w:t>
            </w:r>
            <w:r>
              <w:rPr>
                <w:noProof/>
                <w:webHidden/>
              </w:rPr>
              <w:fldChar w:fldCharType="end"/>
            </w:r>
          </w:hyperlink>
        </w:p>
        <w:p w14:paraId="4A074DAA" w14:textId="4486ABB5"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29" w:history="1">
            <w:r w:rsidRPr="006E002B">
              <w:rPr>
                <w:rStyle w:val="Hyperlink"/>
                <w:noProof/>
              </w:rPr>
              <w:t>3.7</w:t>
            </w:r>
            <w:r>
              <w:rPr>
                <w:rFonts w:cstheme="minorBidi"/>
                <w:noProof/>
                <w:kern w:val="2"/>
                <w:sz w:val="24"/>
                <w:szCs w:val="24"/>
                <w:lang w:val="en-GB" w:eastAsia="en-GB"/>
                <w14:ligatures w14:val="standardContextual"/>
              </w:rPr>
              <w:tab/>
            </w:r>
            <w:r w:rsidRPr="006E002B">
              <w:rPr>
                <w:rStyle w:val="Hyperlink"/>
                <w:noProof/>
              </w:rPr>
              <w:t>Project Plan and work carried out</w:t>
            </w:r>
            <w:r>
              <w:rPr>
                <w:noProof/>
                <w:webHidden/>
              </w:rPr>
              <w:tab/>
            </w:r>
            <w:r>
              <w:rPr>
                <w:noProof/>
                <w:webHidden/>
              </w:rPr>
              <w:fldChar w:fldCharType="begin"/>
            </w:r>
            <w:r>
              <w:rPr>
                <w:noProof/>
                <w:webHidden/>
              </w:rPr>
              <w:instrText xml:space="preserve"> PAGEREF _Toc234699529 \h </w:instrText>
            </w:r>
            <w:r>
              <w:rPr>
                <w:noProof/>
                <w:webHidden/>
              </w:rPr>
            </w:r>
            <w:r>
              <w:rPr>
                <w:noProof/>
                <w:webHidden/>
              </w:rPr>
              <w:fldChar w:fldCharType="separate"/>
            </w:r>
            <w:r>
              <w:rPr>
                <w:noProof/>
                <w:webHidden/>
              </w:rPr>
              <w:t>26</w:t>
            </w:r>
            <w:r>
              <w:rPr>
                <w:noProof/>
                <w:webHidden/>
              </w:rPr>
              <w:fldChar w:fldCharType="end"/>
            </w:r>
          </w:hyperlink>
        </w:p>
        <w:p w14:paraId="153B4016" w14:textId="38189FB1" w:rsidR="00250820" w:rsidRDefault="00250820">
          <w:pPr>
            <w:pStyle w:val="TOC1"/>
            <w:tabs>
              <w:tab w:val="left" w:pos="440"/>
              <w:tab w:val="right" w:leader="dot" w:pos="9016"/>
            </w:tabs>
            <w:rPr>
              <w:rFonts w:cstheme="minorBidi"/>
              <w:noProof/>
              <w:kern w:val="2"/>
              <w:sz w:val="24"/>
              <w:szCs w:val="24"/>
              <w:lang w:val="en-GB" w:eastAsia="en-GB"/>
              <w14:ligatures w14:val="standardContextual"/>
            </w:rPr>
          </w:pPr>
          <w:hyperlink w:anchor="_Toc234699530" w:history="1">
            <w:r w:rsidRPr="006E002B">
              <w:rPr>
                <w:rStyle w:val="Hyperlink"/>
                <w:b/>
                <w:bCs/>
                <w:noProof/>
              </w:rPr>
              <w:t>4</w:t>
            </w:r>
            <w:r>
              <w:rPr>
                <w:rFonts w:cstheme="minorBidi"/>
                <w:noProof/>
                <w:kern w:val="2"/>
                <w:sz w:val="24"/>
                <w:szCs w:val="24"/>
                <w:lang w:val="en-GB" w:eastAsia="en-GB"/>
                <w14:ligatures w14:val="standardContextual"/>
              </w:rPr>
              <w:tab/>
            </w:r>
            <w:r w:rsidRPr="006E002B">
              <w:rPr>
                <w:rStyle w:val="Hyperlink"/>
                <w:b/>
                <w:bCs/>
                <w:noProof/>
              </w:rPr>
              <w:t>Technical Baseline and Data Analysis</w:t>
            </w:r>
            <w:r>
              <w:rPr>
                <w:noProof/>
                <w:webHidden/>
              </w:rPr>
              <w:tab/>
            </w:r>
            <w:r>
              <w:rPr>
                <w:noProof/>
                <w:webHidden/>
              </w:rPr>
              <w:fldChar w:fldCharType="begin"/>
            </w:r>
            <w:r>
              <w:rPr>
                <w:noProof/>
                <w:webHidden/>
              </w:rPr>
              <w:instrText xml:space="preserve"> PAGEREF _Toc234699530 \h </w:instrText>
            </w:r>
            <w:r>
              <w:rPr>
                <w:noProof/>
                <w:webHidden/>
              </w:rPr>
            </w:r>
            <w:r>
              <w:rPr>
                <w:noProof/>
                <w:webHidden/>
              </w:rPr>
              <w:fldChar w:fldCharType="separate"/>
            </w:r>
            <w:r>
              <w:rPr>
                <w:noProof/>
                <w:webHidden/>
              </w:rPr>
              <w:t>29</w:t>
            </w:r>
            <w:r>
              <w:rPr>
                <w:noProof/>
                <w:webHidden/>
              </w:rPr>
              <w:fldChar w:fldCharType="end"/>
            </w:r>
          </w:hyperlink>
        </w:p>
        <w:p w14:paraId="1D1650DB" w14:textId="28A30169"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31" w:history="1">
            <w:r w:rsidRPr="006E002B">
              <w:rPr>
                <w:rStyle w:val="Hyperlink"/>
                <w:noProof/>
              </w:rPr>
              <w:t>4.1</w:t>
            </w:r>
            <w:r>
              <w:rPr>
                <w:rFonts w:cstheme="minorBidi"/>
                <w:noProof/>
                <w:kern w:val="2"/>
                <w:sz w:val="24"/>
                <w:szCs w:val="24"/>
                <w:lang w:val="en-GB" w:eastAsia="en-GB"/>
                <w14:ligatures w14:val="standardContextual"/>
              </w:rPr>
              <w:tab/>
            </w:r>
            <w:r w:rsidRPr="006E002B">
              <w:rPr>
                <w:rStyle w:val="Hyperlink"/>
                <w:noProof/>
              </w:rPr>
              <w:t>Project Invictus sampling architecture</w:t>
            </w:r>
            <w:r>
              <w:rPr>
                <w:noProof/>
                <w:webHidden/>
              </w:rPr>
              <w:tab/>
            </w:r>
            <w:r>
              <w:rPr>
                <w:noProof/>
                <w:webHidden/>
              </w:rPr>
              <w:fldChar w:fldCharType="begin"/>
            </w:r>
            <w:r>
              <w:rPr>
                <w:noProof/>
                <w:webHidden/>
              </w:rPr>
              <w:instrText xml:space="preserve"> PAGEREF _Toc234699531 \h </w:instrText>
            </w:r>
            <w:r>
              <w:rPr>
                <w:noProof/>
                <w:webHidden/>
              </w:rPr>
            </w:r>
            <w:r>
              <w:rPr>
                <w:noProof/>
                <w:webHidden/>
              </w:rPr>
              <w:fldChar w:fldCharType="separate"/>
            </w:r>
            <w:r>
              <w:rPr>
                <w:noProof/>
                <w:webHidden/>
              </w:rPr>
              <w:t>29</w:t>
            </w:r>
            <w:r>
              <w:rPr>
                <w:noProof/>
                <w:webHidden/>
              </w:rPr>
              <w:fldChar w:fldCharType="end"/>
            </w:r>
          </w:hyperlink>
        </w:p>
        <w:p w14:paraId="7C289242" w14:textId="2D7D6C7C"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32" w:history="1">
            <w:r w:rsidRPr="006E002B">
              <w:rPr>
                <w:rStyle w:val="Hyperlink"/>
                <w:noProof/>
              </w:rPr>
              <w:t>4.2</w:t>
            </w:r>
            <w:r>
              <w:rPr>
                <w:rFonts w:cstheme="minorBidi"/>
                <w:noProof/>
                <w:kern w:val="2"/>
                <w:sz w:val="24"/>
                <w:szCs w:val="24"/>
                <w:lang w:val="en-GB" w:eastAsia="en-GB"/>
                <w14:ligatures w14:val="standardContextual"/>
              </w:rPr>
              <w:tab/>
            </w:r>
            <w:r w:rsidRPr="006E002B">
              <w:rPr>
                <w:rStyle w:val="Hyperlink"/>
                <w:noProof/>
              </w:rPr>
              <w:t>Robot loads and mechanical implications</w:t>
            </w:r>
            <w:r>
              <w:rPr>
                <w:noProof/>
                <w:webHidden/>
              </w:rPr>
              <w:tab/>
            </w:r>
            <w:r>
              <w:rPr>
                <w:noProof/>
                <w:webHidden/>
              </w:rPr>
              <w:fldChar w:fldCharType="begin"/>
            </w:r>
            <w:r>
              <w:rPr>
                <w:noProof/>
                <w:webHidden/>
              </w:rPr>
              <w:instrText xml:space="preserve"> PAGEREF _Toc234699532 \h </w:instrText>
            </w:r>
            <w:r>
              <w:rPr>
                <w:noProof/>
                <w:webHidden/>
              </w:rPr>
            </w:r>
            <w:r>
              <w:rPr>
                <w:noProof/>
                <w:webHidden/>
              </w:rPr>
              <w:fldChar w:fldCharType="separate"/>
            </w:r>
            <w:r>
              <w:rPr>
                <w:noProof/>
                <w:webHidden/>
              </w:rPr>
              <w:t>30</w:t>
            </w:r>
            <w:r>
              <w:rPr>
                <w:noProof/>
                <w:webHidden/>
              </w:rPr>
              <w:fldChar w:fldCharType="end"/>
            </w:r>
          </w:hyperlink>
        </w:p>
        <w:p w14:paraId="3B7FF0BA" w14:textId="01C2338F"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33" w:history="1">
            <w:r w:rsidRPr="006E002B">
              <w:rPr>
                <w:rStyle w:val="Hyperlink"/>
                <w:noProof/>
              </w:rPr>
              <w:t>4.3</w:t>
            </w:r>
            <w:r>
              <w:rPr>
                <w:rFonts w:cstheme="minorBidi"/>
                <w:noProof/>
                <w:kern w:val="2"/>
                <w:sz w:val="24"/>
                <w:szCs w:val="24"/>
                <w:lang w:val="en-GB" w:eastAsia="en-GB"/>
                <w14:ligatures w14:val="standardContextual"/>
              </w:rPr>
              <w:tab/>
            </w:r>
            <w:r w:rsidRPr="006E002B">
              <w:rPr>
                <w:rStyle w:val="Hyperlink"/>
                <w:noProof/>
              </w:rPr>
              <w:t>Sampling configurations and furnace movement</w:t>
            </w:r>
            <w:r>
              <w:rPr>
                <w:noProof/>
                <w:webHidden/>
              </w:rPr>
              <w:tab/>
            </w:r>
            <w:r>
              <w:rPr>
                <w:noProof/>
                <w:webHidden/>
              </w:rPr>
              <w:fldChar w:fldCharType="begin"/>
            </w:r>
            <w:r>
              <w:rPr>
                <w:noProof/>
                <w:webHidden/>
              </w:rPr>
              <w:instrText xml:space="preserve"> PAGEREF _Toc234699533 \h </w:instrText>
            </w:r>
            <w:r>
              <w:rPr>
                <w:noProof/>
                <w:webHidden/>
              </w:rPr>
            </w:r>
            <w:r>
              <w:rPr>
                <w:noProof/>
                <w:webHidden/>
              </w:rPr>
              <w:fldChar w:fldCharType="separate"/>
            </w:r>
            <w:r>
              <w:rPr>
                <w:noProof/>
                <w:webHidden/>
              </w:rPr>
              <w:t>31</w:t>
            </w:r>
            <w:r>
              <w:rPr>
                <w:noProof/>
                <w:webHidden/>
              </w:rPr>
              <w:fldChar w:fldCharType="end"/>
            </w:r>
          </w:hyperlink>
        </w:p>
        <w:p w14:paraId="3642E810" w14:textId="542B7F0C"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34" w:history="1">
            <w:r w:rsidRPr="006E002B">
              <w:rPr>
                <w:rStyle w:val="Hyperlink"/>
                <w:noProof/>
              </w:rPr>
              <w:t>4.4</w:t>
            </w:r>
            <w:r>
              <w:rPr>
                <w:rFonts w:cstheme="minorBidi"/>
                <w:noProof/>
                <w:kern w:val="2"/>
                <w:sz w:val="24"/>
                <w:szCs w:val="24"/>
                <w:lang w:val="en-GB" w:eastAsia="en-GB"/>
                <w14:ligatures w14:val="standardContextual"/>
              </w:rPr>
              <w:tab/>
            </w:r>
            <w:r w:rsidRPr="006E002B">
              <w:rPr>
                <w:rStyle w:val="Hyperlink"/>
                <w:noProof/>
              </w:rPr>
              <w:t>Probe geometry and handling constraints</w:t>
            </w:r>
            <w:r>
              <w:rPr>
                <w:noProof/>
                <w:webHidden/>
              </w:rPr>
              <w:tab/>
            </w:r>
            <w:r>
              <w:rPr>
                <w:noProof/>
                <w:webHidden/>
              </w:rPr>
              <w:fldChar w:fldCharType="begin"/>
            </w:r>
            <w:r>
              <w:rPr>
                <w:noProof/>
                <w:webHidden/>
              </w:rPr>
              <w:instrText xml:space="preserve"> PAGEREF _Toc234699534 \h </w:instrText>
            </w:r>
            <w:r>
              <w:rPr>
                <w:noProof/>
                <w:webHidden/>
              </w:rPr>
            </w:r>
            <w:r>
              <w:rPr>
                <w:noProof/>
                <w:webHidden/>
              </w:rPr>
              <w:fldChar w:fldCharType="separate"/>
            </w:r>
            <w:r>
              <w:rPr>
                <w:noProof/>
                <w:webHidden/>
              </w:rPr>
              <w:t>32</w:t>
            </w:r>
            <w:r>
              <w:rPr>
                <w:noProof/>
                <w:webHidden/>
              </w:rPr>
              <w:fldChar w:fldCharType="end"/>
            </w:r>
          </w:hyperlink>
        </w:p>
        <w:p w14:paraId="3FCD7525" w14:textId="13F0ED4B"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35" w:history="1">
            <w:r w:rsidRPr="006E002B">
              <w:rPr>
                <w:rStyle w:val="Hyperlink"/>
                <w:noProof/>
              </w:rPr>
              <w:t>4.5</w:t>
            </w:r>
            <w:r>
              <w:rPr>
                <w:rFonts w:cstheme="minorBidi"/>
                <w:noProof/>
                <w:kern w:val="2"/>
                <w:sz w:val="24"/>
                <w:szCs w:val="24"/>
                <w:lang w:val="en-GB" w:eastAsia="en-GB"/>
                <w14:ligatures w14:val="standardContextual"/>
              </w:rPr>
              <w:tab/>
            </w:r>
            <w:r w:rsidRPr="006E002B">
              <w:rPr>
                <w:rStyle w:val="Hyperlink"/>
                <w:noProof/>
              </w:rPr>
              <w:t>Sample transport demand and capacity</w:t>
            </w:r>
            <w:r>
              <w:rPr>
                <w:noProof/>
                <w:webHidden/>
              </w:rPr>
              <w:tab/>
            </w:r>
            <w:r>
              <w:rPr>
                <w:noProof/>
                <w:webHidden/>
              </w:rPr>
              <w:fldChar w:fldCharType="begin"/>
            </w:r>
            <w:r>
              <w:rPr>
                <w:noProof/>
                <w:webHidden/>
              </w:rPr>
              <w:instrText xml:space="preserve"> PAGEREF _Toc234699535 \h </w:instrText>
            </w:r>
            <w:r>
              <w:rPr>
                <w:noProof/>
                <w:webHidden/>
              </w:rPr>
            </w:r>
            <w:r>
              <w:rPr>
                <w:noProof/>
                <w:webHidden/>
              </w:rPr>
              <w:fldChar w:fldCharType="separate"/>
            </w:r>
            <w:r>
              <w:rPr>
                <w:noProof/>
                <w:webHidden/>
              </w:rPr>
              <w:t>35</w:t>
            </w:r>
            <w:r>
              <w:rPr>
                <w:noProof/>
                <w:webHidden/>
              </w:rPr>
              <w:fldChar w:fldCharType="end"/>
            </w:r>
          </w:hyperlink>
        </w:p>
        <w:p w14:paraId="4813E348" w14:textId="59C63994"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36" w:history="1">
            <w:r w:rsidRPr="006E002B">
              <w:rPr>
                <w:rStyle w:val="Hyperlink"/>
                <w:noProof/>
              </w:rPr>
              <w:t>4.6</w:t>
            </w:r>
            <w:r>
              <w:rPr>
                <w:rFonts w:cstheme="minorBidi"/>
                <w:noProof/>
                <w:kern w:val="2"/>
                <w:sz w:val="24"/>
                <w:szCs w:val="24"/>
                <w:lang w:val="en-GB" w:eastAsia="en-GB"/>
                <w14:ligatures w14:val="standardContextual"/>
              </w:rPr>
              <w:tab/>
            </w:r>
            <w:r w:rsidRPr="006E002B">
              <w:rPr>
                <w:rStyle w:val="Hyperlink"/>
                <w:noProof/>
              </w:rPr>
              <w:t>Environmental and layout constraints for transport</w:t>
            </w:r>
            <w:r>
              <w:rPr>
                <w:noProof/>
                <w:webHidden/>
              </w:rPr>
              <w:tab/>
            </w:r>
            <w:r>
              <w:rPr>
                <w:noProof/>
                <w:webHidden/>
              </w:rPr>
              <w:fldChar w:fldCharType="begin"/>
            </w:r>
            <w:r>
              <w:rPr>
                <w:noProof/>
                <w:webHidden/>
              </w:rPr>
              <w:instrText xml:space="preserve"> PAGEREF _Toc234699536 \h </w:instrText>
            </w:r>
            <w:r>
              <w:rPr>
                <w:noProof/>
                <w:webHidden/>
              </w:rPr>
            </w:r>
            <w:r>
              <w:rPr>
                <w:noProof/>
                <w:webHidden/>
              </w:rPr>
              <w:fldChar w:fldCharType="separate"/>
            </w:r>
            <w:r>
              <w:rPr>
                <w:noProof/>
                <w:webHidden/>
              </w:rPr>
              <w:t>36</w:t>
            </w:r>
            <w:r>
              <w:rPr>
                <w:noProof/>
                <w:webHidden/>
              </w:rPr>
              <w:fldChar w:fldCharType="end"/>
            </w:r>
          </w:hyperlink>
        </w:p>
        <w:p w14:paraId="3E032F00" w14:textId="05E17503"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37" w:history="1">
            <w:r w:rsidRPr="006E002B">
              <w:rPr>
                <w:rStyle w:val="Hyperlink"/>
                <w:noProof/>
              </w:rPr>
              <w:t>4.7</w:t>
            </w:r>
            <w:r>
              <w:rPr>
                <w:rFonts w:cstheme="minorBidi"/>
                <w:noProof/>
                <w:kern w:val="2"/>
                <w:sz w:val="24"/>
                <w:szCs w:val="24"/>
                <w:lang w:val="en-GB" w:eastAsia="en-GB"/>
                <w14:ligatures w14:val="standardContextual"/>
              </w:rPr>
              <w:tab/>
            </w:r>
            <w:r w:rsidRPr="006E002B">
              <w:rPr>
                <w:rStyle w:val="Hyperlink"/>
                <w:noProof/>
              </w:rPr>
              <w:t>Manual baseline assessment</w:t>
            </w:r>
            <w:r>
              <w:rPr>
                <w:noProof/>
                <w:webHidden/>
              </w:rPr>
              <w:tab/>
            </w:r>
            <w:r>
              <w:rPr>
                <w:noProof/>
                <w:webHidden/>
              </w:rPr>
              <w:fldChar w:fldCharType="begin"/>
            </w:r>
            <w:r>
              <w:rPr>
                <w:noProof/>
                <w:webHidden/>
              </w:rPr>
              <w:instrText xml:space="preserve"> PAGEREF _Toc234699537 \h </w:instrText>
            </w:r>
            <w:r>
              <w:rPr>
                <w:noProof/>
                <w:webHidden/>
              </w:rPr>
            </w:r>
            <w:r>
              <w:rPr>
                <w:noProof/>
                <w:webHidden/>
              </w:rPr>
              <w:fldChar w:fldCharType="separate"/>
            </w:r>
            <w:r>
              <w:rPr>
                <w:noProof/>
                <w:webHidden/>
              </w:rPr>
              <w:t>36</w:t>
            </w:r>
            <w:r>
              <w:rPr>
                <w:noProof/>
                <w:webHidden/>
              </w:rPr>
              <w:fldChar w:fldCharType="end"/>
            </w:r>
          </w:hyperlink>
        </w:p>
        <w:p w14:paraId="1B2EF7C8" w14:textId="3C2D374B" w:rsidR="00250820" w:rsidRDefault="00250820">
          <w:pPr>
            <w:pStyle w:val="TOC1"/>
            <w:tabs>
              <w:tab w:val="left" w:pos="440"/>
              <w:tab w:val="right" w:leader="dot" w:pos="9016"/>
            </w:tabs>
            <w:rPr>
              <w:rFonts w:cstheme="minorBidi"/>
              <w:noProof/>
              <w:kern w:val="2"/>
              <w:sz w:val="24"/>
              <w:szCs w:val="24"/>
              <w:lang w:val="en-GB" w:eastAsia="en-GB"/>
              <w14:ligatures w14:val="standardContextual"/>
            </w:rPr>
          </w:pPr>
          <w:hyperlink w:anchor="_Toc234699538" w:history="1">
            <w:r w:rsidRPr="006E002B">
              <w:rPr>
                <w:rStyle w:val="Hyperlink"/>
                <w:b/>
                <w:bCs/>
                <w:noProof/>
              </w:rPr>
              <w:t>5</w:t>
            </w:r>
            <w:r>
              <w:rPr>
                <w:rFonts w:cstheme="minorBidi"/>
                <w:noProof/>
                <w:kern w:val="2"/>
                <w:sz w:val="24"/>
                <w:szCs w:val="24"/>
                <w:lang w:val="en-GB" w:eastAsia="en-GB"/>
                <w14:ligatures w14:val="standardContextual"/>
              </w:rPr>
              <w:tab/>
            </w:r>
            <w:r w:rsidRPr="006E002B">
              <w:rPr>
                <w:rStyle w:val="Hyperlink"/>
                <w:b/>
                <w:bCs/>
                <w:noProof/>
              </w:rPr>
              <w:t>Optioneering Results</w:t>
            </w:r>
            <w:r>
              <w:rPr>
                <w:noProof/>
                <w:webHidden/>
              </w:rPr>
              <w:tab/>
            </w:r>
            <w:r>
              <w:rPr>
                <w:noProof/>
                <w:webHidden/>
              </w:rPr>
              <w:fldChar w:fldCharType="begin"/>
            </w:r>
            <w:r>
              <w:rPr>
                <w:noProof/>
                <w:webHidden/>
              </w:rPr>
              <w:instrText xml:space="preserve"> PAGEREF _Toc234699538 \h </w:instrText>
            </w:r>
            <w:r>
              <w:rPr>
                <w:noProof/>
                <w:webHidden/>
              </w:rPr>
            </w:r>
            <w:r>
              <w:rPr>
                <w:noProof/>
                <w:webHidden/>
              </w:rPr>
              <w:fldChar w:fldCharType="separate"/>
            </w:r>
            <w:r>
              <w:rPr>
                <w:noProof/>
                <w:webHidden/>
              </w:rPr>
              <w:t>37</w:t>
            </w:r>
            <w:r>
              <w:rPr>
                <w:noProof/>
                <w:webHidden/>
              </w:rPr>
              <w:fldChar w:fldCharType="end"/>
            </w:r>
          </w:hyperlink>
        </w:p>
        <w:p w14:paraId="73E472E5" w14:textId="2D95675A"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39" w:history="1">
            <w:r w:rsidRPr="006E002B">
              <w:rPr>
                <w:rStyle w:val="Hyperlink"/>
                <w:noProof/>
              </w:rPr>
              <w:t>5.1</w:t>
            </w:r>
            <w:r>
              <w:rPr>
                <w:rFonts w:cstheme="minorBidi"/>
                <w:noProof/>
                <w:kern w:val="2"/>
                <w:sz w:val="24"/>
                <w:szCs w:val="24"/>
                <w:lang w:val="en-GB" w:eastAsia="en-GB"/>
                <w14:ligatures w14:val="standardContextual"/>
              </w:rPr>
              <w:tab/>
            </w:r>
            <w:r w:rsidRPr="006E002B">
              <w:rPr>
                <w:rStyle w:val="Hyperlink"/>
                <w:noProof/>
              </w:rPr>
              <w:t>Option descriptions</w:t>
            </w:r>
            <w:r>
              <w:rPr>
                <w:noProof/>
                <w:webHidden/>
              </w:rPr>
              <w:tab/>
            </w:r>
            <w:r>
              <w:rPr>
                <w:noProof/>
                <w:webHidden/>
              </w:rPr>
              <w:fldChar w:fldCharType="begin"/>
            </w:r>
            <w:r>
              <w:rPr>
                <w:noProof/>
                <w:webHidden/>
              </w:rPr>
              <w:instrText xml:space="preserve"> PAGEREF _Toc234699539 \h </w:instrText>
            </w:r>
            <w:r>
              <w:rPr>
                <w:noProof/>
                <w:webHidden/>
              </w:rPr>
            </w:r>
            <w:r>
              <w:rPr>
                <w:noProof/>
                <w:webHidden/>
              </w:rPr>
              <w:fldChar w:fldCharType="separate"/>
            </w:r>
            <w:r>
              <w:rPr>
                <w:noProof/>
                <w:webHidden/>
              </w:rPr>
              <w:t>37</w:t>
            </w:r>
            <w:r>
              <w:rPr>
                <w:noProof/>
                <w:webHidden/>
              </w:rPr>
              <w:fldChar w:fldCharType="end"/>
            </w:r>
          </w:hyperlink>
        </w:p>
        <w:p w14:paraId="1E18A0B9" w14:textId="48D3045A"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40" w:history="1">
            <w:r w:rsidRPr="006E002B">
              <w:rPr>
                <w:rStyle w:val="Hyperlink"/>
                <w:noProof/>
              </w:rPr>
              <w:t>5.2</w:t>
            </w:r>
            <w:r>
              <w:rPr>
                <w:rFonts w:cstheme="minorBidi"/>
                <w:noProof/>
                <w:kern w:val="2"/>
                <w:sz w:val="24"/>
                <w:szCs w:val="24"/>
                <w:lang w:val="en-GB" w:eastAsia="en-GB"/>
                <w14:ligatures w14:val="standardContextual"/>
              </w:rPr>
              <w:tab/>
            </w:r>
            <w:r w:rsidRPr="006E002B">
              <w:rPr>
                <w:rStyle w:val="Hyperlink"/>
                <w:noProof/>
              </w:rPr>
              <w:t>Weighted scoring results</w:t>
            </w:r>
            <w:r>
              <w:rPr>
                <w:noProof/>
                <w:webHidden/>
              </w:rPr>
              <w:tab/>
            </w:r>
            <w:r>
              <w:rPr>
                <w:noProof/>
                <w:webHidden/>
              </w:rPr>
              <w:fldChar w:fldCharType="begin"/>
            </w:r>
            <w:r>
              <w:rPr>
                <w:noProof/>
                <w:webHidden/>
              </w:rPr>
              <w:instrText xml:space="preserve"> PAGEREF _Toc234699540 \h </w:instrText>
            </w:r>
            <w:r>
              <w:rPr>
                <w:noProof/>
                <w:webHidden/>
              </w:rPr>
            </w:r>
            <w:r>
              <w:rPr>
                <w:noProof/>
                <w:webHidden/>
              </w:rPr>
              <w:fldChar w:fldCharType="separate"/>
            </w:r>
            <w:r>
              <w:rPr>
                <w:noProof/>
                <w:webHidden/>
              </w:rPr>
              <w:t>38</w:t>
            </w:r>
            <w:r>
              <w:rPr>
                <w:noProof/>
                <w:webHidden/>
              </w:rPr>
              <w:fldChar w:fldCharType="end"/>
            </w:r>
          </w:hyperlink>
        </w:p>
        <w:p w14:paraId="31DA917B" w14:textId="50CDD34B"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41" w:history="1">
            <w:r w:rsidRPr="006E002B">
              <w:rPr>
                <w:rStyle w:val="Hyperlink"/>
                <w:noProof/>
              </w:rPr>
              <w:t>5.3</w:t>
            </w:r>
            <w:r>
              <w:rPr>
                <w:rFonts w:cstheme="minorBidi"/>
                <w:noProof/>
                <w:kern w:val="2"/>
                <w:sz w:val="24"/>
                <w:szCs w:val="24"/>
                <w:lang w:val="en-GB" w:eastAsia="en-GB"/>
                <w14:ligatures w14:val="standardContextual"/>
              </w:rPr>
              <w:tab/>
            </w:r>
            <w:r w:rsidRPr="006E002B">
              <w:rPr>
                <w:rStyle w:val="Hyperlink"/>
                <w:noProof/>
              </w:rPr>
              <w:t>Sensitivity of the result</w:t>
            </w:r>
            <w:r>
              <w:rPr>
                <w:noProof/>
                <w:webHidden/>
              </w:rPr>
              <w:tab/>
            </w:r>
            <w:r>
              <w:rPr>
                <w:noProof/>
                <w:webHidden/>
              </w:rPr>
              <w:fldChar w:fldCharType="begin"/>
            </w:r>
            <w:r>
              <w:rPr>
                <w:noProof/>
                <w:webHidden/>
              </w:rPr>
              <w:instrText xml:space="preserve"> PAGEREF _Toc234699541 \h </w:instrText>
            </w:r>
            <w:r>
              <w:rPr>
                <w:noProof/>
                <w:webHidden/>
              </w:rPr>
            </w:r>
            <w:r>
              <w:rPr>
                <w:noProof/>
                <w:webHidden/>
              </w:rPr>
              <w:fldChar w:fldCharType="separate"/>
            </w:r>
            <w:r>
              <w:rPr>
                <w:noProof/>
                <w:webHidden/>
              </w:rPr>
              <w:t>39</w:t>
            </w:r>
            <w:r>
              <w:rPr>
                <w:noProof/>
                <w:webHidden/>
              </w:rPr>
              <w:fldChar w:fldCharType="end"/>
            </w:r>
          </w:hyperlink>
        </w:p>
        <w:p w14:paraId="290BDEF9" w14:textId="5AE0F50D"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42" w:history="1">
            <w:r w:rsidRPr="006E002B">
              <w:rPr>
                <w:rStyle w:val="Hyperlink"/>
                <w:noProof/>
              </w:rPr>
              <w:t>5.4</w:t>
            </w:r>
            <w:r>
              <w:rPr>
                <w:rFonts w:cstheme="minorBidi"/>
                <w:noProof/>
                <w:kern w:val="2"/>
                <w:sz w:val="24"/>
                <w:szCs w:val="24"/>
                <w:lang w:val="en-GB" w:eastAsia="en-GB"/>
                <w14:ligatures w14:val="standardContextual"/>
              </w:rPr>
              <w:tab/>
            </w:r>
            <w:r w:rsidRPr="006E002B">
              <w:rPr>
                <w:rStyle w:val="Hyperlink"/>
                <w:noProof/>
              </w:rPr>
              <w:t>Safety results</w:t>
            </w:r>
            <w:r>
              <w:rPr>
                <w:noProof/>
                <w:webHidden/>
              </w:rPr>
              <w:tab/>
            </w:r>
            <w:r>
              <w:rPr>
                <w:noProof/>
                <w:webHidden/>
              </w:rPr>
              <w:fldChar w:fldCharType="begin"/>
            </w:r>
            <w:r>
              <w:rPr>
                <w:noProof/>
                <w:webHidden/>
              </w:rPr>
              <w:instrText xml:space="preserve"> PAGEREF _Toc234699542 \h </w:instrText>
            </w:r>
            <w:r>
              <w:rPr>
                <w:noProof/>
                <w:webHidden/>
              </w:rPr>
            </w:r>
            <w:r>
              <w:rPr>
                <w:noProof/>
                <w:webHidden/>
              </w:rPr>
              <w:fldChar w:fldCharType="separate"/>
            </w:r>
            <w:r>
              <w:rPr>
                <w:noProof/>
                <w:webHidden/>
              </w:rPr>
              <w:t>40</w:t>
            </w:r>
            <w:r>
              <w:rPr>
                <w:noProof/>
                <w:webHidden/>
              </w:rPr>
              <w:fldChar w:fldCharType="end"/>
            </w:r>
          </w:hyperlink>
        </w:p>
        <w:p w14:paraId="4775AE47" w14:textId="5B6E9FF2"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43" w:history="1">
            <w:r w:rsidRPr="006E002B">
              <w:rPr>
                <w:rStyle w:val="Hyperlink"/>
                <w:noProof/>
              </w:rPr>
              <w:t>5.5</w:t>
            </w:r>
            <w:r>
              <w:rPr>
                <w:rFonts w:cstheme="minorBidi"/>
                <w:noProof/>
                <w:kern w:val="2"/>
                <w:sz w:val="24"/>
                <w:szCs w:val="24"/>
                <w:lang w:val="en-GB" w:eastAsia="en-GB"/>
                <w14:ligatures w14:val="standardContextual"/>
              </w:rPr>
              <w:tab/>
            </w:r>
            <w:r w:rsidRPr="006E002B">
              <w:rPr>
                <w:rStyle w:val="Hyperlink"/>
                <w:noProof/>
              </w:rPr>
              <w:t>Sampling quality and process-control results</w:t>
            </w:r>
            <w:r>
              <w:rPr>
                <w:noProof/>
                <w:webHidden/>
              </w:rPr>
              <w:tab/>
            </w:r>
            <w:r>
              <w:rPr>
                <w:noProof/>
                <w:webHidden/>
              </w:rPr>
              <w:fldChar w:fldCharType="begin"/>
            </w:r>
            <w:r>
              <w:rPr>
                <w:noProof/>
                <w:webHidden/>
              </w:rPr>
              <w:instrText xml:space="preserve"> PAGEREF _Toc234699543 \h </w:instrText>
            </w:r>
            <w:r>
              <w:rPr>
                <w:noProof/>
                <w:webHidden/>
              </w:rPr>
            </w:r>
            <w:r>
              <w:rPr>
                <w:noProof/>
                <w:webHidden/>
              </w:rPr>
              <w:fldChar w:fldCharType="separate"/>
            </w:r>
            <w:r>
              <w:rPr>
                <w:noProof/>
                <w:webHidden/>
              </w:rPr>
              <w:t>41</w:t>
            </w:r>
            <w:r>
              <w:rPr>
                <w:noProof/>
                <w:webHidden/>
              </w:rPr>
              <w:fldChar w:fldCharType="end"/>
            </w:r>
          </w:hyperlink>
        </w:p>
        <w:p w14:paraId="08ABC000" w14:textId="5CAFB33C"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44" w:history="1">
            <w:r w:rsidRPr="006E002B">
              <w:rPr>
                <w:rStyle w:val="Hyperlink"/>
                <w:noProof/>
              </w:rPr>
              <w:t>5.6</w:t>
            </w:r>
            <w:r>
              <w:rPr>
                <w:rFonts w:cstheme="minorBidi"/>
                <w:noProof/>
                <w:kern w:val="2"/>
                <w:sz w:val="24"/>
                <w:szCs w:val="24"/>
                <w:lang w:val="en-GB" w:eastAsia="en-GB"/>
                <w14:ligatures w14:val="standardContextual"/>
              </w:rPr>
              <w:tab/>
            </w:r>
            <w:r w:rsidRPr="006E002B">
              <w:rPr>
                <w:rStyle w:val="Hyperlink"/>
                <w:noProof/>
              </w:rPr>
              <w:t>Technical maturity and integration results</w:t>
            </w:r>
            <w:r>
              <w:rPr>
                <w:noProof/>
                <w:webHidden/>
              </w:rPr>
              <w:tab/>
            </w:r>
            <w:r>
              <w:rPr>
                <w:noProof/>
                <w:webHidden/>
              </w:rPr>
              <w:fldChar w:fldCharType="begin"/>
            </w:r>
            <w:r>
              <w:rPr>
                <w:noProof/>
                <w:webHidden/>
              </w:rPr>
              <w:instrText xml:space="preserve"> PAGEREF _Toc234699544 \h </w:instrText>
            </w:r>
            <w:r>
              <w:rPr>
                <w:noProof/>
                <w:webHidden/>
              </w:rPr>
            </w:r>
            <w:r>
              <w:rPr>
                <w:noProof/>
                <w:webHidden/>
              </w:rPr>
              <w:fldChar w:fldCharType="separate"/>
            </w:r>
            <w:r>
              <w:rPr>
                <w:noProof/>
                <w:webHidden/>
              </w:rPr>
              <w:t>41</w:t>
            </w:r>
            <w:r>
              <w:rPr>
                <w:noProof/>
                <w:webHidden/>
              </w:rPr>
              <w:fldChar w:fldCharType="end"/>
            </w:r>
          </w:hyperlink>
        </w:p>
        <w:p w14:paraId="3FF16A2F" w14:textId="3CC2263D"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45" w:history="1">
            <w:r w:rsidRPr="006E002B">
              <w:rPr>
                <w:rStyle w:val="Hyperlink"/>
                <w:noProof/>
              </w:rPr>
              <w:t>5.7</w:t>
            </w:r>
            <w:r>
              <w:rPr>
                <w:rFonts w:cstheme="minorBidi"/>
                <w:noProof/>
                <w:kern w:val="2"/>
                <w:sz w:val="24"/>
                <w:szCs w:val="24"/>
                <w:lang w:val="en-GB" w:eastAsia="en-GB"/>
                <w14:ligatures w14:val="standardContextual"/>
              </w:rPr>
              <w:tab/>
            </w:r>
            <w:r w:rsidRPr="006E002B">
              <w:rPr>
                <w:rStyle w:val="Hyperlink"/>
                <w:noProof/>
              </w:rPr>
              <w:t>Recommended option</w:t>
            </w:r>
            <w:r>
              <w:rPr>
                <w:noProof/>
                <w:webHidden/>
              </w:rPr>
              <w:tab/>
            </w:r>
            <w:r>
              <w:rPr>
                <w:noProof/>
                <w:webHidden/>
              </w:rPr>
              <w:fldChar w:fldCharType="begin"/>
            </w:r>
            <w:r>
              <w:rPr>
                <w:noProof/>
                <w:webHidden/>
              </w:rPr>
              <w:instrText xml:space="preserve"> PAGEREF _Toc234699545 \h </w:instrText>
            </w:r>
            <w:r>
              <w:rPr>
                <w:noProof/>
                <w:webHidden/>
              </w:rPr>
            </w:r>
            <w:r>
              <w:rPr>
                <w:noProof/>
                <w:webHidden/>
              </w:rPr>
              <w:fldChar w:fldCharType="separate"/>
            </w:r>
            <w:r>
              <w:rPr>
                <w:noProof/>
                <w:webHidden/>
              </w:rPr>
              <w:t>42</w:t>
            </w:r>
            <w:r>
              <w:rPr>
                <w:noProof/>
                <w:webHidden/>
              </w:rPr>
              <w:fldChar w:fldCharType="end"/>
            </w:r>
          </w:hyperlink>
        </w:p>
        <w:p w14:paraId="2B837108" w14:textId="17872CD8" w:rsidR="00250820" w:rsidRDefault="00250820">
          <w:pPr>
            <w:pStyle w:val="TOC1"/>
            <w:tabs>
              <w:tab w:val="left" w:pos="440"/>
              <w:tab w:val="right" w:leader="dot" w:pos="9016"/>
            </w:tabs>
            <w:rPr>
              <w:rFonts w:cstheme="minorBidi"/>
              <w:noProof/>
              <w:kern w:val="2"/>
              <w:sz w:val="24"/>
              <w:szCs w:val="24"/>
              <w:lang w:val="en-GB" w:eastAsia="en-GB"/>
              <w14:ligatures w14:val="standardContextual"/>
            </w:rPr>
          </w:pPr>
          <w:hyperlink w:anchor="_Toc234699546" w:history="1">
            <w:r w:rsidRPr="006E002B">
              <w:rPr>
                <w:rStyle w:val="Hyperlink"/>
                <w:b/>
                <w:bCs/>
                <w:noProof/>
              </w:rPr>
              <w:t>6</w:t>
            </w:r>
            <w:r>
              <w:rPr>
                <w:rFonts w:cstheme="minorBidi"/>
                <w:noProof/>
                <w:kern w:val="2"/>
                <w:sz w:val="24"/>
                <w:szCs w:val="24"/>
                <w:lang w:val="en-GB" w:eastAsia="en-GB"/>
                <w14:ligatures w14:val="standardContextual"/>
              </w:rPr>
              <w:tab/>
            </w:r>
            <w:r w:rsidRPr="006E002B">
              <w:rPr>
                <w:rStyle w:val="Hyperlink"/>
                <w:b/>
                <w:bCs/>
                <w:noProof/>
              </w:rPr>
              <w:t>Discussion</w:t>
            </w:r>
            <w:r>
              <w:rPr>
                <w:noProof/>
                <w:webHidden/>
              </w:rPr>
              <w:tab/>
            </w:r>
            <w:r>
              <w:rPr>
                <w:noProof/>
                <w:webHidden/>
              </w:rPr>
              <w:fldChar w:fldCharType="begin"/>
            </w:r>
            <w:r>
              <w:rPr>
                <w:noProof/>
                <w:webHidden/>
              </w:rPr>
              <w:instrText xml:space="preserve"> PAGEREF _Toc234699546 \h </w:instrText>
            </w:r>
            <w:r>
              <w:rPr>
                <w:noProof/>
                <w:webHidden/>
              </w:rPr>
            </w:r>
            <w:r>
              <w:rPr>
                <w:noProof/>
                <w:webHidden/>
              </w:rPr>
              <w:fldChar w:fldCharType="separate"/>
            </w:r>
            <w:r>
              <w:rPr>
                <w:noProof/>
                <w:webHidden/>
              </w:rPr>
              <w:t>43</w:t>
            </w:r>
            <w:r>
              <w:rPr>
                <w:noProof/>
                <w:webHidden/>
              </w:rPr>
              <w:fldChar w:fldCharType="end"/>
            </w:r>
          </w:hyperlink>
        </w:p>
        <w:p w14:paraId="6C93FF38" w14:textId="4301969B"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47" w:history="1">
            <w:r w:rsidRPr="006E002B">
              <w:rPr>
                <w:rStyle w:val="Hyperlink"/>
                <w:noProof/>
              </w:rPr>
              <w:t>6.1</w:t>
            </w:r>
            <w:r>
              <w:rPr>
                <w:rFonts w:cstheme="minorBidi"/>
                <w:noProof/>
                <w:kern w:val="2"/>
                <w:sz w:val="24"/>
                <w:szCs w:val="24"/>
                <w:lang w:val="en-GB" w:eastAsia="en-GB"/>
                <w14:ligatures w14:val="standardContextual"/>
              </w:rPr>
              <w:tab/>
            </w:r>
            <w:r w:rsidRPr="006E002B">
              <w:rPr>
                <w:rStyle w:val="Hyperlink"/>
                <w:noProof/>
              </w:rPr>
              <w:t>Interpretation of the preferred strategy</w:t>
            </w:r>
            <w:r>
              <w:rPr>
                <w:noProof/>
                <w:webHidden/>
              </w:rPr>
              <w:tab/>
            </w:r>
            <w:r>
              <w:rPr>
                <w:noProof/>
                <w:webHidden/>
              </w:rPr>
              <w:fldChar w:fldCharType="begin"/>
            </w:r>
            <w:r>
              <w:rPr>
                <w:noProof/>
                <w:webHidden/>
              </w:rPr>
              <w:instrText xml:space="preserve"> PAGEREF _Toc234699547 \h </w:instrText>
            </w:r>
            <w:r>
              <w:rPr>
                <w:noProof/>
                <w:webHidden/>
              </w:rPr>
            </w:r>
            <w:r>
              <w:rPr>
                <w:noProof/>
                <w:webHidden/>
              </w:rPr>
              <w:fldChar w:fldCharType="separate"/>
            </w:r>
            <w:r>
              <w:rPr>
                <w:noProof/>
                <w:webHidden/>
              </w:rPr>
              <w:t>43</w:t>
            </w:r>
            <w:r>
              <w:rPr>
                <w:noProof/>
                <w:webHidden/>
              </w:rPr>
              <w:fldChar w:fldCharType="end"/>
            </w:r>
          </w:hyperlink>
        </w:p>
        <w:p w14:paraId="04B2F3D8" w14:textId="021D24C2"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48" w:history="1">
            <w:r w:rsidRPr="006E002B">
              <w:rPr>
                <w:rStyle w:val="Hyperlink"/>
                <w:noProof/>
              </w:rPr>
              <w:t>6.2</w:t>
            </w:r>
            <w:r>
              <w:rPr>
                <w:rFonts w:cstheme="minorBidi"/>
                <w:noProof/>
                <w:kern w:val="2"/>
                <w:sz w:val="24"/>
                <w:szCs w:val="24"/>
                <w:lang w:val="en-GB" w:eastAsia="en-GB"/>
                <w14:ligatures w14:val="standardContextual"/>
              </w:rPr>
              <w:tab/>
            </w:r>
            <w:r w:rsidRPr="006E002B">
              <w:rPr>
                <w:rStyle w:val="Hyperlink"/>
                <w:noProof/>
              </w:rPr>
              <w:t>Safety implications</w:t>
            </w:r>
            <w:r>
              <w:rPr>
                <w:noProof/>
                <w:webHidden/>
              </w:rPr>
              <w:tab/>
            </w:r>
            <w:r>
              <w:rPr>
                <w:noProof/>
                <w:webHidden/>
              </w:rPr>
              <w:fldChar w:fldCharType="begin"/>
            </w:r>
            <w:r>
              <w:rPr>
                <w:noProof/>
                <w:webHidden/>
              </w:rPr>
              <w:instrText xml:space="preserve"> PAGEREF _Toc234699548 \h </w:instrText>
            </w:r>
            <w:r>
              <w:rPr>
                <w:noProof/>
                <w:webHidden/>
              </w:rPr>
            </w:r>
            <w:r>
              <w:rPr>
                <w:noProof/>
                <w:webHidden/>
              </w:rPr>
              <w:fldChar w:fldCharType="separate"/>
            </w:r>
            <w:r>
              <w:rPr>
                <w:noProof/>
                <w:webHidden/>
              </w:rPr>
              <w:t>43</w:t>
            </w:r>
            <w:r>
              <w:rPr>
                <w:noProof/>
                <w:webHidden/>
              </w:rPr>
              <w:fldChar w:fldCharType="end"/>
            </w:r>
          </w:hyperlink>
        </w:p>
        <w:p w14:paraId="6041598B" w14:textId="36EE61D9"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49" w:history="1">
            <w:r w:rsidRPr="006E002B">
              <w:rPr>
                <w:rStyle w:val="Hyperlink"/>
                <w:noProof/>
              </w:rPr>
              <w:t>6.3</w:t>
            </w:r>
            <w:r>
              <w:rPr>
                <w:rFonts w:cstheme="minorBidi"/>
                <w:noProof/>
                <w:kern w:val="2"/>
                <w:sz w:val="24"/>
                <w:szCs w:val="24"/>
                <w:lang w:val="en-GB" w:eastAsia="en-GB"/>
                <w14:ligatures w14:val="standardContextual"/>
              </w:rPr>
              <w:tab/>
            </w:r>
            <w:r w:rsidRPr="006E002B">
              <w:rPr>
                <w:rStyle w:val="Hyperlink"/>
                <w:noProof/>
              </w:rPr>
              <w:t>Human-factor implications</w:t>
            </w:r>
            <w:r>
              <w:rPr>
                <w:noProof/>
                <w:webHidden/>
              </w:rPr>
              <w:tab/>
            </w:r>
            <w:r>
              <w:rPr>
                <w:noProof/>
                <w:webHidden/>
              </w:rPr>
              <w:fldChar w:fldCharType="begin"/>
            </w:r>
            <w:r>
              <w:rPr>
                <w:noProof/>
                <w:webHidden/>
              </w:rPr>
              <w:instrText xml:space="preserve"> PAGEREF _Toc234699549 \h </w:instrText>
            </w:r>
            <w:r>
              <w:rPr>
                <w:noProof/>
                <w:webHidden/>
              </w:rPr>
            </w:r>
            <w:r>
              <w:rPr>
                <w:noProof/>
                <w:webHidden/>
              </w:rPr>
              <w:fldChar w:fldCharType="separate"/>
            </w:r>
            <w:r>
              <w:rPr>
                <w:noProof/>
                <w:webHidden/>
              </w:rPr>
              <w:t>44</w:t>
            </w:r>
            <w:r>
              <w:rPr>
                <w:noProof/>
                <w:webHidden/>
              </w:rPr>
              <w:fldChar w:fldCharType="end"/>
            </w:r>
          </w:hyperlink>
        </w:p>
        <w:p w14:paraId="46150C8D" w14:textId="32F59753"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50" w:history="1">
            <w:r w:rsidRPr="006E002B">
              <w:rPr>
                <w:rStyle w:val="Hyperlink"/>
                <w:noProof/>
              </w:rPr>
              <w:t>6.4</w:t>
            </w:r>
            <w:r>
              <w:rPr>
                <w:rFonts w:cstheme="minorBidi"/>
                <w:noProof/>
                <w:kern w:val="2"/>
                <w:sz w:val="24"/>
                <w:szCs w:val="24"/>
                <w:lang w:val="en-GB" w:eastAsia="en-GB"/>
                <w14:ligatures w14:val="standardContextual"/>
              </w:rPr>
              <w:tab/>
            </w:r>
            <w:r w:rsidRPr="006E002B">
              <w:rPr>
                <w:rStyle w:val="Hyperlink"/>
                <w:noProof/>
              </w:rPr>
              <w:t>Process optimisation implications</w:t>
            </w:r>
            <w:r>
              <w:rPr>
                <w:noProof/>
                <w:webHidden/>
              </w:rPr>
              <w:tab/>
            </w:r>
            <w:r>
              <w:rPr>
                <w:noProof/>
                <w:webHidden/>
              </w:rPr>
              <w:fldChar w:fldCharType="begin"/>
            </w:r>
            <w:r>
              <w:rPr>
                <w:noProof/>
                <w:webHidden/>
              </w:rPr>
              <w:instrText xml:space="preserve"> PAGEREF _Toc234699550 \h </w:instrText>
            </w:r>
            <w:r>
              <w:rPr>
                <w:noProof/>
                <w:webHidden/>
              </w:rPr>
            </w:r>
            <w:r>
              <w:rPr>
                <w:noProof/>
                <w:webHidden/>
              </w:rPr>
              <w:fldChar w:fldCharType="separate"/>
            </w:r>
            <w:r>
              <w:rPr>
                <w:noProof/>
                <w:webHidden/>
              </w:rPr>
              <w:t>44</w:t>
            </w:r>
            <w:r>
              <w:rPr>
                <w:noProof/>
                <w:webHidden/>
              </w:rPr>
              <w:fldChar w:fldCharType="end"/>
            </w:r>
          </w:hyperlink>
        </w:p>
        <w:p w14:paraId="308F5C02" w14:textId="2D2E5C7C"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51" w:history="1">
            <w:r w:rsidRPr="006E002B">
              <w:rPr>
                <w:rStyle w:val="Hyperlink"/>
                <w:noProof/>
              </w:rPr>
              <w:t>6.5</w:t>
            </w:r>
            <w:r>
              <w:rPr>
                <w:rFonts w:cstheme="minorBidi"/>
                <w:noProof/>
                <w:kern w:val="2"/>
                <w:sz w:val="24"/>
                <w:szCs w:val="24"/>
                <w:lang w:val="en-GB" w:eastAsia="en-GB"/>
                <w14:ligatures w14:val="standardContextual"/>
              </w:rPr>
              <w:tab/>
            </w:r>
            <w:r w:rsidRPr="006E002B">
              <w:rPr>
                <w:rStyle w:val="Hyperlink"/>
                <w:noProof/>
              </w:rPr>
              <w:t>Integration and programme implications</w:t>
            </w:r>
            <w:r>
              <w:rPr>
                <w:noProof/>
                <w:webHidden/>
              </w:rPr>
              <w:tab/>
            </w:r>
            <w:r>
              <w:rPr>
                <w:noProof/>
                <w:webHidden/>
              </w:rPr>
              <w:fldChar w:fldCharType="begin"/>
            </w:r>
            <w:r>
              <w:rPr>
                <w:noProof/>
                <w:webHidden/>
              </w:rPr>
              <w:instrText xml:space="preserve"> PAGEREF _Toc234699551 \h </w:instrText>
            </w:r>
            <w:r>
              <w:rPr>
                <w:noProof/>
                <w:webHidden/>
              </w:rPr>
            </w:r>
            <w:r>
              <w:rPr>
                <w:noProof/>
                <w:webHidden/>
              </w:rPr>
              <w:fldChar w:fldCharType="separate"/>
            </w:r>
            <w:r>
              <w:rPr>
                <w:noProof/>
                <w:webHidden/>
              </w:rPr>
              <w:t>45</w:t>
            </w:r>
            <w:r>
              <w:rPr>
                <w:noProof/>
                <w:webHidden/>
              </w:rPr>
              <w:fldChar w:fldCharType="end"/>
            </w:r>
          </w:hyperlink>
        </w:p>
        <w:p w14:paraId="06C989F4" w14:textId="77400822"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52" w:history="1">
            <w:r w:rsidRPr="006E002B">
              <w:rPr>
                <w:rStyle w:val="Hyperlink"/>
                <w:noProof/>
              </w:rPr>
              <w:t>6.6</w:t>
            </w:r>
            <w:r>
              <w:rPr>
                <w:rFonts w:cstheme="minorBidi"/>
                <w:noProof/>
                <w:kern w:val="2"/>
                <w:sz w:val="24"/>
                <w:szCs w:val="24"/>
                <w:lang w:val="en-GB" w:eastAsia="en-GB"/>
                <w14:ligatures w14:val="standardContextual"/>
              </w:rPr>
              <w:tab/>
            </w:r>
            <w:r w:rsidRPr="006E002B">
              <w:rPr>
                <w:rStyle w:val="Hyperlink"/>
                <w:noProof/>
              </w:rPr>
              <w:t>Economic and environmental implications</w:t>
            </w:r>
            <w:r>
              <w:rPr>
                <w:noProof/>
                <w:webHidden/>
              </w:rPr>
              <w:tab/>
            </w:r>
            <w:r>
              <w:rPr>
                <w:noProof/>
                <w:webHidden/>
              </w:rPr>
              <w:fldChar w:fldCharType="begin"/>
            </w:r>
            <w:r>
              <w:rPr>
                <w:noProof/>
                <w:webHidden/>
              </w:rPr>
              <w:instrText xml:space="preserve"> PAGEREF _Toc234699552 \h </w:instrText>
            </w:r>
            <w:r>
              <w:rPr>
                <w:noProof/>
                <w:webHidden/>
              </w:rPr>
            </w:r>
            <w:r>
              <w:rPr>
                <w:noProof/>
                <w:webHidden/>
              </w:rPr>
              <w:fldChar w:fldCharType="separate"/>
            </w:r>
            <w:r>
              <w:rPr>
                <w:noProof/>
                <w:webHidden/>
              </w:rPr>
              <w:t>45</w:t>
            </w:r>
            <w:r>
              <w:rPr>
                <w:noProof/>
                <w:webHidden/>
              </w:rPr>
              <w:fldChar w:fldCharType="end"/>
            </w:r>
          </w:hyperlink>
        </w:p>
        <w:p w14:paraId="7CBE0537" w14:textId="7F61DA1B"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53" w:history="1">
            <w:r w:rsidRPr="006E002B">
              <w:rPr>
                <w:rStyle w:val="Hyperlink"/>
                <w:noProof/>
              </w:rPr>
              <w:t>6.7</w:t>
            </w:r>
            <w:r>
              <w:rPr>
                <w:rFonts w:cstheme="minorBidi"/>
                <w:noProof/>
                <w:kern w:val="2"/>
                <w:sz w:val="24"/>
                <w:szCs w:val="24"/>
                <w:lang w:val="en-GB" w:eastAsia="en-GB"/>
                <w14:ligatures w14:val="standardContextual"/>
              </w:rPr>
              <w:tab/>
            </w:r>
            <w:r w:rsidRPr="006E002B">
              <w:rPr>
                <w:rStyle w:val="Hyperlink"/>
                <w:noProof/>
              </w:rPr>
              <w:t>Critical review of the evidence</w:t>
            </w:r>
            <w:r>
              <w:rPr>
                <w:noProof/>
                <w:webHidden/>
              </w:rPr>
              <w:tab/>
            </w:r>
            <w:r>
              <w:rPr>
                <w:noProof/>
                <w:webHidden/>
              </w:rPr>
              <w:fldChar w:fldCharType="begin"/>
            </w:r>
            <w:r>
              <w:rPr>
                <w:noProof/>
                <w:webHidden/>
              </w:rPr>
              <w:instrText xml:space="preserve"> PAGEREF _Toc234699553 \h </w:instrText>
            </w:r>
            <w:r>
              <w:rPr>
                <w:noProof/>
                <w:webHidden/>
              </w:rPr>
            </w:r>
            <w:r>
              <w:rPr>
                <w:noProof/>
                <w:webHidden/>
              </w:rPr>
              <w:fldChar w:fldCharType="separate"/>
            </w:r>
            <w:r>
              <w:rPr>
                <w:noProof/>
                <w:webHidden/>
              </w:rPr>
              <w:t>45</w:t>
            </w:r>
            <w:r>
              <w:rPr>
                <w:noProof/>
                <w:webHidden/>
              </w:rPr>
              <w:fldChar w:fldCharType="end"/>
            </w:r>
          </w:hyperlink>
        </w:p>
        <w:p w14:paraId="20DB1C4C" w14:textId="5EBE96FE"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54" w:history="1">
            <w:r w:rsidRPr="006E002B">
              <w:rPr>
                <w:rStyle w:val="Hyperlink"/>
                <w:noProof/>
              </w:rPr>
              <w:t>6.8</w:t>
            </w:r>
            <w:r>
              <w:rPr>
                <w:rFonts w:cstheme="minorBidi"/>
                <w:noProof/>
                <w:kern w:val="2"/>
                <w:sz w:val="24"/>
                <w:szCs w:val="24"/>
                <w:lang w:val="en-GB" w:eastAsia="en-GB"/>
                <w14:ligatures w14:val="standardContextual"/>
              </w:rPr>
              <w:tab/>
            </w:r>
            <w:r w:rsidRPr="006E002B">
              <w:rPr>
                <w:rStyle w:val="Hyperlink"/>
                <w:noProof/>
              </w:rPr>
              <w:t>Contribution to Knowledge</w:t>
            </w:r>
            <w:r>
              <w:rPr>
                <w:noProof/>
                <w:webHidden/>
              </w:rPr>
              <w:tab/>
            </w:r>
            <w:r>
              <w:rPr>
                <w:noProof/>
                <w:webHidden/>
              </w:rPr>
              <w:fldChar w:fldCharType="begin"/>
            </w:r>
            <w:r>
              <w:rPr>
                <w:noProof/>
                <w:webHidden/>
              </w:rPr>
              <w:instrText xml:space="preserve"> PAGEREF _Toc234699554 \h </w:instrText>
            </w:r>
            <w:r>
              <w:rPr>
                <w:noProof/>
                <w:webHidden/>
              </w:rPr>
            </w:r>
            <w:r>
              <w:rPr>
                <w:noProof/>
                <w:webHidden/>
              </w:rPr>
              <w:fldChar w:fldCharType="separate"/>
            </w:r>
            <w:r>
              <w:rPr>
                <w:noProof/>
                <w:webHidden/>
              </w:rPr>
              <w:t>47</w:t>
            </w:r>
            <w:r>
              <w:rPr>
                <w:noProof/>
                <w:webHidden/>
              </w:rPr>
              <w:fldChar w:fldCharType="end"/>
            </w:r>
          </w:hyperlink>
        </w:p>
        <w:p w14:paraId="10D9591E" w14:textId="0F37C07E" w:rsidR="00250820" w:rsidRDefault="00250820">
          <w:pPr>
            <w:pStyle w:val="TOC1"/>
            <w:tabs>
              <w:tab w:val="left" w:pos="440"/>
              <w:tab w:val="right" w:leader="dot" w:pos="9016"/>
            </w:tabs>
            <w:rPr>
              <w:rFonts w:cstheme="minorBidi"/>
              <w:noProof/>
              <w:kern w:val="2"/>
              <w:sz w:val="24"/>
              <w:szCs w:val="24"/>
              <w:lang w:val="en-GB" w:eastAsia="en-GB"/>
              <w14:ligatures w14:val="standardContextual"/>
            </w:rPr>
          </w:pPr>
          <w:hyperlink w:anchor="_Toc234699555" w:history="1">
            <w:r w:rsidRPr="006E002B">
              <w:rPr>
                <w:rStyle w:val="Hyperlink"/>
                <w:b/>
                <w:bCs/>
                <w:noProof/>
              </w:rPr>
              <w:t>7</w:t>
            </w:r>
            <w:r>
              <w:rPr>
                <w:rFonts w:cstheme="minorBidi"/>
                <w:noProof/>
                <w:kern w:val="2"/>
                <w:sz w:val="24"/>
                <w:szCs w:val="24"/>
                <w:lang w:val="en-GB" w:eastAsia="en-GB"/>
                <w14:ligatures w14:val="standardContextual"/>
              </w:rPr>
              <w:tab/>
            </w:r>
            <w:r w:rsidRPr="006E002B">
              <w:rPr>
                <w:rStyle w:val="Hyperlink"/>
                <w:b/>
                <w:bCs/>
                <w:noProof/>
              </w:rPr>
              <w:t>Conclusions</w:t>
            </w:r>
            <w:r>
              <w:rPr>
                <w:noProof/>
                <w:webHidden/>
              </w:rPr>
              <w:tab/>
            </w:r>
            <w:r>
              <w:rPr>
                <w:noProof/>
                <w:webHidden/>
              </w:rPr>
              <w:fldChar w:fldCharType="begin"/>
            </w:r>
            <w:r>
              <w:rPr>
                <w:noProof/>
                <w:webHidden/>
              </w:rPr>
              <w:instrText xml:space="preserve"> PAGEREF _Toc234699555 \h </w:instrText>
            </w:r>
            <w:r>
              <w:rPr>
                <w:noProof/>
                <w:webHidden/>
              </w:rPr>
            </w:r>
            <w:r>
              <w:rPr>
                <w:noProof/>
                <w:webHidden/>
              </w:rPr>
              <w:fldChar w:fldCharType="separate"/>
            </w:r>
            <w:r>
              <w:rPr>
                <w:noProof/>
                <w:webHidden/>
              </w:rPr>
              <w:t>47</w:t>
            </w:r>
            <w:r>
              <w:rPr>
                <w:noProof/>
                <w:webHidden/>
              </w:rPr>
              <w:fldChar w:fldCharType="end"/>
            </w:r>
          </w:hyperlink>
        </w:p>
        <w:p w14:paraId="7D3C8EA4" w14:textId="02C2D7F3" w:rsidR="00250820" w:rsidRDefault="00250820">
          <w:pPr>
            <w:pStyle w:val="TOC1"/>
            <w:tabs>
              <w:tab w:val="left" w:pos="440"/>
              <w:tab w:val="right" w:leader="dot" w:pos="9016"/>
            </w:tabs>
            <w:rPr>
              <w:rFonts w:cstheme="minorBidi"/>
              <w:noProof/>
              <w:kern w:val="2"/>
              <w:sz w:val="24"/>
              <w:szCs w:val="24"/>
              <w:lang w:val="en-GB" w:eastAsia="en-GB"/>
              <w14:ligatures w14:val="standardContextual"/>
            </w:rPr>
          </w:pPr>
          <w:hyperlink w:anchor="_Toc234699556" w:history="1">
            <w:r w:rsidRPr="006E002B">
              <w:rPr>
                <w:rStyle w:val="Hyperlink"/>
                <w:b/>
                <w:bCs/>
                <w:noProof/>
              </w:rPr>
              <w:t>8</w:t>
            </w:r>
            <w:r>
              <w:rPr>
                <w:rFonts w:cstheme="minorBidi"/>
                <w:noProof/>
                <w:kern w:val="2"/>
                <w:sz w:val="24"/>
                <w:szCs w:val="24"/>
                <w:lang w:val="en-GB" w:eastAsia="en-GB"/>
                <w14:ligatures w14:val="standardContextual"/>
              </w:rPr>
              <w:tab/>
            </w:r>
            <w:r w:rsidRPr="006E002B">
              <w:rPr>
                <w:rStyle w:val="Hyperlink"/>
                <w:b/>
                <w:bCs/>
                <w:noProof/>
              </w:rPr>
              <w:t>Recommended Further Work</w:t>
            </w:r>
            <w:r>
              <w:rPr>
                <w:noProof/>
                <w:webHidden/>
              </w:rPr>
              <w:tab/>
            </w:r>
            <w:r>
              <w:rPr>
                <w:noProof/>
                <w:webHidden/>
              </w:rPr>
              <w:fldChar w:fldCharType="begin"/>
            </w:r>
            <w:r>
              <w:rPr>
                <w:noProof/>
                <w:webHidden/>
              </w:rPr>
              <w:instrText xml:space="preserve"> PAGEREF _Toc234699556 \h </w:instrText>
            </w:r>
            <w:r>
              <w:rPr>
                <w:noProof/>
                <w:webHidden/>
              </w:rPr>
            </w:r>
            <w:r>
              <w:rPr>
                <w:noProof/>
                <w:webHidden/>
              </w:rPr>
              <w:fldChar w:fldCharType="separate"/>
            </w:r>
            <w:r>
              <w:rPr>
                <w:noProof/>
                <w:webHidden/>
              </w:rPr>
              <w:t>49</w:t>
            </w:r>
            <w:r>
              <w:rPr>
                <w:noProof/>
                <w:webHidden/>
              </w:rPr>
              <w:fldChar w:fldCharType="end"/>
            </w:r>
          </w:hyperlink>
        </w:p>
        <w:p w14:paraId="17391301" w14:textId="3358720A" w:rsidR="00250820" w:rsidRDefault="00250820">
          <w:pPr>
            <w:pStyle w:val="TOC1"/>
            <w:tabs>
              <w:tab w:val="left" w:pos="440"/>
              <w:tab w:val="right" w:leader="dot" w:pos="9016"/>
            </w:tabs>
            <w:rPr>
              <w:rFonts w:cstheme="minorBidi"/>
              <w:noProof/>
              <w:kern w:val="2"/>
              <w:sz w:val="24"/>
              <w:szCs w:val="24"/>
              <w:lang w:val="en-GB" w:eastAsia="en-GB"/>
              <w14:ligatures w14:val="standardContextual"/>
            </w:rPr>
          </w:pPr>
          <w:hyperlink w:anchor="_Toc234699557" w:history="1">
            <w:r w:rsidRPr="006E002B">
              <w:rPr>
                <w:rStyle w:val="Hyperlink"/>
                <w:b/>
                <w:bCs/>
                <w:noProof/>
              </w:rPr>
              <w:t>9</w:t>
            </w:r>
            <w:r>
              <w:rPr>
                <w:rFonts w:cstheme="minorBidi"/>
                <w:noProof/>
                <w:kern w:val="2"/>
                <w:sz w:val="24"/>
                <w:szCs w:val="24"/>
                <w:lang w:val="en-GB" w:eastAsia="en-GB"/>
                <w14:ligatures w14:val="standardContextual"/>
              </w:rPr>
              <w:tab/>
            </w:r>
            <w:r w:rsidRPr="006E002B">
              <w:rPr>
                <w:rStyle w:val="Hyperlink"/>
                <w:b/>
                <w:bCs/>
                <w:noProof/>
              </w:rPr>
              <w:t>References</w:t>
            </w:r>
            <w:r>
              <w:rPr>
                <w:noProof/>
                <w:webHidden/>
              </w:rPr>
              <w:tab/>
            </w:r>
            <w:r>
              <w:rPr>
                <w:noProof/>
                <w:webHidden/>
              </w:rPr>
              <w:fldChar w:fldCharType="begin"/>
            </w:r>
            <w:r>
              <w:rPr>
                <w:noProof/>
                <w:webHidden/>
              </w:rPr>
              <w:instrText xml:space="preserve"> PAGEREF _Toc234699557 \h </w:instrText>
            </w:r>
            <w:r>
              <w:rPr>
                <w:noProof/>
                <w:webHidden/>
              </w:rPr>
            </w:r>
            <w:r>
              <w:rPr>
                <w:noProof/>
                <w:webHidden/>
              </w:rPr>
              <w:fldChar w:fldCharType="separate"/>
            </w:r>
            <w:r>
              <w:rPr>
                <w:noProof/>
                <w:webHidden/>
              </w:rPr>
              <w:t>51</w:t>
            </w:r>
            <w:r>
              <w:rPr>
                <w:noProof/>
                <w:webHidden/>
              </w:rPr>
              <w:fldChar w:fldCharType="end"/>
            </w:r>
          </w:hyperlink>
        </w:p>
        <w:p w14:paraId="039AD6B9" w14:textId="381E5193" w:rsidR="00250820" w:rsidRDefault="00250820">
          <w:pPr>
            <w:pStyle w:val="TOC1"/>
            <w:tabs>
              <w:tab w:val="left" w:pos="720"/>
              <w:tab w:val="right" w:leader="dot" w:pos="9016"/>
            </w:tabs>
            <w:rPr>
              <w:rFonts w:cstheme="minorBidi"/>
              <w:noProof/>
              <w:kern w:val="2"/>
              <w:sz w:val="24"/>
              <w:szCs w:val="24"/>
              <w:lang w:val="en-GB" w:eastAsia="en-GB"/>
              <w14:ligatures w14:val="standardContextual"/>
            </w:rPr>
          </w:pPr>
          <w:hyperlink w:anchor="_Toc234699558" w:history="1">
            <w:r w:rsidRPr="006E002B">
              <w:rPr>
                <w:rStyle w:val="Hyperlink"/>
                <w:b/>
                <w:bCs/>
                <w:noProof/>
              </w:rPr>
              <w:t>10</w:t>
            </w:r>
            <w:r>
              <w:rPr>
                <w:rFonts w:cstheme="minorBidi"/>
                <w:noProof/>
                <w:kern w:val="2"/>
                <w:sz w:val="24"/>
                <w:szCs w:val="24"/>
                <w:lang w:val="en-GB" w:eastAsia="en-GB"/>
                <w14:ligatures w14:val="standardContextual"/>
              </w:rPr>
              <w:tab/>
            </w:r>
            <w:r w:rsidRPr="006E002B">
              <w:rPr>
                <w:rStyle w:val="Hyperlink"/>
                <w:b/>
                <w:bCs/>
                <w:noProof/>
              </w:rPr>
              <w:t>Appendices</w:t>
            </w:r>
            <w:r>
              <w:rPr>
                <w:noProof/>
                <w:webHidden/>
              </w:rPr>
              <w:tab/>
            </w:r>
            <w:r>
              <w:rPr>
                <w:noProof/>
                <w:webHidden/>
              </w:rPr>
              <w:fldChar w:fldCharType="begin"/>
            </w:r>
            <w:r>
              <w:rPr>
                <w:noProof/>
                <w:webHidden/>
              </w:rPr>
              <w:instrText xml:space="preserve"> PAGEREF _Toc234699558 \h </w:instrText>
            </w:r>
            <w:r>
              <w:rPr>
                <w:noProof/>
                <w:webHidden/>
              </w:rPr>
            </w:r>
            <w:r>
              <w:rPr>
                <w:noProof/>
                <w:webHidden/>
              </w:rPr>
              <w:fldChar w:fldCharType="separate"/>
            </w:r>
            <w:r>
              <w:rPr>
                <w:noProof/>
                <w:webHidden/>
              </w:rPr>
              <w:t>55</w:t>
            </w:r>
            <w:r>
              <w:rPr>
                <w:noProof/>
                <w:webHidden/>
              </w:rPr>
              <w:fldChar w:fldCharType="end"/>
            </w:r>
          </w:hyperlink>
        </w:p>
        <w:p w14:paraId="662C2403" w14:textId="020DB15E"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59" w:history="1">
            <w:r w:rsidRPr="006E002B">
              <w:rPr>
                <w:rStyle w:val="Hyperlink"/>
                <w:noProof/>
              </w:rPr>
              <w:t>10.1</w:t>
            </w:r>
            <w:r>
              <w:rPr>
                <w:rFonts w:cstheme="minorBidi"/>
                <w:noProof/>
                <w:kern w:val="2"/>
                <w:sz w:val="24"/>
                <w:szCs w:val="24"/>
                <w:lang w:val="en-GB" w:eastAsia="en-GB"/>
                <w14:ligatures w14:val="standardContextual"/>
              </w:rPr>
              <w:tab/>
            </w:r>
            <w:r w:rsidRPr="006E002B">
              <w:rPr>
                <w:rStyle w:val="Hyperlink"/>
                <w:noProof/>
              </w:rPr>
              <w:t>Appendix A: Decision matrix scoring rationale</w:t>
            </w:r>
            <w:r>
              <w:rPr>
                <w:noProof/>
                <w:webHidden/>
              </w:rPr>
              <w:tab/>
            </w:r>
            <w:r>
              <w:rPr>
                <w:noProof/>
                <w:webHidden/>
              </w:rPr>
              <w:fldChar w:fldCharType="begin"/>
            </w:r>
            <w:r>
              <w:rPr>
                <w:noProof/>
                <w:webHidden/>
              </w:rPr>
              <w:instrText xml:space="preserve"> PAGEREF _Toc234699559 \h </w:instrText>
            </w:r>
            <w:r>
              <w:rPr>
                <w:noProof/>
                <w:webHidden/>
              </w:rPr>
            </w:r>
            <w:r>
              <w:rPr>
                <w:noProof/>
                <w:webHidden/>
              </w:rPr>
              <w:fldChar w:fldCharType="separate"/>
            </w:r>
            <w:r>
              <w:rPr>
                <w:noProof/>
                <w:webHidden/>
              </w:rPr>
              <w:t>55</w:t>
            </w:r>
            <w:r>
              <w:rPr>
                <w:noProof/>
                <w:webHidden/>
              </w:rPr>
              <w:fldChar w:fldCharType="end"/>
            </w:r>
          </w:hyperlink>
        </w:p>
        <w:p w14:paraId="466E78C2" w14:textId="347091D2"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60" w:history="1">
            <w:r w:rsidRPr="006E002B">
              <w:rPr>
                <w:rStyle w:val="Hyperlink"/>
                <w:noProof/>
              </w:rPr>
              <w:t>10.2</w:t>
            </w:r>
            <w:r>
              <w:rPr>
                <w:rFonts w:cstheme="minorBidi"/>
                <w:noProof/>
                <w:kern w:val="2"/>
                <w:sz w:val="24"/>
                <w:szCs w:val="24"/>
                <w:lang w:val="en-GB" w:eastAsia="en-GB"/>
                <w14:ligatures w14:val="standardContextual"/>
              </w:rPr>
              <w:tab/>
            </w:r>
            <w:r w:rsidRPr="006E002B">
              <w:rPr>
                <w:rStyle w:val="Hyperlink"/>
                <w:noProof/>
              </w:rPr>
              <w:t>Appendix B: Sample transport preliminary calculation</w:t>
            </w:r>
            <w:r>
              <w:rPr>
                <w:noProof/>
                <w:webHidden/>
              </w:rPr>
              <w:tab/>
            </w:r>
            <w:r>
              <w:rPr>
                <w:noProof/>
                <w:webHidden/>
              </w:rPr>
              <w:fldChar w:fldCharType="begin"/>
            </w:r>
            <w:r>
              <w:rPr>
                <w:noProof/>
                <w:webHidden/>
              </w:rPr>
              <w:instrText xml:space="preserve"> PAGEREF _Toc234699560 \h </w:instrText>
            </w:r>
            <w:r>
              <w:rPr>
                <w:noProof/>
                <w:webHidden/>
              </w:rPr>
            </w:r>
            <w:r>
              <w:rPr>
                <w:noProof/>
                <w:webHidden/>
              </w:rPr>
              <w:fldChar w:fldCharType="separate"/>
            </w:r>
            <w:r>
              <w:rPr>
                <w:noProof/>
                <w:webHidden/>
              </w:rPr>
              <w:t>55</w:t>
            </w:r>
            <w:r>
              <w:rPr>
                <w:noProof/>
                <w:webHidden/>
              </w:rPr>
              <w:fldChar w:fldCharType="end"/>
            </w:r>
          </w:hyperlink>
        </w:p>
        <w:p w14:paraId="171B7303" w14:textId="0073B874"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61" w:history="1">
            <w:r w:rsidRPr="006E002B">
              <w:rPr>
                <w:rStyle w:val="Hyperlink"/>
                <w:noProof/>
              </w:rPr>
              <w:t>10.3</w:t>
            </w:r>
            <w:r>
              <w:rPr>
                <w:rFonts w:cstheme="minorBidi"/>
                <w:noProof/>
                <w:kern w:val="2"/>
                <w:sz w:val="24"/>
                <w:szCs w:val="24"/>
                <w:lang w:val="en-GB" w:eastAsia="en-GB"/>
                <w14:ligatures w14:val="standardContextual"/>
              </w:rPr>
              <w:tab/>
            </w:r>
            <w:r w:rsidRPr="006E002B">
              <w:rPr>
                <w:rStyle w:val="Hyperlink"/>
                <w:noProof/>
              </w:rPr>
              <w:t>Appendix C: Suggested commissioning performance metrics</w:t>
            </w:r>
            <w:r>
              <w:rPr>
                <w:noProof/>
                <w:webHidden/>
              </w:rPr>
              <w:tab/>
            </w:r>
            <w:r>
              <w:rPr>
                <w:noProof/>
                <w:webHidden/>
              </w:rPr>
              <w:fldChar w:fldCharType="begin"/>
            </w:r>
            <w:r>
              <w:rPr>
                <w:noProof/>
                <w:webHidden/>
              </w:rPr>
              <w:instrText xml:space="preserve"> PAGEREF _Toc234699561 \h </w:instrText>
            </w:r>
            <w:r>
              <w:rPr>
                <w:noProof/>
                <w:webHidden/>
              </w:rPr>
            </w:r>
            <w:r>
              <w:rPr>
                <w:noProof/>
                <w:webHidden/>
              </w:rPr>
              <w:fldChar w:fldCharType="separate"/>
            </w:r>
            <w:r>
              <w:rPr>
                <w:noProof/>
                <w:webHidden/>
              </w:rPr>
              <w:t>56</w:t>
            </w:r>
            <w:r>
              <w:rPr>
                <w:noProof/>
                <w:webHidden/>
              </w:rPr>
              <w:fldChar w:fldCharType="end"/>
            </w:r>
          </w:hyperlink>
        </w:p>
        <w:p w14:paraId="1317E6FA" w14:textId="7FE0612D"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62" w:history="1">
            <w:r w:rsidRPr="006E002B">
              <w:rPr>
                <w:rStyle w:val="Hyperlink"/>
                <w:noProof/>
              </w:rPr>
              <w:t>10.4</w:t>
            </w:r>
            <w:r>
              <w:rPr>
                <w:rFonts w:cstheme="minorBidi"/>
                <w:noProof/>
                <w:kern w:val="2"/>
                <w:sz w:val="24"/>
                <w:szCs w:val="24"/>
                <w:lang w:val="en-GB" w:eastAsia="en-GB"/>
                <w14:ligatures w14:val="standardContextual"/>
              </w:rPr>
              <w:tab/>
            </w:r>
            <w:r w:rsidRPr="006E002B">
              <w:rPr>
                <w:rStyle w:val="Hyperlink"/>
                <w:noProof/>
              </w:rPr>
              <w:t>Appendix D: Evidence Traceability Matrix</w:t>
            </w:r>
            <w:r>
              <w:rPr>
                <w:noProof/>
                <w:webHidden/>
              </w:rPr>
              <w:tab/>
            </w:r>
            <w:r>
              <w:rPr>
                <w:noProof/>
                <w:webHidden/>
              </w:rPr>
              <w:fldChar w:fldCharType="begin"/>
            </w:r>
            <w:r>
              <w:rPr>
                <w:noProof/>
                <w:webHidden/>
              </w:rPr>
              <w:instrText xml:space="preserve"> PAGEREF _Toc234699562 \h </w:instrText>
            </w:r>
            <w:r>
              <w:rPr>
                <w:noProof/>
                <w:webHidden/>
              </w:rPr>
            </w:r>
            <w:r>
              <w:rPr>
                <w:noProof/>
                <w:webHidden/>
              </w:rPr>
              <w:fldChar w:fldCharType="separate"/>
            </w:r>
            <w:r>
              <w:rPr>
                <w:noProof/>
                <w:webHidden/>
              </w:rPr>
              <w:t>56</w:t>
            </w:r>
            <w:r>
              <w:rPr>
                <w:noProof/>
                <w:webHidden/>
              </w:rPr>
              <w:fldChar w:fldCharType="end"/>
            </w:r>
          </w:hyperlink>
        </w:p>
        <w:p w14:paraId="1704B0BB" w14:textId="4EDD8FDD"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63" w:history="1">
            <w:r w:rsidRPr="006E002B">
              <w:rPr>
                <w:rStyle w:val="Hyperlink"/>
                <w:noProof/>
              </w:rPr>
              <w:t>10.5</w:t>
            </w:r>
            <w:r>
              <w:rPr>
                <w:rFonts w:cstheme="minorBidi"/>
                <w:noProof/>
                <w:kern w:val="2"/>
                <w:sz w:val="24"/>
                <w:szCs w:val="24"/>
                <w:lang w:val="en-GB" w:eastAsia="en-GB"/>
                <w14:ligatures w14:val="standardContextual"/>
              </w:rPr>
              <w:tab/>
            </w:r>
            <w:r w:rsidRPr="006E002B">
              <w:rPr>
                <w:rStyle w:val="Hyperlink"/>
                <w:noProof/>
              </w:rPr>
              <w:t>Appendix E: Source Review Log</w:t>
            </w:r>
            <w:r>
              <w:rPr>
                <w:noProof/>
                <w:webHidden/>
              </w:rPr>
              <w:tab/>
            </w:r>
            <w:r>
              <w:rPr>
                <w:noProof/>
                <w:webHidden/>
              </w:rPr>
              <w:fldChar w:fldCharType="begin"/>
            </w:r>
            <w:r>
              <w:rPr>
                <w:noProof/>
                <w:webHidden/>
              </w:rPr>
              <w:instrText xml:space="preserve"> PAGEREF _Toc234699563 \h </w:instrText>
            </w:r>
            <w:r>
              <w:rPr>
                <w:noProof/>
                <w:webHidden/>
              </w:rPr>
            </w:r>
            <w:r>
              <w:rPr>
                <w:noProof/>
                <w:webHidden/>
              </w:rPr>
              <w:fldChar w:fldCharType="separate"/>
            </w:r>
            <w:r>
              <w:rPr>
                <w:noProof/>
                <w:webHidden/>
              </w:rPr>
              <w:t>58</w:t>
            </w:r>
            <w:r>
              <w:rPr>
                <w:noProof/>
                <w:webHidden/>
              </w:rPr>
              <w:fldChar w:fldCharType="end"/>
            </w:r>
          </w:hyperlink>
        </w:p>
        <w:p w14:paraId="29FCBA58" w14:textId="7DDD93A1"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64" w:history="1">
            <w:r w:rsidRPr="006E002B">
              <w:rPr>
                <w:rStyle w:val="Hyperlink"/>
                <w:noProof/>
              </w:rPr>
              <w:t>10.6</w:t>
            </w:r>
            <w:r>
              <w:rPr>
                <w:rFonts w:cstheme="minorBidi"/>
                <w:noProof/>
                <w:kern w:val="2"/>
                <w:sz w:val="24"/>
                <w:szCs w:val="24"/>
                <w:lang w:val="en-GB" w:eastAsia="en-GB"/>
                <w14:ligatures w14:val="standardContextual"/>
              </w:rPr>
              <w:tab/>
            </w:r>
            <w:r w:rsidRPr="006E002B">
              <w:rPr>
                <w:rStyle w:val="Hyperlink"/>
                <w:noProof/>
              </w:rPr>
              <w:t>Appendix F: Assumptions and Validation Register</w:t>
            </w:r>
            <w:r>
              <w:rPr>
                <w:noProof/>
                <w:webHidden/>
              </w:rPr>
              <w:tab/>
            </w:r>
            <w:r>
              <w:rPr>
                <w:noProof/>
                <w:webHidden/>
              </w:rPr>
              <w:fldChar w:fldCharType="begin"/>
            </w:r>
            <w:r>
              <w:rPr>
                <w:noProof/>
                <w:webHidden/>
              </w:rPr>
              <w:instrText xml:space="preserve"> PAGEREF _Toc234699564 \h </w:instrText>
            </w:r>
            <w:r>
              <w:rPr>
                <w:noProof/>
                <w:webHidden/>
              </w:rPr>
            </w:r>
            <w:r>
              <w:rPr>
                <w:noProof/>
                <w:webHidden/>
              </w:rPr>
              <w:fldChar w:fldCharType="separate"/>
            </w:r>
            <w:r>
              <w:rPr>
                <w:noProof/>
                <w:webHidden/>
              </w:rPr>
              <w:t>61</w:t>
            </w:r>
            <w:r>
              <w:rPr>
                <w:noProof/>
                <w:webHidden/>
              </w:rPr>
              <w:fldChar w:fldCharType="end"/>
            </w:r>
          </w:hyperlink>
        </w:p>
        <w:p w14:paraId="5F859596" w14:textId="0EAFD0D0"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65" w:history="1">
            <w:r w:rsidRPr="006E002B">
              <w:rPr>
                <w:rStyle w:val="Hyperlink"/>
                <w:noProof/>
              </w:rPr>
              <w:t>10.7</w:t>
            </w:r>
            <w:r>
              <w:rPr>
                <w:rFonts w:cstheme="minorBidi"/>
                <w:noProof/>
                <w:kern w:val="2"/>
                <w:sz w:val="24"/>
                <w:szCs w:val="24"/>
                <w:lang w:val="en-GB" w:eastAsia="en-GB"/>
                <w14:ligatures w14:val="standardContextual"/>
              </w:rPr>
              <w:tab/>
            </w:r>
            <w:r w:rsidRPr="006E002B">
              <w:rPr>
                <w:rStyle w:val="Hyperlink"/>
                <w:noProof/>
              </w:rPr>
              <w:t>Appendix G: Option Scoring Evidence Sheet</w:t>
            </w:r>
            <w:r>
              <w:rPr>
                <w:noProof/>
                <w:webHidden/>
              </w:rPr>
              <w:tab/>
            </w:r>
            <w:r>
              <w:rPr>
                <w:noProof/>
                <w:webHidden/>
              </w:rPr>
              <w:fldChar w:fldCharType="begin"/>
            </w:r>
            <w:r>
              <w:rPr>
                <w:noProof/>
                <w:webHidden/>
              </w:rPr>
              <w:instrText xml:space="preserve"> PAGEREF _Toc234699565 \h </w:instrText>
            </w:r>
            <w:r>
              <w:rPr>
                <w:noProof/>
                <w:webHidden/>
              </w:rPr>
            </w:r>
            <w:r>
              <w:rPr>
                <w:noProof/>
                <w:webHidden/>
              </w:rPr>
              <w:fldChar w:fldCharType="separate"/>
            </w:r>
            <w:r>
              <w:rPr>
                <w:noProof/>
                <w:webHidden/>
              </w:rPr>
              <w:t>63</w:t>
            </w:r>
            <w:r>
              <w:rPr>
                <w:noProof/>
                <w:webHidden/>
              </w:rPr>
              <w:fldChar w:fldCharType="end"/>
            </w:r>
          </w:hyperlink>
        </w:p>
        <w:p w14:paraId="22C8909B" w14:textId="0478A45D"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66" w:history="1">
            <w:r w:rsidRPr="006E002B">
              <w:rPr>
                <w:rStyle w:val="Hyperlink"/>
                <w:noProof/>
              </w:rPr>
              <w:t>10.8</w:t>
            </w:r>
            <w:r>
              <w:rPr>
                <w:rFonts w:cstheme="minorBidi"/>
                <w:noProof/>
                <w:kern w:val="2"/>
                <w:sz w:val="24"/>
                <w:szCs w:val="24"/>
                <w:lang w:val="en-GB" w:eastAsia="en-GB"/>
                <w14:ligatures w14:val="standardContextual"/>
              </w:rPr>
              <w:tab/>
            </w:r>
            <w:r w:rsidRPr="006E002B">
              <w:rPr>
                <w:rStyle w:val="Hyperlink"/>
                <w:noProof/>
              </w:rPr>
              <w:t>Appendix H: Preliminary Validation Plan</w:t>
            </w:r>
            <w:r>
              <w:rPr>
                <w:noProof/>
                <w:webHidden/>
              </w:rPr>
              <w:tab/>
            </w:r>
            <w:r>
              <w:rPr>
                <w:noProof/>
                <w:webHidden/>
              </w:rPr>
              <w:fldChar w:fldCharType="begin"/>
            </w:r>
            <w:r>
              <w:rPr>
                <w:noProof/>
                <w:webHidden/>
              </w:rPr>
              <w:instrText xml:space="preserve"> PAGEREF _Toc234699566 \h </w:instrText>
            </w:r>
            <w:r>
              <w:rPr>
                <w:noProof/>
                <w:webHidden/>
              </w:rPr>
            </w:r>
            <w:r>
              <w:rPr>
                <w:noProof/>
                <w:webHidden/>
              </w:rPr>
              <w:fldChar w:fldCharType="separate"/>
            </w:r>
            <w:r>
              <w:rPr>
                <w:noProof/>
                <w:webHidden/>
              </w:rPr>
              <w:t>67</w:t>
            </w:r>
            <w:r>
              <w:rPr>
                <w:noProof/>
                <w:webHidden/>
              </w:rPr>
              <w:fldChar w:fldCharType="end"/>
            </w:r>
          </w:hyperlink>
        </w:p>
        <w:p w14:paraId="0360607B" w14:textId="5A6098E1" w:rsidR="00250820" w:rsidRDefault="00250820">
          <w:pPr>
            <w:pStyle w:val="TOC2"/>
            <w:tabs>
              <w:tab w:val="left" w:pos="960"/>
              <w:tab w:val="right" w:leader="dot" w:pos="9016"/>
            </w:tabs>
            <w:rPr>
              <w:rFonts w:cstheme="minorBidi"/>
              <w:noProof/>
              <w:kern w:val="2"/>
              <w:sz w:val="24"/>
              <w:szCs w:val="24"/>
              <w:lang w:val="en-GB" w:eastAsia="en-GB"/>
              <w14:ligatures w14:val="standardContextual"/>
            </w:rPr>
          </w:pPr>
          <w:hyperlink w:anchor="_Toc234699567" w:history="1">
            <w:r w:rsidRPr="006E002B">
              <w:rPr>
                <w:rStyle w:val="Hyperlink"/>
                <w:noProof/>
              </w:rPr>
              <w:t>10.9</w:t>
            </w:r>
            <w:r>
              <w:rPr>
                <w:rFonts w:cstheme="minorBidi"/>
                <w:noProof/>
                <w:kern w:val="2"/>
                <w:sz w:val="24"/>
                <w:szCs w:val="24"/>
                <w:lang w:val="en-GB" w:eastAsia="en-GB"/>
                <w14:ligatures w14:val="standardContextual"/>
              </w:rPr>
              <w:tab/>
            </w:r>
            <w:r w:rsidRPr="006E002B">
              <w:rPr>
                <w:rStyle w:val="Hyperlink"/>
                <w:noProof/>
              </w:rPr>
              <w:t>Appendix I: OEM Correspondence</w:t>
            </w:r>
            <w:r>
              <w:rPr>
                <w:noProof/>
                <w:webHidden/>
              </w:rPr>
              <w:tab/>
            </w:r>
            <w:r>
              <w:rPr>
                <w:noProof/>
                <w:webHidden/>
              </w:rPr>
              <w:fldChar w:fldCharType="begin"/>
            </w:r>
            <w:r>
              <w:rPr>
                <w:noProof/>
                <w:webHidden/>
              </w:rPr>
              <w:instrText xml:space="preserve"> PAGEREF _Toc234699567 \h </w:instrText>
            </w:r>
            <w:r>
              <w:rPr>
                <w:noProof/>
                <w:webHidden/>
              </w:rPr>
            </w:r>
            <w:r>
              <w:rPr>
                <w:noProof/>
                <w:webHidden/>
              </w:rPr>
              <w:fldChar w:fldCharType="separate"/>
            </w:r>
            <w:r>
              <w:rPr>
                <w:noProof/>
                <w:webHidden/>
              </w:rPr>
              <w:t>69</w:t>
            </w:r>
            <w:r>
              <w:rPr>
                <w:noProof/>
                <w:webHidden/>
              </w:rPr>
              <w:fldChar w:fldCharType="end"/>
            </w:r>
          </w:hyperlink>
        </w:p>
        <w:p w14:paraId="2361FDD1" w14:textId="1266A728" w:rsidR="00250820" w:rsidRDefault="00250820">
          <w:pPr>
            <w:pStyle w:val="TOC2"/>
            <w:tabs>
              <w:tab w:val="left" w:pos="1200"/>
              <w:tab w:val="right" w:leader="dot" w:pos="9016"/>
            </w:tabs>
            <w:rPr>
              <w:rFonts w:cstheme="minorBidi"/>
              <w:noProof/>
              <w:kern w:val="2"/>
              <w:sz w:val="24"/>
              <w:szCs w:val="24"/>
              <w:lang w:val="en-GB" w:eastAsia="en-GB"/>
              <w14:ligatures w14:val="standardContextual"/>
            </w:rPr>
          </w:pPr>
          <w:hyperlink w:anchor="_Toc234699568" w:history="1">
            <w:r w:rsidRPr="006E002B">
              <w:rPr>
                <w:rStyle w:val="Hyperlink"/>
                <w:noProof/>
                <w:lang w:val="fr-FR"/>
              </w:rPr>
              <w:t>10.10</w:t>
            </w:r>
            <w:r>
              <w:rPr>
                <w:rFonts w:cstheme="minorBidi"/>
                <w:noProof/>
                <w:kern w:val="2"/>
                <w:sz w:val="24"/>
                <w:szCs w:val="24"/>
                <w:lang w:val="en-GB" w:eastAsia="en-GB"/>
                <w14:ligatures w14:val="standardContextual"/>
              </w:rPr>
              <w:tab/>
            </w:r>
            <w:r w:rsidRPr="006E002B">
              <w:rPr>
                <w:rStyle w:val="Hyperlink"/>
                <w:noProof/>
                <w:lang w:val="fr-FR"/>
              </w:rPr>
              <w:t>Appendix J: Source Documentation Figures</w:t>
            </w:r>
            <w:r>
              <w:rPr>
                <w:noProof/>
                <w:webHidden/>
              </w:rPr>
              <w:tab/>
            </w:r>
            <w:r>
              <w:rPr>
                <w:noProof/>
                <w:webHidden/>
              </w:rPr>
              <w:fldChar w:fldCharType="begin"/>
            </w:r>
            <w:r>
              <w:rPr>
                <w:noProof/>
                <w:webHidden/>
              </w:rPr>
              <w:instrText xml:space="preserve"> PAGEREF _Toc234699568 \h </w:instrText>
            </w:r>
            <w:r>
              <w:rPr>
                <w:noProof/>
                <w:webHidden/>
              </w:rPr>
            </w:r>
            <w:r>
              <w:rPr>
                <w:noProof/>
                <w:webHidden/>
              </w:rPr>
              <w:fldChar w:fldCharType="separate"/>
            </w:r>
            <w:r>
              <w:rPr>
                <w:noProof/>
                <w:webHidden/>
              </w:rPr>
              <w:t>70</w:t>
            </w:r>
            <w:r>
              <w:rPr>
                <w:noProof/>
                <w:webHidden/>
              </w:rPr>
              <w:fldChar w:fldCharType="end"/>
            </w:r>
          </w:hyperlink>
        </w:p>
        <w:p w14:paraId="4F080132" w14:textId="0152F812" w:rsidR="00837E9B" w:rsidRDefault="00837E9B">
          <w:r>
            <w:rPr>
              <w:b/>
              <w:bCs/>
              <w:noProof/>
            </w:rPr>
            <w:fldChar w:fldCharType="end"/>
          </w:r>
        </w:p>
      </w:sdtContent>
    </w:sdt>
    <w:p w14:paraId="0122BFA6" w14:textId="77777777" w:rsidR="00837E9B" w:rsidRDefault="00837E9B">
      <w:pPr>
        <w:spacing w:before="240" w:after="120"/>
      </w:pPr>
    </w:p>
    <w:p w14:paraId="2D1EE6AC" w14:textId="77777777" w:rsidR="00BB5565" w:rsidRDefault="00054777">
      <w:pPr>
        <w:pageBreakBefore/>
        <w:spacing w:before="240" w:after="120"/>
      </w:pPr>
      <w:r>
        <w:rPr>
          <w:b/>
          <w:color w:val="0070C0"/>
          <w:sz w:val="32"/>
          <w:szCs w:val="32"/>
        </w:rPr>
        <w:lastRenderedPageBreak/>
        <w:t>Table of Figures</w:t>
      </w:r>
    </w:p>
    <w:p w14:paraId="12C2BA7A" w14:textId="679E4135"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b/>
          <w:color w:val="0070C0"/>
          <w:sz w:val="32"/>
          <w:szCs w:val="32"/>
        </w:rPr>
        <w:fldChar w:fldCharType="begin"/>
      </w:r>
      <w:r>
        <w:rPr>
          <w:b/>
          <w:color w:val="0070C0"/>
          <w:sz w:val="32"/>
          <w:szCs w:val="32"/>
        </w:rPr>
        <w:instrText xml:space="preserve"> TOC \h \z \c "Figure" </w:instrText>
      </w:r>
      <w:r>
        <w:rPr>
          <w:b/>
          <w:color w:val="0070C0"/>
          <w:sz w:val="32"/>
          <w:szCs w:val="32"/>
        </w:rPr>
        <w:fldChar w:fldCharType="separate"/>
      </w:r>
      <w:hyperlink w:anchor="_Toc234530008" w:history="1">
        <w:r w:rsidRPr="000326E6">
          <w:rPr>
            <w:rStyle w:val="Hyperlink"/>
            <w:noProof/>
          </w:rPr>
          <w:t>Figure 1: Transition from Integrated Blast Furnace Steelmaking to EAF-Based Steelmaking under Project Invictus Tata Steel UK, 2025</w:t>
        </w:r>
        <w:r>
          <w:rPr>
            <w:noProof/>
            <w:webHidden/>
          </w:rPr>
          <w:tab/>
        </w:r>
        <w:r>
          <w:rPr>
            <w:noProof/>
            <w:webHidden/>
          </w:rPr>
          <w:fldChar w:fldCharType="begin"/>
        </w:r>
        <w:r>
          <w:rPr>
            <w:noProof/>
            <w:webHidden/>
          </w:rPr>
          <w:instrText xml:space="preserve"> PAGEREF _Toc234530008 \h </w:instrText>
        </w:r>
        <w:r>
          <w:rPr>
            <w:noProof/>
            <w:webHidden/>
          </w:rPr>
        </w:r>
        <w:r>
          <w:rPr>
            <w:noProof/>
            <w:webHidden/>
          </w:rPr>
          <w:fldChar w:fldCharType="separate"/>
        </w:r>
        <w:r>
          <w:rPr>
            <w:noProof/>
            <w:webHidden/>
          </w:rPr>
          <w:t>11</w:t>
        </w:r>
        <w:r>
          <w:rPr>
            <w:noProof/>
            <w:webHidden/>
          </w:rPr>
          <w:fldChar w:fldCharType="end"/>
        </w:r>
      </w:hyperlink>
    </w:p>
    <w:p w14:paraId="5378A5EC" w14:textId="3AD571AC"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09" w:history="1">
        <w:r w:rsidRPr="000326E6">
          <w:rPr>
            <w:rStyle w:val="Hyperlink"/>
            <w:noProof/>
          </w:rPr>
          <w:t>Figure 2: Electric Arc Furnace (EAF) slag door arrangement, showing the controlled slagging interface used to manage slag removal during furnace operation Tenova, 2025.</w:t>
        </w:r>
        <w:r>
          <w:rPr>
            <w:noProof/>
            <w:webHidden/>
          </w:rPr>
          <w:tab/>
        </w:r>
        <w:r>
          <w:rPr>
            <w:noProof/>
            <w:webHidden/>
          </w:rPr>
          <w:fldChar w:fldCharType="begin"/>
        </w:r>
        <w:r>
          <w:rPr>
            <w:noProof/>
            <w:webHidden/>
          </w:rPr>
          <w:instrText xml:space="preserve"> PAGEREF _Toc234530009 \h </w:instrText>
        </w:r>
        <w:r>
          <w:rPr>
            <w:noProof/>
            <w:webHidden/>
          </w:rPr>
        </w:r>
        <w:r>
          <w:rPr>
            <w:noProof/>
            <w:webHidden/>
          </w:rPr>
          <w:fldChar w:fldCharType="separate"/>
        </w:r>
        <w:r>
          <w:rPr>
            <w:noProof/>
            <w:webHidden/>
          </w:rPr>
          <w:t>12</w:t>
        </w:r>
        <w:r>
          <w:rPr>
            <w:noProof/>
            <w:webHidden/>
          </w:rPr>
          <w:fldChar w:fldCharType="end"/>
        </w:r>
      </w:hyperlink>
    </w:p>
    <w:p w14:paraId="56823323" w14:textId="47CD475E"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10" w:history="1">
        <w:r w:rsidRPr="000326E6">
          <w:rPr>
            <w:rStyle w:val="Hyperlink"/>
            <w:noProof/>
          </w:rPr>
          <w:t>Figure 3: Life cycle of carbon emissions from steel production (Lee et al., 2025)</w:t>
        </w:r>
        <w:r>
          <w:rPr>
            <w:noProof/>
            <w:webHidden/>
          </w:rPr>
          <w:tab/>
        </w:r>
        <w:r>
          <w:rPr>
            <w:noProof/>
            <w:webHidden/>
          </w:rPr>
          <w:fldChar w:fldCharType="begin"/>
        </w:r>
        <w:r>
          <w:rPr>
            <w:noProof/>
            <w:webHidden/>
          </w:rPr>
          <w:instrText xml:space="preserve"> PAGEREF _Toc234530010 \h </w:instrText>
        </w:r>
        <w:r>
          <w:rPr>
            <w:noProof/>
            <w:webHidden/>
          </w:rPr>
        </w:r>
        <w:r>
          <w:rPr>
            <w:noProof/>
            <w:webHidden/>
          </w:rPr>
          <w:fldChar w:fldCharType="separate"/>
        </w:r>
        <w:r>
          <w:rPr>
            <w:noProof/>
            <w:webHidden/>
          </w:rPr>
          <w:t>15</w:t>
        </w:r>
        <w:r>
          <w:rPr>
            <w:noProof/>
            <w:webHidden/>
          </w:rPr>
          <w:fldChar w:fldCharType="end"/>
        </w:r>
      </w:hyperlink>
    </w:p>
    <w:p w14:paraId="5BF0AED6" w14:textId="5C66128D"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11" w:history="1">
        <w:r w:rsidRPr="000326E6">
          <w:rPr>
            <w:rStyle w:val="Hyperlink"/>
            <w:noProof/>
          </w:rPr>
          <w:t>Figure 4: Schematic representation of EAF material layers (Yildirim and Prezzi, 2011)</w:t>
        </w:r>
        <w:r>
          <w:rPr>
            <w:noProof/>
            <w:webHidden/>
          </w:rPr>
          <w:tab/>
        </w:r>
        <w:r>
          <w:rPr>
            <w:noProof/>
            <w:webHidden/>
          </w:rPr>
          <w:fldChar w:fldCharType="begin"/>
        </w:r>
        <w:r>
          <w:rPr>
            <w:noProof/>
            <w:webHidden/>
          </w:rPr>
          <w:instrText xml:space="preserve"> PAGEREF _Toc234530011 \h </w:instrText>
        </w:r>
        <w:r>
          <w:rPr>
            <w:noProof/>
            <w:webHidden/>
          </w:rPr>
        </w:r>
        <w:r>
          <w:rPr>
            <w:noProof/>
            <w:webHidden/>
          </w:rPr>
          <w:fldChar w:fldCharType="separate"/>
        </w:r>
        <w:r>
          <w:rPr>
            <w:noProof/>
            <w:webHidden/>
          </w:rPr>
          <w:t>16</w:t>
        </w:r>
        <w:r>
          <w:rPr>
            <w:noProof/>
            <w:webHidden/>
          </w:rPr>
          <w:fldChar w:fldCharType="end"/>
        </w:r>
      </w:hyperlink>
    </w:p>
    <w:p w14:paraId="3B7041E0" w14:textId="5A2E04EB"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12" w:history="1">
        <w:r w:rsidRPr="000326E6">
          <w:rPr>
            <w:rStyle w:val="Hyperlink"/>
            <w:noProof/>
          </w:rPr>
          <w:t>Figure 5: EAF and slag sampling optimisation: Optioneering Project Plan</w:t>
        </w:r>
        <w:r>
          <w:rPr>
            <w:noProof/>
            <w:webHidden/>
          </w:rPr>
          <w:tab/>
        </w:r>
        <w:r>
          <w:rPr>
            <w:noProof/>
            <w:webHidden/>
          </w:rPr>
          <w:fldChar w:fldCharType="begin"/>
        </w:r>
        <w:r>
          <w:rPr>
            <w:noProof/>
            <w:webHidden/>
          </w:rPr>
          <w:instrText xml:space="preserve"> PAGEREF _Toc234530012 \h </w:instrText>
        </w:r>
        <w:r>
          <w:rPr>
            <w:noProof/>
            <w:webHidden/>
          </w:rPr>
        </w:r>
        <w:r>
          <w:rPr>
            <w:noProof/>
            <w:webHidden/>
          </w:rPr>
          <w:fldChar w:fldCharType="separate"/>
        </w:r>
        <w:r>
          <w:rPr>
            <w:noProof/>
            <w:webHidden/>
          </w:rPr>
          <w:t>26</w:t>
        </w:r>
        <w:r>
          <w:rPr>
            <w:noProof/>
            <w:webHidden/>
          </w:rPr>
          <w:fldChar w:fldCharType="end"/>
        </w:r>
      </w:hyperlink>
    </w:p>
    <w:p w14:paraId="5C9C0B0F" w14:textId="63B87CAC"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13" w:history="1">
        <w:r w:rsidRPr="000326E6">
          <w:rPr>
            <w:rStyle w:val="Hyperlink"/>
            <w:noProof/>
          </w:rPr>
          <w:t>Figure 6:Project Invictus EAF temperature and sampling robot general layout showing the ABB IRB 8700 robot, sample lance, PolyEYE lance, tool rack, cartridge warehouse, chiller and associated equipment. (Tenova, 2025)</w:t>
        </w:r>
        <w:r>
          <w:rPr>
            <w:noProof/>
            <w:webHidden/>
          </w:rPr>
          <w:tab/>
        </w:r>
        <w:r>
          <w:rPr>
            <w:noProof/>
            <w:webHidden/>
          </w:rPr>
          <w:fldChar w:fldCharType="begin"/>
        </w:r>
        <w:r>
          <w:rPr>
            <w:noProof/>
            <w:webHidden/>
          </w:rPr>
          <w:instrText xml:space="preserve"> PAGEREF _Toc234530013 \h </w:instrText>
        </w:r>
        <w:r>
          <w:rPr>
            <w:noProof/>
            <w:webHidden/>
          </w:rPr>
        </w:r>
        <w:r>
          <w:rPr>
            <w:noProof/>
            <w:webHidden/>
          </w:rPr>
          <w:fldChar w:fldCharType="separate"/>
        </w:r>
        <w:r>
          <w:rPr>
            <w:noProof/>
            <w:webHidden/>
          </w:rPr>
          <w:t>29</w:t>
        </w:r>
        <w:r>
          <w:rPr>
            <w:noProof/>
            <w:webHidden/>
          </w:rPr>
          <w:fldChar w:fldCharType="end"/>
        </w:r>
      </w:hyperlink>
    </w:p>
    <w:p w14:paraId="696132BC" w14:textId="3982C417"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14" w:history="1">
        <w:r w:rsidRPr="000326E6">
          <w:rPr>
            <w:rStyle w:val="Hyperlink"/>
            <w:noProof/>
          </w:rPr>
          <w:t>Figure 7:Robot utility and TOP requirements showing electrical supply, pneumatic supply, cooling water requirements, robot loads and controller-distance constraints (Tenova, Polytec, 2026)</w:t>
        </w:r>
        <w:r>
          <w:rPr>
            <w:noProof/>
            <w:webHidden/>
          </w:rPr>
          <w:tab/>
        </w:r>
        <w:r>
          <w:rPr>
            <w:noProof/>
            <w:webHidden/>
          </w:rPr>
          <w:fldChar w:fldCharType="begin"/>
        </w:r>
        <w:r>
          <w:rPr>
            <w:noProof/>
            <w:webHidden/>
          </w:rPr>
          <w:instrText xml:space="preserve"> PAGEREF _Toc234530014 \h </w:instrText>
        </w:r>
        <w:r>
          <w:rPr>
            <w:noProof/>
            <w:webHidden/>
          </w:rPr>
        </w:r>
        <w:r>
          <w:rPr>
            <w:noProof/>
            <w:webHidden/>
          </w:rPr>
          <w:fldChar w:fldCharType="separate"/>
        </w:r>
        <w:r>
          <w:rPr>
            <w:noProof/>
            <w:webHidden/>
          </w:rPr>
          <w:t>30</w:t>
        </w:r>
        <w:r>
          <w:rPr>
            <w:noProof/>
            <w:webHidden/>
          </w:rPr>
          <w:fldChar w:fldCharType="end"/>
        </w:r>
      </w:hyperlink>
    </w:p>
    <w:p w14:paraId="50E452E7" w14:textId="476BC992"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15" w:history="1">
        <w:r w:rsidRPr="000326E6">
          <w:rPr>
            <w:rStyle w:val="Hyperlink"/>
            <w:noProof/>
          </w:rPr>
          <w:t>Figure 8:EAF sampling configuration showing furnace positions, bath-level references, hot heel and picking-point geometry for robotic sampling. Source: Tenova/Polytec project drawing 3701.00025.TEN.201004.ME.DRG.DD.00870, unpublished project document.</w:t>
        </w:r>
        <w:r>
          <w:rPr>
            <w:noProof/>
            <w:webHidden/>
          </w:rPr>
          <w:tab/>
        </w:r>
        <w:r>
          <w:rPr>
            <w:noProof/>
            <w:webHidden/>
          </w:rPr>
          <w:fldChar w:fldCharType="begin"/>
        </w:r>
        <w:r>
          <w:rPr>
            <w:noProof/>
            <w:webHidden/>
          </w:rPr>
          <w:instrText xml:space="preserve"> PAGEREF _Toc234530015 \h </w:instrText>
        </w:r>
        <w:r>
          <w:rPr>
            <w:noProof/>
            <w:webHidden/>
          </w:rPr>
        </w:r>
        <w:r>
          <w:rPr>
            <w:noProof/>
            <w:webHidden/>
          </w:rPr>
          <w:fldChar w:fldCharType="separate"/>
        </w:r>
        <w:r>
          <w:rPr>
            <w:noProof/>
            <w:webHidden/>
          </w:rPr>
          <w:t>31</w:t>
        </w:r>
        <w:r>
          <w:rPr>
            <w:noProof/>
            <w:webHidden/>
          </w:rPr>
          <w:fldChar w:fldCharType="end"/>
        </w:r>
      </w:hyperlink>
    </w:p>
    <w:p w14:paraId="624D4461" w14:textId="3E87743A"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16" w:history="1">
        <w:r w:rsidRPr="000326E6">
          <w:rPr>
            <w:rStyle w:val="Hyperlink"/>
            <w:noProof/>
          </w:rPr>
          <w:t>Figure 9:CELOX SLAC probe drawing showing overall probe dimensions, diameter features and minimum pop-out force. Source: Heraeus Electro-Nite drawing 65319610, unpublished supplier document.</w:t>
        </w:r>
        <w:r>
          <w:rPr>
            <w:noProof/>
            <w:webHidden/>
          </w:rPr>
          <w:tab/>
        </w:r>
        <w:r>
          <w:rPr>
            <w:noProof/>
            <w:webHidden/>
          </w:rPr>
          <w:fldChar w:fldCharType="begin"/>
        </w:r>
        <w:r>
          <w:rPr>
            <w:noProof/>
            <w:webHidden/>
          </w:rPr>
          <w:instrText xml:space="preserve"> PAGEREF _Toc234530016 \h </w:instrText>
        </w:r>
        <w:r>
          <w:rPr>
            <w:noProof/>
            <w:webHidden/>
          </w:rPr>
        </w:r>
        <w:r>
          <w:rPr>
            <w:noProof/>
            <w:webHidden/>
          </w:rPr>
          <w:fldChar w:fldCharType="separate"/>
        </w:r>
        <w:r>
          <w:rPr>
            <w:noProof/>
            <w:webHidden/>
          </w:rPr>
          <w:t>32</w:t>
        </w:r>
        <w:r>
          <w:rPr>
            <w:noProof/>
            <w:webHidden/>
          </w:rPr>
          <w:fldChar w:fldCharType="end"/>
        </w:r>
      </w:hyperlink>
    </w:p>
    <w:p w14:paraId="49451C9F" w14:textId="48EA58E9"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17" w:history="1">
        <w:r w:rsidRPr="000326E6">
          <w:rPr>
            <w:rStyle w:val="Hyperlink"/>
            <w:noProof/>
          </w:rPr>
          <w:t>Figure 10: EAF slag probe drawing showing 3-in-1 sampler with drip rings (source: Heraeus Electro-Nite, 2025a).</w:t>
        </w:r>
        <w:r>
          <w:rPr>
            <w:noProof/>
            <w:webHidden/>
          </w:rPr>
          <w:tab/>
        </w:r>
        <w:r>
          <w:rPr>
            <w:noProof/>
            <w:webHidden/>
          </w:rPr>
          <w:fldChar w:fldCharType="begin"/>
        </w:r>
        <w:r>
          <w:rPr>
            <w:noProof/>
            <w:webHidden/>
          </w:rPr>
          <w:instrText xml:space="preserve"> PAGEREF _Toc234530017 \h </w:instrText>
        </w:r>
        <w:r>
          <w:rPr>
            <w:noProof/>
            <w:webHidden/>
          </w:rPr>
        </w:r>
        <w:r>
          <w:rPr>
            <w:noProof/>
            <w:webHidden/>
          </w:rPr>
          <w:fldChar w:fldCharType="separate"/>
        </w:r>
        <w:r>
          <w:rPr>
            <w:noProof/>
            <w:webHidden/>
          </w:rPr>
          <w:t>33</w:t>
        </w:r>
        <w:r>
          <w:rPr>
            <w:noProof/>
            <w:webHidden/>
          </w:rPr>
          <w:fldChar w:fldCharType="end"/>
        </w:r>
      </w:hyperlink>
    </w:p>
    <w:p w14:paraId="7B67E25D" w14:textId="003A93AF"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18" w:history="1">
        <w:r w:rsidRPr="000326E6">
          <w:rPr>
            <w:rStyle w:val="Hyperlink"/>
            <w:noProof/>
          </w:rPr>
          <w:t>Figure 11:Hydris probe image showing annotated probe dimensions (source: Heraeus Electro-Nite, 2025b).</w:t>
        </w:r>
        <w:r>
          <w:rPr>
            <w:noProof/>
            <w:webHidden/>
          </w:rPr>
          <w:tab/>
        </w:r>
        <w:r>
          <w:rPr>
            <w:noProof/>
            <w:webHidden/>
          </w:rPr>
          <w:fldChar w:fldCharType="begin"/>
        </w:r>
        <w:r>
          <w:rPr>
            <w:noProof/>
            <w:webHidden/>
          </w:rPr>
          <w:instrText xml:space="preserve"> PAGEREF _Toc234530018 \h </w:instrText>
        </w:r>
        <w:r>
          <w:rPr>
            <w:noProof/>
            <w:webHidden/>
          </w:rPr>
        </w:r>
        <w:r>
          <w:rPr>
            <w:noProof/>
            <w:webHidden/>
          </w:rPr>
          <w:fldChar w:fldCharType="separate"/>
        </w:r>
        <w:r>
          <w:rPr>
            <w:noProof/>
            <w:webHidden/>
          </w:rPr>
          <w:t>34</w:t>
        </w:r>
        <w:r>
          <w:rPr>
            <w:noProof/>
            <w:webHidden/>
          </w:rPr>
          <w:fldChar w:fldCharType="end"/>
        </w:r>
      </w:hyperlink>
    </w:p>
    <w:p w14:paraId="5B640B7C" w14:textId="5A15FAB0"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19" w:history="1">
        <w:r w:rsidRPr="000326E6">
          <w:rPr>
            <w:rStyle w:val="Hyperlink"/>
            <w:noProof/>
          </w:rPr>
          <w:t>Figure 12: PolySAMPLE EAF robot general layout showing robot cell equipment, equipment masses and the robot/furnace relationship (Tenova, 2025a).</w:t>
        </w:r>
        <w:r>
          <w:rPr>
            <w:noProof/>
            <w:webHidden/>
          </w:rPr>
          <w:tab/>
        </w:r>
        <w:r>
          <w:rPr>
            <w:noProof/>
            <w:webHidden/>
          </w:rPr>
          <w:fldChar w:fldCharType="begin"/>
        </w:r>
        <w:r>
          <w:rPr>
            <w:noProof/>
            <w:webHidden/>
          </w:rPr>
          <w:instrText xml:space="preserve"> PAGEREF _Toc234530019 \h </w:instrText>
        </w:r>
        <w:r>
          <w:rPr>
            <w:noProof/>
            <w:webHidden/>
          </w:rPr>
        </w:r>
        <w:r>
          <w:rPr>
            <w:noProof/>
            <w:webHidden/>
          </w:rPr>
          <w:fldChar w:fldCharType="separate"/>
        </w:r>
        <w:r>
          <w:rPr>
            <w:noProof/>
            <w:webHidden/>
          </w:rPr>
          <w:t>70</w:t>
        </w:r>
        <w:r>
          <w:rPr>
            <w:noProof/>
            <w:webHidden/>
          </w:rPr>
          <w:fldChar w:fldCharType="end"/>
        </w:r>
      </w:hyperlink>
    </w:p>
    <w:p w14:paraId="28197E12" w14:textId="45912484"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20" w:history="1">
        <w:r w:rsidRPr="000326E6">
          <w:rPr>
            <w:rStyle w:val="Hyperlink"/>
            <w:noProof/>
          </w:rPr>
          <w:t>Figure 13:Robot utility/TOP drawing showing electrical, pneumatic and cooling-water requirements, controller distance and robot loads (Tenova, 2025c).</w:t>
        </w:r>
        <w:r>
          <w:rPr>
            <w:noProof/>
            <w:webHidden/>
          </w:rPr>
          <w:tab/>
        </w:r>
        <w:r>
          <w:rPr>
            <w:noProof/>
            <w:webHidden/>
          </w:rPr>
          <w:fldChar w:fldCharType="begin"/>
        </w:r>
        <w:r>
          <w:rPr>
            <w:noProof/>
            <w:webHidden/>
          </w:rPr>
          <w:instrText xml:space="preserve"> PAGEREF _Toc234530020 \h </w:instrText>
        </w:r>
        <w:r>
          <w:rPr>
            <w:noProof/>
            <w:webHidden/>
          </w:rPr>
        </w:r>
        <w:r>
          <w:rPr>
            <w:noProof/>
            <w:webHidden/>
          </w:rPr>
          <w:fldChar w:fldCharType="separate"/>
        </w:r>
        <w:r>
          <w:rPr>
            <w:noProof/>
            <w:webHidden/>
          </w:rPr>
          <w:t>72</w:t>
        </w:r>
        <w:r>
          <w:rPr>
            <w:noProof/>
            <w:webHidden/>
          </w:rPr>
          <w:fldChar w:fldCharType="end"/>
        </w:r>
      </w:hyperlink>
    </w:p>
    <w:p w14:paraId="75065333" w14:textId="720D2C0D"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21" w:history="1">
        <w:r w:rsidRPr="000326E6">
          <w:rPr>
            <w:rStyle w:val="Hyperlink"/>
            <w:noProof/>
          </w:rPr>
          <w:t>Figure 14: EAF sampling robot network layout showing PLC, remote I/O, PROFIsafe interface, robot controller, HMI, CCTV and sensor-lab links (Tenova, 2025b).</w:t>
        </w:r>
        <w:r>
          <w:rPr>
            <w:noProof/>
            <w:webHidden/>
          </w:rPr>
          <w:tab/>
        </w:r>
        <w:r>
          <w:rPr>
            <w:noProof/>
            <w:webHidden/>
          </w:rPr>
          <w:fldChar w:fldCharType="begin"/>
        </w:r>
        <w:r>
          <w:rPr>
            <w:noProof/>
            <w:webHidden/>
          </w:rPr>
          <w:instrText xml:space="preserve"> PAGEREF _Toc234530021 \h </w:instrText>
        </w:r>
        <w:r>
          <w:rPr>
            <w:noProof/>
            <w:webHidden/>
          </w:rPr>
        </w:r>
        <w:r>
          <w:rPr>
            <w:noProof/>
            <w:webHidden/>
          </w:rPr>
          <w:fldChar w:fldCharType="separate"/>
        </w:r>
        <w:r>
          <w:rPr>
            <w:noProof/>
            <w:webHidden/>
          </w:rPr>
          <w:t>73</w:t>
        </w:r>
        <w:r>
          <w:rPr>
            <w:noProof/>
            <w:webHidden/>
          </w:rPr>
          <w:fldChar w:fldCharType="end"/>
        </w:r>
      </w:hyperlink>
    </w:p>
    <w:p w14:paraId="0EB2C37E" w14:textId="3FD6DD6F"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22" w:history="1">
        <w:r w:rsidRPr="000326E6">
          <w:rPr>
            <w:rStyle w:val="Hyperlink"/>
            <w:noProof/>
          </w:rPr>
          <w:t>Figure 15:Sampling configuration drawing showing bath levels, hot heel, furnace positions and picking-point geometry (Tenova, 2025d).</w:t>
        </w:r>
        <w:r>
          <w:rPr>
            <w:noProof/>
            <w:webHidden/>
          </w:rPr>
          <w:tab/>
        </w:r>
        <w:r>
          <w:rPr>
            <w:noProof/>
            <w:webHidden/>
          </w:rPr>
          <w:fldChar w:fldCharType="begin"/>
        </w:r>
        <w:r>
          <w:rPr>
            <w:noProof/>
            <w:webHidden/>
          </w:rPr>
          <w:instrText xml:space="preserve"> PAGEREF _Toc234530022 \h </w:instrText>
        </w:r>
        <w:r>
          <w:rPr>
            <w:noProof/>
            <w:webHidden/>
          </w:rPr>
        </w:r>
        <w:r>
          <w:rPr>
            <w:noProof/>
            <w:webHidden/>
          </w:rPr>
          <w:fldChar w:fldCharType="separate"/>
        </w:r>
        <w:r>
          <w:rPr>
            <w:noProof/>
            <w:webHidden/>
          </w:rPr>
          <w:t>74</w:t>
        </w:r>
        <w:r>
          <w:rPr>
            <w:noProof/>
            <w:webHidden/>
          </w:rPr>
          <w:fldChar w:fldCharType="end"/>
        </w:r>
      </w:hyperlink>
    </w:p>
    <w:p w14:paraId="7B0264E7" w14:textId="77CBBC69"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23" w:history="1">
        <w:r w:rsidRPr="000326E6">
          <w:rPr>
            <w:rStyle w:val="Hyperlink"/>
            <w:noProof/>
          </w:rPr>
          <w:t>Figure 16:CELOX SLAC probe drawing showing probe geometry, diameters and minimum pop-out force (Heraeus Electro-Nite, 2023).</w:t>
        </w:r>
        <w:r>
          <w:rPr>
            <w:noProof/>
            <w:webHidden/>
          </w:rPr>
          <w:tab/>
        </w:r>
        <w:r>
          <w:rPr>
            <w:noProof/>
            <w:webHidden/>
          </w:rPr>
          <w:fldChar w:fldCharType="begin"/>
        </w:r>
        <w:r>
          <w:rPr>
            <w:noProof/>
            <w:webHidden/>
          </w:rPr>
          <w:instrText xml:space="preserve"> PAGEREF _Toc234530023 \h </w:instrText>
        </w:r>
        <w:r>
          <w:rPr>
            <w:noProof/>
            <w:webHidden/>
          </w:rPr>
        </w:r>
        <w:r>
          <w:rPr>
            <w:noProof/>
            <w:webHidden/>
          </w:rPr>
          <w:fldChar w:fldCharType="separate"/>
        </w:r>
        <w:r>
          <w:rPr>
            <w:noProof/>
            <w:webHidden/>
          </w:rPr>
          <w:t>75</w:t>
        </w:r>
        <w:r>
          <w:rPr>
            <w:noProof/>
            <w:webHidden/>
          </w:rPr>
          <w:fldChar w:fldCharType="end"/>
        </w:r>
      </w:hyperlink>
    </w:p>
    <w:p w14:paraId="25E5F199" w14:textId="7551CEC8"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24" w:history="1">
        <w:r w:rsidRPr="000326E6">
          <w:rPr>
            <w:rStyle w:val="Hyperlink"/>
            <w:noProof/>
          </w:rPr>
          <w:t>Figure 17:Standard probe arrangements used for temperature, Celox and sample probe comparison (Heraeus Electro-Nite, 2005).</w:t>
        </w:r>
        <w:r>
          <w:rPr>
            <w:noProof/>
            <w:webHidden/>
          </w:rPr>
          <w:tab/>
        </w:r>
        <w:r>
          <w:rPr>
            <w:noProof/>
            <w:webHidden/>
          </w:rPr>
          <w:fldChar w:fldCharType="begin"/>
        </w:r>
        <w:r>
          <w:rPr>
            <w:noProof/>
            <w:webHidden/>
          </w:rPr>
          <w:instrText xml:space="preserve"> PAGEREF _Toc234530024 \h </w:instrText>
        </w:r>
        <w:r>
          <w:rPr>
            <w:noProof/>
            <w:webHidden/>
          </w:rPr>
        </w:r>
        <w:r>
          <w:rPr>
            <w:noProof/>
            <w:webHidden/>
          </w:rPr>
          <w:fldChar w:fldCharType="separate"/>
        </w:r>
        <w:r>
          <w:rPr>
            <w:noProof/>
            <w:webHidden/>
          </w:rPr>
          <w:t>76</w:t>
        </w:r>
        <w:r>
          <w:rPr>
            <w:noProof/>
            <w:webHidden/>
          </w:rPr>
          <w:fldChar w:fldCharType="end"/>
        </w:r>
      </w:hyperlink>
    </w:p>
    <w:p w14:paraId="017241D8" w14:textId="0F777943"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25" w:history="1">
        <w:r w:rsidRPr="000326E6">
          <w:rPr>
            <w:rStyle w:val="Hyperlink"/>
            <w:noProof/>
          </w:rPr>
          <w:t>Figure 18:EAF 3-in-1 slag probe with drip rings, showing overall geometry and central ringed section (Heraeus Electro-Nite, 2025a).</w:t>
        </w:r>
        <w:r>
          <w:rPr>
            <w:noProof/>
            <w:webHidden/>
          </w:rPr>
          <w:tab/>
        </w:r>
        <w:r>
          <w:rPr>
            <w:noProof/>
            <w:webHidden/>
          </w:rPr>
          <w:fldChar w:fldCharType="begin"/>
        </w:r>
        <w:r>
          <w:rPr>
            <w:noProof/>
            <w:webHidden/>
          </w:rPr>
          <w:instrText xml:space="preserve"> PAGEREF _Toc234530025 \h </w:instrText>
        </w:r>
        <w:r>
          <w:rPr>
            <w:noProof/>
            <w:webHidden/>
          </w:rPr>
        </w:r>
        <w:r>
          <w:rPr>
            <w:noProof/>
            <w:webHidden/>
          </w:rPr>
          <w:fldChar w:fldCharType="separate"/>
        </w:r>
        <w:r>
          <w:rPr>
            <w:noProof/>
            <w:webHidden/>
          </w:rPr>
          <w:t>77</w:t>
        </w:r>
        <w:r>
          <w:rPr>
            <w:noProof/>
            <w:webHidden/>
          </w:rPr>
          <w:fldChar w:fldCharType="end"/>
        </w:r>
      </w:hyperlink>
    </w:p>
    <w:p w14:paraId="1754A4FB" w14:textId="710A7FD4"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26" w:history="1">
        <w:r w:rsidRPr="000326E6">
          <w:rPr>
            <w:rStyle w:val="Hyperlink"/>
            <w:noProof/>
          </w:rPr>
          <w:t>Figure 19:Hydris probe showing annotated dimensional features relevant to probe-family transport constraints (Heraeus Electro-Nite, 2025b).</w:t>
        </w:r>
        <w:r>
          <w:rPr>
            <w:noProof/>
            <w:webHidden/>
          </w:rPr>
          <w:tab/>
        </w:r>
        <w:r>
          <w:rPr>
            <w:noProof/>
            <w:webHidden/>
          </w:rPr>
          <w:fldChar w:fldCharType="begin"/>
        </w:r>
        <w:r>
          <w:rPr>
            <w:noProof/>
            <w:webHidden/>
          </w:rPr>
          <w:instrText xml:space="preserve"> PAGEREF _Toc234530026 \h </w:instrText>
        </w:r>
        <w:r>
          <w:rPr>
            <w:noProof/>
            <w:webHidden/>
          </w:rPr>
        </w:r>
        <w:r>
          <w:rPr>
            <w:noProof/>
            <w:webHidden/>
          </w:rPr>
          <w:fldChar w:fldCharType="separate"/>
        </w:r>
        <w:r>
          <w:rPr>
            <w:noProof/>
            <w:webHidden/>
          </w:rPr>
          <w:t>78</w:t>
        </w:r>
        <w:r>
          <w:rPr>
            <w:noProof/>
            <w:webHidden/>
          </w:rPr>
          <w:fldChar w:fldCharType="end"/>
        </w:r>
      </w:hyperlink>
    </w:p>
    <w:p w14:paraId="2549FCCA" w14:textId="6260B509"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27" w:history="1">
        <w:r w:rsidRPr="000326E6">
          <w:rPr>
            <w:rStyle w:val="Hyperlink"/>
            <w:noProof/>
          </w:rPr>
          <w:t>Figure 20: LF slag sampler image showing alternative slag-sampling geometry and sample form for downstream/later-stage development comparison (Heraeus Electro-Nite, 2025c).</w:t>
        </w:r>
        <w:r>
          <w:rPr>
            <w:noProof/>
            <w:webHidden/>
          </w:rPr>
          <w:tab/>
        </w:r>
        <w:r>
          <w:rPr>
            <w:noProof/>
            <w:webHidden/>
          </w:rPr>
          <w:fldChar w:fldCharType="begin"/>
        </w:r>
        <w:r>
          <w:rPr>
            <w:noProof/>
            <w:webHidden/>
          </w:rPr>
          <w:instrText xml:space="preserve"> PAGEREF _Toc234530027 \h </w:instrText>
        </w:r>
        <w:r>
          <w:rPr>
            <w:noProof/>
            <w:webHidden/>
          </w:rPr>
        </w:r>
        <w:r>
          <w:rPr>
            <w:noProof/>
            <w:webHidden/>
          </w:rPr>
          <w:fldChar w:fldCharType="separate"/>
        </w:r>
        <w:r>
          <w:rPr>
            <w:noProof/>
            <w:webHidden/>
          </w:rPr>
          <w:t>79</w:t>
        </w:r>
        <w:r>
          <w:rPr>
            <w:noProof/>
            <w:webHidden/>
          </w:rPr>
          <w:fldChar w:fldCharType="end"/>
        </w:r>
      </w:hyperlink>
    </w:p>
    <w:p w14:paraId="22739AED" w14:textId="3D17DCC7"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28" w:history="1">
        <w:r w:rsidRPr="000326E6">
          <w:rPr>
            <w:rStyle w:val="Hyperlink"/>
            <w:noProof/>
          </w:rPr>
          <w:t>Figure 21:PolySAMPLE LF1 component/spares source document showing the project, customer, revision and component list context (Tenova, 2026).</w:t>
        </w:r>
        <w:r>
          <w:rPr>
            <w:noProof/>
            <w:webHidden/>
          </w:rPr>
          <w:tab/>
        </w:r>
        <w:r>
          <w:rPr>
            <w:noProof/>
            <w:webHidden/>
          </w:rPr>
          <w:fldChar w:fldCharType="begin"/>
        </w:r>
        <w:r>
          <w:rPr>
            <w:noProof/>
            <w:webHidden/>
          </w:rPr>
          <w:instrText xml:space="preserve"> PAGEREF _Toc234530028 \h </w:instrText>
        </w:r>
        <w:r>
          <w:rPr>
            <w:noProof/>
            <w:webHidden/>
          </w:rPr>
        </w:r>
        <w:r>
          <w:rPr>
            <w:noProof/>
            <w:webHidden/>
          </w:rPr>
          <w:fldChar w:fldCharType="separate"/>
        </w:r>
        <w:r>
          <w:rPr>
            <w:noProof/>
            <w:webHidden/>
          </w:rPr>
          <w:t>80</w:t>
        </w:r>
        <w:r>
          <w:rPr>
            <w:noProof/>
            <w:webHidden/>
          </w:rPr>
          <w:fldChar w:fldCharType="end"/>
        </w:r>
      </w:hyperlink>
    </w:p>
    <w:p w14:paraId="27F2DE73" w14:textId="480B4782" w:rsidR="00BB5565" w:rsidRDefault="00276EA3">
      <w:pPr>
        <w:pageBreakBefore/>
        <w:spacing w:before="240" w:after="120"/>
        <w:rPr>
          <w:b/>
          <w:color w:val="0070C0"/>
          <w:sz w:val="32"/>
          <w:szCs w:val="32"/>
        </w:rPr>
      </w:pPr>
      <w:r>
        <w:rPr>
          <w:b/>
          <w:color w:val="0070C0"/>
          <w:sz w:val="32"/>
          <w:szCs w:val="32"/>
        </w:rPr>
        <w:lastRenderedPageBreak/>
        <w:fldChar w:fldCharType="end"/>
      </w:r>
      <w:r w:rsidR="00A8070F">
        <w:rPr>
          <w:b/>
          <w:color w:val="0070C0"/>
          <w:sz w:val="32"/>
          <w:szCs w:val="32"/>
        </w:rPr>
        <w:t>Table of Tables</w:t>
      </w:r>
    </w:p>
    <w:p w14:paraId="3331DEF9" w14:textId="71EA9A08"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sz w:val="32"/>
          <w:szCs w:val="32"/>
        </w:rPr>
        <w:fldChar w:fldCharType="begin"/>
      </w:r>
      <w:r>
        <w:rPr>
          <w:sz w:val="32"/>
          <w:szCs w:val="32"/>
        </w:rPr>
        <w:instrText xml:space="preserve"> TOC \h \z \c "Table" </w:instrText>
      </w:r>
      <w:r>
        <w:rPr>
          <w:sz w:val="32"/>
          <w:szCs w:val="32"/>
        </w:rPr>
        <w:fldChar w:fldCharType="separate"/>
      </w:r>
      <w:hyperlink w:anchor="_Toc234530029" w:history="1">
        <w:r w:rsidRPr="00111820">
          <w:rPr>
            <w:rStyle w:val="Hyperlink"/>
            <w:noProof/>
          </w:rPr>
          <w:t>Table 1: Project objectives and evidence route</w:t>
        </w:r>
        <w:r>
          <w:rPr>
            <w:noProof/>
            <w:webHidden/>
          </w:rPr>
          <w:tab/>
        </w:r>
        <w:r>
          <w:rPr>
            <w:noProof/>
            <w:webHidden/>
          </w:rPr>
          <w:fldChar w:fldCharType="begin"/>
        </w:r>
        <w:r>
          <w:rPr>
            <w:noProof/>
            <w:webHidden/>
          </w:rPr>
          <w:instrText xml:space="preserve"> PAGEREF _Toc234530029 \h </w:instrText>
        </w:r>
        <w:r>
          <w:rPr>
            <w:noProof/>
            <w:webHidden/>
          </w:rPr>
        </w:r>
        <w:r>
          <w:rPr>
            <w:noProof/>
            <w:webHidden/>
          </w:rPr>
          <w:fldChar w:fldCharType="separate"/>
        </w:r>
        <w:r>
          <w:rPr>
            <w:noProof/>
            <w:webHidden/>
          </w:rPr>
          <w:t>13</w:t>
        </w:r>
        <w:r>
          <w:rPr>
            <w:noProof/>
            <w:webHidden/>
          </w:rPr>
          <w:fldChar w:fldCharType="end"/>
        </w:r>
      </w:hyperlink>
    </w:p>
    <w:p w14:paraId="1B43B314" w14:textId="12D0ACF5"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30" w:history="1">
        <w:r w:rsidRPr="00111820">
          <w:rPr>
            <w:rStyle w:val="Hyperlink"/>
            <w:noProof/>
          </w:rPr>
          <w:t>Table 2:Main industrial source data used</w:t>
        </w:r>
        <w:r>
          <w:rPr>
            <w:noProof/>
            <w:webHidden/>
          </w:rPr>
          <w:tab/>
        </w:r>
        <w:r>
          <w:rPr>
            <w:noProof/>
            <w:webHidden/>
          </w:rPr>
          <w:fldChar w:fldCharType="begin"/>
        </w:r>
        <w:r>
          <w:rPr>
            <w:noProof/>
            <w:webHidden/>
          </w:rPr>
          <w:instrText xml:space="preserve"> PAGEREF _Toc234530030 \h </w:instrText>
        </w:r>
        <w:r>
          <w:rPr>
            <w:noProof/>
            <w:webHidden/>
          </w:rPr>
        </w:r>
        <w:r>
          <w:rPr>
            <w:noProof/>
            <w:webHidden/>
          </w:rPr>
          <w:fldChar w:fldCharType="separate"/>
        </w:r>
        <w:r>
          <w:rPr>
            <w:noProof/>
            <w:webHidden/>
          </w:rPr>
          <w:t>22</w:t>
        </w:r>
        <w:r>
          <w:rPr>
            <w:noProof/>
            <w:webHidden/>
          </w:rPr>
          <w:fldChar w:fldCharType="end"/>
        </w:r>
      </w:hyperlink>
    </w:p>
    <w:p w14:paraId="0F39C339" w14:textId="7C149DAB"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31" w:history="1">
        <w:r w:rsidRPr="00111820">
          <w:rPr>
            <w:rStyle w:val="Hyperlink"/>
            <w:noProof/>
          </w:rPr>
          <w:t>Table 3: Evaluation criteria and weighting</w:t>
        </w:r>
        <w:r>
          <w:rPr>
            <w:noProof/>
            <w:webHidden/>
          </w:rPr>
          <w:tab/>
        </w:r>
        <w:r>
          <w:rPr>
            <w:noProof/>
            <w:webHidden/>
          </w:rPr>
          <w:fldChar w:fldCharType="begin"/>
        </w:r>
        <w:r>
          <w:rPr>
            <w:noProof/>
            <w:webHidden/>
          </w:rPr>
          <w:instrText xml:space="preserve"> PAGEREF _Toc234530031 \h </w:instrText>
        </w:r>
        <w:r>
          <w:rPr>
            <w:noProof/>
            <w:webHidden/>
          </w:rPr>
        </w:r>
        <w:r>
          <w:rPr>
            <w:noProof/>
            <w:webHidden/>
          </w:rPr>
          <w:fldChar w:fldCharType="separate"/>
        </w:r>
        <w:r>
          <w:rPr>
            <w:noProof/>
            <w:webHidden/>
          </w:rPr>
          <w:t>24</w:t>
        </w:r>
        <w:r>
          <w:rPr>
            <w:noProof/>
            <w:webHidden/>
          </w:rPr>
          <w:fldChar w:fldCharType="end"/>
        </w:r>
      </w:hyperlink>
    </w:p>
    <w:p w14:paraId="36031F56" w14:textId="7BBA3E28"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32" w:history="1">
        <w:r w:rsidRPr="00111820">
          <w:rPr>
            <w:rStyle w:val="Hyperlink"/>
            <w:noProof/>
          </w:rPr>
          <w:t>Table 4: Project Plan Summary</w:t>
        </w:r>
        <w:r>
          <w:rPr>
            <w:noProof/>
            <w:webHidden/>
          </w:rPr>
          <w:tab/>
        </w:r>
        <w:r>
          <w:rPr>
            <w:noProof/>
            <w:webHidden/>
          </w:rPr>
          <w:fldChar w:fldCharType="begin"/>
        </w:r>
        <w:r>
          <w:rPr>
            <w:noProof/>
            <w:webHidden/>
          </w:rPr>
          <w:instrText xml:space="preserve"> PAGEREF _Toc234530032 \h </w:instrText>
        </w:r>
        <w:r>
          <w:rPr>
            <w:noProof/>
            <w:webHidden/>
          </w:rPr>
        </w:r>
        <w:r>
          <w:rPr>
            <w:noProof/>
            <w:webHidden/>
          </w:rPr>
          <w:fldChar w:fldCharType="separate"/>
        </w:r>
        <w:r>
          <w:rPr>
            <w:noProof/>
            <w:webHidden/>
          </w:rPr>
          <w:t>27</w:t>
        </w:r>
        <w:r>
          <w:rPr>
            <w:noProof/>
            <w:webHidden/>
          </w:rPr>
          <w:fldChar w:fldCharType="end"/>
        </w:r>
      </w:hyperlink>
    </w:p>
    <w:p w14:paraId="30D5FC39" w14:textId="28905FCF"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33" w:history="1">
        <w:r w:rsidRPr="00111820">
          <w:rPr>
            <w:rStyle w:val="Hyperlink"/>
            <w:noProof/>
          </w:rPr>
          <w:t>Table 5: Option summary</w:t>
        </w:r>
        <w:r>
          <w:rPr>
            <w:noProof/>
            <w:webHidden/>
          </w:rPr>
          <w:tab/>
        </w:r>
        <w:r>
          <w:rPr>
            <w:noProof/>
            <w:webHidden/>
          </w:rPr>
          <w:fldChar w:fldCharType="begin"/>
        </w:r>
        <w:r>
          <w:rPr>
            <w:noProof/>
            <w:webHidden/>
          </w:rPr>
          <w:instrText xml:space="preserve"> PAGEREF _Toc234530033 \h </w:instrText>
        </w:r>
        <w:r>
          <w:rPr>
            <w:noProof/>
            <w:webHidden/>
          </w:rPr>
        </w:r>
        <w:r>
          <w:rPr>
            <w:noProof/>
            <w:webHidden/>
          </w:rPr>
          <w:fldChar w:fldCharType="separate"/>
        </w:r>
        <w:r>
          <w:rPr>
            <w:noProof/>
            <w:webHidden/>
          </w:rPr>
          <w:t>37</w:t>
        </w:r>
        <w:r>
          <w:rPr>
            <w:noProof/>
            <w:webHidden/>
          </w:rPr>
          <w:fldChar w:fldCharType="end"/>
        </w:r>
      </w:hyperlink>
    </w:p>
    <w:p w14:paraId="1C39EE00" w14:textId="4A9C2D93"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34" w:history="1">
        <w:r w:rsidRPr="00111820">
          <w:rPr>
            <w:rStyle w:val="Hyperlink"/>
            <w:noProof/>
          </w:rPr>
          <w:t>Table 6: Weighted decision matrix</w:t>
        </w:r>
        <w:r>
          <w:rPr>
            <w:noProof/>
            <w:webHidden/>
          </w:rPr>
          <w:tab/>
        </w:r>
        <w:r>
          <w:rPr>
            <w:noProof/>
            <w:webHidden/>
          </w:rPr>
          <w:fldChar w:fldCharType="begin"/>
        </w:r>
        <w:r>
          <w:rPr>
            <w:noProof/>
            <w:webHidden/>
          </w:rPr>
          <w:instrText xml:space="preserve"> PAGEREF _Toc234530034 \h </w:instrText>
        </w:r>
        <w:r>
          <w:rPr>
            <w:noProof/>
            <w:webHidden/>
          </w:rPr>
        </w:r>
        <w:r>
          <w:rPr>
            <w:noProof/>
            <w:webHidden/>
          </w:rPr>
          <w:fldChar w:fldCharType="separate"/>
        </w:r>
        <w:r>
          <w:rPr>
            <w:noProof/>
            <w:webHidden/>
          </w:rPr>
          <w:t>38</w:t>
        </w:r>
        <w:r>
          <w:rPr>
            <w:noProof/>
            <w:webHidden/>
          </w:rPr>
          <w:fldChar w:fldCharType="end"/>
        </w:r>
      </w:hyperlink>
    </w:p>
    <w:p w14:paraId="756C40ED" w14:textId="1B9DF011"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35" w:history="1">
        <w:r w:rsidRPr="00111820">
          <w:rPr>
            <w:rStyle w:val="Hyperlink"/>
            <w:noProof/>
          </w:rPr>
          <w:t>Table 7: Sensitivity of the weighted result to alternative weightings</w:t>
        </w:r>
        <w:r>
          <w:rPr>
            <w:noProof/>
            <w:webHidden/>
          </w:rPr>
          <w:tab/>
        </w:r>
        <w:r>
          <w:rPr>
            <w:noProof/>
            <w:webHidden/>
          </w:rPr>
          <w:fldChar w:fldCharType="begin"/>
        </w:r>
        <w:r>
          <w:rPr>
            <w:noProof/>
            <w:webHidden/>
          </w:rPr>
          <w:instrText xml:space="preserve"> PAGEREF _Toc234530035 \h </w:instrText>
        </w:r>
        <w:r>
          <w:rPr>
            <w:noProof/>
            <w:webHidden/>
          </w:rPr>
        </w:r>
        <w:r>
          <w:rPr>
            <w:noProof/>
            <w:webHidden/>
          </w:rPr>
          <w:fldChar w:fldCharType="separate"/>
        </w:r>
        <w:r>
          <w:rPr>
            <w:noProof/>
            <w:webHidden/>
          </w:rPr>
          <w:t>39</w:t>
        </w:r>
        <w:r>
          <w:rPr>
            <w:noProof/>
            <w:webHidden/>
          </w:rPr>
          <w:fldChar w:fldCharType="end"/>
        </w:r>
      </w:hyperlink>
    </w:p>
    <w:p w14:paraId="5503B683" w14:textId="0BFECE0F"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36" w:history="1">
        <w:r w:rsidRPr="00111820">
          <w:rPr>
            <w:rStyle w:val="Hyperlink"/>
            <w:noProof/>
          </w:rPr>
          <w:t>Table 8: Main hazard comparison</w:t>
        </w:r>
        <w:r>
          <w:rPr>
            <w:noProof/>
            <w:webHidden/>
          </w:rPr>
          <w:tab/>
        </w:r>
        <w:r>
          <w:rPr>
            <w:noProof/>
            <w:webHidden/>
          </w:rPr>
          <w:fldChar w:fldCharType="begin"/>
        </w:r>
        <w:r>
          <w:rPr>
            <w:noProof/>
            <w:webHidden/>
          </w:rPr>
          <w:instrText xml:space="preserve"> PAGEREF _Toc234530036 \h </w:instrText>
        </w:r>
        <w:r>
          <w:rPr>
            <w:noProof/>
            <w:webHidden/>
          </w:rPr>
        </w:r>
        <w:r>
          <w:rPr>
            <w:noProof/>
            <w:webHidden/>
          </w:rPr>
          <w:fldChar w:fldCharType="separate"/>
        </w:r>
        <w:r>
          <w:rPr>
            <w:noProof/>
            <w:webHidden/>
          </w:rPr>
          <w:t>40</w:t>
        </w:r>
        <w:r>
          <w:rPr>
            <w:noProof/>
            <w:webHidden/>
          </w:rPr>
          <w:fldChar w:fldCharType="end"/>
        </w:r>
      </w:hyperlink>
    </w:p>
    <w:p w14:paraId="0A7DA785" w14:textId="64174D9A"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37" w:history="1">
        <w:r w:rsidRPr="00111820">
          <w:rPr>
            <w:rStyle w:val="Hyperlink"/>
            <w:noProof/>
          </w:rPr>
          <w:t>Table 9: Implementation roadmap</w:t>
        </w:r>
        <w:r>
          <w:rPr>
            <w:noProof/>
            <w:webHidden/>
          </w:rPr>
          <w:tab/>
        </w:r>
        <w:r>
          <w:rPr>
            <w:noProof/>
            <w:webHidden/>
          </w:rPr>
          <w:fldChar w:fldCharType="begin"/>
        </w:r>
        <w:r>
          <w:rPr>
            <w:noProof/>
            <w:webHidden/>
          </w:rPr>
          <w:instrText xml:space="preserve"> PAGEREF _Toc234530037 \h </w:instrText>
        </w:r>
        <w:r>
          <w:rPr>
            <w:noProof/>
            <w:webHidden/>
          </w:rPr>
        </w:r>
        <w:r>
          <w:rPr>
            <w:noProof/>
            <w:webHidden/>
          </w:rPr>
          <w:fldChar w:fldCharType="separate"/>
        </w:r>
        <w:r>
          <w:rPr>
            <w:noProof/>
            <w:webHidden/>
          </w:rPr>
          <w:t>50</w:t>
        </w:r>
        <w:r>
          <w:rPr>
            <w:noProof/>
            <w:webHidden/>
          </w:rPr>
          <w:fldChar w:fldCharType="end"/>
        </w:r>
      </w:hyperlink>
    </w:p>
    <w:p w14:paraId="11904A53" w14:textId="0CC37994"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38" w:history="1">
        <w:r w:rsidRPr="00111820">
          <w:rPr>
            <w:rStyle w:val="Hyperlink"/>
            <w:noProof/>
          </w:rPr>
          <w:t>Table 10: Scoring rationale summary</w:t>
        </w:r>
        <w:r>
          <w:rPr>
            <w:noProof/>
            <w:webHidden/>
          </w:rPr>
          <w:tab/>
        </w:r>
        <w:r>
          <w:rPr>
            <w:noProof/>
            <w:webHidden/>
          </w:rPr>
          <w:fldChar w:fldCharType="begin"/>
        </w:r>
        <w:r>
          <w:rPr>
            <w:noProof/>
            <w:webHidden/>
          </w:rPr>
          <w:instrText xml:space="preserve"> PAGEREF _Toc234530038 \h </w:instrText>
        </w:r>
        <w:r>
          <w:rPr>
            <w:noProof/>
            <w:webHidden/>
          </w:rPr>
        </w:r>
        <w:r>
          <w:rPr>
            <w:noProof/>
            <w:webHidden/>
          </w:rPr>
          <w:fldChar w:fldCharType="separate"/>
        </w:r>
        <w:r>
          <w:rPr>
            <w:noProof/>
            <w:webHidden/>
          </w:rPr>
          <w:t>55</w:t>
        </w:r>
        <w:r>
          <w:rPr>
            <w:noProof/>
            <w:webHidden/>
          </w:rPr>
          <w:fldChar w:fldCharType="end"/>
        </w:r>
      </w:hyperlink>
    </w:p>
    <w:p w14:paraId="677FFDAF" w14:textId="41E28F97"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39" w:history="1">
        <w:r w:rsidRPr="00111820">
          <w:rPr>
            <w:rStyle w:val="Hyperlink"/>
            <w:noProof/>
          </w:rPr>
          <w:t>Table 11:Performance metrics</w:t>
        </w:r>
        <w:r>
          <w:rPr>
            <w:noProof/>
            <w:webHidden/>
          </w:rPr>
          <w:tab/>
        </w:r>
        <w:r>
          <w:rPr>
            <w:noProof/>
            <w:webHidden/>
          </w:rPr>
          <w:fldChar w:fldCharType="begin"/>
        </w:r>
        <w:r>
          <w:rPr>
            <w:noProof/>
            <w:webHidden/>
          </w:rPr>
          <w:instrText xml:space="preserve"> PAGEREF _Toc234530039 \h </w:instrText>
        </w:r>
        <w:r>
          <w:rPr>
            <w:noProof/>
            <w:webHidden/>
          </w:rPr>
        </w:r>
        <w:r>
          <w:rPr>
            <w:noProof/>
            <w:webHidden/>
          </w:rPr>
          <w:fldChar w:fldCharType="separate"/>
        </w:r>
        <w:r>
          <w:rPr>
            <w:noProof/>
            <w:webHidden/>
          </w:rPr>
          <w:t>56</w:t>
        </w:r>
        <w:r>
          <w:rPr>
            <w:noProof/>
            <w:webHidden/>
          </w:rPr>
          <w:fldChar w:fldCharType="end"/>
        </w:r>
      </w:hyperlink>
    </w:p>
    <w:p w14:paraId="343410DF" w14:textId="6BA48B70"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40" w:history="1">
        <w:r w:rsidRPr="00111820">
          <w:rPr>
            <w:rStyle w:val="Hyperlink"/>
            <w:noProof/>
          </w:rPr>
          <w:t>Table 12: Evidence traceability matrix</w:t>
        </w:r>
        <w:r>
          <w:rPr>
            <w:noProof/>
            <w:webHidden/>
          </w:rPr>
          <w:tab/>
        </w:r>
        <w:r>
          <w:rPr>
            <w:noProof/>
            <w:webHidden/>
          </w:rPr>
          <w:fldChar w:fldCharType="begin"/>
        </w:r>
        <w:r>
          <w:rPr>
            <w:noProof/>
            <w:webHidden/>
          </w:rPr>
          <w:instrText xml:space="preserve"> PAGEREF _Toc234530040 \h </w:instrText>
        </w:r>
        <w:r>
          <w:rPr>
            <w:noProof/>
            <w:webHidden/>
          </w:rPr>
        </w:r>
        <w:r>
          <w:rPr>
            <w:noProof/>
            <w:webHidden/>
          </w:rPr>
          <w:fldChar w:fldCharType="separate"/>
        </w:r>
        <w:r>
          <w:rPr>
            <w:noProof/>
            <w:webHidden/>
          </w:rPr>
          <w:t>56</w:t>
        </w:r>
        <w:r>
          <w:rPr>
            <w:noProof/>
            <w:webHidden/>
          </w:rPr>
          <w:fldChar w:fldCharType="end"/>
        </w:r>
      </w:hyperlink>
    </w:p>
    <w:p w14:paraId="4C77FCE0" w14:textId="0F5C42CF"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41" w:history="1">
        <w:r w:rsidRPr="00111820">
          <w:rPr>
            <w:rStyle w:val="Hyperlink"/>
            <w:noProof/>
          </w:rPr>
          <w:t>Table 13: Source review log</w:t>
        </w:r>
        <w:r>
          <w:rPr>
            <w:noProof/>
            <w:webHidden/>
          </w:rPr>
          <w:tab/>
        </w:r>
        <w:r>
          <w:rPr>
            <w:noProof/>
            <w:webHidden/>
          </w:rPr>
          <w:fldChar w:fldCharType="begin"/>
        </w:r>
        <w:r>
          <w:rPr>
            <w:noProof/>
            <w:webHidden/>
          </w:rPr>
          <w:instrText xml:space="preserve"> PAGEREF _Toc234530041 \h </w:instrText>
        </w:r>
        <w:r>
          <w:rPr>
            <w:noProof/>
            <w:webHidden/>
          </w:rPr>
        </w:r>
        <w:r>
          <w:rPr>
            <w:noProof/>
            <w:webHidden/>
          </w:rPr>
          <w:fldChar w:fldCharType="separate"/>
        </w:r>
        <w:r>
          <w:rPr>
            <w:noProof/>
            <w:webHidden/>
          </w:rPr>
          <w:t>58</w:t>
        </w:r>
        <w:r>
          <w:rPr>
            <w:noProof/>
            <w:webHidden/>
          </w:rPr>
          <w:fldChar w:fldCharType="end"/>
        </w:r>
      </w:hyperlink>
    </w:p>
    <w:p w14:paraId="322CEA41" w14:textId="63A1B013"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42" w:history="1">
        <w:r w:rsidRPr="00111820">
          <w:rPr>
            <w:rStyle w:val="Hyperlink"/>
            <w:noProof/>
          </w:rPr>
          <w:t>Table 14: Assumptions and validation register</w:t>
        </w:r>
        <w:r>
          <w:rPr>
            <w:noProof/>
            <w:webHidden/>
          </w:rPr>
          <w:tab/>
        </w:r>
        <w:r>
          <w:rPr>
            <w:noProof/>
            <w:webHidden/>
          </w:rPr>
          <w:fldChar w:fldCharType="begin"/>
        </w:r>
        <w:r>
          <w:rPr>
            <w:noProof/>
            <w:webHidden/>
          </w:rPr>
          <w:instrText xml:space="preserve"> PAGEREF _Toc234530042 \h </w:instrText>
        </w:r>
        <w:r>
          <w:rPr>
            <w:noProof/>
            <w:webHidden/>
          </w:rPr>
        </w:r>
        <w:r>
          <w:rPr>
            <w:noProof/>
            <w:webHidden/>
          </w:rPr>
          <w:fldChar w:fldCharType="separate"/>
        </w:r>
        <w:r>
          <w:rPr>
            <w:noProof/>
            <w:webHidden/>
          </w:rPr>
          <w:t>61</w:t>
        </w:r>
        <w:r>
          <w:rPr>
            <w:noProof/>
            <w:webHidden/>
          </w:rPr>
          <w:fldChar w:fldCharType="end"/>
        </w:r>
      </w:hyperlink>
    </w:p>
    <w:p w14:paraId="00238108" w14:textId="311D174E" w:rsidR="00276EA3" w:rsidRDefault="00276EA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4530043" w:history="1">
        <w:r w:rsidRPr="00111820">
          <w:rPr>
            <w:rStyle w:val="Hyperlink"/>
            <w:noProof/>
          </w:rPr>
          <w:t>Table 15: Preliminary validation plan</w:t>
        </w:r>
        <w:r>
          <w:rPr>
            <w:noProof/>
            <w:webHidden/>
          </w:rPr>
          <w:tab/>
        </w:r>
        <w:r>
          <w:rPr>
            <w:noProof/>
            <w:webHidden/>
          </w:rPr>
          <w:fldChar w:fldCharType="begin"/>
        </w:r>
        <w:r>
          <w:rPr>
            <w:noProof/>
            <w:webHidden/>
          </w:rPr>
          <w:instrText xml:space="preserve"> PAGEREF _Toc234530043 \h </w:instrText>
        </w:r>
        <w:r>
          <w:rPr>
            <w:noProof/>
            <w:webHidden/>
          </w:rPr>
        </w:r>
        <w:r>
          <w:rPr>
            <w:noProof/>
            <w:webHidden/>
          </w:rPr>
          <w:fldChar w:fldCharType="separate"/>
        </w:r>
        <w:r>
          <w:rPr>
            <w:noProof/>
            <w:webHidden/>
          </w:rPr>
          <w:t>67</w:t>
        </w:r>
        <w:r>
          <w:rPr>
            <w:noProof/>
            <w:webHidden/>
          </w:rPr>
          <w:fldChar w:fldCharType="end"/>
        </w:r>
      </w:hyperlink>
    </w:p>
    <w:p w14:paraId="539D34ED" w14:textId="6D19B2F8" w:rsidR="00331C44" w:rsidRPr="00331C44" w:rsidRDefault="00276EA3" w:rsidP="00331C44">
      <w:pPr>
        <w:rPr>
          <w:sz w:val="32"/>
          <w:szCs w:val="32"/>
        </w:rPr>
      </w:pPr>
      <w:r>
        <w:rPr>
          <w:sz w:val="32"/>
          <w:szCs w:val="32"/>
        </w:rPr>
        <w:fldChar w:fldCharType="end"/>
      </w:r>
    </w:p>
    <w:p w14:paraId="51044DED" w14:textId="77777777" w:rsidR="00525939" w:rsidRDefault="00DB0D74" w:rsidP="007470CA">
      <w:pPr>
        <w:pStyle w:val="Heading1"/>
        <w:pageBreakBefore/>
        <w:rPr>
          <w:rStyle w:val="Strong"/>
          <w:color w:val="0070C0"/>
        </w:rPr>
      </w:pPr>
      <w:bookmarkStart w:id="11" w:name="_Toc234699509"/>
      <w:r>
        <w:rPr>
          <w:rStyle w:val="Strong"/>
          <w:color w:val="0070C0"/>
        </w:rPr>
        <w:lastRenderedPageBreak/>
        <w:t>Introduction</w:t>
      </w:r>
      <w:bookmarkEnd w:id="11"/>
    </w:p>
    <w:p w14:paraId="2D2E512B" w14:textId="77777777" w:rsidR="00487EE5" w:rsidRDefault="00487EE5" w:rsidP="00487EE5">
      <w:bookmarkStart w:id="12" w:name="_Toc234060389"/>
      <w:r>
        <w:t xml:space="preserve">The transition of Tata Steel UK at Port Talbot from an integrated blast furnace route to electric arc furnace steelmaking is a major industrial, engineering and organisational change, and it amounts to far more than swapping one furnace for another. It changes the raw material base, the process-control philosophy, the hazards facing operators and maintainers, and the way metallurgical data must be generated and used. Against that background, sampling becomes a design issue rather than a minor operating task. A </w:t>
      </w:r>
      <w:proofErr w:type="gramStart"/>
      <w:r>
        <w:t>steelworks</w:t>
      </w:r>
      <w:proofErr w:type="gramEnd"/>
      <w:r>
        <w:t xml:space="preserve"> can only control what it can reliably measure, and a highly automated Meltshop cannot be optimised if one of its most important data inputs stays variable, delayed, or dependent on someone standing at the furnace front (Tata Steel, 2025; Tata Steel UK, 2025a; Hay et al., 2021).</w:t>
      </w:r>
    </w:p>
    <w:p w14:paraId="64ECB0D1" w14:textId="77777777" w:rsidR="00487EE5" w:rsidRDefault="00487EE5" w:rsidP="00487EE5">
      <w:r>
        <w:t>This independent project investigates remote hot-metal, liquid-steel and slag sampling methodologies for EAF steelmaking, focused on Project Invictus at Port Talbot. The term “hot metal” is kept in the title because operators use it loosely for any high-temperature metallurgical sample, although in strict EAF terminology the product of interest is liquid steel rather than blast-furnace hot metal. The scope covers steel temperature and chemistry sampling, slag sampling, probe handling, sample transfer to the laboratory, and the engineering decision process needed to select a robust option for a new Meltshop.</w:t>
      </w:r>
    </w:p>
    <w:p w14:paraId="674825BA" w14:textId="77777777" w:rsidR="00487EE5" w:rsidRDefault="00487EE5" w:rsidP="00487EE5">
      <w:r>
        <w:t>The project was developed as an industrially based optioneering study and does not attempt to design a sampling robot from first principles. The EAF equipment is being delivered by specialist OEMs, and the project already operates within fixed layout, platform, furnace, utility and design-freeze constraints. The contribution of this work is instead to define the technical problem clearly, evaluate the available sampling and transport methods, compare their safety and process-control performance, and build a defensible decision framework around the result.</w:t>
      </w:r>
    </w:p>
    <w:p w14:paraId="55DC4EAC" w14:textId="77777777" w:rsidR="00E74D0A" w:rsidRDefault="00E74D0A" w:rsidP="00E74D0A">
      <w:pPr>
        <w:pStyle w:val="Heading2"/>
      </w:pPr>
      <w:bookmarkStart w:id="13" w:name="_Toc234699510"/>
      <w:r>
        <w:t>Industrial Context</w:t>
      </w:r>
      <w:bookmarkEnd w:id="12"/>
      <w:bookmarkEnd w:id="13"/>
    </w:p>
    <w:p w14:paraId="7FC31138" w14:textId="77777777" w:rsidR="00913B67" w:rsidRDefault="00913B67" w:rsidP="00913B67">
      <w:bookmarkStart w:id="14" w:name="_Toc234060390"/>
      <w:r>
        <w:t>EAF steelmaking is central to many decarbonisation strategies because it enables greater use of scrap and can run on lower-carbon electricity. Worldsteel identifies scrap as a vital process input and reports that increased scrap use avoids significant raw-material consumption and carbon emissions compared with primary steelmaking routes (World Steel Association, 2025; World Steel Association, 2021). Tata Steel’s public project information states that the Port Talbot transformation involves a £1.25 billion investment in EAF steelmaking and is expected to cut the site’s carbon dioxide emissions by roughly 90%, or about five million tonnes per year (Tata Steel, 2025; Tata Steel UK, 2025a; Tata Steel UK, 2025b). The programme matters strategically because Port Talbot remains one of the United Kingdom’s principal steelmaking and processing locations.</w:t>
      </w:r>
    </w:p>
    <w:p w14:paraId="79789165" w14:textId="77777777" w:rsidR="00A01586" w:rsidRDefault="00A01586" w:rsidP="00A01586">
      <w:pPr>
        <w:keepNext/>
        <w:jc w:val="center"/>
      </w:pPr>
      <w:r>
        <w:rPr>
          <w:noProof/>
        </w:rPr>
        <w:lastRenderedPageBreak/>
        <w:drawing>
          <wp:inline distT="0" distB="0" distL="0" distR="0" wp14:anchorId="15075B66" wp14:editId="564A10A0">
            <wp:extent cx="5731510" cy="3162935"/>
            <wp:effectExtent l="19050" t="19050" r="21590" b="18415"/>
            <wp:docPr id="256428260" name="Picture 1" descr="A diagram of steel making proces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428260" name="Picture 1" descr="A diagram of steel making process  AI-generated content may be incorrect."/>
                    <pic:cNvPicPr/>
                  </pic:nvPicPr>
                  <pic:blipFill>
                    <a:blip r:embed="rId13"/>
                    <a:stretch>
                      <a:fillRect/>
                    </a:stretch>
                  </pic:blipFill>
                  <pic:spPr>
                    <a:xfrm>
                      <a:off x="0" y="0"/>
                      <a:ext cx="5731510" cy="3162935"/>
                    </a:xfrm>
                    <a:prstGeom prst="rect">
                      <a:avLst/>
                    </a:prstGeom>
                    <a:ln>
                      <a:solidFill>
                        <a:schemeClr val="bg1">
                          <a:lumMod val="85000"/>
                        </a:schemeClr>
                      </a:solidFill>
                    </a:ln>
                  </pic:spPr>
                </pic:pic>
              </a:graphicData>
            </a:graphic>
          </wp:inline>
        </w:drawing>
      </w:r>
    </w:p>
    <w:p w14:paraId="216EB9DE" w14:textId="77777777" w:rsidR="00A01586" w:rsidRDefault="00A01586" w:rsidP="00A01586">
      <w:pPr>
        <w:pStyle w:val="Caption"/>
        <w:jc w:val="center"/>
      </w:pPr>
      <w:bookmarkStart w:id="15" w:name="_Toc234530008"/>
      <w:r>
        <w:t xml:space="preserve">Figure </w:t>
      </w:r>
      <w:fldSimple w:instr=" SEQ Figure \* ARABIC ">
        <w:r>
          <w:rPr>
            <w:noProof/>
          </w:rPr>
          <w:t>1</w:t>
        </w:r>
      </w:fldSimple>
      <w:r>
        <w:t>: Transition from Integrated Blast Furnace Steelmaking to EAF-Based Steelmaking under Project Invictus Tata Steel UK, 2025</w:t>
      </w:r>
      <w:bookmarkEnd w:id="15"/>
    </w:p>
    <w:p w14:paraId="2FDD3BF6" w14:textId="77777777" w:rsidR="00913B67" w:rsidRDefault="00913B67" w:rsidP="00913B67">
      <w:r>
        <w:t>The technical implications are just as significant as the strategic ones. Integrated steelmaking involves blast furnaces, coke ovens, ironmaking and basic oxygen steelmaking. An EAF Meltshop is tied much more directly to scrap and metallic charge quality, energy input, chemical additions, oxygen and carbon practice, slag formation, refractory life and furnace turnaround. Process data is therefore needed quickly and consistently. A delayed or poor-quality sample can trigger unnecessary corrective additions, extend power-on time, lower yield, accelerate refractory wear, destabilise slag foaming, or push quality risk downstream. The business value of sampling is consequently linked not only to laboratory analysis but to furnace availability, energy efficiency and product compliance (Karbowniczek, 2021; Hay et al., 2021; Kleimt et al., 2023).</w:t>
      </w:r>
    </w:p>
    <w:p w14:paraId="55521CB0" w14:textId="77777777" w:rsidR="00913B67" w:rsidRDefault="00913B67" w:rsidP="00913B67">
      <w:r>
        <w:t>EAF stability relies on accurate slag chemistry data; manual slag sampling remains operator dependent; and vertical slag sampling creates serious occupational safety and human-factor risks close to heat, radiation, fume and moving equipment (Frey, 2025). Those points provide the industrial rationale for this report. They also explain why the project sits across mechanical engineering, automation, safety engineering and operational metallurgy rather than inside any single discipline.</w:t>
      </w:r>
    </w:p>
    <w:p w14:paraId="4A23815A" w14:textId="77777777" w:rsidR="00C10AB2" w:rsidRDefault="003A43B1" w:rsidP="00C10AB2">
      <w:pPr>
        <w:pStyle w:val="Heading2"/>
      </w:pPr>
      <w:bookmarkStart w:id="16" w:name="_Toc234699511"/>
      <w:r>
        <w:t>Problem Statement</w:t>
      </w:r>
      <w:bookmarkEnd w:id="14"/>
      <w:bookmarkEnd w:id="16"/>
      <w:r>
        <w:t xml:space="preserve"> </w:t>
      </w:r>
    </w:p>
    <w:p w14:paraId="4F26255F" w14:textId="77777777" w:rsidR="0007144C" w:rsidRDefault="00804F8C" w:rsidP="00804F8C">
      <w:bookmarkStart w:id="17" w:name="_Toc234060391"/>
      <w:r>
        <w:t xml:space="preserve">The problem this report addresses is that the Project Invictus EAF needs a sampling strategy that is safe, repeatable, maintainable and integrated enough to support an automated Meltshop. Manual sampling can produce an analytical result, but it puts people </w:t>
      </w:r>
      <w:r>
        <w:lastRenderedPageBreak/>
        <w:t xml:space="preserve">close to the furnace and introduces variability in sample depth, residence time, insertion angle, timing and handling. Robotic steel sampling is commercially available and already appears in the emerging Project Invictus design information (BM Group Polytec, n.d.; Tenova, 2025a). Slag sampling is a different challenge altogether. A slag sample </w:t>
      </w:r>
      <w:proofErr w:type="gramStart"/>
      <w:r>
        <w:t>has to</w:t>
      </w:r>
      <w:proofErr w:type="gramEnd"/>
      <w:r>
        <w:t xml:space="preserve"> represent a chemically heterogeneous, hot, viscous and constantly changing layer. Collected manually through a slag door or by vertical immersion, the task exposes people to radiant heat, splash, fume, poor visibility and ergonomic strain. Automated, the system </w:t>
      </w:r>
      <w:proofErr w:type="gramStart"/>
      <w:r>
        <w:t>has to</w:t>
      </w:r>
      <w:proofErr w:type="gramEnd"/>
      <w:r>
        <w:t xml:space="preserve"> survive an aggressive environment, avoid collisions with furnace equipment, preserve sample integrity and mesh with the laboratory workflow.</w:t>
      </w:r>
    </w:p>
    <w:p w14:paraId="057498E3" w14:textId="77777777" w:rsidR="00B12516" w:rsidRDefault="0007144C" w:rsidP="00B12516">
      <w:pPr>
        <w:keepNext/>
        <w:jc w:val="center"/>
      </w:pPr>
      <w:r>
        <w:rPr>
          <w:noProof/>
        </w:rPr>
        <w:drawing>
          <wp:inline distT="0" distB="0" distL="0" distR="0" wp14:anchorId="726CA948" wp14:editId="4DA72338">
            <wp:extent cx="5731510" cy="3235325"/>
            <wp:effectExtent l="0" t="0" r="2540" b="3175"/>
            <wp:docPr id="913933150" name="Picture 1" descr="A screenshot of a video game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33150" name="Picture 1" descr="A screenshot of a video game  AI-generated content may be incorrect."/>
                    <pic:cNvPicPr/>
                  </pic:nvPicPr>
                  <pic:blipFill>
                    <a:blip r:embed="rId14"/>
                    <a:stretch>
                      <a:fillRect/>
                    </a:stretch>
                  </pic:blipFill>
                  <pic:spPr>
                    <a:xfrm>
                      <a:off x="0" y="0"/>
                      <a:ext cx="5731510" cy="3235325"/>
                    </a:xfrm>
                    <a:prstGeom prst="rect">
                      <a:avLst/>
                    </a:prstGeom>
                  </pic:spPr>
                </pic:pic>
              </a:graphicData>
            </a:graphic>
          </wp:inline>
        </w:drawing>
      </w:r>
    </w:p>
    <w:p w14:paraId="6519FB1A" w14:textId="77777777" w:rsidR="0007144C" w:rsidRDefault="00B12516" w:rsidP="00B12516">
      <w:pPr>
        <w:pStyle w:val="Caption"/>
        <w:jc w:val="center"/>
      </w:pPr>
      <w:bookmarkStart w:id="18" w:name="_Toc234530009"/>
      <w:r>
        <w:t xml:space="preserve">Figure </w:t>
      </w:r>
      <w:fldSimple w:instr=" SEQ Figure \* ARABIC ">
        <w:r>
          <w:rPr>
            <w:noProof/>
          </w:rPr>
          <w:t>2</w:t>
        </w:r>
      </w:fldSimple>
      <w:r>
        <w:t>: Electric Arc Furnace (EAF) slag door arrangement, showing the controlled slagging interface used to manage slag removal during furnace operation Tenova, 2025.</w:t>
      </w:r>
      <w:bookmarkEnd w:id="18"/>
    </w:p>
    <w:p w14:paraId="30C30EF4" w14:textId="77777777" w:rsidR="00804F8C" w:rsidRDefault="00804F8C" w:rsidP="00804F8C">
      <w:r>
        <w:t>The design question is therefore not simply whether automation is desirable. It is which technologies should be adopted now, which should be developed further, and which should be rejected or deferred because the technical uncertainty is too high for a safety-critical production installation. The distinction matters in both directions: over-automating an immature task creates new failure modes, while under-automating leaves a new high-technology plant depending on legacy manual practice.</w:t>
      </w:r>
    </w:p>
    <w:p w14:paraId="46217FCE" w14:textId="77777777" w:rsidR="003A43B1" w:rsidRPr="003A43B1" w:rsidRDefault="00D17FBC" w:rsidP="00D17FBC">
      <w:pPr>
        <w:pStyle w:val="Heading2"/>
      </w:pPr>
      <w:bookmarkStart w:id="19" w:name="_Toc234699512"/>
      <w:r>
        <w:t>Aims and objectives</w:t>
      </w:r>
      <w:bookmarkEnd w:id="17"/>
      <w:bookmarkEnd w:id="19"/>
    </w:p>
    <w:p w14:paraId="0E30E186" w14:textId="77777777" w:rsidR="009E7338" w:rsidRDefault="009E7338" w:rsidP="009E7338">
      <w:r>
        <w:t>The aim of this project is to evaluate remote and automated sampling options for liquid-steel and slag sampling in Project Invictus EAF steelmaking, and to recommend a preferred strategy that improves safety, sampling repeatability and process-control capability while remaining realistic within the available engineering envelope.</w:t>
      </w:r>
    </w:p>
    <w:p w14:paraId="04488370" w14:textId="77777777" w:rsidR="009E7338" w:rsidRDefault="009E7338" w:rsidP="009E7338">
      <w:r>
        <w:lastRenderedPageBreak/>
        <w:t>The objectives are to: evaluate current manual and automated sampling practices relevant to EAF steelmaking; review the literature on EAF process control, slag chemistry, sampling reliability, robotics and human factors; identify the safety, machinery and compliance requirements that influence system selection; assess Project Invictus source data including robot layout, probe geometry, utility requirements and sample transport assumptions; develop a weighted optioneering method and test its sensitivity; compare technically plausible sampling and transport options; and propose an implementation strategy with defined validation requirements.</w:t>
      </w:r>
    </w:p>
    <w:p w14:paraId="6CE7042D" w14:textId="77777777" w:rsidR="00CE3E6A" w:rsidRDefault="00CE3E6A" w:rsidP="00CE3E6A">
      <w:pPr>
        <w:pStyle w:val="Caption"/>
        <w:keepNext/>
        <w:jc w:val="center"/>
      </w:pPr>
      <w:bookmarkStart w:id="20" w:name="_Toc234049062"/>
      <w:bookmarkStart w:id="21" w:name="_Toc234060451"/>
      <w:bookmarkStart w:id="22" w:name="_Toc234060461"/>
      <w:bookmarkStart w:id="23" w:name="_Toc234530029"/>
      <w:bookmarkEnd w:id="20"/>
      <w:bookmarkEnd w:id="21"/>
      <w:bookmarkEnd w:id="22"/>
      <w:r>
        <w:t xml:space="preserve">Table </w:t>
      </w:r>
      <w:fldSimple w:instr=" SEQ Table \* ARABIC ">
        <w:r>
          <w:rPr>
            <w:noProof/>
          </w:rPr>
          <w:t>1</w:t>
        </w:r>
      </w:fldSimple>
      <w:r>
        <w:t>: Project objectives and evidence route</w:t>
      </w:r>
      <w:bookmarkEnd w:id="23"/>
    </w:p>
    <w:tbl>
      <w:tblPr>
        <w:tblStyle w:val="TableGrid"/>
        <w:tblW w:w="0" w:type="auto"/>
        <w:jc w:val="center"/>
        <w:tblLook w:val="04A0" w:firstRow="1" w:lastRow="0" w:firstColumn="1" w:lastColumn="0" w:noHBand="0" w:noVBand="1"/>
      </w:tblPr>
      <w:tblGrid>
        <w:gridCol w:w="3384"/>
        <w:gridCol w:w="5632"/>
      </w:tblGrid>
      <w:tr w:rsidR="006A3CC4" w14:paraId="2DA8C2F2" w14:textId="77777777" w:rsidTr="006A3CC4">
        <w:trPr>
          <w:jc w:val="center"/>
        </w:trPr>
        <w:tc>
          <w:tcPr>
            <w:tcW w:w="3402" w:type="dxa"/>
            <w:shd w:val="clear" w:color="auto" w:fill="D9D9D9" w:themeFill="background1" w:themeFillShade="D9"/>
            <w:vAlign w:val="center"/>
          </w:tcPr>
          <w:p w14:paraId="75981DCB" w14:textId="77777777" w:rsidR="006A3CC4" w:rsidRPr="006A3CC4" w:rsidRDefault="006A3CC4" w:rsidP="006A3CC4">
            <w:pPr>
              <w:jc w:val="center"/>
              <w:rPr>
                <w:b/>
                <w:bCs/>
              </w:rPr>
            </w:pPr>
            <w:r>
              <w:rPr>
                <w:b/>
                <w:bCs/>
              </w:rPr>
              <w:t>Objective</w:t>
            </w:r>
          </w:p>
        </w:tc>
        <w:tc>
          <w:tcPr>
            <w:tcW w:w="5669" w:type="dxa"/>
            <w:shd w:val="clear" w:color="auto" w:fill="D9D9D9" w:themeFill="background1" w:themeFillShade="D9"/>
            <w:vAlign w:val="center"/>
          </w:tcPr>
          <w:p w14:paraId="67BBE0B7" w14:textId="77777777" w:rsidR="006A3CC4" w:rsidRPr="006A3CC4" w:rsidRDefault="006A3CC4" w:rsidP="006A3CC4">
            <w:pPr>
              <w:jc w:val="center"/>
              <w:rPr>
                <w:b/>
                <w:bCs/>
              </w:rPr>
            </w:pPr>
            <w:r>
              <w:rPr>
                <w:b/>
                <w:bCs/>
              </w:rPr>
              <w:t>Evidence route used in the report</w:t>
            </w:r>
          </w:p>
        </w:tc>
      </w:tr>
      <w:tr w:rsidR="006A3CC4" w14:paraId="55DE38A8" w14:textId="77777777" w:rsidTr="00354319">
        <w:trPr>
          <w:jc w:val="center"/>
        </w:trPr>
        <w:tc>
          <w:tcPr>
            <w:tcW w:w="3402" w:type="dxa"/>
          </w:tcPr>
          <w:p w14:paraId="3E4B780F" w14:textId="77777777" w:rsidR="006A3CC4" w:rsidRDefault="006A3CC4" w:rsidP="00354319">
            <w:r>
              <w:t>Evaluate sampling practices</w:t>
            </w:r>
          </w:p>
        </w:tc>
        <w:tc>
          <w:tcPr>
            <w:tcW w:w="5669" w:type="dxa"/>
          </w:tcPr>
          <w:p w14:paraId="7049AF7D" w14:textId="77777777" w:rsidR="006A3CC4" w:rsidRDefault="006A3CC4" w:rsidP="00354319">
            <w:r>
              <w:t>Literature review, manual baseline assessment and comparison with robotic sampling functions.</w:t>
            </w:r>
          </w:p>
        </w:tc>
      </w:tr>
      <w:tr w:rsidR="006A3CC4" w14:paraId="11FEA142" w14:textId="77777777" w:rsidTr="00354319">
        <w:trPr>
          <w:jc w:val="center"/>
        </w:trPr>
        <w:tc>
          <w:tcPr>
            <w:tcW w:w="3402" w:type="dxa"/>
          </w:tcPr>
          <w:p w14:paraId="49307499" w14:textId="77777777" w:rsidR="006A3CC4" w:rsidRDefault="006A3CC4" w:rsidP="00354319">
            <w:r>
              <w:t>Identify compliance requirements</w:t>
            </w:r>
          </w:p>
        </w:tc>
        <w:tc>
          <w:tcPr>
            <w:tcW w:w="5669" w:type="dxa"/>
          </w:tcPr>
          <w:p w14:paraId="62F5FD2D" w14:textId="77777777" w:rsidR="006A3CC4" w:rsidRDefault="006A3CC4" w:rsidP="00354319">
            <w:r>
              <w:t>Review of machinery safety, hierarchy of control, functional safety, ergonomics and occupational safety requirements.</w:t>
            </w:r>
          </w:p>
        </w:tc>
      </w:tr>
      <w:tr w:rsidR="006A3CC4" w14:paraId="43395866" w14:textId="77777777" w:rsidTr="00354319">
        <w:trPr>
          <w:jc w:val="center"/>
        </w:trPr>
        <w:tc>
          <w:tcPr>
            <w:tcW w:w="3402" w:type="dxa"/>
          </w:tcPr>
          <w:p w14:paraId="707D28C1" w14:textId="77777777" w:rsidR="006A3CC4" w:rsidRDefault="006A3CC4" w:rsidP="00354319">
            <w:r>
              <w:t>Assess engineering feasibility</w:t>
            </w:r>
          </w:p>
        </w:tc>
        <w:tc>
          <w:tcPr>
            <w:tcW w:w="5669" w:type="dxa"/>
          </w:tcPr>
          <w:p w14:paraId="0C9174C5" w14:textId="77777777" w:rsidR="006A3CC4" w:rsidRDefault="006A3CC4" w:rsidP="00354319">
            <w:r>
              <w:t>Review of EAF robot drawings, probe drawings, sample transport correspondence and utility constraints.</w:t>
            </w:r>
          </w:p>
        </w:tc>
      </w:tr>
      <w:tr w:rsidR="006A3CC4" w14:paraId="5E92383E" w14:textId="77777777" w:rsidTr="00354319">
        <w:trPr>
          <w:jc w:val="center"/>
        </w:trPr>
        <w:tc>
          <w:tcPr>
            <w:tcW w:w="3402" w:type="dxa"/>
          </w:tcPr>
          <w:p w14:paraId="0A0108B1" w14:textId="77777777" w:rsidR="006A3CC4" w:rsidRDefault="006A3CC4" w:rsidP="00354319">
            <w:r>
              <w:t>Assess safety and human factors</w:t>
            </w:r>
          </w:p>
        </w:tc>
        <w:tc>
          <w:tcPr>
            <w:tcW w:w="5669" w:type="dxa"/>
          </w:tcPr>
          <w:p w14:paraId="64B7144A" w14:textId="77777777" w:rsidR="006A3CC4" w:rsidRDefault="006A3CC4" w:rsidP="00354319">
            <w:r>
              <w:t>Task-based hazard comparison, exposure assessment and hierarchy-of-control analysis.</w:t>
            </w:r>
          </w:p>
        </w:tc>
      </w:tr>
      <w:tr w:rsidR="006A3CC4" w14:paraId="23B684BF" w14:textId="77777777" w:rsidTr="00354319">
        <w:trPr>
          <w:jc w:val="center"/>
        </w:trPr>
        <w:tc>
          <w:tcPr>
            <w:tcW w:w="3402" w:type="dxa"/>
          </w:tcPr>
          <w:p w14:paraId="2A8488CD" w14:textId="77777777" w:rsidR="006A3CC4" w:rsidRDefault="006A3CC4" w:rsidP="00354319">
            <w:r>
              <w:t>Develop decision framework</w:t>
            </w:r>
          </w:p>
        </w:tc>
        <w:tc>
          <w:tcPr>
            <w:tcW w:w="5669" w:type="dxa"/>
          </w:tcPr>
          <w:p w14:paraId="3980F7FD" w14:textId="77777777" w:rsidR="006A3CC4" w:rsidRDefault="006A3CC4" w:rsidP="00354319">
            <w:r>
              <w:t>Weighted scoring matrix, sensitivity review and staged implementation recommendation.</w:t>
            </w:r>
          </w:p>
        </w:tc>
      </w:tr>
    </w:tbl>
    <w:p w14:paraId="2C0F5314" w14:textId="77777777" w:rsidR="0042211C" w:rsidRDefault="0042211C" w:rsidP="00726234">
      <w:pPr>
        <w:spacing w:after="120"/>
      </w:pPr>
    </w:p>
    <w:p w14:paraId="62F2E8E0" w14:textId="77777777" w:rsidR="00E74D0A" w:rsidRPr="00E74D0A" w:rsidRDefault="00726234" w:rsidP="00726234">
      <w:pPr>
        <w:pStyle w:val="Heading2"/>
      </w:pPr>
      <w:bookmarkStart w:id="24" w:name="_Toc234060392"/>
      <w:bookmarkStart w:id="25" w:name="_Toc234699513"/>
      <w:r>
        <w:t>Scope and author role</w:t>
      </w:r>
      <w:bookmarkEnd w:id="24"/>
      <w:bookmarkEnd w:id="25"/>
      <w:r>
        <w:t xml:space="preserve"> </w:t>
      </w:r>
    </w:p>
    <w:p w14:paraId="1BDCC593" w14:textId="77777777" w:rsidR="007931C2" w:rsidRPr="00E41C21" w:rsidRDefault="007931C2" w:rsidP="007931C2">
      <w:pPr>
        <w:rPr>
          <w:rFonts w:ascii="Times New Roman" w:hAnsi="Times New Roman"/>
        </w:rPr>
      </w:pPr>
      <w:bookmarkStart w:id="26" w:name="_Toc234060393"/>
      <w:r>
        <w:t>The project is limited to the concept and optioneering stage. It considers liquid-steel temperature measurement and sampling, slag sampling, probe handling, sample transfer, and the assumptions around laboratory interface requirements. It does not include detailed robot programming, final CE/UKCA conformity assessment, detailed structural design, procurement specification, commercial tender evaluation, or commissioning procedure development.</w:t>
      </w:r>
      <w:r>
        <w:rPr>
          <w:rFonts w:ascii="Times New Roman" w:hAnsi="Times New Roman"/>
        </w:rPr>
        <w:t xml:space="preserve"> </w:t>
      </w:r>
      <w:r>
        <w:t>The PolySAMPLE EAF robot and the Telelift transport system were not designed as part of this project. These are specialist OEM systems. The project role was to act as an engineering evaluation study, using available project drawings, supplier information, correspondence and published literature to identify constraints, compare options and make a reasoned recommendation.</w:t>
      </w:r>
    </w:p>
    <w:p w14:paraId="7F9456F7" w14:textId="77777777" w:rsidR="007931C2" w:rsidRDefault="007931C2" w:rsidP="007931C2">
      <w:r>
        <w:lastRenderedPageBreak/>
        <w:t>This distinction is important because the report uses industrial source material produced by suppliers and project teams. However, the interpretation of that material, the comparison of options, the safety and feasibility assessment, and the final recommendation were developed as part of this project.</w:t>
      </w:r>
    </w:p>
    <w:p w14:paraId="78D93544" w14:textId="77777777" w:rsidR="003569E9" w:rsidRDefault="003569E9" w:rsidP="007931C2"/>
    <w:p w14:paraId="3FDD755A" w14:textId="77777777" w:rsidR="003569E9" w:rsidRDefault="003569E9" w:rsidP="007931C2"/>
    <w:p w14:paraId="2DEBDD15" w14:textId="77777777" w:rsidR="003569E9" w:rsidRDefault="003569E9" w:rsidP="007931C2"/>
    <w:p w14:paraId="4C8D2ADF" w14:textId="77777777" w:rsidR="003569E9" w:rsidRDefault="003569E9" w:rsidP="007931C2"/>
    <w:p w14:paraId="5EB28859" w14:textId="77777777" w:rsidR="003569E9" w:rsidRDefault="003569E9" w:rsidP="007931C2"/>
    <w:p w14:paraId="0225A849" w14:textId="77777777" w:rsidR="003569E9" w:rsidRDefault="003569E9" w:rsidP="007931C2"/>
    <w:p w14:paraId="79B5A5D9" w14:textId="77777777" w:rsidR="003569E9" w:rsidRDefault="003569E9" w:rsidP="007931C2"/>
    <w:p w14:paraId="48A871EA" w14:textId="77777777" w:rsidR="003569E9" w:rsidRDefault="003569E9" w:rsidP="007931C2"/>
    <w:p w14:paraId="012706FD" w14:textId="77777777" w:rsidR="003569E9" w:rsidRDefault="003569E9" w:rsidP="007931C2"/>
    <w:p w14:paraId="5143B761" w14:textId="77777777" w:rsidR="003569E9" w:rsidRDefault="003569E9" w:rsidP="007931C2"/>
    <w:p w14:paraId="2DDEE92B" w14:textId="77777777" w:rsidR="003569E9" w:rsidRDefault="003569E9" w:rsidP="007931C2"/>
    <w:p w14:paraId="5BA3EF43" w14:textId="77777777" w:rsidR="003569E9" w:rsidRDefault="003569E9" w:rsidP="007931C2"/>
    <w:p w14:paraId="3B1EB29C" w14:textId="77777777" w:rsidR="003569E9" w:rsidRDefault="003569E9" w:rsidP="007931C2"/>
    <w:p w14:paraId="23B6D946" w14:textId="77777777" w:rsidR="003569E9" w:rsidRDefault="003569E9" w:rsidP="007931C2"/>
    <w:p w14:paraId="38BA1AA9" w14:textId="77777777" w:rsidR="003569E9" w:rsidRDefault="003569E9" w:rsidP="007931C2"/>
    <w:p w14:paraId="569DA321" w14:textId="77777777" w:rsidR="003569E9" w:rsidRDefault="003569E9" w:rsidP="007931C2"/>
    <w:p w14:paraId="78880BBE" w14:textId="77777777" w:rsidR="003569E9" w:rsidRDefault="003569E9" w:rsidP="007931C2"/>
    <w:p w14:paraId="1637614D" w14:textId="77777777" w:rsidR="003569E9" w:rsidRDefault="003569E9" w:rsidP="007931C2"/>
    <w:p w14:paraId="659C8264" w14:textId="77777777" w:rsidR="003569E9" w:rsidRDefault="003569E9" w:rsidP="007931C2"/>
    <w:p w14:paraId="404311BE" w14:textId="77777777" w:rsidR="003569E9" w:rsidRDefault="003569E9" w:rsidP="007931C2"/>
    <w:p w14:paraId="680C7093" w14:textId="77777777" w:rsidR="0030533A" w:rsidRDefault="006A3CC4" w:rsidP="0030533A">
      <w:pPr>
        <w:pStyle w:val="Heading1"/>
        <w:rPr>
          <w:b/>
          <w:bCs/>
          <w:color w:val="0070C0"/>
        </w:rPr>
      </w:pPr>
      <w:bookmarkStart w:id="27" w:name="_Toc234699514"/>
      <w:r>
        <w:rPr>
          <w:b/>
          <w:bCs/>
          <w:color w:val="0070C0"/>
        </w:rPr>
        <w:lastRenderedPageBreak/>
        <w:t>Literature Review</w:t>
      </w:r>
      <w:bookmarkEnd w:id="26"/>
      <w:bookmarkEnd w:id="27"/>
    </w:p>
    <w:p w14:paraId="4047AD57" w14:textId="77777777" w:rsidR="001C33D3" w:rsidRDefault="0030533A" w:rsidP="0030533A">
      <w:pPr>
        <w:pStyle w:val="Heading2"/>
      </w:pPr>
      <w:bookmarkStart w:id="28" w:name="_Toc234060394"/>
      <w:bookmarkStart w:id="29" w:name="_Toc234699515"/>
      <w:r>
        <w:t>EAF steelmaking and the need for reliable metallurgical data</w:t>
      </w:r>
      <w:bookmarkEnd w:id="28"/>
      <w:bookmarkEnd w:id="29"/>
      <w:r>
        <w:t xml:space="preserve">  </w:t>
      </w:r>
    </w:p>
    <w:p w14:paraId="18D1B8B3" w14:textId="77777777" w:rsidR="00FE1107" w:rsidRDefault="00FE1107" w:rsidP="00FE1107">
      <w:r>
        <w:t>Electric arc furnace steelmaking uses electrical energy to melt scrap and other metallic charge. The process is flexible and can achieve lower direct carbon emissions than blast furnace ironmaking when scrap and lower-carbon electricity are available (Karbowniczek, 2021; World Steel Association, 2025). Worldsteel stresses the role of scrap in reducing iron ore, coal and limestone demand, and reports that every tonne of scrap used avoids substantial resource consumption and emissions compared with primary production (World Steel Association, 2025; World Steel Association, 2021). This sustainability context is why EAF technology sits at the heart of Project Invictus, but it also brings new process-control problems: scrap composition varies, residual elements accumulate, and furnace operation depends on rapid decisions about energy, oxygen, carbon, lime, fluxes and alloy additions.</w:t>
      </w:r>
    </w:p>
    <w:p w14:paraId="40A7798D" w14:textId="77777777" w:rsidR="00081187" w:rsidRDefault="00CD75DF" w:rsidP="00081187">
      <w:pPr>
        <w:keepNext/>
      </w:pPr>
      <w:r>
        <w:rPr>
          <w:noProof/>
        </w:rPr>
        <w:drawing>
          <wp:inline distT="0" distB="0" distL="0" distR="0" wp14:anchorId="1FFF031F" wp14:editId="152785B2">
            <wp:extent cx="5731510" cy="2718435"/>
            <wp:effectExtent l="19050" t="19050" r="21590" b="24765"/>
            <wp:docPr id="1395102800" name="Picture 1" descr="A graph of different colored bar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102800" name="Picture 1" descr="A graph of different colored bars  AI-generated content may be incorrect."/>
                    <pic:cNvPicPr/>
                  </pic:nvPicPr>
                  <pic:blipFill>
                    <a:blip r:embed="rId15"/>
                    <a:stretch>
                      <a:fillRect/>
                    </a:stretch>
                  </pic:blipFill>
                  <pic:spPr>
                    <a:xfrm>
                      <a:off x="0" y="0"/>
                      <a:ext cx="5731510" cy="2718435"/>
                    </a:xfrm>
                    <a:prstGeom prst="rect">
                      <a:avLst/>
                    </a:prstGeom>
                    <a:ln>
                      <a:solidFill>
                        <a:schemeClr val="bg1">
                          <a:lumMod val="85000"/>
                        </a:schemeClr>
                      </a:solidFill>
                    </a:ln>
                  </pic:spPr>
                </pic:pic>
              </a:graphicData>
            </a:graphic>
          </wp:inline>
        </w:drawing>
      </w:r>
    </w:p>
    <w:p w14:paraId="73EEFDD8" w14:textId="77777777" w:rsidR="004B0AE5" w:rsidRDefault="00081187" w:rsidP="00081187">
      <w:pPr>
        <w:pStyle w:val="Caption"/>
        <w:jc w:val="center"/>
      </w:pPr>
      <w:bookmarkStart w:id="30" w:name="_Toc234530010"/>
      <w:r>
        <w:t xml:space="preserve">Figure </w:t>
      </w:r>
      <w:fldSimple w:instr=" SEQ Figure \* ARABIC ">
        <w:r>
          <w:rPr>
            <w:noProof/>
          </w:rPr>
          <w:t>3</w:t>
        </w:r>
      </w:fldSimple>
      <w:r>
        <w:t>: Life cycle of carbon emissions from steel production (Lee et al., 2025)</w:t>
      </w:r>
      <w:bookmarkEnd w:id="30"/>
    </w:p>
    <w:p w14:paraId="328D4FB1" w14:textId="77777777" w:rsidR="00FE1107" w:rsidRDefault="00FE1107" w:rsidP="00FE1107">
      <w:r>
        <w:t xml:space="preserve">The metallurgical purpose of sampling is to reduce that uncertainty. Operators and process models need to understand both the metal and the slag. Metal samples inform carbon, phosphorus, sulphur and alloy control; temperature measurements inform tapping decisions and downstream ladle furnace practice; slag samples inform basicity, FeO, MgO saturation, dephosphorisation potential, refractory interaction and foaming behaviour. The National Academies of Sciences, Engineering, and Medicine </w:t>
      </w:r>
      <w:proofErr w:type="gramStart"/>
      <w:r>
        <w:t>describes</w:t>
      </w:r>
      <w:proofErr w:type="gramEnd"/>
      <w:r>
        <w:t xml:space="preserve"> EAF slag as a multicomponent liquid oxide phase floating above the steel, with plants controlling slag chemistry and volume to maintain liquidity, refractory compatibility and oxidation control (National Academies of Sciences, Engineering, and Medicine, 2023). The practical point is </w:t>
      </w:r>
      <w:r>
        <w:lastRenderedPageBreak/>
        <w:t>timing: a correct sample that arrives too late has limited control value (Kirschen, 2021; Kleimt et al., 2023).</w:t>
      </w:r>
    </w:p>
    <w:p w14:paraId="7236F551" w14:textId="77777777" w:rsidR="007F54BC" w:rsidRDefault="00FE1107" w:rsidP="00746466">
      <w:r>
        <w:t>Digital control raises the stakes further. Advanced models can estimate process states, but only if they are fed and corrected with real measurements. Hay et al. (2021) reviewed mathematical process models for the EAF and showed that energy balance, mass balance, thermodynamic and kinetic models all require reliable plant measurements for calibration and validation. Kleimt et al. (2023) demonstrated a model-based decision-support system for EAF online monitoring and control that depends on the same link between measured data and set-point optimisation. Recent state-space modelling of scrap composition from routinely collected process data reinforces the principle: process models are only as strong as the data used to correct them (Zhou, Naert and Nuyens, 2025).</w:t>
      </w:r>
    </w:p>
    <w:p w14:paraId="416E1139" w14:textId="77777777" w:rsidR="00656674" w:rsidRDefault="00747D8C" w:rsidP="00656674">
      <w:pPr>
        <w:pStyle w:val="Heading2"/>
      </w:pPr>
      <w:bookmarkStart w:id="31" w:name="_Toc234060395"/>
      <w:bookmarkStart w:id="32" w:name="_Toc234699516"/>
      <w:r>
        <w:t>Slag chemistry, foamability and refractory performance</w:t>
      </w:r>
      <w:bookmarkEnd w:id="31"/>
      <w:bookmarkEnd w:id="32"/>
    </w:p>
    <w:p w14:paraId="369787A8" w14:textId="77777777" w:rsidR="0040579F" w:rsidRDefault="0040579F" w:rsidP="0040579F">
      <w:bookmarkStart w:id="33" w:name="_Toc234060396"/>
      <w:r>
        <w:t>Slag is not a waste layer in an EAF; it is an active process medium that affects heat transfer, arc shielding, refractory wear, phosphorus removal, metallic yield and energy efficiency (Karbowniczek, 2021; National Academies of Sciences, Engineering, and Medicine, 2023). Foaming slag matters most. Gas bubbles generated by reactions between carbon and iron oxide expand the slag volume and cover the arc; a stable foam improves thermal efficiency, reduces radiation to the sidewalls and roof, lowers noise and protects the refractories. Kieush et al. (2023) describe foaming as the trapping of gas bubbles in the slag when carbon-bearing material reacts with iron oxide, with foam behaviour governed by FeO content, basicity, temperature and carbon source.</w:t>
      </w:r>
    </w:p>
    <w:p w14:paraId="6E3C0A9A" w14:textId="77777777" w:rsidR="00E52CAA" w:rsidRDefault="00443C9F" w:rsidP="00E52CAA">
      <w:pPr>
        <w:keepNext/>
        <w:jc w:val="center"/>
      </w:pPr>
      <w:r>
        <w:rPr>
          <w:noProof/>
        </w:rPr>
        <w:drawing>
          <wp:inline distT="0" distB="0" distL="0" distR="0" wp14:anchorId="2840B171" wp14:editId="54E4033B">
            <wp:extent cx="2692538" cy="2819545"/>
            <wp:effectExtent l="19050" t="19050" r="12700" b="19050"/>
            <wp:docPr id="379104471" name="Picture 1" descr="A diagram of a steel scrap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104471" name="Picture 1" descr="A diagram of a steel scrap  AI-generated content may be incorrect."/>
                    <pic:cNvPicPr/>
                  </pic:nvPicPr>
                  <pic:blipFill>
                    <a:blip r:embed="rId16"/>
                    <a:stretch>
                      <a:fillRect/>
                    </a:stretch>
                  </pic:blipFill>
                  <pic:spPr>
                    <a:xfrm>
                      <a:off x="0" y="0"/>
                      <a:ext cx="2692538" cy="2819545"/>
                    </a:xfrm>
                    <a:prstGeom prst="rect">
                      <a:avLst/>
                    </a:prstGeom>
                    <a:ln>
                      <a:solidFill>
                        <a:schemeClr val="bg1">
                          <a:lumMod val="85000"/>
                        </a:schemeClr>
                      </a:solidFill>
                    </a:ln>
                  </pic:spPr>
                </pic:pic>
              </a:graphicData>
            </a:graphic>
          </wp:inline>
        </w:drawing>
      </w:r>
    </w:p>
    <w:p w14:paraId="106F963B" w14:textId="77777777" w:rsidR="00443C9F" w:rsidRDefault="00E52CAA" w:rsidP="00E52CAA">
      <w:pPr>
        <w:pStyle w:val="Caption"/>
        <w:jc w:val="center"/>
      </w:pPr>
      <w:bookmarkStart w:id="34" w:name="_Toc234530011"/>
      <w:r>
        <w:t xml:space="preserve">Figure </w:t>
      </w:r>
      <w:fldSimple w:instr=" SEQ Figure \* ARABIC ">
        <w:r>
          <w:rPr>
            <w:noProof/>
          </w:rPr>
          <w:t>4</w:t>
        </w:r>
      </w:fldSimple>
      <w:r>
        <w:t>: Schematic representation of EAF material layers (Yildirim and Prezzi, 2011)</w:t>
      </w:r>
      <w:bookmarkEnd w:id="34"/>
    </w:p>
    <w:p w14:paraId="23E318A5" w14:textId="77777777" w:rsidR="0040579F" w:rsidRDefault="0040579F" w:rsidP="0040579F">
      <w:r>
        <w:lastRenderedPageBreak/>
        <w:t>The link between slag chemistry and refractory life is well established. Too much FeO increases refractory wear and yield loss; too little FeO, or poorly controlled basicity, degrades dephosphorisation and foam stability. Heo and Park (2021) showed experimentally that slag composition governs both dephosphorisation and foamability in EAF operation, with the thermodynamics depending on saturation conditions, while Kirschen (2021) demonstrated the value of slag data and MgO saturation analysis for monitoring and improving slag practice. For this project the implication is direct: a slag sampling system is not justified by safety alone. It earns its place if it produces a reliable sample that supports control of the chemistry governing furnace efficiency and refractory performance.</w:t>
      </w:r>
    </w:p>
    <w:p w14:paraId="5A354928" w14:textId="77777777" w:rsidR="0040579F" w:rsidRDefault="0040579F" w:rsidP="0040579F">
      <w:r>
        <w:t xml:space="preserve">Slag is also harder to sample than steel. The layer is heterogeneous, unmelted flux, entrained metal droplets, temperature gradients and local effects from oxygen and carbon injection are all common (National Academies of Sciences, Engineering, and Medicine, 2023; Kirschen, 2021). A sample taken at the wrong depth or location may not represent the bulk condition, so even experienced operators produce variable results. Repeatability depends on immersion depth, time, insertion angle, sampler type and extraction </w:t>
      </w:r>
      <w:proofErr w:type="gramStart"/>
      <w:r>
        <w:t>technique,  exactly</w:t>
      </w:r>
      <w:proofErr w:type="gramEnd"/>
      <w:r>
        <w:t xml:space="preserve"> the variables a robot can control more consistently than a person, provided it can reach the right location safely.</w:t>
      </w:r>
    </w:p>
    <w:p w14:paraId="49446DDB" w14:textId="77777777" w:rsidR="00747D8C" w:rsidRDefault="007A1547" w:rsidP="007A1547">
      <w:pPr>
        <w:pStyle w:val="Heading2"/>
      </w:pPr>
      <w:bookmarkStart w:id="35" w:name="_Toc234699517"/>
      <w:r>
        <w:t>Manual sampling and human factors</w:t>
      </w:r>
      <w:bookmarkEnd w:id="33"/>
      <w:bookmarkEnd w:id="35"/>
    </w:p>
    <w:p w14:paraId="61373ABB" w14:textId="77777777" w:rsidR="00553164" w:rsidRDefault="00553164" w:rsidP="00553164">
      <w:bookmarkStart w:id="36" w:name="_Toc234060397"/>
      <w:r>
        <w:t>Manual furnace sampling is a classic case of a hazardous task becoming normalised because it has always been part of steelmaking. Familiarity does not remove the hazard. The task can require an operator to approach a furnace opening or slag door, manipulate a long lance, judge the correct immersion point in poor visibility, and withdraw a hot probe for further handling. The hazards include radiant heat, burns, splash, fume, noise, restricted access, awkward posture, fatigue, slips and trips, interaction with mobile equipment and exposure to uncontrolled energy if furnace conditions change, all of which are amplified during abnormal events such as a failed sample, blocked access, poor slag condition or time pressure near tap. In ergonomic terms, ISO 6385 requires work systems to be designed considering human, social and technical requirements together, which supports treating manual sampling as a system design issue rather than a matter of individual operator care (ISO, 2016).</w:t>
      </w:r>
    </w:p>
    <w:p w14:paraId="1ED4FF69" w14:textId="77777777" w:rsidR="00553164" w:rsidRDefault="00553164" w:rsidP="00553164">
      <w:r>
        <w:t xml:space="preserve">Human factors go beyond the chance of operator error; they include the design of the task itself. If a task depends on judgement under heat stress, poor visibility and production pressure, variability is an expected system outcome, not an anomaly. Manual methods introduce variability in sampling depth, residence time and sample quality, reducing the reliability of the metallurgical data (Frey, 2025). Seen from a safety engineering perspective, </w:t>
      </w:r>
      <w:r>
        <w:lastRenderedPageBreak/>
        <w:t>the same manual task therefore causes two kinds of loss at once: direct exposure risk to the operator, and indirect process-control risk through variable data.</w:t>
      </w:r>
    </w:p>
    <w:p w14:paraId="6C573310" w14:textId="77777777" w:rsidR="00553164" w:rsidRDefault="00553164" w:rsidP="00553164">
      <w:r>
        <w:t>The hierarchy of control supports removing people from high-energy environments wherever reasonably practicable. The Health and Safety Executive is explicit that PPE should be a last resort, with elimination, substitution, engineering controls and administrative controls considered first (HSE, 2026). Remote and automated sampling therefore has a strong safety rationale, because it moves the task from PPE and procedural control towards engineering control. That said, automation deserves the same critical scrutiny. A robot brings stored energy, moving axes, maintenance tasks, safeguarding requirements, software dependencies and new failure modes. The safety case must compare the total risk profile of each option rather than assuming automation is automatically safer.</w:t>
      </w:r>
    </w:p>
    <w:p w14:paraId="684ED76F" w14:textId="77777777" w:rsidR="007A1547" w:rsidRDefault="00DA44C1" w:rsidP="00DA44C1">
      <w:pPr>
        <w:pStyle w:val="Heading2"/>
      </w:pPr>
      <w:bookmarkStart w:id="37" w:name="_Toc234699518"/>
      <w:r>
        <w:t>Robotics and automated sampling in steelmaking</w:t>
      </w:r>
      <w:bookmarkEnd w:id="36"/>
      <w:bookmarkEnd w:id="37"/>
    </w:p>
    <w:p w14:paraId="33ABA972" w14:textId="77777777" w:rsidR="00B405FF" w:rsidRDefault="00B405FF" w:rsidP="00B405FF">
      <w:r>
        <w:t>Robotic sampling and measurement systems are now widely used in metallurgical plants for temperature measurement, oxygen activity measurement, steel sampling, cartridge handling and furnace inspection. Polytec describes PolySAMPLE EAF as a fully automatic EAF sampling and measurement solution capable of complex trajectories, automatic loading from a cartridge dispenser, multiple tools, bath-level measurement, sample separation and transfer to a laboratory system (BM Group Polytec, n.d.). Its published reference list includes multiple PolySAMPLE EAF and PolySAMPLE LF installations across EAF and ladle refining applications (BM Group Polytec, 2022), which points to a mature technology base for steel sampling and temperature measurement.</w:t>
      </w:r>
    </w:p>
    <w:p w14:paraId="5B90585F" w14:textId="77777777" w:rsidR="00B405FF" w:rsidRDefault="00B405FF" w:rsidP="00B405FF">
      <w:r>
        <w:t>The Project Invictus source drawings show an ABB IRB 8700 robot cell with sample lance, PolyEYE lance, tool rack, cartridges warehouse, probe cut assembly, chiller, pneumatic panel, electrical cabinet and communication interfaces (Tenova, 2025a; Tenova, 2025b). The network layout includes PLC, remote I/O, PROFIsafe interfaces, an HMI server, CCTV, robot controller and sensor laboratory links. In other words, the project is not starting from a manual baseline: it already has a substantial robotic sampling architecture. The optioneering question is how far that architecture can, and should, be extended to slag sampling and sample transport.</w:t>
      </w:r>
    </w:p>
    <w:p w14:paraId="4B9B2C2C" w14:textId="77777777" w:rsidR="00B405FF" w:rsidRPr="00B405FF" w:rsidRDefault="00B405FF" w:rsidP="00B405FF">
      <w:r>
        <w:t xml:space="preserve">Robots improve repeatability by controlling trajectory, speed, reach and dwell time, and they reduce exposure by performing high-temperature tasks inside a safeguarded cell. Their limitations are equally clear. The robot must be protected from heat and contamination, must avoid collisions with furnace structures, must be maintainable without excessive downtime, and must be integrated with furnace movement, charging, tapping and electrode handling. The safety integrity of robot operation must also be assessed against the applicable </w:t>
      </w:r>
      <w:r>
        <w:lastRenderedPageBreak/>
        <w:t>machinery safety standards, covering emergency stops, interlocks, safe zones, safe speed, teach modes and maintenance access (ISO, 2011; ISO, 2023; BM Group Polytec, n.d.).</w:t>
      </w:r>
    </w:p>
    <w:p w14:paraId="1AFA70E6" w14:textId="77777777" w:rsidR="00DA44C1" w:rsidRPr="00DA44C1" w:rsidRDefault="00611D8B" w:rsidP="00611D8B">
      <w:pPr>
        <w:pStyle w:val="Heading2"/>
      </w:pPr>
      <w:bookmarkStart w:id="38" w:name="_Toc234060398"/>
      <w:bookmarkStart w:id="39" w:name="_Toc234699519"/>
      <w:r>
        <w:t>Sample transport and analytical turnaround</w:t>
      </w:r>
      <w:bookmarkEnd w:id="38"/>
      <w:bookmarkEnd w:id="39"/>
      <w:r>
        <w:t xml:space="preserve"> </w:t>
      </w:r>
    </w:p>
    <w:p w14:paraId="14C9E406" w14:textId="77777777" w:rsidR="008473BB" w:rsidRDefault="008473BB" w:rsidP="008473BB">
      <w:pPr>
        <w:spacing w:after="120"/>
      </w:pPr>
      <w:r>
        <w:t xml:space="preserve">Sampling does not end when the probe leaves the bath. The sample must reach the laboratory or analytical station quickly, safely and in a condition suitable for preparation and analysis. In a manual workflow, the movement of hot probes can create additional exposure, delay and handling variability. In a robotic workflow, poor sample transfer can become the bottleneck that prevents the full benefit of automated sampling being realised. This is particularly important where the furnace operating window is </w:t>
      </w:r>
      <w:proofErr w:type="gramStart"/>
      <w:r>
        <w:t>short</w:t>
      </w:r>
      <w:proofErr w:type="gramEnd"/>
      <w:r>
        <w:t xml:space="preserve"> and a failed sample must be repeated quickly.</w:t>
      </w:r>
    </w:p>
    <w:p w14:paraId="203D8410" w14:textId="77777777" w:rsidR="008473BB" w:rsidRDefault="008473BB" w:rsidP="008473BB">
      <w:pPr>
        <w:spacing w:after="120"/>
      </w:pPr>
      <w:r>
        <w:t>Project correspondence with Telelift identified a potential automated sample transport route from two furnaces to the laboratory. The requirements discussed included hot probes of approximately 1.2 m length and less than 15 kg, with refractory material potentially increasing weight up to 40 kg; a horizontal distance of about 35 m and vertical movement of about 3.5 m; six probes every 42 minutes from each furnace; and a suggested transport speed of 1 m/s (Telelift GmbH, 2025a). Later correspondence highlighted concerns about heavier slag samples, with calculated weights of approximately 20 kg for two SAPTTAL samples and 55.5 kg for a slag sample, the latter being too heavy for the proposed system without redesign or clarification (Telelift GmbH, 2025b). These data make sample transport a genuine engineering constraint rather than a simple logistics activity.</w:t>
      </w:r>
    </w:p>
    <w:p w14:paraId="73001108" w14:textId="77777777" w:rsidR="008473BB" w:rsidRDefault="008473BB" w:rsidP="008473BB">
      <w:pPr>
        <w:spacing w:after="120"/>
      </w:pPr>
      <w:r>
        <w:t>The transport system introduces questions of thermal protection, dust tolerance, load stability, failure recovery and laboratory interface. Telelift correspondence indicated that quenching could create excessive steam near the electric drive system and that the maximum operation temperature of the system would be approximately 60 degrees C, requiring the hot probe to be protected or thermally isolated (Telelift GmbH, 2025a). The supplier also stated that dry and dusty environments were generally manageable using spring-loaded contacts, gaps in rail segments and passive dust brushes, although these assumptions would need validation for an EAF Meltshop environment (Telelift GmbH, 2025c).</w:t>
      </w:r>
    </w:p>
    <w:p w14:paraId="649A5B16" w14:textId="77777777" w:rsidR="00C57B3E" w:rsidRDefault="008473BB" w:rsidP="008473BB">
      <w:pPr>
        <w:pStyle w:val="Heading2"/>
      </w:pPr>
      <w:bookmarkStart w:id="40" w:name="_Toc234060399"/>
      <w:bookmarkStart w:id="41" w:name="_Toc234699520"/>
      <w:r>
        <w:t>Safety, machinery and ergonomic standards</w:t>
      </w:r>
      <w:bookmarkEnd w:id="40"/>
      <w:bookmarkEnd w:id="41"/>
      <w:r>
        <w:t xml:space="preserve"> </w:t>
      </w:r>
    </w:p>
    <w:p w14:paraId="10A54C83" w14:textId="77777777" w:rsidR="00A5773A" w:rsidRDefault="00A5773A" w:rsidP="00A5773A">
      <w:r>
        <w:t xml:space="preserve">The design of remote sampling must satisfy machinery safety, functional safety and ergonomic principles. ISO 12100 provides the structured approach to machinery risk assessment and risk reduction, covering inherently safe design, safeguarding, protective measures and information for use (ISO, 2010). Robot integration is addressed by ISO 10218-2, which specifies safety requirements for industrial robot systems and cells (ISO, </w:t>
      </w:r>
      <w:r>
        <w:lastRenderedPageBreak/>
        <w:t xml:space="preserve">2011). Safety-related control systems are commonly assessed to ISO 13849-1 or IEC 62061, depending on the architecture and project requirements (ISO, 2023). For Project Invictus, these standards </w:t>
      </w:r>
      <w:proofErr w:type="gramStart"/>
      <w:r>
        <w:t>have to</w:t>
      </w:r>
      <w:proofErr w:type="gramEnd"/>
      <w:r>
        <w:t xml:space="preserve"> be read alongside TSUK site-specific safety rules, maintenance access arrangements, emergency response requirements and commissioning controls.</w:t>
      </w:r>
    </w:p>
    <w:p w14:paraId="3074F82F" w14:textId="77777777" w:rsidR="00A5773A" w:rsidRDefault="00A5773A" w:rsidP="00A5773A">
      <w:r>
        <w:t>Functional safety is especially relevant here because the sampling robot interacts with a hazardous process and will need interlocks with furnace status, robot zones, access gates, emergency stops, pneumatics, tooling and transport equipment. IEC 61508 provides the general functional safety framework for electrical, electronic and programmable systems, while IEC 62061 applies more directly to machinery control (IEC, 2010; ISO, 2023). The practical value of these standards is that they stop safety functions being treated as ordinary control features: a stop function, gate interlock or safe-speed mode must be specified, validated and maintained to deliver the required risk reduction.</w:t>
      </w:r>
    </w:p>
    <w:p w14:paraId="1261FE91" w14:textId="77777777" w:rsidR="00A5773A" w:rsidRPr="00A5773A" w:rsidRDefault="00A5773A" w:rsidP="00A5773A">
      <w:r>
        <w:t xml:space="preserve">Ergonomics matters beyond the furnace front. ISO 6385 sets out principles for ergonomic work-system design in which human, social and technical requirements are considered together (ISO, 2016). In this project that extends to laboratory sample handling, maintenance access to the robot cell, cartridge loading, probe removal, manual fallback sampling, cleaning of the transport route and recovery of failed probes. A design that removes one manual task but creates frequent awkward maintenance tasks may deliver less </w:t>
      </w:r>
      <w:proofErr w:type="gramStart"/>
      <w:r>
        <w:t>human-factor</w:t>
      </w:r>
      <w:proofErr w:type="gramEnd"/>
      <w:r>
        <w:t xml:space="preserve"> benefit than expected, so the recommendation must address normal operation, abnormal operation and maintainability together.</w:t>
      </w:r>
    </w:p>
    <w:p w14:paraId="546FABD5" w14:textId="77777777" w:rsidR="007169B1" w:rsidRDefault="008907DB" w:rsidP="008907DB">
      <w:pPr>
        <w:pStyle w:val="Heading2"/>
      </w:pPr>
      <w:bookmarkStart w:id="42" w:name="_Toc234060400"/>
      <w:bookmarkStart w:id="43" w:name="_Toc234699521"/>
      <w:r>
        <w:t>Literature review synthesis</w:t>
      </w:r>
      <w:bookmarkEnd w:id="42"/>
      <w:bookmarkEnd w:id="43"/>
      <w:r>
        <w:t xml:space="preserve"> </w:t>
      </w:r>
    </w:p>
    <w:p w14:paraId="5B1FFC32" w14:textId="77777777" w:rsidR="004E1BAA" w:rsidRDefault="004E1BAA" w:rsidP="004E1BAA">
      <w:r>
        <w:t xml:space="preserve">Five conclusions from the literature and source review shape the rest of this report. First, steel and slag sampling are process-control functions, not just quality checks (Kleimt et al., 2023). Second, slag chemistry is directly linked to foamability, refractory wear, dephosphorisation and energy efficiency, so reliable slag sampling is valuable if it can be achieved (Heo and Park, 2021; Kirschen, 2021; Kieush et al., 2023). Third, manual furnace sampling creates both direct safety exposure and data variability (HSE, 2026; ISO, 2016). Fourth, robotic steel sampling is an established technology, whereas automated vertical EAF slag sampling is much less mature within the available evidence (BM Group Polytec, n.d.; BM Group Polytec, 2022). Fifth, sample transport can determine whether robotic sampling </w:t>
      </w:r>
      <w:proofErr w:type="gramStart"/>
      <w:r>
        <w:t>actually delivers</w:t>
      </w:r>
      <w:proofErr w:type="gramEnd"/>
      <w:r>
        <w:t xml:space="preserve"> process value, because analytical turnaround and mis-sample recovery depend on the complete sample path (Telelift GmbH, 2025a; Telelift GmbH, 2025d).</w:t>
      </w:r>
    </w:p>
    <w:p w14:paraId="751AE0A1" w14:textId="77777777" w:rsidR="00936CE1" w:rsidRDefault="00936CE1" w:rsidP="008907DB"/>
    <w:p w14:paraId="232871DB" w14:textId="77777777" w:rsidR="00936CE1" w:rsidRDefault="002F0A7B" w:rsidP="002F0A7B">
      <w:pPr>
        <w:pStyle w:val="Heading1"/>
        <w:rPr>
          <w:b/>
          <w:bCs/>
        </w:rPr>
      </w:pPr>
      <w:bookmarkStart w:id="44" w:name="_Toc234060401"/>
      <w:bookmarkStart w:id="45" w:name="_Toc234699522"/>
      <w:r>
        <w:rPr>
          <w:b/>
          <w:bCs/>
          <w:color w:val="0070C0"/>
        </w:rPr>
        <w:lastRenderedPageBreak/>
        <w:t>Methodology</w:t>
      </w:r>
      <w:bookmarkEnd w:id="44"/>
      <w:bookmarkEnd w:id="45"/>
      <w:r>
        <w:rPr>
          <w:b/>
          <w:bCs/>
        </w:rPr>
        <w:t xml:space="preserve"> </w:t>
      </w:r>
    </w:p>
    <w:p w14:paraId="61A4B1A7" w14:textId="77777777" w:rsidR="007268DF" w:rsidRDefault="007268DF" w:rsidP="007268DF">
      <w:bookmarkStart w:id="46" w:name="_Toc234060402"/>
      <w:r>
        <w:t>The methodology was designed around the nature of the problem. A full-scale EAF slag sampling trial was not possible during the project period because Project Invictus was still in design and construction development rather than operational commissioning. The project therefore used a structured engineering optioneering methodology, combining literature review, source-document analysis, stakeholder correspondence, dimensional and functional feasibility review, task-based safety assessment and weighted decision analysis with sensitivity testing. This approach suits an industrial design problem where decisions must be made with incomplete information, provided the assumptions are kept visible and auditable.</w:t>
      </w:r>
    </w:p>
    <w:p w14:paraId="06403E5F" w14:textId="77777777" w:rsidR="003E1252" w:rsidRDefault="003E1252" w:rsidP="003E1252">
      <w:pPr>
        <w:pStyle w:val="Heading2"/>
      </w:pPr>
      <w:bookmarkStart w:id="47" w:name="_Toc234699523"/>
      <w:r>
        <w:t>Research design</w:t>
      </w:r>
      <w:bookmarkEnd w:id="46"/>
      <w:bookmarkEnd w:id="47"/>
      <w:r>
        <w:t xml:space="preserve"> </w:t>
      </w:r>
    </w:p>
    <w:p w14:paraId="69A568CC" w14:textId="77777777" w:rsidR="006F74F9" w:rsidRDefault="00F73A90" w:rsidP="00F73A90">
      <w:bookmarkStart w:id="48" w:name="_Toc234060403"/>
      <w:r>
        <w:t>The research followed six stages:</w:t>
      </w:r>
    </w:p>
    <w:p w14:paraId="09B25359" w14:textId="77777777" w:rsidR="006F74F9" w:rsidRDefault="00F73A90" w:rsidP="006F74F9">
      <w:pPr>
        <w:pStyle w:val="ListParagraph"/>
        <w:numPr>
          <w:ilvl w:val="0"/>
          <w:numId w:val="5"/>
        </w:numPr>
      </w:pPr>
      <w:r>
        <w:rPr>
          <w:b/>
          <w:bCs/>
        </w:rPr>
        <w:t>Stage one</w:t>
      </w:r>
      <w:r>
        <w:t xml:space="preserve"> defined the problem and operating context, the project brief and the available Project Invictus information. </w:t>
      </w:r>
    </w:p>
    <w:p w14:paraId="19342CC4" w14:textId="77777777" w:rsidR="006F74F9" w:rsidRDefault="00F73A90" w:rsidP="006F74F9">
      <w:pPr>
        <w:pStyle w:val="ListParagraph"/>
        <w:numPr>
          <w:ilvl w:val="0"/>
          <w:numId w:val="5"/>
        </w:numPr>
      </w:pPr>
      <w:r>
        <w:rPr>
          <w:b/>
          <w:bCs/>
        </w:rPr>
        <w:t>Stage two</w:t>
      </w:r>
      <w:r>
        <w:t xml:space="preserve"> reviewed the relevant literature and standards to identify the metallurgical, safety and automation principles that should govern system selection. </w:t>
      </w:r>
    </w:p>
    <w:p w14:paraId="01A60DDC" w14:textId="77777777" w:rsidR="006F74F9" w:rsidRDefault="00F73A90" w:rsidP="006F74F9">
      <w:pPr>
        <w:pStyle w:val="ListParagraph"/>
        <w:numPr>
          <w:ilvl w:val="0"/>
          <w:numId w:val="5"/>
        </w:numPr>
      </w:pPr>
      <w:r>
        <w:rPr>
          <w:b/>
          <w:bCs/>
        </w:rPr>
        <w:t>Stage three</w:t>
      </w:r>
      <w:r>
        <w:t xml:space="preserve"> investigated the technical constraints from source drawings and supplier documents: robot layout, utilities, probe dimensions, transport assumptions and known limitations. </w:t>
      </w:r>
    </w:p>
    <w:p w14:paraId="5A6E5C4E" w14:textId="77777777" w:rsidR="006F74F9" w:rsidRDefault="00F73A90" w:rsidP="006F74F9">
      <w:pPr>
        <w:pStyle w:val="ListParagraph"/>
        <w:numPr>
          <w:ilvl w:val="0"/>
          <w:numId w:val="5"/>
        </w:numPr>
      </w:pPr>
      <w:r>
        <w:rPr>
          <w:b/>
          <w:bCs/>
        </w:rPr>
        <w:t>Stage four</w:t>
      </w:r>
      <w:r>
        <w:t xml:space="preserve"> generated a set of plausible options, from continued manual sampling through to staged robotic and automated transport solutions. </w:t>
      </w:r>
    </w:p>
    <w:p w14:paraId="56D7FCB2" w14:textId="77777777" w:rsidR="006F74F9" w:rsidRDefault="00F73A90" w:rsidP="006F74F9">
      <w:pPr>
        <w:pStyle w:val="ListParagraph"/>
        <w:numPr>
          <w:ilvl w:val="0"/>
          <w:numId w:val="5"/>
        </w:numPr>
      </w:pPr>
      <w:r>
        <w:rPr>
          <w:b/>
          <w:bCs/>
        </w:rPr>
        <w:t>Stage five</w:t>
      </w:r>
      <w:r>
        <w:t xml:space="preserve"> applied weighted evaluation criteria and tested the sensitivity of the outcome to the chosen weights. </w:t>
      </w:r>
    </w:p>
    <w:p w14:paraId="37060E3C" w14:textId="77777777" w:rsidR="00F73A90" w:rsidRDefault="00F73A90" w:rsidP="006F74F9">
      <w:pPr>
        <w:pStyle w:val="ListParagraph"/>
        <w:numPr>
          <w:ilvl w:val="0"/>
          <w:numId w:val="5"/>
        </w:numPr>
      </w:pPr>
      <w:r>
        <w:rPr>
          <w:b/>
          <w:bCs/>
        </w:rPr>
        <w:t>Stage six</w:t>
      </w:r>
      <w:r>
        <w:t xml:space="preserve"> developed the conclusions, limitations and further work.</w:t>
      </w:r>
    </w:p>
    <w:p w14:paraId="7E5CD7E7" w14:textId="77777777" w:rsidR="00F73A90" w:rsidRDefault="00F73A90" w:rsidP="00F73A90">
      <w:r>
        <w:t>The work is not a purely theoretical exercise. It uses real project information: Tenova/Polytec robot drawings, Heraeus Electro-Nite probe drawings, Telelift correspondence and Project Invictus objectives. It is also not a procurement exercise. Commercial prices were not available for every option, and the aim was not to select a supplier on lowest cost. The decision was therefore treated as a concept-stage engineering judgement, focused on suitability, risk reduction, integration with the wider process, operational benefit, and the further evidence needed before implementation.</w:t>
      </w:r>
    </w:p>
    <w:p w14:paraId="4AD3BD64" w14:textId="77777777" w:rsidR="00942987" w:rsidRDefault="00942987" w:rsidP="00942987">
      <w:pPr>
        <w:pStyle w:val="Heading2"/>
      </w:pPr>
      <w:bookmarkStart w:id="49" w:name="_Toc234699524"/>
      <w:r>
        <w:t>Source data</w:t>
      </w:r>
      <w:bookmarkEnd w:id="48"/>
      <w:bookmarkEnd w:id="49"/>
      <w:r>
        <w:t xml:space="preserve"> </w:t>
      </w:r>
    </w:p>
    <w:p w14:paraId="38158490" w14:textId="77777777" w:rsidR="00F82128" w:rsidRDefault="005E2DD9" w:rsidP="00CE3E6A">
      <w:r>
        <w:t xml:space="preserve">The source base combined academic and industrial material. Academic sources established the principles of EAF slag behaviour, sampling value, human factors, automation and safety standards. Industrial sources defined the real constraints of the Project Invictus installation. </w:t>
      </w:r>
      <w:r>
        <w:lastRenderedPageBreak/>
        <w:t xml:space="preserve">The Tenova/Polytec drawings were used to identify layout, utility, loading and control-interface constraints. The Heraeus Electro-Nite probe drawings were then reviewed to establish probe geometry and associated handling risks, while the Telelift correspondence was used to test the assumptions around sample transport. The most important industrial documents were the PolySAMPLE EAF general layout, the robot utility/TOP drawing, the network layout, the sampling configuration drawing, the SLAC probe drawing, the EAF slag probe drawing, the standard probe drawings and the Telelift email correspondence (Tenova, 2025a; Tenova, 2025b; Tenova, 2025c; Tenova, 2025d; Heraeus Electro-Nite, 2023; Heraeus Electro-Nite, 2025a; Telelift GmbH, 2025a). These sources, as featured </w:t>
      </w:r>
      <w:r w:rsidRPr="00276EA3">
        <w:t>in Table 2,</w:t>
      </w:r>
      <w:r>
        <w:t xml:space="preserve"> were treated as design evidence rather than accepted uncritically, because several are preliminary, supplier-specific, or rest on assumptions that still need validation in detailed design.</w:t>
      </w:r>
    </w:p>
    <w:p w14:paraId="2C8B5CFC" w14:textId="77777777" w:rsidR="00CE3E6A" w:rsidRDefault="00CE3E6A" w:rsidP="00CE3E6A">
      <w:pPr>
        <w:pStyle w:val="Caption"/>
        <w:keepNext/>
        <w:jc w:val="center"/>
      </w:pPr>
      <w:bookmarkStart w:id="50" w:name="_Toc234530030"/>
      <w:r>
        <w:t xml:space="preserve">Table </w:t>
      </w:r>
      <w:fldSimple w:instr=" SEQ Table \* ARABIC ">
        <w:r>
          <w:rPr>
            <w:noProof/>
          </w:rPr>
          <w:t>2</w:t>
        </w:r>
      </w:fldSimple>
      <w:r>
        <w:t>:Main industrial source data used</w:t>
      </w:r>
      <w:bookmarkEnd w:id="50"/>
    </w:p>
    <w:tbl>
      <w:tblPr>
        <w:tblStyle w:val="TableGrid"/>
        <w:tblW w:w="0" w:type="auto"/>
        <w:jc w:val="center"/>
        <w:tblLook w:val="04A0" w:firstRow="1" w:lastRow="0" w:firstColumn="1" w:lastColumn="0" w:noHBand="0" w:noVBand="1"/>
      </w:tblPr>
      <w:tblGrid>
        <w:gridCol w:w="2358"/>
        <w:gridCol w:w="3446"/>
        <w:gridCol w:w="3212"/>
      </w:tblGrid>
      <w:tr w:rsidR="00F82128" w14:paraId="49A31527" w14:textId="77777777" w:rsidTr="00F82128">
        <w:trPr>
          <w:jc w:val="center"/>
        </w:trPr>
        <w:tc>
          <w:tcPr>
            <w:tcW w:w="2381" w:type="dxa"/>
            <w:shd w:val="clear" w:color="auto" w:fill="D9D9D9" w:themeFill="background1" w:themeFillShade="D9"/>
            <w:vAlign w:val="center"/>
          </w:tcPr>
          <w:p w14:paraId="797AECC3" w14:textId="77777777" w:rsidR="00F82128" w:rsidRPr="00F82128" w:rsidRDefault="00F82128" w:rsidP="00F82128">
            <w:pPr>
              <w:jc w:val="center"/>
              <w:rPr>
                <w:b/>
                <w:bCs/>
              </w:rPr>
            </w:pPr>
            <w:r>
              <w:rPr>
                <w:b/>
                <w:bCs/>
              </w:rPr>
              <w:t>Source</w:t>
            </w:r>
          </w:p>
        </w:tc>
        <w:tc>
          <w:tcPr>
            <w:tcW w:w="3515" w:type="dxa"/>
            <w:shd w:val="clear" w:color="auto" w:fill="D9D9D9" w:themeFill="background1" w:themeFillShade="D9"/>
            <w:vAlign w:val="center"/>
          </w:tcPr>
          <w:p w14:paraId="7BD9DE09" w14:textId="77777777" w:rsidR="00F82128" w:rsidRPr="00F82128" w:rsidRDefault="00F82128" w:rsidP="00F82128">
            <w:pPr>
              <w:jc w:val="center"/>
              <w:rPr>
                <w:b/>
                <w:bCs/>
              </w:rPr>
            </w:pPr>
            <w:r>
              <w:rPr>
                <w:b/>
                <w:bCs/>
              </w:rPr>
              <w:t>Key information extracted</w:t>
            </w:r>
          </w:p>
        </w:tc>
        <w:tc>
          <w:tcPr>
            <w:tcW w:w="3288" w:type="dxa"/>
            <w:shd w:val="clear" w:color="auto" w:fill="D9D9D9" w:themeFill="background1" w:themeFillShade="D9"/>
            <w:vAlign w:val="center"/>
          </w:tcPr>
          <w:p w14:paraId="7028005E" w14:textId="77777777" w:rsidR="00F82128" w:rsidRPr="00F82128" w:rsidRDefault="00F82128" w:rsidP="00F82128">
            <w:pPr>
              <w:jc w:val="center"/>
              <w:rPr>
                <w:b/>
                <w:bCs/>
              </w:rPr>
            </w:pPr>
            <w:r>
              <w:rPr>
                <w:b/>
                <w:bCs/>
              </w:rPr>
              <w:t>Use in analysis</w:t>
            </w:r>
          </w:p>
        </w:tc>
      </w:tr>
      <w:tr w:rsidR="00F82128" w14:paraId="5DF69E79" w14:textId="77777777" w:rsidTr="00354319">
        <w:trPr>
          <w:jc w:val="center"/>
        </w:trPr>
        <w:tc>
          <w:tcPr>
            <w:tcW w:w="2381" w:type="dxa"/>
          </w:tcPr>
          <w:p w14:paraId="106F4E84" w14:textId="77777777" w:rsidR="00F82128" w:rsidRDefault="00F82128" w:rsidP="00354319">
            <w:r>
              <w:t>Tenova/Polytec EAF robot general layout</w:t>
            </w:r>
          </w:p>
        </w:tc>
        <w:tc>
          <w:tcPr>
            <w:tcW w:w="3515" w:type="dxa"/>
          </w:tcPr>
          <w:p w14:paraId="1923CD29" w14:textId="77777777" w:rsidR="00F82128" w:rsidRDefault="00F82128" w:rsidP="00354319">
            <w:r>
              <w:t>IRB8700 robot, sample lance, PolyEYE lance, tool rack, probe cut, cartridges warehouse, chiller and robot centre/furnace centre relationship.</w:t>
            </w:r>
          </w:p>
        </w:tc>
        <w:tc>
          <w:tcPr>
            <w:tcW w:w="3288" w:type="dxa"/>
          </w:tcPr>
          <w:p w14:paraId="0D826202" w14:textId="77777777" w:rsidR="00F82128" w:rsidRDefault="00F82128" w:rsidP="00354319">
            <w:r>
              <w:t>Defined existing robotic baseline and spatial interface.</w:t>
            </w:r>
          </w:p>
        </w:tc>
      </w:tr>
      <w:tr w:rsidR="00F82128" w14:paraId="4903132F" w14:textId="77777777" w:rsidTr="00354319">
        <w:trPr>
          <w:jc w:val="center"/>
        </w:trPr>
        <w:tc>
          <w:tcPr>
            <w:tcW w:w="2381" w:type="dxa"/>
          </w:tcPr>
          <w:p w14:paraId="592A6731" w14:textId="77777777" w:rsidR="00F82128" w:rsidRDefault="00F82128" w:rsidP="00354319">
            <w:r>
              <w:t>Tenova robot utility/TOP drawing</w:t>
            </w:r>
          </w:p>
        </w:tc>
        <w:tc>
          <w:tcPr>
            <w:tcW w:w="3515" w:type="dxa"/>
          </w:tcPr>
          <w:p w14:paraId="4AC59778" w14:textId="77777777" w:rsidR="00F82128" w:rsidRDefault="00F82128" w:rsidP="00354319">
            <w:r>
              <w:t>400 V, 50 Hz, dry air, cooling air, water supply, robot loads, controller distance and fixation plate.</w:t>
            </w:r>
          </w:p>
        </w:tc>
        <w:tc>
          <w:tcPr>
            <w:tcW w:w="3288" w:type="dxa"/>
          </w:tcPr>
          <w:p w14:paraId="1950BA2D" w14:textId="77777777" w:rsidR="00F82128" w:rsidRDefault="00F82128" w:rsidP="00354319">
            <w:r>
              <w:t>Defined services and integration constraints.</w:t>
            </w:r>
          </w:p>
        </w:tc>
      </w:tr>
      <w:tr w:rsidR="00F82128" w14:paraId="6D00C99A" w14:textId="77777777" w:rsidTr="00354319">
        <w:trPr>
          <w:jc w:val="center"/>
        </w:trPr>
        <w:tc>
          <w:tcPr>
            <w:tcW w:w="2381" w:type="dxa"/>
          </w:tcPr>
          <w:p w14:paraId="1603CCD1" w14:textId="77777777" w:rsidR="00F82128" w:rsidRDefault="00F82128" w:rsidP="00354319">
            <w:r>
              <w:t>Tenova network layout</w:t>
            </w:r>
          </w:p>
        </w:tc>
        <w:tc>
          <w:tcPr>
            <w:tcW w:w="3515" w:type="dxa"/>
          </w:tcPr>
          <w:p w14:paraId="2AD52021" w14:textId="77777777" w:rsidR="00F82128" w:rsidRDefault="00F82128" w:rsidP="00354319">
            <w:r>
              <w:t>PLC, PROFIsafe, remote I/O, HMI, CCTV, sensor lab and robot controller communications.</w:t>
            </w:r>
          </w:p>
        </w:tc>
        <w:tc>
          <w:tcPr>
            <w:tcW w:w="3288" w:type="dxa"/>
          </w:tcPr>
          <w:p w14:paraId="4D3E604A" w14:textId="77777777" w:rsidR="00F82128" w:rsidRDefault="00F82128" w:rsidP="00354319">
            <w:r>
              <w:t>Defined control and safety interface implications.</w:t>
            </w:r>
          </w:p>
        </w:tc>
      </w:tr>
      <w:tr w:rsidR="00F82128" w14:paraId="362FA292" w14:textId="77777777" w:rsidTr="00354319">
        <w:trPr>
          <w:jc w:val="center"/>
        </w:trPr>
        <w:tc>
          <w:tcPr>
            <w:tcW w:w="2381" w:type="dxa"/>
          </w:tcPr>
          <w:p w14:paraId="5243072A" w14:textId="77777777" w:rsidR="00F82128" w:rsidRDefault="00F82128" w:rsidP="00354319">
            <w:r>
              <w:t>Sampling configuration drawing</w:t>
            </w:r>
          </w:p>
        </w:tc>
        <w:tc>
          <w:tcPr>
            <w:tcW w:w="3515" w:type="dxa"/>
          </w:tcPr>
          <w:p w14:paraId="7076B796" w14:textId="77777777" w:rsidR="00F82128" w:rsidRDefault="00F82128" w:rsidP="00354319">
            <w:r>
              <w:t>Sampling point relationship to bath level at furnace positions 0, +2 and -2 degrees.</w:t>
            </w:r>
          </w:p>
        </w:tc>
        <w:tc>
          <w:tcPr>
            <w:tcW w:w="3288" w:type="dxa"/>
          </w:tcPr>
          <w:p w14:paraId="156DF3D3" w14:textId="77777777" w:rsidR="00F82128" w:rsidRDefault="00F82128" w:rsidP="00354319">
            <w:r>
              <w:t>Supported reach and geometric feasibility discussion.</w:t>
            </w:r>
          </w:p>
        </w:tc>
      </w:tr>
      <w:tr w:rsidR="00F82128" w14:paraId="13969A23" w14:textId="77777777" w:rsidTr="00354319">
        <w:trPr>
          <w:jc w:val="center"/>
        </w:trPr>
        <w:tc>
          <w:tcPr>
            <w:tcW w:w="2381" w:type="dxa"/>
          </w:tcPr>
          <w:p w14:paraId="5C7C885D" w14:textId="77777777" w:rsidR="00F82128" w:rsidRDefault="00F82128" w:rsidP="00354319">
            <w:r>
              <w:t>Heraeus/Polytec probe drawings</w:t>
            </w:r>
          </w:p>
        </w:tc>
        <w:tc>
          <w:tcPr>
            <w:tcW w:w="3515" w:type="dxa"/>
          </w:tcPr>
          <w:p w14:paraId="30884302" w14:textId="77777777" w:rsidR="00F82128" w:rsidRDefault="00F82128" w:rsidP="00354319">
            <w:r>
              <w:t>Probe length, diameters, pop-out force and slag sampler geometry.</w:t>
            </w:r>
          </w:p>
        </w:tc>
        <w:tc>
          <w:tcPr>
            <w:tcW w:w="3288" w:type="dxa"/>
          </w:tcPr>
          <w:p w14:paraId="767F7ACA" w14:textId="77777777" w:rsidR="00F82128" w:rsidRDefault="00F82128" w:rsidP="00354319">
            <w:r>
              <w:t>Supported handling, transport and sampler compatibility assessment.</w:t>
            </w:r>
          </w:p>
        </w:tc>
      </w:tr>
      <w:tr w:rsidR="00F82128" w14:paraId="67AC54E8" w14:textId="77777777" w:rsidTr="00354319">
        <w:trPr>
          <w:jc w:val="center"/>
        </w:trPr>
        <w:tc>
          <w:tcPr>
            <w:tcW w:w="2381" w:type="dxa"/>
          </w:tcPr>
          <w:p w14:paraId="13A3E2D8" w14:textId="77777777" w:rsidR="00F82128" w:rsidRDefault="00F82128" w:rsidP="00354319">
            <w:r>
              <w:t>Telelift correspondence</w:t>
            </w:r>
          </w:p>
        </w:tc>
        <w:tc>
          <w:tcPr>
            <w:tcW w:w="3515" w:type="dxa"/>
          </w:tcPr>
          <w:p w14:paraId="11423FCE" w14:textId="77777777" w:rsidR="00F82128" w:rsidRDefault="00F82128" w:rsidP="00354319">
            <w:r>
              <w:t>Distance, vertical rise, cycle rate, speed, load, temperature, dust and vehicle assumptions.</w:t>
            </w:r>
          </w:p>
        </w:tc>
        <w:tc>
          <w:tcPr>
            <w:tcW w:w="3288" w:type="dxa"/>
          </w:tcPr>
          <w:p w14:paraId="35967251" w14:textId="77777777" w:rsidR="00F82128" w:rsidRDefault="00F82128" w:rsidP="00354319">
            <w:r>
              <w:t>Supported sample transport feasibility and risk assessment.</w:t>
            </w:r>
          </w:p>
        </w:tc>
      </w:tr>
    </w:tbl>
    <w:p w14:paraId="59422D0F" w14:textId="77777777" w:rsidR="00F82128" w:rsidRDefault="00F82128" w:rsidP="00F82128">
      <w:pPr>
        <w:pStyle w:val="Heading2"/>
      </w:pPr>
      <w:bookmarkStart w:id="51" w:name="_Toc234060404"/>
      <w:bookmarkStart w:id="52" w:name="_Toc234699525"/>
      <w:r>
        <w:lastRenderedPageBreak/>
        <w:t>Option generation</w:t>
      </w:r>
      <w:bookmarkEnd w:id="51"/>
      <w:bookmarkEnd w:id="52"/>
      <w:r>
        <w:t xml:space="preserve"> </w:t>
      </w:r>
    </w:p>
    <w:p w14:paraId="5AC77E0D" w14:textId="77777777" w:rsidR="009A3CB3" w:rsidRDefault="00757D88" w:rsidP="00757D88">
      <w:bookmarkStart w:id="53" w:name="_Toc234060405"/>
      <w:r>
        <w:t xml:space="preserve">Option generation deliberately included unattractive alternatives as well as attractive ones, to avoid the common trap of designing the decision around a preferred answer. Six options were considered: </w:t>
      </w:r>
    </w:p>
    <w:p w14:paraId="323B9E40" w14:textId="77777777" w:rsidR="009A3CB3" w:rsidRPr="009A3CB3" w:rsidRDefault="00757D88" w:rsidP="009A3CB3">
      <w:pPr>
        <w:pStyle w:val="ListParagraph"/>
        <w:numPr>
          <w:ilvl w:val="0"/>
          <w:numId w:val="6"/>
        </w:numPr>
      </w:pPr>
      <w:r>
        <w:rPr>
          <w:b/>
          <w:bCs/>
        </w:rPr>
        <w:t>Option 1</w:t>
      </w:r>
      <w:r>
        <w:t xml:space="preserve"> was the manual baseline: continued manual steel and slag sampling with procedural improvements. </w:t>
      </w:r>
    </w:p>
    <w:p w14:paraId="3432DBD0" w14:textId="77777777" w:rsidR="009A3CB3" w:rsidRPr="009A3CB3" w:rsidRDefault="00757D88" w:rsidP="009A3CB3">
      <w:pPr>
        <w:pStyle w:val="ListParagraph"/>
        <w:numPr>
          <w:ilvl w:val="0"/>
          <w:numId w:val="6"/>
        </w:numPr>
      </w:pPr>
      <w:r>
        <w:rPr>
          <w:b/>
          <w:bCs/>
        </w:rPr>
        <w:t>Option 2</w:t>
      </w:r>
      <w:r>
        <w:t xml:space="preserve"> was the proven robotic steel sampling baseline, using PolySAMPLE EAF for temperature and steel sampling with manual or semi-manual sample transport. </w:t>
      </w:r>
    </w:p>
    <w:p w14:paraId="1E2776E2" w14:textId="77777777" w:rsidR="009A3CB3" w:rsidRPr="009A3CB3" w:rsidRDefault="00757D88" w:rsidP="009A3CB3">
      <w:pPr>
        <w:pStyle w:val="ListParagraph"/>
        <w:numPr>
          <w:ilvl w:val="0"/>
          <w:numId w:val="6"/>
        </w:numPr>
      </w:pPr>
      <w:r>
        <w:rPr>
          <w:b/>
          <w:bCs/>
        </w:rPr>
        <w:t>Option 3</w:t>
      </w:r>
      <w:r>
        <w:t xml:space="preserve"> added automated sample transport from robot to laboratory using a protected Telelift-type system. </w:t>
      </w:r>
    </w:p>
    <w:p w14:paraId="6B08780B" w14:textId="77777777" w:rsidR="009A3CB3" w:rsidRPr="009A3CB3" w:rsidRDefault="00757D88" w:rsidP="009A3CB3">
      <w:pPr>
        <w:pStyle w:val="ListParagraph"/>
        <w:numPr>
          <w:ilvl w:val="0"/>
          <w:numId w:val="6"/>
        </w:numPr>
      </w:pPr>
      <w:r>
        <w:rPr>
          <w:b/>
          <w:bCs/>
        </w:rPr>
        <w:t>Option 4</w:t>
      </w:r>
      <w:r>
        <w:t xml:space="preserve"> extended the robotic solution to automated EAF slag sampling. </w:t>
      </w:r>
    </w:p>
    <w:p w14:paraId="3EF223D3" w14:textId="77777777" w:rsidR="009A3CB3" w:rsidRPr="009A3CB3" w:rsidRDefault="00757D88" w:rsidP="009A3CB3">
      <w:pPr>
        <w:pStyle w:val="ListParagraph"/>
        <w:numPr>
          <w:ilvl w:val="0"/>
          <w:numId w:val="6"/>
        </w:numPr>
      </w:pPr>
      <w:r>
        <w:rPr>
          <w:b/>
          <w:bCs/>
        </w:rPr>
        <w:t>Option 5</w:t>
      </w:r>
      <w:r>
        <w:t xml:space="preserve"> was a staged slag strategy: proven steel sampling and transport implemented now, with EAF vertical slag sampling treated as a separate development path, potentially starting with ladle furnace or off-furnace slag sampling where conditions are more controlled. </w:t>
      </w:r>
    </w:p>
    <w:p w14:paraId="6A5529CB" w14:textId="77777777" w:rsidR="00757D88" w:rsidRPr="009A3CB3" w:rsidRDefault="00757D88" w:rsidP="009A3CB3">
      <w:pPr>
        <w:pStyle w:val="ListParagraph"/>
        <w:numPr>
          <w:ilvl w:val="0"/>
          <w:numId w:val="6"/>
        </w:numPr>
      </w:pPr>
      <w:r>
        <w:rPr>
          <w:b/>
          <w:bCs/>
        </w:rPr>
        <w:t>Option 6</w:t>
      </w:r>
      <w:r>
        <w:t xml:space="preserve"> was a dedicated fixed or telescopic vertical slag sampler, independent of the main robot.</w:t>
      </w:r>
    </w:p>
    <w:p w14:paraId="60315046" w14:textId="77777777" w:rsidR="00757D88" w:rsidRDefault="00757D88" w:rsidP="00757D88">
      <w:r>
        <w:t>The options were screened for obvious incompatibility before scoring. A purely manual option could not be rejected at screening because it remains technically possible, though it was expected to score poorly on exposure and automation alignment. Equally, a fully automated vertical slag option could not be accepted just because it is desirable; it had to be judged on evidence of maturity, reach, heat protection, sample integrity and maintainability. A transport option had to be judged against cycle time and load assumptions, not just its potential to remove manual carrying.</w:t>
      </w:r>
    </w:p>
    <w:p w14:paraId="5EE16D1D" w14:textId="77777777" w:rsidR="00F82128" w:rsidRDefault="00E56055" w:rsidP="00E56055">
      <w:pPr>
        <w:pStyle w:val="Heading2"/>
      </w:pPr>
      <w:bookmarkStart w:id="54" w:name="_Toc234699526"/>
      <w:r>
        <w:t>Evaluation criteria and weighting</w:t>
      </w:r>
      <w:bookmarkEnd w:id="53"/>
      <w:bookmarkEnd w:id="54"/>
      <w:r>
        <w:t xml:space="preserve"> </w:t>
      </w:r>
    </w:p>
    <w:p w14:paraId="0923C9A8" w14:textId="77777777" w:rsidR="00DA2CC1" w:rsidRDefault="00AB1376" w:rsidP="005B3F79">
      <w:bookmarkStart w:id="55" w:name="_Toc234049064"/>
      <w:bookmarkStart w:id="56" w:name="_Toc234060452"/>
      <w:bookmarkStart w:id="57" w:name="_Toc234060462"/>
      <w:r>
        <w:t xml:space="preserve">The weighted decision matrix used seven criteria, as </w:t>
      </w:r>
      <w:r w:rsidRPr="00276EA3">
        <w:t>shown in Table 3: safety</w:t>
      </w:r>
      <w:r>
        <w:t xml:space="preserve"> risk reduction; sampling repeatability and quality; technical maturity; integration with the Project Invictus design; analytical turnaround and process-control value; maintainability and abnormal-operation resilience; and cost and programme certainty. The weights reflect the nature of the project. Safety and sampling quality were given the highest combined importance because the purpose of the project is to reduce exposure while improving process data. Technical maturity was also weighted strongly, because the system will operate in a major new production facility and cannot rest on unproven assumptions at design freeze.</w:t>
      </w:r>
      <w:bookmarkEnd w:id="55"/>
      <w:bookmarkEnd w:id="56"/>
      <w:bookmarkEnd w:id="57"/>
    </w:p>
    <w:p w14:paraId="3CFBD686" w14:textId="77777777" w:rsidR="00CE3E6A" w:rsidRDefault="00CE3E6A" w:rsidP="00CE3E6A">
      <w:pPr>
        <w:pStyle w:val="Caption"/>
        <w:keepNext/>
        <w:jc w:val="center"/>
      </w:pPr>
      <w:bookmarkStart w:id="58" w:name="_Toc234530031"/>
      <w:r>
        <w:lastRenderedPageBreak/>
        <w:t xml:space="preserve">Table </w:t>
      </w:r>
      <w:fldSimple w:instr=" SEQ Table \* ARABIC ">
        <w:r>
          <w:rPr>
            <w:noProof/>
          </w:rPr>
          <w:t>3</w:t>
        </w:r>
      </w:fldSimple>
      <w:r>
        <w:t>: Evaluation criteria and weighting</w:t>
      </w:r>
      <w:bookmarkEnd w:id="58"/>
    </w:p>
    <w:tbl>
      <w:tblPr>
        <w:tblStyle w:val="TableGrid"/>
        <w:tblW w:w="0" w:type="auto"/>
        <w:jc w:val="center"/>
        <w:tblLook w:val="04A0" w:firstRow="1" w:lastRow="0" w:firstColumn="1" w:lastColumn="0" w:noHBand="0" w:noVBand="1"/>
      </w:tblPr>
      <w:tblGrid>
        <w:gridCol w:w="2831"/>
        <w:gridCol w:w="1132"/>
        <w:gridCol w:w="5053"/>
      </w:tblGrid>
      <w:tr w:rsidR="00DA2CC1" w14:paraId="36E9BA08" w14:textId="77777777" w:rsidTr="00DA2CC1">
        <w:trPr>
          <w:jc w:val="center"/>
        </w:trPr>
        <w:tc>
          <w:tcPr>
            <w:tcW w:w="2835" w:type="dxa"/>
            <w:shd w:val="clear" w:color="auto" w:fill="D9D9D9" w:themeFill="background1" w:themeFillShade="D9"/>
            <w:vAlign w:val="center"/>
          </w:tcPr>
          <w:p w14:paraId="246197C4" w14:textId="77777777" w:rsidR="00DA2CC1" w:rsidRPr="00DA2CC1" w:rsidRDefault="00DA2CC1" w:rsidP="00DA2CC1">
            <w:pPr>
              <w:jc w:val="center"/>
              <w:rPr>
                <w:b/>
                <w:bCs/>
              </w:rPr>
            </w:pPr>
            <w:r>
              <w:rPr>
                <w:b/>
                <w:bCs/>
              </w:rPr>
              <w:t>Criterion</w:t>
            </w:r>
          </w:p>
        </w:tc>
        <w:tc>
          <w:tcPr>
            <w:tcW w:w="1134" w:type="dxa"/>
            <w:shd w:val="clear" w:color="auto" w:fill="D9D9D9" w:themeFill="background1" w:themeFillShade="D9"/>
            <w:vAlign w:val="center"/>
          </w:tcPr>
          <w:p w14:paraId="4F07FFD0" w14:textId="77777777" w:rsidR="00DA2CC1" w:rsidRPr="00DA2CC1" w:rsidRDefault="00DA2CC1" w:rsidP="00DA2CC1">
            <w:pPr>
              <w:jc w:val="center"/>
              <w:rPr>
                <w:b/>
                <w:bCs/>
              </w:rPr>
            </w:pPr>
            <w:r>
              <w:rPr>
                <w:b/>
                <w:bCs/>
              </w:rPr>
              <w:t>Weight</w:t>
            </w:r>
          </w:p>
        </w:tc>
        <w:tc>
          <w:tcPr>
            <w:tcW w:w="5102" w:type="dxa"/>
            <w:shd w:val="clear" w:color="auto" w:fill="D9D9D9" w:themeFill="background1" w:themeFillShade="D9"/>
            <w:vAlign w:val="center"/>
          </w:tcPr>
          <w:p w14:paraId="00ED9E97" w14:textId="77777777" w:rsidR="00DA2CC1" w:rsidRPr="00DA2CC1" w:rsidRDefault="00DA2CC1" w:rsidP="00DA2CC1">
            <w:pPr>
              <w:jc w:val="center"/>
              <w:rPr>
                <w:b/>
                <w:bCs/>
              </w:rPr>
            </w:pPr>
            <w:r>
              <w:rPr>
                <w:b/>
                <w:bCs/>
              </w:rPr>
              <w:t>Rationale</w:t>
            </w:r>
          </w:p>
        </w:tc>
      </w:tr>
      <w:tr w:rsidR="00DA2CC1" w14:paraId="39CF8CF7" w14:textId="77777777" w:rsidTr="00354319">
        <w:trPr>
          <w:jc w:val="center"/>
        </w:trPr>
        <w:tc>
          <w:tcPr>
            <w:tcW w:w="2835" w:type="dxa"/>
          </w:tcPr>
          <w:p w14:paraId="3F92A112" w14:textId="77777777" w:rsidR="00DA2CC1" w:rsidRDefault="00DA2CC1" w:rsidP="00354319">
            <w:r>
              <w:t>Safety risk reduction</w:t>
            </w:r>
          </w:p>
        </w:tc>
        <w:tc>
          <w:tcPr>
            <w:tcW w:w="1134" w:type="dxa"/>
          </w:tcPr>
          <w:p w14:paraId="7739FE83" w14:textId="77777777" w:rsidR="00DA2CC1" w:rsidRDefault="00DA2CC1" w:rsidP="00354319">
            <w:r>
              <w:t>25%</w:t>
            </w:r>
          </w:p>
        </w:tc>
        <w:tc>
          <w:tcPr>
            <w:tcW w:w="5102" w:type="dxa"/>
          </w:tcPr>
          <w:p w14:paraId="06E5D2AB" w14:textId="77777777" w:rsidR="00DA2CC1" w:rsidRDefault="00DA2CC1" w:rsidP="00354319">
            <w:r>
              <w:t>High-temperature furnace sampling has credible serious injury potential; engineering control is a primary driver.</w:t>
            </w:r>
          </w:p>
        </w:tc>
      </w:tr>
      <w:tr w:rsidR="00DA2CC1" w14:paraId="7361C3B0" w14:textId="77777777" w:rsidTr="00354319">
        <w:trPr>
          <w:jc w:val="center"/>
        </w:trPr>
        <w:tc>
          <w:tcPr>
            <w:tcW w:w="2835" w:type="dxa"/>
          </w:tcPr>
          <w:p w14:paraId="6A5FA4F6" w14:textId="77777777" w:rsidR="00DA2CC1" w:rsidRDefault="00DA2CC1" w:rsidP="00354319">
            <w:r>
              <w:t>Sampling repeatability and quality</w:t>
            </w:r>
          </w:p>
        </w:tc>
        <w:tc>
          <w:tcPr>
            <w:tcW w:w="1134" w:type="dxa"/>
          </w:tcPr>
          <w:p w14:paraId="72486B46" w14:textId="77777777" w:rsidR="00DA2CC1" w:rsidRDefault="00DA2CC1" w:rsidP="00354319">
            <w:r>
              <w:t>20%</w:t>
            </w:r>
          </w:p>
        </w:tc>
        <w:tc>
          <w:tcPr>
            <w:tcW w:w="5102" w:type="dxa"/>
          </w:tcPr>
          <w:p w14:paraId="5F484A93" w14:textId="77777777" w:rsidR="00DA2CC1" w:rsidRDefault="00DA2CC1" w:rsidP="00354319">
            <w:r>
              <w:t>The system must improve data consistency, not only move the operator away.</w:t>
            </w:r>
          </w:p>
        </w:tc>
      </w:tr>
      <w:tr w:rsidR="00DA2CC1" w14:paraId="2737B288" w14:textId="77777777" w:rsidTr="00354319">
        <w:trPr>
          <w:jc w:val="center"/>
        </w:trPr>
        <w:tc>
          <w:tcPr>
            <w:tcW w:w="2835" w:type="dxa"/>
          </w:tcPr>
          <w:p w14:paraId="089D326C" w14:textId="77777777" w:rsidR="00DA2CC1" w:rsidRDefault="00DA2CC1" w:rsidP="00354319">
            <w:r>
              <w:t>Technical maturity</w:t>
            </w:r>
          </w:p>
        </w:tc>
        <w:tc>
          <w:tcPr>
            <w:tcW w:w="1134" w:type="dxa"/>
          </w:tcPr>
          <w:p w14:paraId="11A419E7" w14:textId="77777777" w:rsidR="00DA2CC1" w:rsidRDefault="00DA2CC1" w:rsidP="00354319">
            <w:r>
              <w:t>15%</w:t>
            </w:r>
          </w:p>
        </w:tc>
        <w:tc>
          <w:tcPr>
            <w:tcW w:w="5102" w:type="dxa"/>
          </w:tcPr>
          <w:p w14:paraId="5F825D07" w14:textId="77777777" w:rsidR="00DA2CC1" w:rsidRDefault="00DA2CC1" w:rsidP="00354319">
            <w:r>
              <w:t>Production-critical equipment requires proven technology or a clear validation path.</w:t>
            </w:r>
          </w:p>
        </w:tc>
      </w:tr>
      <w:tr w:rsidR="00DA2CC1" w14:paraId="6FFE4133" w14:textId="77777777" w:rsidTr="00354319">
        <w:trPr>
          <w:jc w:val="center"/>
        </w:trPr>
        <w:tc>
          <w:tcPr>
            <w:tcW w:w="2835" w:type="dxa"/>
          </w:tcPr>
          <w:p w14:paraId="1EC8CED8" w14:textId="77777777" w:rsidR="00DA2CC1" w:rsidRDefault="00DA2CC1" w:rsidP="00354319">
            <w:r>
              <w:t>Integration with Project Invictus</w:t>
            </w:r>
          </w:p>
        </w:tc>
        <w:tc>
          <w:tcPr>
            <w:tcW w:w="1134" w:type="dxa"/>
          </w:tcPr>
          <w:p w14:paraId="18B3FA3B" w14:textId="77777777" w:rsidR="00DA2CC1" w:rsidRDefault="00DA2CC1" w:rsidP="00354319">
            <w:r>
              <w:t>15%</w:t>
            </w:r>
          </w:p>
        </w:tc>
        <w:tc>
          <w:tcPr>
            <w:tcW w:w="5102" w:type="dxa"/>
          </w:tcPr>
          <w:p w14:paraId="4B936108" w14:textId="77777777" w:rsidR="00DA2CC1" w:rsidRDefault="00DA2CC1" w:rsidP="00354319">
            <w:r>
              <w:t>The option must fit robot, furnace, laboratory, crane and utility constraints.</w:t>
            </w:r>
          </w:p>
        </w:tc>
      </w:tr>
      <w:tr w:rsidR="00DA2CC1" w14:paraId="6A5A7490" w14:textId="77777777" w:rsidTr="00354319">
        <w:trPr>
          <w:jc w:val="center"/>
        </w:trPr>
        <w:tc>
          <w:tcPr>
            <w:tcW w:w="2835" w:type="dxa"/>
          </w:tcPr>
          <w:p w14:paraId="081844CE" w14:textId="77777777" w:rsidR="00DA2CC1" w:rsidRDefault="00DA2CC1" w:rsidP="00354319">
            <w:r>
              <w:t>Turnaround/process-control value</w:t>
            </w:r>
          </w:p>
        </w:tc>
        <w:tc>
          <w:tcPr>
            <w:tcW w:w="1134" w:type="dxa"/>
          </w:tcPr>
          <w:p w14:paraId="26144F4E" w14:textId="77777777" w:rsidR="00DA2CC1" w:rsidRDefault="00DA2CC1" w:rsidP="00354319">
            <w:r>
              <w:t>10%</w:t>
            </w:r>
          </w:p>
        </w:tc>
        <w:tc>
          <w:tcPr>
            <w:tcW w:w="5102" w:type="dxa"/>
          </w:tcPr>
          <w:p w14:paraId="74332D36" w14:textId="77777777" w:rsidR="00DA2CC1" w:rsidRDefault="00DA2CC1" w:rsidP="00354319">
            <w:r>
              <w:t>Fast feedback improves furnace control and recovery from failed samples.</w:t>
            </w:r>
          </w:p>
        </w:tc>
      </w:tr>
      <w:tr w:rsidR="00DA2CC1" w14:paraId="598548DF" w14:textId="77777777" w:rsidTr="00354319">
        <w:trPr>
          <w:jc w:val="center"/>
        </w:trPr>
        <w:tc>
          <w:tcPr>
            <w:tcW w:w="2835" w:type="dxa"/>
          </w:tcPr>
          <w:p w14:paraId="2B36B392" w14:textId="77777777" w:rsidR="00DA2CC1" w:rsidRDefault="00DA2CC1" w:rsidP="00354319">
            <w:r>
              <w:t>Maintainability/resilience</w:t>
            </w:r>
          </w:p>
        </w:tc>
        <w:tc>
          <w:tcPr>
            <w:tcW w:w="1134" w:type="dxa"/>
          </w:tcPr>
          <w:p w14:paraId="6C93BA28" w14:textId="77777777" w:rsidR="00DA2CC1" w:rsidRDefault="00DA2CC1" w:rsidP="00354319">
            <w:r>
              <w:t>10%</w:t>
            </w:r>
          </w:p>
        </w:tc>
        <w:tc>
          <w:tcPr>
            <w:tcW w:w="5102" w:type="dxa"/>
          </w:tcPr>
          <w:p w14:paraId="7A5993BA" w14:textId="77777777" w:rsidR="00DA2CC1" w:rsidRDefault="00DA2CC1" w:rsidP="00354319">
            <w:r>
              <w:t>The system must be maintainable and recoverable during abnormal operation.</w:t>
            </w:r>
          </w:p>
        </w:tc>
      </w:tr>
      <w:tr w:rsidR="00DA2CC1" w14:paraId="5E409EE1" w14:textId="77777777" w:rsidTr="00354319">
        <w:trPr>
          <w:jc w:val="center"/>
        </w:trPr>
        <w:tc>
          <w:tcPr>
            <w:tcW w:w="2835" w:type="dxa"/>
          </w:tcPr>
          <w:p w14:paraId="6949680E" w14:textId="77777777" w:rsidR="00DA2CC1" w:rsidRDefault="00DA2CC1" w:rsidP="00354319">
            <w:r>
              <w:t>Cost and programme certainty</w:t>
            </w:r>
          </w:p>
        </w:tc>
        <w:tc>
          <w:tcPr>
            <w:tcW w:w="1134" w:type="dxa"/>
          </w:tcPr>
          <w:p w14:paraId="4029C125" w14:textId="77777777" w:rsidR="00DA2CC1" w:rsidRDefault="00DA2CC1" w:rsidP="00354319">
            <w:r>
              <w:t>5%</w:t>
            </w:r>
          </w:p>
        </w:tc>
        <w:tc>
          <w:tcPr>
            <w:tcW w:w="5102" w:type="dxa"/>
          </w:tcPr>
          <w:p w14:paraId="1CE37D0A" w14:textId="77777777" w:rsidR="00DA2CC1" w:rsidRDefault="00DA2CC1" w:rsidP="00354319">
            <w:r>
              <w:t>Cost is important but was not weighted above safety and process performance at concept stage.</w:t>
            </w:r>
          </w:p>
        </w:tc>
      </w:tr>
    </w:tbl>
    <w:p w14:paraId="701C0B0E" w14:textId="77777777" w:rsidR="00BC4E7C" w:rsidRDefault="00BC4E7C" w:rsidP="00BC4E7C">
      <w:bookmarkStart w:id="59" w:name="_Toc234060406"/>
    </w:p>
    <w:p w14:paraId="7EE118CF" w14:textId="77777777" w:rsidR="00BC4E7C" w:rsidRDefault="00BC4E7C" w:rsidP="00BC4E7C">
      <w:r>
        <w:t>Scoring used a one-to-five scale: one for poor performance or unacceptable uncertainty, three for a workable option with material limitations or validation needs, and five for strong performance supported by the available evidence. Each score was multiplied by its criterion weight and the results summed to give a weighted total out of 5.00. Because several criteria are qualitative, the matrix should be read as a structured judgement tool rather than a mathematical proof; its value lies in making the assumptions visible and testable. For exactly that reason, the sensitivity of the result to the chosen weights was tested explicitly, and the outcome is reported alongside the matrix in Section 5.3. The scoring rationale for each option is summarised in Appendix A.</w:t>
      </w:r>
    </w:p>
    <w:p w14:paraId="1C81BFA7" w14:textId="77777777" w:rsidR="00E31EB2" w:rsidRDefault="00E31EB2" w:rsidP="00E31EB2">
      <w:pPr>
        <w:pStyle w:val="Heading2"/>
      </w:pPr>
      <w:bookmarkStart w:id="60" w:name="_Toc234699527"/>
      <w:r>
        <w:t>Safety and human-factor assessment method</w:t>
      </w:r>
      <w:bookmarkEnd w:id="59"/>
      <w:bookmarkEnd w:id="60"/>
      <w:r>
        <w:t xml:space="preserve"> </w:t>
      </w:r>
    </w:p>
    <w:p w14:paraId="38A22649" w14:textId="77777777" w:rsidR="00A36722" w:rsidRDefault="00A36722" w:rsidP="00A36722">
      <w:bookmarkStart w:id="61" w:name="_Toc234060407"/>
      <w:r>
        <w:t xml:space="preserve">Safety was assessed by task-based comparison rather than a generic hazard list. The manual baseline was broken into approach, probe preparation, furnace access, insertion, withdrawal, hot sample handling, transport to laboratory, sample breakout and repeat sampling. The automated options were broken into cartridge loading, robot operation, sample cutting, transport transfer, laboratory receipt, maintenance access, cleaning, fault recovery and manual override. This method was chosen because automation does not </w:t>
      </w:r>
      <w:r>
        <w:lastRenderedPageBreak/>
        <w:t xml:space="preserve">remove tasks so much as change who performs them, where, and under what conditions. </w:t>
      </w:r>
      <w:proofErr w:type="gramStart"/>
      <w:r>
        <w:t>Therefore</w:t>
      </w:r>
      <w:proofErr w:type="gramEnd"/>
      <w:r>
        <w:t xml:space="preserve"> a credible comparison </w:t>
      </w:r>
      <w:proofErr w:type="gramStart"/>
      <w:r>
        <w:t>has to</w:t>
      </w:r>
      <w:proofErr w:type="gramEnd"/>
      <w:r>
        <w:t xml:space="preserve"> cover the whole task system.</w:t>
      </w:r>
    </w:p>
    <w:p w14:paraId="3FA39656" w14:textId="77777777" w:rsidR="00A36722" w:rsidRDefault="00A36722" w:rsidP="00A36722">
      <w:r>
        <w:t xml:space="preserve">The assessment covered both normal and abnormal operation. Abnormal operation included mis-samples, broken probes, failed tool changes, transport vehicle faults, dust accumulation, power loss, robot interlock trips, samples too hot for transport, the laboratory being unable to accept a sample, and the need for manual fallback. The residual risk is likely to sit in these recovery tasks, because people can be drawn back towards hot probes, damaged tooling or stopped equipment when the automatic sequence has failed. Resilience and recoverability were therefore treated as decision </w:t>
      </w:r>
      <w:proofErr w:type="gramStart"/>
      <w:r>
        <w:t>criteria in their own right, not</w:t>
      </w:r>
      <w:proofErr w:type="gramEnd"/>
      <w:r>
        <w:t xml:space="preserve"> afterthoughts.</w:t>
      </w:r>
    </w:p>
    <w:p w14:paraId="01CB3697" w14:textId="77777777" w:rsidR="00035805" w:rsidRDefault="00035805" w:rsidP="00035805">
      <w:pPr>
        <w:pStyle w:val="Heading2"/>
      </w:pPr>
      <w:bookmarkStart w:id="62" w:name="_Toc234699528"/>
      <w:r>
        <w:t>Limitations of the method</w:t>
      </w:r>
      <w:bookmarkEnd w:id="61"/>
      <w:bookmarkEnd w:id="62"/>
      <w:r>
        <w:t xml:space="preserve"> </w:t>
      </w:r>
    </w:p>
    <w:p w14:paraId="6BF9EE0F" w14:textId="77777777" w:rsidR="008B19F6" w:rsidRDefault="0094638E" w:rsidP="0094638E">
      <w:r>
        <w:t>The main limitation is the absence of a live EAF sampling trial. The optioneering has therefore not been presented as validation of a final design. The evidence is adequate for a concept-stage recommendation, but not for commissioning release. Some supplier information is preliminary and may change through detailed design. Cost data are incomplete, so cost was assessed qualitatively rather than through whole-life cost modelling. The lack of validated public data on automated vertical EAF slag sampling makes technical maturity hard to prove either way. Laboratory analytical times, sample preparation procedures and the exact production sequence also remain to be validated. The recommendation should therefore be read as a staged engineering decision, not a final commissioning specification.</w:t>
      </w:r>
    </w:p>
    <w:p w14:paraId="6E2E9FEC" w14:textId="77777777" w:rsidR="00035805" w:rsidRDefault="00E938A4" w:rsidP="00625E90">
      <w:pPr>
        <w:pStyle w:val="Heading2"/>
      </w:pPr>
      <w:bookmarkStart w:id="63" w:name="_Toc234060408"/>
      <w:bookmarkStart w:id="64" w:name="_Toc234699529"/>
      <w:r>
        <w:lastRenderedPageBreak/>
        <w:t>Project Plan</w:t>
      </w:r>
      <w:bookmarkEnd w:id="63"/>
      <w:r>
        <w:t xml:space="preserve"> and work carried out</w:t>
      </w:r>
      <w:bookmarkEnd w:id="64"/>
    </w:p>
    <w:p w14:paraId="0DBA15DA" w14:textId="77777777" w:rsidR="001572C3" w:rsidRPr="001572C3" w:rsidRDefault="00097E62" w:rsidP="001572C3">
      <w:r>
        <w:rPr>
          <w:noProof/>
        </w:rPr>
        <mc:AlternateContent>
          <mc:Choice Requires="wps">
            <w:drawing>
              <wp:anchor distT="0" distB="0" distL="114300" distR="114300" simplePos="0" relativeHeight="251671040" behindDoc="0" locked="0" layoutInCell="1" allowOverlap="1" wp14:anchorId="4A5CDDB4" wp14:editId="67B2121D">
                <wp:simplePos x="0" y="0"/>
                <wp:positionH relativeFrom="column">
                  <wp:posOffset>419100</wp:posOffset>
                </wp:positionH>
                <wp:positionV relativeFrom="paragraph">
                  <wp:posOffset>5816600</wp:posOffset>
                </wp:positionV>
                <wp:extent cx="4855210" cy="635"/>
                <wp:effectExtent l="0" t="0" r="0" b="0"/>
                <wp:wrapTopAndBottom/>
                <wp:docPr id="61725760" name="Text Box 1"/>
                <wp:cNvGraphicFramePr/>
                <a:graphic xmlns:a="http://schemas.openxmlformats.org/drawingml/2006/main">
                  <a:graphicData uri="http://schemas.microsoft.com/office/word/2010/wordprocessingShape">
                    <wps:wsp>
                      <wps:cNvSpPr txBox="1"/>
                      <wps:spPr>
                        <a:xfrm>
                          <a:off x="0" y="0"/>
                          <a:ext cx="4855210" cy="635"/>
                        </a:xfrm>
                        <a:prstGeom prst="rect">
                          <a:avLst/>
                        </a:prstGeom>
                        <a:solidFill>
                          <a:prstClr val="white"/>
                        </a:solidFill>
                        <a:ln>
                          <a:noFill/>
                        </a:ln>
                      </wps:spPr>
                      <wps:txbx>
                        <w:txbxContent>
                          <w:p w14:paraId="405F2892" w14:textId="77777777" w:rsidR="00570D4E" w:rsidRPr="00B53977" w:rsidRDefault="00570D4E" w:rsidP="00570D4E">
                            <w:pPr>
                              <w:pStyle w:val="Caption"/>
                              <w:jc w:val="center"/>
                              <w:rPr>
                                <w:noProof/>
                                <w:sz w:val="22"/>
                                <w:szCs w:val="22"/>
                              </w:rPr>
                            </w:pPr>
                            <w:bookmarkStart w:id="65" w:name="_Toc234530012"/>
                            <w:r>
                              <w:t xml:space="preserve">Figure </w:t>
                            </w:r>
                            <w:fldSimple w:instr=" SEQ Figure \* ARABIC ">
                              <w:r>
                                <w:rPr>
                                  <w:noProof/>
                                </w:rPr>
                                <w:t>5</w:t>
                              </w:r>
                            </w:fldSimple>
                            <w:r>
                              <w:t>: EAF and slag sampling optimisation: Optioneering Project Plan</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A5CDDB4" id="_x0000_t202" coordsize="21600,21600" o:spt="202" path="m,l,21600r21600,l21600,xe">
                <v:stroke joinstyle="miter"/>
                <v:path gradientshapeok="t" o:connecttype="rect"/>
              </v:shapetype>
              <v:shape id="Text Box 1" o:spid="_x0000_s1026" type="#_x0000_t202" style="position:absolute;margin-left:33pt;margin-top:458pt;width:382.3pt;height:.05pt;z-index:251671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" stroked="f">
                <v:textbox style="mso-fit-shape-to-text:t" inset="0,0,0,0">
                  <w:txbxContent>
                    <w:p w14:paraId="405F2892" w14:textId="77777777" w:rsidR="00570D4E" w:rsidRPr="00B53977" w:rsidRDefault="00570D4E" w:rsidP="00570D4E">
                      <w:pPr>
                        <w:pStyle w:val="Caption"/>
                        <w:jc w:val="center"/>
                        <w:rPr>
                          <w:noProof/>
                          <w:sz w:val="22"/>
                          <w:szCs w:val="22"/>
                        </w:rPr>
                      </w:pPr>
                      <w:bookmarkStart w:id="66" w:name="_Toc234530012"/>
                      <w:r>
                        <w:t xml:space="preserve">Figure </w:t>
                      </w:r>
                      <w:fldSimple w:instr=" SEQ Figure \* ARABIC ">
                        <w:r>
                          <w:rPr>
                            <w:noProof/>
                          </w:rPr>
                          <w:t>5</w:t>
                        </w:r>
                      </w:fldSimple>
                      <w:r>
                        <w:t>: EAF and slag sampling optimisation: Optioneering Project Plan</w:t>
                      </w:r>
                      <w:bookmarkEnd w:id="66"/>
                    </w:p>
                  </w:txbxContent>
                </v:textbox>
                <w10:wrap type="topAndBottom"/>
              </v:shape>
            </w:pict>
          </mc:Fallback>
        </mc:AlternateContent>
      </w:r>
      <w:r>
        <w:rPr>
          <w:noProof/>
        </w:rPr>
        <w:drawing>
          <wp:anchor distT="0" distB="0" distL="114300" distR="114300" simplePos="0" relativeHeight="251660800" behindDoc="0" locked="0" layoutInCell="1" allowOverlap="1" wp14:anchorId="356DC691" wp14:editId="4F676EF5">
            <wp:simplePos x="0" y="0"/>
            <wp:positionH relativeFrom="column">
              <wp:posOffset>419100</wp:posOffset>
            </wp:positionH>
            <wp:positionV relativeFrom="paragraph">
              <wp:posOffset>2060575</wp:posOffset>
            </wp:positionV>
            <wp:extent cx="4855425" cy="3632530"/>
            <wp:effectExtent l="19050" t="19050" r="23495" b="10160"/>
            <wp:wrapTopAndBottom/>
            <wp:docPr id="16438468" name="Picture 1" descr="A graph with blue rectangular object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468" name="Picture 1" descr="A graph with blue rectangular objects  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855425" cy="3632530"/>
                    </a:xfrm>
                    <a:prstGeom prst="rect">
                      <a:avLst/>
                    </a:prstGeom>
                    <a:ln>
                      <a:solidFill>
                        <a:schemeClr val="bg1">
                          <a:lumMod val="85000"/>
                        </a:schemeClr>
                      </a:solidFill>
                    </a:ln>
                  </pic:spPr>
                </pic:pic>
              </a:graphicData>
            </a:graphic>
            <wp14:sizeRelH relativeFrom="margin">
              <wp14:pctWidth>0</wp14:pctWidth>
            </wp14:sizeRelH>
            <wp14:sizeRelV relativeFrom="margin">
              <wp14:pctHeight>0</wp14:pctHeight>
            </wp14:sizeRelV>
          </wp:anchor>
        </w:drawing>
      </w:r>
      <w:r>
        <w:t>The project ran from September 2025 to July 2026, following the natural shape of an industry-based engineering study: problem definition and scoping, then literature review, industrial source review, task analysis, option generation, evaluation, synthesis and reporting. Figure 5 presents the timing plan as a Gantt chart. The work packages overlap deliberately; the literature and standards review continued while industrial source information was being examined, and the manual baseline assessment developed alongside option generation. That reflects the reality of an industrial project, where the final recommendation had to be shaped by academic evidence and emerging project information at the same time.</w:t>
      </w:r>
    </w:p>
    <w:p w14:paraId="36E4FC13" w14:textId="77777777" w:rsidR="00CB14D6" w:rsidRDefault="003C7172" w:rsidP="00097E62">
      <w:bookmarkStart w:id="67" w:name="_Toc234060447"/>
      <w:bookmarkStart w:id="68" w:name="_Toc234060448"/>
      <w:bookmarkStart w:id="69" w:name="_Toc234060449"/>
      <w:bookmarkEnd w:id="67"/>
      <w:bookmarkEnd w:id="68"/>
      <w:bookmarkEnd w:id="69"/>
      <w:r w:rsidRPr="00276EA3">
        <w:t>Table 4 summarises</w:t>
      </w:r>
      <w:r>
        <w:t xml:space="preserve"> the main work packages, their planned periods and completion status. Across those packages the work fell into eight activities: defining the problem (narrowing the topic from general hot-metal sampling to remote liquid-steel and slag sampling within the Project Invictus envelope); reviewing the literature and standards; reviewing the industrial sources; assessing the manual baseline as a complete task system; generating six options spanning mature and less mature solutions; scoring them against seven weighted criteria and testing sensitivity; synthesising the results into a staged recommendation; and producing and revising the report. </w:t>
      </w:r>
      <w:bookmarkStart w:id="70" w:name="_Toc234060453"/>
      <w:bookmarkStart w:id="71" w:name="_Toc234060463"/>
      <w:bookmarkEnd w:id="70"/>
      <w:bookmarkEnd w:id="71"/>
    </w:p>
    <w:p w14:paraId="09A7415E" w14:textId="77777777" w:rsidR="00CE3E6A" w:rsidRDefault="00CE3E6A" w:rsidP="00097E62"/>
    <w:p w14:paraId="70836C2B" w14:textId="77777777" w:rsidR="00CE3E6A" w:rsidRDefault="00CE3E6A" w:rsidP="00097E62"/>
    <w:p w14:paraId="7CD99039" w14:textId="77777777" w:rsidR="00CE3E6A" w:rsidRDefault="00CE3E6A" w:rsidP="00CE3E6A">
      <w:pPr>
        <w:pStyle w:val="Caption"/>
        <w:keepNext/>
        <w:jc w:val="center"/>
      </w:pPr>
      <w:bookmarkStart w:id="72" w:name="_Toc234530032"/>
      <w:r>
        <w:t xml:space="preserve">Table </w:t>
      </w:r>
      <w:fldSimple w:instr=" SEQ Table \* ARABIC ">
        <w:r>
          <w:rPr>
            <w:noProof/>
          </w:rPr>
          <w:t>4</w:t>
        </w:r>
      </w:fldSimple>
      <w:r>
        <w:t>: Project Plan Summary</w:t>
      </w:r>
      <w:bookmarkEnd w:id="72"/>
    </w:p>
    <w:tbl>
      <w:tblPr>
        <w:tblStyle w:val="TableGrid"/>
        <w:tblW w:w="0" w:type="auto"/>
        <w:tblLook w:val="04A0" w:firstRow="1" w:lastRow="0" w:firstColumn="1" w:lastColumn="0" w:noHBand="0" w:noVBand="1"/>
      </w:tblPr>
      <w:tblGrid>
        <w:gridCol w:w="1590"/>
        <w:gridCol w:w="1693"/>
        <w:gridCol w:w="3270"/>
        <w:gridCol w:w="2463"/>
      </w:tblGrid>
      <w:tr w:rsidR="00F507E6" w:rsidRPr="00F507E6" w14:paraId="5475E981" w14:textId="77777777" w:rsidTr="00F507E6">
        <w:tc>
          <w:tcPr>
            <w:tcW w:w="0" w:type="auto"/>
            <w:shd w:val="clear" w:color="auto" w:fill="D9D9D9" w:themeFill="background1" w:themeFillShade="D9"/>
            <w:hideMark/>
          </w:tcPr>
          <w:p w14:paraId="417EDC68" w14:textId="77777777" w:rsidR="00F507E6" w:rsidRPr="00F507E6" w:rsidRDefault="00B8357B" w:rsidP="00F507E6">
            <w:pPr>
              <w:spacing w:after="160"/>
              <w:jc w:val="center"/>
              <w:rPr>
                <w:b/>
                <w:bCs/>
              </w:rPr>
            </w:pPr>
            <w:r>
              <w:rPr>
                <w:b/>
                <w:bCs/>
              </w:rPr>
              <w:t>Work package</w:t>
            </w:r>
          </w:p>
        </w:tc>
        <w:tc>
          <w:tcPr>
            <w:tcW w:w="0" w:type="auto"/>
            <w:shd w:val="clear" w:color="auto" w:fill="D9D9D9" w:themeFill="background1" w:themeFillShade="D9"/>
            <w:hideMark/>
          </w:tcPr>
          <w:p w14:paraId="3ADA6BCE" w14:textId="77777777" w:rsidR="00F507E6" w:rsidRPr="00F507E6" w:rsidRDefault="00F507E6" w:rsidP="00F507E6">
            <w:pPr>
              <w:spacing w:after="160"/>
              <w:jc w:val="center"/>
              <w:rPr>
                <w:b/>
                <w:bCs/>
              </w:rPr>
            </w:pPr>
            <w:r>
              <w:rPr>
                <w:b/>
                <w:bCs/>
              </w:rPr>
              <w:t>Planned period</w:t>
            </w:r>
          </w:p>
        </w:tc>
        <w:tc>
          <w:tcPr>
            <w:tcW w:w="0" w:type="auto"/>
            <w:shd w:val="clear" w:color="auto" w:fill="D9D9D9" w:themeFill="background1" w:themeFillShade="D9"/>
            <w:hideMark/>
          </w:tcPr>
          <w:p w14:paraId="6866987F" w14:textId="77777777" w:rsidR="00F507E6" w:rsidRPr="00F507E6" w:rsidRDefault="00F507E6" w:rsidP="00F507E6">
            <w:pPr>
              <w:spacing w:after="160"/>
              <w:jc w:val="center"/>
              <w:rPr>
                <w:b/>
                <w:bCs/>
              </w:rPr>
            </w:pPr>
            <w:r>
              <w:rPr>
                <w:b/>
                <w:bCs/>
              </w:rPr>
              <w:t>Work completed</w:t>
            </w:r>
          </w:p>
        </w:tc>
        <w:tc>
          <w:tcPr>
            <w:tcW w:w="0" w:type="auto"/>
            <w:shd w:val="clear" w:color="auto" w:fill="D9D9D9" w:themeFill="background1" w:themeFillShade="D9"/>
            <w:hideMark/>
          </w:tcPr>
          <w:p w14:paraId="42F53819" w14:textId="77777777" w:rsidR="00F507E6" w:rsidRPr="00F507E6" w:rsidRDefault="00F507E6" w:rsidP="00F507E6">
            <w:pPr>
              <w:spacing w:after="160"/>
              <w:jc w:val="center"/>
              <w:rPr>
                <w:b/>
                <w:bCs/>
              </w:rPr>
            </w:pPr>
            <w:r>
              <w:rPr>
                <w:b/>
                <w:bCs/>
              </w:rPr>
              <w:t>Evidence/status</w:t>
            </w:r>
          </w:p>
        </w:tc>
      </w:tr>
      <w:tr w:rsidR="00F507E6" w:rsidRPr="00F507E6" w14:paraId="58584FB2" w14:textId="77777777" w:rsidTr="00F507E6">
        <w:tc>
          <w:tcPr>
            <w:tcW w:w="0" w:type="auto"/>
            <w:hideMark/>
          </w:tcPr>
          <w:p w14:paraId="4A8BCC36" w14:textId="77777777" w:rsidR="00F507E6" w:rsidRPr="00F507E6" w:rsidRDefault="00F507E6" w:rsidP="00F507E6">
            <w:pPr>
              <w:spacing w:after="160"/>
            </w:pPr>
            <w:r>
              <w:t>Problem definition and scope</w:t>
            </w:r>
          </w:p>
        </w:tc>
        <w:tc>
          <w:tcPr>
            <w:tcW w:w="0" w:type="auto"/>
            <w:hideMark/>
          </w:tcPr>
          <w:p w14:paraId="7025FEFE" w14:textId="77777777" w:rsidR="00F507E6" w:rsidRPr="00F507E6" w:rsidRDefault="00F507E6" w:rsidP="00F507E6">
            <w:pPr>
              <w:spacing w:after="160"/>
            </w:pPr>
            <w:r>
              <w:t>September to October 2025</w:t>
            </w:r>
          </w:p>
        </w:tc>
        <w:tc>
          <w:tcPr>
            <w:tcW w:w="0" w:type="auto"/>
            <w:hideMark/>
          </w:tcPr>
          <w:p w14:paraId="7CB44C22" w14:textId="77777777" w:rsidR="00F507E6" w:rsidRPr="00F507E6" w:rsidRDefault="00F507E6" w:rsidP="00F507E6">
            <w:pPr>
              <w:spacing w:after="160"/>
            </w:pPr>
            <w:r>
              <w:t>Defined the project problem, aim, objectives, scope boundary and author role. The subject was narrowed from general hot-metal sampling to remote liquid-steel and slag sampling for the Project Invictus EAF.</w:t>
            </w:r>
          </w:p>
        </w:tc>
        <w:tc>
          <w:tcPr>
            <w:tcW w:w="0" w:type="auto"/>
            <w:hideMark/>
          </w:tcPr>
          <w:p w14:paraId="2BD9A9EA" w14:textId="77777777" w:rsidR="00F507E6" w:rsidRPr="00F507E6" w:rsidRDefault="00F507E6" w:rsidP="00F507E6">
            <w:pPr>
              <w:spacing w:after="160"/>
            </w:pPr>
            <w:r>
              <w:t>Completed; formed the basis of the proposal and interim viva.</w:t>
            </w:r>
          </w:p>
        </w:tc>
      </w:tr>
      <w:tr w:rsidR="00F507E6" w:rsidRPr="00F507E6" w14:paraId="4F72B716" w14:textId="77777777" w:rsidTr="00F507E6">
        <w:tc>
          <w:tcPr>
            <w:tcW w:w="0" w:type="auto"/>
            <w:hideMark/>
          </w:tcPr>
          <w:p w14:paraId="4EF649C3" w14:textId="77777777" w:rsidR="00F507E6" w:rsidRPr="00F507E6" w:rsidRDefault="00F507E6" w:rsidP="00F507E6">
            <w:pPr>
              <w:spacing w:after="160"/>
            </w:pPr>
            <w:r>
              <w:t>Literature and standards review</w:t>
            </w:r>
          </w:p>
        </w:tc>
        <w:tc>
          <w:tcPr>
            <w:tcW w:w="0" w:type="auto"/>
            <w:hideMark/>
          </w:tcPr>
          <w:p w14:paraId="59789F78" w14:textId="77777777" w:rsidR="00F507E6" w:rsidRPr="00F507E6" w:rsidRDefault="00F507E6" w:rsidP="00F507E6">
            <w:pPr>
              <w:spacing w:after="160"/>
            </w:pPr>
            <w:r>
              <w:t>October to December 2025; refreshed before final submission</w:t>
            </w:r>
          </w:p>
        </w:tc>
        <w:tc>
          <w:tcPr>
            <w:tcW w:w="0" w:type="auto"/>
            <w:hideMark/>
          </w:tcPr>
          <w:p w14:paraId="038AB270" w14:textId="77777777" w:rsidR="00F507E6" w:rsidRPr="00F507E6" w:rsidRDefault="00F507E6" w:rsidP="00F507E6">
            <w:pPr>
              <w:spacing w:after="160"/>
            </w:pPr>
            <w:r>
              <w:t>Reviewed EAF steelmaking, slag chemistry, foaming behaviour, robotic sampling, sample turnaround, hierarchy of control, machinery safety, functional safety and ergonomic principles.</w:t>
            </w:r>
          </w:p>
        </w:tc>
        <w:tc>
          <w:tcPr>
            <w:tcW w:w="0" w:type="auto"/>
            <w:hideMark/>
          </w:tcPr>
          <w:p w14:paraId="7AEC1F1E" w14:textId="77777777" w:rsidR="00F507E6" w:rsidRPr="00F507E6" w:rsidRDefault="00F507E6" w:rsidP="00F507E6">
            <w:pPr>
              <w:spacing w:after="160"/>
            </w:pPr>
            <w:r>
              <w:t>Completed; informed the technical basis, methodology and final recommendation.</w:t>
            </w:r>
          </w:p>
        </w:tc>
      </w:tr>
      <w:tr w:rsidR="00F507E6" w:rsidRPr="00F507E6" w14:paraId="261B33B3" w14:textId="77777777" w:rsidTr="00F507E6">
        <w:tc>
          <w:tcPr>
            <w:tcW w:w="0" w:type="auto"/>
            <w:hideMark/>
          </w:tcPr>
          <w:p w14:paraId="7EE6A420" w14:textId="77777777" w:rsidR="00F507E6" w:rsidRPr="00F507E6" w:rsidRDefault="00F507E6" w:rsidP="00F507E6">
            <w:pPr>
              <w:spacing w:after="160"/>
            </w:pPr>
            <w:r>
              <w:t>Industrial source review</w:t>
            </w:r>
          </w:p>
        </w:tc>
        <w:tc>
          <w:tcPr>
            <w:tcW w:w="0" w:type="auto"/>
            <w:hideMark/>
          </w:tcPr>
          <w:p w14:paraId="7133575C" w14:textId="77777777" w:rsidR="00F507E6" w:rsidRPr="00F507E6" w:rsidRDefault="00F507E6" w:rsidP="00F507E6">
            <w:pPr>
              <w:spacing w:after="160"/>
            </w:pPr>
            <w:r>
              <w:t>November 2025 to February 2026</w:t>
            </w:r>
          </w:p>
        </w:tc>
        <w:tc>
          <w:tcPr>
            <w:tcW w:w="0" w:type="auto"/>
            <w:hideMark/>
          </w:tcPr>
          <w:p w14:paraId="59AB484D" w14:textId="77777777" w:rsidR="00F507E6" w:rsidRPr="00F507E6" w:rsidRDefault="00F507E6" w:rsidP="00F507E6">
            <w:pPr>
              <w:spacing w:after="160"/>
            </w:pPr>
            <w:r>
              <w:t>Reviewed Tenova/Polytec robot layouts, utility drawings, network interfaces, sampling configurations, Heraeus Electro-Nite probe information and Telelift correspondence.</w:t>
            </w:r>
          </w:p>
        </w:tc>
        <w:tc>
          <w:tcPr>
            <w:tcW w:w="0" w:type="auto"/>
            <w:hideMark/>
          </w:tcPr>
          <w:p w14:paraId="1B0190C2" w14:textId="77777777" w:rsidR="00F507E6" w:rsidRPr="00F507E6" w:rsidRDefault="00F507E6" w:rsidP="00F507E6">
            <w:pPr>
              <w:spacing w:after="160"/>
            </w:pPr>
            <w:r>
              <w:t>Completed; provided the technical baseline for the feasibility and optioneering assessment.</w:t>
            </w:r>
          </w:p>
        </w:tc>
      </w:tr>
      <w:tr w:rsidR="00F507E6" w:rsidRPr="00F507E6" w14:paraId="2EFC39C1" w14:textId="77777777" w:rsidTr="00F507E6">
        <w:tc>
          <w:tcPr>
            <w:tcW w:w="0" w:type="auto"/>
            <w:hideMark/>
          </w:tcPr>
          <w:p w14:paraId="7C9B2FF7" w14:textId="77777777" w:rsidR="00F507E6" w:rsidRPr="00F507E6" w:rsidRDefault="00F507E6" w:rsidP="00F507E6">
            <w:pPr>
              <w:spacing w:after="160"/>
            </w:pPr>
            <w:r>
              <w:t>Manual baseline and task analysis</w:t>
            </w:r>
          </w:p>
        </w:tc>
        <w:tc>
          <w:tcPr>
            <w:tcW w:w="0" w:type="auto"/>
            <w:hideMark/>
          </w:tcPr>
          <w:p w14:paraId="688C240B" w14:textId="77777777" w:rsidR="00F507E6" w:rsidRPr="00F507E6" w:rsidRDefault="00F507E6" w:rsidP="00F507E6">
            <w:pPr>
              <w:spacing w:after="160"/>
            </w:pPr>
            <w:r>
              <w:t>December 2025 to January 2026</w:t>
            </w:r>
          </w:p>
        </w:tc>
        <w:tc>
          <w:tcPr>
            <w:tcW w:w="0" w:type="auto"/>
            <w:hideMark/>
          </w:tcPr>
          <w:p w14:paraId="634FA9DD" w14:textId="77777777" w:rsidR="00F507E6" w:rsidRPr="00F507E6" w:rsidRDefault="00F507E6" w:rsidP="00F507E6">
            <w:pPr>
              <w:spacing w:after="160"/>
            </w:pPr>
            <w:r>
              <w:t>Compared manual sampling tasks with robotic and automated alternatives, including exposure during approach, insertion, withdrawal, hot sample handling, transport and abnormal recovery.</w:t>
            </w:r>
          </w:p>
        </w:tc>
        <w:tc>
          <w:tcPr>
            <w:tcW w:w="0" w:type="auto"/>
            <w:hideMark/>
          </w:tcPr>
          <w:p w14:paraId="02346465" w14:textId="77777777" w:rsidR="00F507E6" w:rsidRPr="00F507E6" w:rsidRDefault="00F507E6" w:rsidP="00F507E6">
            <w:pPr>
              <w:spacing w:after="160"/>
            </w:pPr>
            <w:r>
              <w:t>Completed; used to support the safety and human-factor assessment.</w:t>
            </w:r>
          </w:p>
        </w:tc>
      </w:tr>
      <w:tr w:rsidR="00F507E6" w:rsidRPr="00F507E6" w14:paraId="679B1D9A" w14:textId="77777777" w:rsidTr="00F507E6">
        <w:tc>
          <w:tcPr>
            <w:tcW w:w="0" w:type="auto"/>
            <w:hideMark/>
          </w:tcPr>
          <w:p w14:paraId="1D406A66" w14:textId="77777777" w:rsidR="00F507E6" w:rsidRPr="00F507E6" w:rsidRDefault="00F507E6" w:rsidP="00F507E6">
            <w:pPr>
              <w:spacing w:after="160"/>
            </w:pPr>
            <w:r>
              <w:lastRenderedPageBreak/>
              <w:t>Option generation and weighted evaluation</w:t>
            </w:r>
          </w:p>
        </w:tc>
        <w:tc>
          <w:tcPr>
            <w:tcW w:w="0" w:type="auto"/>
            <w:hideMark/>
          </w:tcPr>
          <w:p w14:paraId="4B3E87E5" w14:textId="77777777" w:rsidR="00F507E6" w:rsidRPr="00F507E6" w:rsidRDefault="00F507E6" w:rsidP="00F507E6">
            <w:pPr>
              <w:spacing w:after="160"/>
            </w:pPr>
            <w:r>
              <w:t>January to March 2026</w:t>
            </w:r>
          </w:p>
        </w:tc>
        <w:tc>
          <w:tcPr>
            <w:tcW w:w="0" w:type="auto"/>
            <w:hideMark/>
          </w:tcPr>
          <w:p w14:paraId="38F048EA" w14:textId="77777777" w:rsidR="00F507E6" w:rsidRPr="00F507E6" w:rsidRDefault="00F507E6" w:rsidP="00F507E6">
            <w:pPr>
              <w:spacing w:after="160"/>
            </w:pPr>
            <w:r>
              <w:t>Generated six feasible sampling and transport options, defined weighted criteria, scored each option and reviewed the sensitivity of the preferred strategy.</w:t>
            </w:r>
          </w:p>
        </w:tc>
        <w:tc>
          <w:tcPr>
            <w:tcW w:w="0" w:type="auto"/>
            <w:hideMark/>
          </w:tcPr>
          <w:p w14:paraId="752A01FC" w14:textId="77777777" w:rsidR="00F507E6" w:rsidRPr="00F507E6" w:rsidRDefault="00F507E6" w:rsidP="00F507E6">
            <w:pPr>
              <w:spacing w:after="160"/>
            </w:pPr>
            <w:r>
              <w:t>Completed; formed the basis of the optioneering results.</w:t>
            </w:r>
          </w:p>
        </w:tc>
      </w:tr>
      <w:tr w:rsidR="00F507E6" w:rsidRPr="00F507E6" w14:paraId="5C60240D" w14:textId="77777777" w:rsidTr="00F507E6">
        <w:tc>
          <w:tcPr>
            <w:tcW w:w="0" w:type="auto"/>
            <w:hideMark/>
          </w:tcPr>
          <w:p w14:paraId="44CB7CEE" w14:textId="77777777" w:rsidR="00F507E6" w:rsidRPr="00F507E6" w:rsidRDefault="00F507E6" w:rsidP="00F507E6">
            <w:pPr>
              <w:spacing w:after="160"/>
            </w:pPr>
            <w:r>
              <w:t>Synthesis, limitations and further work</w:t>
            </w:r>
          </w:p>
        </w:tc>
        <w:tc>
          <w:tcPr>
            <w:tcW w:w="0" w:type="auto"/>
            <w:hideMark/>
          </w:tcPr>
          <w:p w14:paraId="4D848416" w14:textId="77777777" w:rsidR="00F507E6" w:rsidRPr="00F507E6" w:rsidRDefault="00F507E6" w:rsidP="00F507E6">
            <w:pPr>
              <w:spacing w:after="160"/>
            </w:pPr>
            <w:r>
              <w:t>March to April 2026</w:t>
            </w:r>
          </w:p>
        </w:tc>
        <w:tc>
          <w:tcPr>
            <w:tcW w:w="0" w:type="auto"/>
            <w:hideMark/>
          </w:tcPr>
          <w:p w14:paraId="6FCC20B9" w14:textId="77777777" w:rsidR="00F507E6" w:rsidRPr="00F507E6" w:rsidRDefault="00F507E6" w:rsidP="00F507E6">
            <w:pPr>
              <w:spacing w:after="160"/>
            </w:pPr>
            <w:r>
              <w:t>Converted the optioneering results into a staged implementation strategy and identified validation, safety lifecycle and commissioning requirements.</w:t>
            </w:r>
          </w:p>
        </w:tc>
        <w:tc>
          <w:tcPr>
            <w:tcW w:w="0" w:type="auto"/>
            <w:hideMark/>
          </w:tcPr>
          <w:p w14:paraId="05104628" w14:textId="77777777" w:rsidR="00F507E6" w:rsidRPr="00F507E6" w:rsidRDefault="00F507E6" w:rsidP="00F507E6">
            <w:pPr>
              <w:spacing w:after="160"/>
            </w:pPr>
            <w:r>
              <w:t>Completed; used to develop the discussion, conclusions and further work.</w:t>
            </w:r>
          </w:p>
        </w:tc>
      </w:tr>
      <w:tr w:rsidR="00F507E6" w:rsidRPr="00F507E6" w14:paraId="710FACB2" w14:textId="77777777" w:rsidTr="00F507E6">
        <w:tc>
          <w:tcPr>
            <w:tcW w:w="0" w:type="auto"/>
            <w:hideMark/>
          </w:tcPr>
          <w:p w14:paraId="6F53F76A" w14:textId="77777777" w:rsidR="00F507E6" w:rsidRPr="00F507E6" w:rsidRDefault="00F507E6" w:rsidP="00F507E6">
            <w:pPr>
              <w:spacing w:after="160"/>
            </w:pPr>
            <w:r>
              <w:t>Final report production and academic review</w:t>
            </w:r>
          </w:p>
        </w:tc>
        <w:tc>
          <w:tcPr>
            <w:tcW w:w="0" w:type="auto"/>
            <w:hideMark/>
          </w:tcPr>
          <w:p w14:paraId="03477E8B" w14:textId="77777777" w:rsidR="00F507E6" w:rsidRPr="00F507E6" w:rsidRDefault="00F507E6" w:rsidP="00F507E6">
            <w:pPr>
              <w:spacing w:after="160"/>
            </w:pPr>
            <w:r>
              <w:t>February to May 2026</w:t>
            </w:r>
          </w:p>
        </w:tc>
        <w:tc>
          <w:tcPr>
            <w:tcW w:w="0" w:type="auto"/>
            <w:hideMark/>
          </w:tcPr>
          <w:p w14:paraId="68CE56A9" w14:textId="77777777" w:rsidR="00F507E6" w:rsidRPr="00F507E6" w:rsidRDefault="00F507E6" w:rsidP="00F507E6">
            <w:pPr>
              <w:spacing w:after="160"/>
            </w:pPr>
            <w:r>
              <w:t>Developed the main report structure, prepared the technical narrative, refined the optioneering results and reviewed the report against the project aim, objectives and evidence base.</w:t>
            </w:r>
          </w:p>
        </w:tc>
        <w:tc>
          <w:tcPr>
            <w:tcW w:w="0" w:type="auto"/>
            <w:hideMark/>
          </w:tcPr>
          <w:p w14:paraId="4EDF8C21" w14:textId="77777777" w:rsidR="00F507E6" w:rsidRPr="00F507E6" w:rsidRDefault="00F507E6" w:rsidP="00F507E6">
            <w:pPr>
              <w:spacing w:after="160"/>
            </w:pPr>
            <w:r>
              <w:t>Completed; draft report prepared during the original submission period.</w:t>
            </w:r>
          </w:p>
        </w:tc>
      </w:tr>
      <w:tr w:rsidR="00F507E6" w:rsidRPr="00F507E6" w14:paraId="552E8D94" w14:textId="77777777" w:rsidTr="00F507E6">
        <w:tc>
          <w:tcPr>
            <w:tcW w:w="0" w:type="auto"/>
            <w:hideMark/>
          </w:tcPr>
          <w:p w14:paraId="01611949" w14:textId="77777777" w:rsidR="00F507E6" w:rsidRPr="00F507E6" w:rsidRDefault="00F507E6" w:rsidP="00F507E6">
            <w:pPr>
              <w:spacing w:after="160"/>
            </w:pPr>
            <w:r>
              <w:t>Final report revision and additional submission</w:t>
            </w:r>
          </w:p>
        </w:tc>
        <w:tc>
          <w:tcPr>
            <w:tcW w:w="0" w:type="auto"/>
            <w:hideMark/>
          </w:tcPr>
          <w:p w14:paraId="0513B94D" w14:textId="77777777" w:rsidR="00F507E6" w:rsidRPr="00F507E6" w:rsidRDefault="00F507E6" w:rsidP="00F507E6">
            <w:pPr>
              <w:spacing w:after="160"/>
            </w:pPr>
            <w:r>
              <w:t>19 May to 06 July 2026</w:t>
            </w:r>
          </w:p>
        </w:tc>
        <w:tc>
          <w:tcPr>
            <w:tcW w:w="0" w:type="auto"/>
            <w:hideMark/>
          </w:tcPr>
          <w:p w14:paraId="60B85FCA" w14:textId="77777777" w:rsidR="00F507E6" w:rsidRPr="00F507E6" w:rsidRDefault="002A05FA" w:rsidP="00F507E6">
            <w:pPr>
              <w:spacing w:after="160"/>
            </w:pPr>
            <w:r>
              <w:t xml:space="preserve">Finalised writing if the main report &amp; final viva presentation </w:t>
            </w:r>
          </w:p>
        </w:tc>
        <w:tc>
          <w:tcPr>
            <w:tcW w:w="0" w:type="auto"/>
            <w:hideMark/>
          </w:tcPr>
          <w:p w14:paraId="1C3FC328" w14:textId="77777777" w:rsidR="00F507E6" w:rsidRPr="00F507E6" w:rsidRDefault="00F507E6" w:rsidP="00F507E6">
            <w:pPr>
              <w:spacing w:after="160"/>
            </w:pPr>
            <w:r>
              <w:t>Completed; additional final report submission prepared for 06 July 2026.</w:t>
            </w:r>
          </w:p>
        </w:tc>
      </w:tr>
      <w:tr w:rsidR="00F507E6" w:rsidRPr="00F507E6" w14:paraId="47C83526" w14:textId="77777777" w:rsidTr="00F507E6">
        <w:tc>
          <w:tcPr>
            <w:tcW w:w="0" w:type="auto"/>
            <w:hideMark/>
          </w:tcPr>
          <w:p w14:paraId="75FA3B82" w14:textId="77777777" w:rsidR="00F507E6" w:rsidRPr="00F507E6" w:rsidRDefault="00F507E6" w:rsidP="00F507E6">
            <w:pPr>
              <w:spacing w:after="160"/>
            </w:pPr>
            <w:r>
              <w:t>Final viva preparation</w:t>
            </w:r>
          </w:p>
        </w:tc>
        <w:tc>
          <w:tcPr>
            <w:tcW w:w="0" w:type="auto"/>
            <w:hideMark/>
          </w:tcPr>
          <w:p w14:paraId="1BC9D4C7" w14:textId="77777777" w:rsidR="00F507E6" w:rsidRPr="00F507E6" w:rsidRDefault="00F507E6" w:rsidP="00F507E6">
            <w:pPr>
              <w:spacing w:after="160"/>
            </w:pPr>
            <w:r>
              <w:t>07 July to 21 July 2026</w:t>
            </w:r>
          </w:p>
        </w:tc>
        <w:tc>
          <w:tcPr>
            <w:tcW w:w="0" w:type="auto"/>
            <w:hideMark/>
          </w:tcPr>
          <w:p w14:paraId="28F49502" w14:textId="77777777" w:rsidR="00F507E6" w:rsidRPr="00F507E6" w:rsidRDefault="00F507E6" w:rsidP="00F507E6">
            <w:pPr>
              <w:spacing w:after="160"/>
            </w:pPr>
            <w:r>
              <w:t>Prepared for the final viva presentation by reviewing the methodology, results, limitations, recommendation and likely technical questions.</w:t>
            </w:r>
          </w:p>
        </w:tc>
        <w:tc>
          <w:tcPr>
            <w:tcW w:w="0" w:type="auto"/>
            <w:hideMark/>
          </w:tcPr>
          <w:p w14:paraId="4A0548D7" w14:textId="77777777" w:rsidR="00F507E6" w:rsidRPr="00F507E6" w:rsidRDefault="00F507E6" w:rsidP="00F507E6">
            <w:pPr>
              <w:spacing w:after="160"/>
            </w:pPr>
            <w:r>
              <w:t>Planned; final viva presentation scheduled for 21 July 2026.</w:t>
            </w:r>
          </w:p>
        </w:tc>
      </w:tr>
    </w:tbl>
    <w:p w14:paraId="66ABD2DC" w14:textId="77777777" w:rsidR="003728D3" w:rsidRPr="003728D3" w:rsidRDefault="003728D3" w:rsidP="003728D3"/>
    <w:p w14:paraId="68C53CE1" w14:textId="77777777" w:rsidR="009D36FF" w:rsidRDefault="009D36FF" w:rsidP="00035805"/>
    <w:p w14:paraId="71BD6059" w14:textId="77777777" w:rsidR="009D36FF" w:rsidRDefault="009D36FF" w:rsidP="00035805"/>
    <w:p w14:paraId="092623A8" w14:textId="77777777" w:rsidR="009D36FF" w:rsidRDefault="009D36FF" w:rsidP="00035805"/>
    <w:p w14:paraId="1732981C" w14:textId="77777777" w:rsidR="009D36FF" w:rsidRDefault="009D36FF" w:rsidP="00035805"/>
    <w:p w14:paraId="0B0226DE" w14:textId="77777777" w:rsidR="008B19F6" w:rsidRPr="008B19F6" w:rsidRDefault="008B19F6" w:rsidP="008B19F6">
      <w:pPr>
        <w:pStyle w:val="Heading1"/>
        <w:rPr>
          <w:b/>
          <w:bCs/>
          <w:color w:val="0070C0"/>
        </w:rPr>
      </w:pPr>
      <w:bookmarkStart w:id="73" w:name="_Toc234060410"/>
      <w:bookmarkStart w:id="74" w:name="_Toc234699530"/>
      <w:r>
        <w:rPr>
          <w:b/>
          <w:bCs/>
          <w:color w:val="0070C0"/>
        </w:rPr>
        <w:lastRenderedPageBreak/>
        <w:t>Technical Baseline and Data Analysis</w:t>
      </w:r>
      <w:bookmarkEnd w:id="73"/>
      <w:bookmarkEnd w:id="74"/>
      <w:r>
        <w:rPr>
          <w:b/>
          <w:bCs/>
          <w:color w:val="0070C0"/>
        </w:rPr>
        <w:t xml:space="preserve"> </w:t>
      </w:r>
    </w:p>
    <w:p w14:paraId="6C99CB11" w14:textId="77777777" w:rsidR="008B19F6" w:rsidRDefault="008B19F6" w:rsidP="008B19F6">
      <w:pPr>
        <w:pStyle w:val="Heading2"/>
      </w:pPr>
      <w:bookmarkStart w:id="75" w:name="_Toc234060411"/>
      <w:bookmarkStart w:id="76" w:name="_Toc234699531"/>
      <w:r>
        <w:t>Project Invictus sampling architecture</w:t>
      </w:r>
      <w:bookmarkEnd w:id="75"/>
      <w:bookmarkEnd w:id="76"/>
      <w:r>
        <w:t xml:space="preserve"> </w:t>
      </w:r>
    </w:p>
    <w:p w14:paraId="631042C2" w14:textId="77777777" w:rsidR="00E5254C" w:rsidRDefault="00486BCA" w:rsidP="00E5254C">
      <w:r>
        <w:t>As shown in Figure 6, the EAF sampling architecture is already built around a substantial robotic cell. The general layout identifies an ABB IRB 8700 foundry robot, PolyEYE lance, 4 m sample lance, jumper point assembly, discharge station, chiller assembly, probe cut assembly, cartridges warehouse, water bypass and tool rack. The complete robot assembly is listed at 6,180 kg, the tool rack at 1,700 kg and the cartridge warehouse at 750 kg (Tenova, 2025a). These are the masses of a serious industrial installation, not a light auxiliary device.</w:t>
      </w:r>
    </w:p>
    <w:p w14:paraId="01DE08C9" w14:textId="77777777" w:rsidR="001C517D" w:rsidRDefault="00186C9F" w:rsidP="001C517D">
      <w:pPr>
        <w:keepNext/>
        <w:jc w:val="center"/>
      </w:pPr>
      <w:r>
        <w:rPr>
          <w:noProof/>
        </w:rPr>
        <w:drawing>
          <wp:inline distT="0" distB="0" distL="0" distR="0" wp14:anchorId="4E189561" wp14:editId="2027850E">
            <wp:extent cx="5577840" cy="4125215"/>
            <wp:effectExtent l="0" t="0" r="0" b="0"/>
            <wp:docPr id="898276328" name="Picture 898276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8"/>
                    <a:stretch>
                      <a:fillRect/>
                    </a:stretch>
                  </pic:blipFill>
                  <pic:spPr>
                    <a:xfrm>
                      <a:off x="0" y="0"/>
                      <a:ext cx="5577840" cy="4125215"/>
                    </a:xfrm>
                    <a:prstGeom prst="rect">
                      <a:avLst/>
                    </a:prstGeom>
                  </pic:spPr>
                </pic:pic>
              </a:graphicData>
            </a:graphic>
          </wp:inline>
        </w:drawing>
      </w:r>
    </w:p>
    <w:p w14:paraId="3E03C79C" w14:textId="77777777" w:rsidR="00B61E64" w:rsidRDefault="001C517D" w:rsidP="001C517D">
      <w:pPr>
        <w:pStyle w:val="Caption"/>
        <w:jc w:val="center"/>
      </w:pPr>
      <w:bookmarkStart w:id="77" w:name="_Toc234530013"/>
      <w:r>
        <w:t xml:space="preserve">Figure </w:t>
      </w:r>
      <w:fldSimple w:instr=" SEQ Figure \* ARABIC ">
        <w:r>
          <w:rPr>
            <w:noProof/>
          </w:rPr>
          <w:t>6</w:t>
        </w:r>
      </w:fldSimple>
      <w:r>
        <w:t>:Project Invictus EAF temperature and sampling robot general layout showing the ABB IRB 8700 robot, sample lance, PolyEYE lance, tool rack, cartridge warehouse, chiller and associated equipment. (Tenova, 2025)</w:t>
      </w:r>
      <w:bookmarkEnd w:id="77"/>
    </w:p>
    <w:p w14:paraId="320D752E" w14:textId="77777777" w:rsidR="00E07994" w:rsidRDefault="00E07994" w:rsidP="00E07994">
      <w:r>
        <w:t>The layout also positions the robot relative to furnace centre and flags a required modification to a protective structure to prevent collisions between lances and steelwork. That detail matters. A sampling robot does not operate in free laboratory space; it works inside a constrained Meltshop geometry with furnace movement, tooling envelopes, platform structures, electrode handling and maintenance access. Collision avoidance and safe zones are therefore central to feasibility, not a detail to resolve later.</w:t>
      </w:r>
    </w:p>
    <w:p w14:paraId="49553775" w14:textId="77777777" w:rsidR="00E07994" w:rsidRDefault="00E07994" w:rsidP="00E07994">
      <w:r>
        <w:lastRenderedPageBreak/>
        <w:t>The utility drawing specifies electrical supply at 400 V, 50 Hz, three poles; dry air at a minimum operating pressure of 6 bar and maximum flow of 1,400 Nl/min; robot cooling air at 5 bar and 1,500 Nl/min; and water supply at 10–30°C, 4–10 bar and 50–70 Nl/min (Tenova, 2025c). It also states that the distance from controller to robot must not exceed 30 m because of the ABB cables. These constraints matter when considering additional sampling or transport equipment: an option that forces relocation of the controller, robot or utilities may carry disproportionate programme risk.</w:t>
      </w:r>
    </w:p>
    <w:p w14:paraId="653D63DC" w14:textId="77777777" w:rsidR="00712327" w:rsidRDefault="00186C9F" w:rsidP="00712327">
      <w:pPr>
        <w:keepNext/>
        <w:jc w:val="center"/>
      </w:pPr>
      <w:r>
        <w:rPr>
          <w:noProof/>
        </w:rPr>
        <w:drawing>
          <wp:inline distT="0" distB="0" distL="0" distR="0" wp14:anchorId="27282342" wp14:editId="49DD6528">
            <wp:extent cx="5577840" cy="4125215"/>
            <wp:effectExtent l="0" t="0" r="0" b="0"/>
            <wp:docPr id="898276329" name="Picture 898276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9"/>
                    <a:stretch>
                      <a:fillRect/>
                    </a:stretch>
                  </pic:blipFill>
                  <pic:spPr>
                    <a:xfrm>
                      <a:off x="0" y="0"/>
                      <a:ext cx="5577840" cy="4125215"/>
                    </a:xfrm>
                    <a:prstGeom prst="rect">
                      <a:avLst/>
                    </a:prstGeom>
                  </pic:spPr>
                </pic:pic>
              </a:graphicData>
            </a:graphic>
          </wp:inline>
        </w:drawing>
      </w:r>
    </w:p>
    <w:p w14:paraId="7F2CDF63" w14:textId="77777777" w:rsidR="00B61E64" w:rsidRDefault="00712327" w:rsidP="00712327">
      <w:pPr>
        <w:pStyle w:val="Caption"/>
        <w:jc w:val="center"/>
      </w:pPr>
      <w:bookmarkStart w:id="78" w:name="_Toc234530014"/>
      <w:r>
        <w:t xml:space="preserve">Figure </w:t>
      </w:r>
      <w:fldSimple w:instr=" SEQ Figure \* ARABIC ">
        <w:r>
          <w:rPr>
            <w:noProof/>
          </w:rPr>
          <w:t>7</w:t>
        </w:r>
      </w:fldSimple>
      <w:r>
        <w:t>:Robot utility and TOP requirements showing electrical supply, pneumatic supply, cooling water requirements, robot loads and controller-distance constraints (Tenova, Polytec, 2026)</w:t>
      </w:r>
      <w:bookmarkEnd w:id="78"/>
    </w:p>
    <w:p w14:paraId="7782CB74" w14:textId="77777777" w:rsidR="00B56AB2" w:rsidRDefault="00663F46" w:rsidP="00663F46">
      <w:pPr>
        <w:pStyle w:val="Heading2"/>
      </w:pPr>
      <w:bookmarkStart w:id="79" w:name="_Toc234060412"/>
      <w:bookmarkStart w:id="80" w:name="_Toc234699532"/>
      <w:r>
        <w:t>Robot loads and mechanical implications</w:t>
      </w:r>
      <w:bookmarkEnd w:id="79"/>
      <w:bookmarkEnd w:id="80"/>
    </w:p>
    <w:p w14:paraId="6FC40FF5" w14:textId="77777777" w:rsidR="000C2B8D" w:rsidRDefault="000C2B8D" w:rsidP="000C2B8D">
      <w:bookmarkStart w:id="81" w:name="_Toc234060413"/>
      <w:r>
        <w:t xml:space="preserve">The utility drawing, shown in Figure 7, lists the working and emergency-stop loads at the IRB 8700 interface: a vertical load of 52.2 kN, working horizontal force of ±13.5 kN rising to ±50.3 kN during emergency stop, and working moments of ±77.7 kNm (Mxy) and ±9.2 kNm (Mz) rising to ±146.9 kNm and ±31.8 kNm respectively under emergency stop (Tenova, 2025c). Numbers of this size are the reason the robot foundation, fixation plate and platform interface </w:t>
      </w:r>
      <w:proofErr w:type="gramStart"/>
      <w:r>
        <w:t>have to</w:t>
      </w:r>
      <w:proofErr w:type="gramEnd"/>
      <w:r>
        <w:t xml:space="preserve"> be treated as primary engineering items.</w:t>
      </w:r>
    </w:p>
    <w:p w14:paraId="4FA51CB8" w14:textId="77777777" w:rsidR="000C2B8D" w:rsidRDefault="000C2B8D" w:rsidP="000C2B8D">
      <w:r>
        <w:t xml:space="preserve">For the optioneering, the implication is that adding functions to the robot cannot be considered at end-effector level alone. A new slag sampling tool would have to be assessed </w:t>
      </w:r>
      <w:r>
        <w:lastRenderedPageBreak/>
        <w:t>for payload, reach, dynamic loads, tool-change compatibility, heat exposure, collision envelope and control logic. If the tool needs longer vertical immersion or additional shielding, its effect on robot trajectory and mechanical loads must be analysed. This is a key reason automated EAF slag sampling is treated in this report as a development item rather than a simple attachment to the existing robot.</w:t>
      </w:r>
    </w:p>
    <w:p w14:paraId="0C4B9C48" w14:textId="77777777" w:rsidR="002A3FC3" w:rsidRDefault="00B56AB2" w:rsidP="00B56AB2">
      <w:pPr>
        <w:pStyle w:val="Heading2"/>
      </w:pPr>
      <w:bookmarkStart w:id="82" w:name="_Toc234699533"/>
      <w:r>
        <w:t>Sampling configurations and furnace movement</w:t>
      </w:r>
      <w:bookmarkEnd w:id="81"/>
      <w:bookmarkEnd w:id="82"/>
      <w:r>
        <w:t xml:space="preserve">  </w:t>
      </w:r>
    </w:p>
    <w:p w14:paraId="4BB73D0A" w14:textId="77777777" w:rsidR="007E2486" w:rsidRDefault="007E2486" w:rsidP="007E2486">
      <w:r>
        <w:t>The sampling configuration drawing, Figure 8, shows the relationship between level zero, maximum bath level, minimum bath level and hot heel at furnace positions of 0, +2 and −2 degrees. It identifies a picking point roughly 2,810–2,811 mm from furnace centre in the sections shown, with bath levels marked at 650 mm, 1,100 mm and 1,505 mm (Tenova, 2025d). Sampling geometry is therefore sensitive to both furnace position and bath level.</w:t>
      </w:r>
    </w:p>
    <w:p w14:paraId="4FAD7C07" w14:textId="77777777" w:rsidR="00C06FC8" w:rsidRDefault="00186C9F" w:rsidP="00C06FC8">
      <w:pPr>
        <w:keepNext/>
        <w:jc w:val="center"/>
      </w:pPr>
      <w:r>
        <w:rPr>
          <w:noProof/>
        </w:rPr>
        <w:drawing>
          <wp:inline distT="0" distB="0" distL="0" distR="0" wp14:anchorId="4D7E82A0" wp14:editId="09661ED4">
            <wp:extent cx="5577840" cy="4125215"/>
            <wp:effectExtent l="0" t="0" r="0" b="0"/>
            <wp:docPr id="898276330" name="Picture 898276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20"/>
                    <a:stretch>
                      <a:fillRect/>
                    </a:stretch>
                  </pic:blipFill>
                  <pic:spPr>
                    <a:xfrm>
                      <a:off x="0" y="0"/>
                      <a:ext cx="5577840" cy="4125215"/>
                    </a:xfrm>
                    <a:prstGeom prst="rect">
                      <a:avLst/>
                    </a:prstGeom>
                  </pic:spPr>
                </pic:pic>
              </a:graphicData>
            </a:graphic>
          </wp:inline>
        </w:drawing>
      </w:r>
    </w:p>
    <w:p w14:paraId="4D7BF8C0" w14:textId="77777777" w:rsidR="00B61E64" w:rsidRDefault="00C06FC8" w:rsidP="00933C93">
      <w:pPr>
        <w:pStyle w:val="Caption"/>
        <w:jc w:val="center"/>
      </w:pPr>
      <w:bookmarkStart w:id="83" w:name="_Toc234530015"/>
      <w:r>
        <w:t xml:space="preserve">Figure </w:t>
      </w:r>
      <w:fldSimple w:instr=" SEQ Figure \* ARABIC ">
        <w:r>
          <w:rPr>
            <w:noProof/>
          </w:rPr>
          <w:t>8</w:t>
        </w:r>
      </w:fldSimple>
      <w:r>
        <w:t>:EAF sampling configuration showing furnace positions, bath-level references, hot heel and picking-point geometry for robotic sampling. Source: Tenova/Polytec project drawing 3701.00025.TEN.201004.ME.DRG.DD.00870, unpublished project document.</w:t>
      </w:r>
      <w:bookmarkEnd w:id="83"/>
    </w:p>
    <w:p w14:paraId="2802C048" w14:textId="77777777" w:rsidR="006A26FF" w:rsidRDefault="006A26FF" w:rsidP="006A26FF">
      <w:bookmarkStart w:id="84" w:name="_Toc234060414"/>
      <w:r>
        <w:t xml:space="preserve">For steel sampling, the robot trajectory can be designed around known furnace positions and bath-level measurement. Slag is more awkward: the target layer sits above the metal bath, and its thickness, foam condition and surface profile change during the heat. A vertical slag sampler must avoid </w:t>
      </w:r>
      <w:proofErr w:type="gramStart"/>
      <w:r>
        <w:t>penetrating into</w:t>
      </w:r>
      <w:proofErr w:type="gramEnd"/>
      <w:r>
        <w:t xml:space="preserve"> the metal or collecting an unrepresentative surface crust, which raises the importance of bath-level measurement, slag-level estimation and </w:t>
      </w:r>
      <w:r>
        <w:lastRenderedPageBreak/>
        <w:t>controlled immersion depth. It also suggests a robust automated slag sampler would need additional sensing or procedural logic rather than relying on fixed coordinates.</w:t>
      </w:r>
    </w:p>
    <w:p w14:paraId="0C975E87" w14:textId="77777777" w:rsidR="00015F34" w:rsidRDefault="00F82AB6" w:rsidP="00015F34">
      <w:pPr>
        <w:pStyle w:val="Heading2"/>
      </w:pPr>
      <w:bookmarkStart w:id="85" w:name="_Toc234699534"/>
      <w:r>
        <w:t>Probe geometry and handling constraints</w:t>
      </w:r>
      <w:bookmarkEnd w:id="84"/>
      <w:bookmarkEnd w:id="85"/>
    </w:p>
    <w:p w14:paraId="261228C0" w14:textId="77777777" w:rsidR="006C4EE6" w:rsidRDefault="006C4EE6" w:rsidP="006C4EE6">
      <w:r>
        <w:t>The probe data, as depicted in Figure 9, shows that the physical sample devices are long, slender and fragile compared with ordinary mechanical components. The CELOX SLAC on-tube drawing specifies a 1200BSEB5 tube, overall dimensions including 1,279 ± 3 mm, diameter features of 39 mm and 55 mm, and a minimum pop-out force of 1,500 N (Heraeus Electro-Nite, 2023). The Polytec standard probe drawing shows temperature, Celox and sample probes with lengths of roughly 1,193–1,303 mm and similar external diameters (Heraeus Electro-Nite, 2005). The Hydris probe is longer again, with annotated section dimensions of 915 mm, 740 mm and 135 mm (Heraeus Electro-Nite, 2025b).</w:t>
      </w:r>
    </w:p>
    <w:p w14:paraId="21B22113" w14:textId="77777777" w:rsidR="00D279BC" w:rsidRDefault="00186C9F" w:rsidP="00D279BC">
      <w:pPr>
        <w:keepNext/>
        <w:jc w:val="center"/>
      </w:pPr>
      <w:r>
        <w:rPr>
          <w:noProof/>
        </w:rPr>
        <w:drawing>
          <wp:inline distT="0" distB="0" distL="0" distR="0" wp14:anchorId="2DB9514E" wp14:editId="3970F035">
            <wp:extent cx="5577840" cy="3940103"/>
            <wp:effectExtent l="0" t="0" r="0" b="0"/>
            <wp:docPr id="898276331" name="Picture 898276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21"/>
                    <a:stretch>
                      <a:fillRect/>
                    </a:stretch>
                  </pic:blipFill>
                  <pic:spPr>
                    <a:xfrm>
                      <a:off x="0" y="0"/>
                      <a:ext cx="5577840" cy="3940103"/>
                    </a:xfrm>
                    <a:prstGeom prst="rect">
                      <a:avLst/>
                    </a:prstGeom>
                  </pic:spPr>
                </pic:pic>
              </a:graphicData>
            </a:graphic>
          </wp:inline>
        </w:drawing>
      </w:r>
    </w:p>
    <w:p w14:paraId="49AB88C7" w14:textId="77777777" w:rsidR="00B61E64" w:rsidRDefault="00D279BC" w:rsidP="00D279BC">
      <w:pPr>
        <w:pStyle w:val="Caption"/>
        <w:jc w:val="center"/>
      </w:pPr>
      <w:bookmarkStart w:id="86" w:name="_Toc234530016"/>
      <w:r>
        <w:t xml:space="preserve">Figure </w:t>
      </w:r>
      <w:fldSimple w:instr=" SEQ Figure \* ARABIC ">
        <w:r>
          <w:rPr>
            <w:noProof/>
          </w:rPr>
          <w:t>9</w:t>
        </w:r>
      </w:fldSimple>
      <w:r>
        <w:t>:CELOX SLAC probe drawing showing overall probe dimensions, diameter features and minimum pop-out force. Source: Heraeus Electro-Nite drawing 65319610, unpublished supplier document.</w:t>
      </w:r>
      <w:bookmarkEnd w:id="86"/>
    </w:p>
    <w:p w14:paraId="54AB20F2" w14:textId="77777777" w:rsidR="00181C0C" w:rsidRDefault="00181C0C" w:rsidP="00181C0C">
      <w:r>
        <w:t>The EAF slag probe drawing, Figure 10, identifies a 3-in-1 C310S2N15212BSE with drip rings and an overall length of 1,311.5 mm, including a 250 mm central drip-ring region and individual drip rings of 56/72 mm diameter, 25 mm length and 3 mm thickness (Heraeus Electro-Nite, 2025a). The geometry matters for transport and robotic handling: rings, fragile ceramic sections and residual heat all affect how the probe can be gripped, shielded and moved.</w:t>
      </w:r>
    </w:p>
    <w:p w14:paraId="441BB7E9" w14:textId="77777777" w:rsidR="00491509" w:rsidRDefault="008527EF" w:rsidP="00491509">
      <w:pPr>
        <w:keepNext/>
        <w:jc w:val="center"/>
      </w:pPr>
      <w:r>
        <w:rPr>
          <w:noProof/>
        </w:rPr>
        <w:lastRenderedPageBreak/>
        <w:drawing>
          <wp:inline distT="0" distB="0" distL="0" distR="0" wp14:anchorId="3CBBF70C" wp14:editId="12016061">
            <wp:extent cx="5303520" cy="3921511"/>
            <wp:effectExtent l="0" t="0" r="0" b="0"/>
            <wp:docPr id="1" name="Picture 1" descr="A drawing of a cigarette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f a cigarette  AI-generated content may be incorrect."/>
                    <pic:cNvPicPr/>
                  </pic:nvPicPr>
                  <pic:blipFill>
                    <a:blip r:embed="rId22"/>
                    <a:stretch>
                      <a:fillRect/>
                    </a:stretch>
                  </pic:blipFill>
                  <pic:spPr>
                    <a:xfrm>
                      <a:off x="0" y="0"/>
                      <a:ext cx="5303520" cy="3921511"/>
                    </a:xfrm>
                    <a:prstGeom prst="rect">
                      <a:avLst/>
                    </a:prstGeom>
                  </pic:spPr>
                </pic:pic>
              </a:graphicData>
            </a:graphic>
          </wp:inline>
        </w:drawing>
      </w:r>
    </w:p>
    <w:p w14:paraId="766B30DF" w14:textId="77777777" w:rsidR="003962BD" w:rsidRDefault="00491509" w:rsidP="00491509">
      <w:pPr>
        <w:pStyle w:val="Caption"/>
        <w:jc w:val="center"/>
      </w:pPr>
      <w:bookmarkStart w:id="87" w:name="_Toc234530017"/>
      <w:r>
        <w:t xml:space="preserve">Figure </w:t>
      </w:r>
      <w:fldSimple w:instr=" SEQ Figure \* ARABIC ">
        <w:r>
          <w:rPr>
            <w:noProof/>
          </w:rPr>
          <w:t>10</w:t>
        </w:r>
      </w:fldSimple>
      <w:r>
        <w:t>: EAF slag probe drawing showing 3-in-1 sampler with drip rings (source: Heraeus Electro-Nite, 2025a).</w:t>
      </w:r>
      <w:bookmarkEnd w:id="87"/>
    </w:p>
    <w:p w14:paraId="093EC2F1" w14:textId="77777777" w:rsidR="00F82AB6" w:rsidRDefault="00F82AB6" w:rsidP="003962BD">
      <w:pPr>
        <w:pStyle w:val="Caption"/>
        <w:jc w:val="center"/>
      </w:pPr>
    </w:p>
    <w:p w14:paraId="47C948A1" w14:textId="77777777" w:rsidR="003962BD" w:rsidRDefault="003962BD" w:rsidP="003962BD"/>
    <w:p w14:paraId="0FF4215B" w14:textId="77777777" w:rsidR="003962BD" w:rsidRDefault="003962BD" w:rsidP="003962BD"/>
    <w:p w14:paraId="23B063DF" w14:textId="77777777" w:rsidR="003962BD" w:rsidRDefault="003962BD" w:rsidP="003962BD"/>
    <w:p w14:paraId="40F42440" w14:textId="77777777" w:rsidR="003962BD" w:rsidRDefault="003962BD" w:rsidP="003962BD"/>
    <w:p w14:paraId="711F749A" w14:textId="77777777" w:rsidR="003962BD" w:rsidRDefault="003962BD" w:rsidP="003962BD"/>
    <w:p w14:paraId="5EC9317A" w14:textId="77777777" w:rsidR="003962BD" w:rsidRDefault="003962BD" w:rsidP="003962BD"/>
    <w:p w14:paraId="677C06FC" w14:textId="77777777" w:rsidR="003962BD" w:rsidRDefault="003962BD" w:rsidP="003962BD"/>
    <w:p w14:paraId="1C24E071" w14:textId="77777777" w:rsidR="003962BD" w:rsidRDefault="003962BD" w:rsidP="003962BD"/>
    <w:p w14:paraId="4DC3224C" w14:textId="77777777" w:rsidR="003962BD" w:rsidRDefault="009929E2" w:rsidP="000F102F">
      <w:pPr>
        <w:jc w:val="center"/>
      </w:pPr>
      <w:r>
        <w:rPr>
          <w:noProof/>
        </w:rPr>
        <w:lastRenderedPageBreak/>
        <mc:AlternateContent>
          <mc:Choice Requires="wps">
            <w:drawing>
              <wp:anchor distT="0" distB="0" distL="114300" distR="114300" simplePos="0" relativeHeight="251650560" behindDoc="0" locked="0" layoutInCell="1" allowOverlap="1" wp14:anchorId="59DB149F" wp14:editId="44B2F81F">
                <wp:simplePos x="0" y="0"/>
                <wp:positionH relativeFrom="column">
                  <wp:posOffset>152400</wp:posOffset>
                </wp:positionH>
                <wp:positionV relativeFrom="paragraph">
                  <wp:posOffset>8277225</wp:posOffset>
                </wp:positionV>
                <wp:extent cx="5762625" cy="635"/>
                <wp:effectExtent l="0" t="0" r="9525" b="8255"/>
                <wp:wrapTopAndBottom/>
                <wp:docPr id="898276317" name="Text Box 1"/>
                <wp:cNvGraphicFramePr/>
                <a:graphic xmlns:a="http://schemas.openxmlformats.org/drawingml/2006/main">
                  <a:graphicData uri="http://schemas.microsoft.com/office/word/2010/wordprocessingShape">
                    <wps:wsp>
                      <wps:cNvSpPr txBox="1"/>
                      <wps:spPr>
                        <a:xfrm>
                          <a:off x="0" y="0"/>
                          <a:ext cx="5762625" cy="635"/>
                        </a:xfrm>
                        <a:prstGeom prst="rect">
                          <a:avLst/>
                        </a:prstGeom>
                        <a:solidFill>
                          <a:prstClr val="white"/>
                        </a:solidFill>
                        <a:ln>
                          <a:noFill/>
                        </a:ln>
                      </wps:spPr>
                      <wps:txbx>
                        <w:txbxContent>
                          <w:p w14:paraId="42A09829" w14:textId="77777777" w:rsidR="00B61E64" w:rsidRDefault="00186C9F">
                            <w:pPr>
                              <w:pStyle w:val="Caption"/>
                              <w:jc w:val="center"/>
                            </w:pPr>
                            <w:r>
                              <w:t xml:space="preserve">Figure 7: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DB149F" id="_x0000_s1027" type="#_x0000_t202" style="position:absolute;left:0;text-align:left;margin-left:12pt;margin-top:651.75pt;width:453.75pt;height:.05pt;z-index:251650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" stroked="f">
                <v:textbox style="mso-fit-shape-to-text:t" inset="0,0,0,0">
                  <w:txbxContent>
                    <w:p w14:paraId="42A09829" w14:textId="77777777" w:rsidR="00B61E64" w:rsidRDefault="00186C9F">
                      <w:pPr>
                        <w:pStyle w:val="Caption"/>
                        <w:jc w:val="center"/>
                      </w:pPr>
                      <w:r>
                        <w:t xml:space="preserve">Figure 7: </w:t>
                      </w:r>
                    </w:p>
                  </w:txbxContent>
                </v:textbox>
                <w10:wrap type="topAndBottom"/>
              </v:shape>
            </w:pict>
          </mc:Fallback>
        </mc:AlternateContent>
      </w:r>
      <w:r>
        <w:rPr>
          <w:noProof/>
        </w:rPr>
        <mc:AlternateContent>
          <mc:Choice Requires="wps">
            <w:drawing>
              <wp:anchor distT="0" distB="0" distL="114300" distR="114300" simplePos="0" relativeHeight="251678208" behindDoc="0" locked="0" layoutInCell="1" allowOverlap="1" wp14:anchorId="20E5875E" wp14:editId="2086ED47">
                <wp:simplePos x="0" y="0"/>
                <wp:positionH relativeFrom="column">
                  <wp:posOffset>1457325</wp:posOffset>
                </wp:positionH>
                <wp:positionV relativeFrom="paragraph">
                  <wp:posOffset>8150225</wp:posOffset>
                </wp:positionV>
                <wp:extent cx="2719070" cy="635"/>
                <wp:effectExtent l="0" t="0" r="0" b="0"/>
                <wp:wrapTopAndBottom/>
                <wp:docPr id="448665521" name="Text Box 1"/>
                <wp:cNvGraphicFramePr/>
                <a:graphic xmlns:a="http://schemas.openxmlformats.org/drawingml/2006/main">
                  <a:graphicData uri="http://schemas.microsoft.com/office/word/2010/wordprocessingShape">
                    <wps:wsp>
                      <wps:cNvSpPr txBox="1"/>
                      <wps:spPr>
                        <a:xfrm>
                          <a:off x="0" y="0"/>
                          <a:ext cx="2719070" cy="635"/>
                        </a:xfrm>
                        <a:prstGeom prst="rect">
                          <a:avLst/>
                        </a:prstGeom>
                        <a:solidFill>
                          <a:prstClr val="white"/>
                        </a:solidFill>
                        <a:ln>
                          <a:noFill/>
                        </a:ln>
                      </wps:spPr>
                      <wps:txbx>
                        <w:txbxContent>
                          <w:p w14:paraId="090493A4" w14:textId="77777777" w:rsidR="00A85F14" w:rsidRDefault="00A85F14" w:rsidP="00A85F14">
                            <w:pPr>
                              <w:pStyle w:val="Caption"/>
                              <w:jc w:val="center"/>
                            </w:pPr>
                            <w:bookmarkStart w:id="88" w:name="_Toc234530018"/>
                            <w:r>
                              <w:t xml:space="preserve">Figure </w:t>
                            </w:r>
                            <w:fldSimple w:instr=" SEQ Figure \* ARABIC ">
                              <w:r>
                                <w:rPr>
                                  <w:noProof/>
                                </w:rPr>
                                <w:t>11</w:t>
                              </w:r>
                            </w:fldSimple>
                            <w:r>
                              <w:t>:Hydris probe image showing annotated probe dimensions (source: Heraeus Electro-Nite, 2025b).</w:t>
                            </w:r>
                            <w:bookmarkEnd w:id="88"/>
                          </w:p>
                          <w:p w14:paraId="0FA0A07F" w14:textId="77777777" w:rsidR="00A85F14" w:rsidRPr="005B1083" w:rsidRDefault="00A85F14" w:rsidP="00A85F14">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E5875E" id="_x0000_s1028" type="#_x0000_t202" style="position:absolute;left:0;text-align:left;margin-left:114.75pt;margin-top:641.75pt;width:214.1pt;height:.05pt;z-index:251678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" stroked="f">
                <v:textbox style="mso-fit-shape-to-text:t" inset="0,0,0,0">
                  <w:txbxContent>
                    <w:p w14:paraId="090493A4" w14:textId="77777777" w:rsidR="00A85F14" w:rsidRDefault="00A85F14" w:rsidP="00A85F14">
                      <w:pPr>
                        <w:pStyle w:val="Caption"/>
                        <w:jc w:val="center"/>
                      </w:pPr>
                      <w:bookmarkStart w:id="89" w:name="_Toc234530018"/>
                      <w:r>
                        <w:t xml:space="preserve">Figure </w:t>
                      </w:r>
                      <w:fldSimple w:instr=" SEQ Figure \* ARABIC ">
                        <w:r>
                          <w:rPr>
                            <w:noProof/>
                          </w:rPr>
                          <w:t>11</w:t>
                        </w:r>
                      </w:fldSimple>
                      <w:r>
                        <w:t>:Hydris probe image showing annotated probe dimensions (source: Heraeus Electro-Nite, 2025b).</w:t>
                      </w:r>
                      <w:bookmarkEnd w:id="89"/>
                    </w:p>
                    <w:p w14:paraId="0FA0A07F" w14:textId="77777777" w:rsidR="00A85F14" w:rsidRPr="005B1083" w:rsidRDefault="00A85F14" w:rsidP="00A85F14">
                      <w:pPr>
                        <w:pStyle w:val="Caption"/>
                        <w:rPr>
                          <w:noProof/>
                          <w:sz w:val="22"/>
                          <w:szCs w:val="22"/>
                        </w:rPr>
                      </w:pPr>
                    </w:p>
                  </w:txbxContent>
                </v:textbox>
                <w10:wrap type="topAndBottom"/>
              </v:shape>
            </w:pict>
          </mc:Fallback>
        </mc:AlternateContent>
      </w:r>
      <w:r>
        <w:rPr>
          <w:noProof/>
        </w:rPr>
        <w:drawing>
          <wp:anchor distT="0" distB="0" distL="114300" distR="114300" simplePos="0" relativeHeight="251643392" behindDoc="0" locked="0" layoutInCell="1" allowOverlap="1" wp14:anchorId="7349853F" wp14:editId="6689B486">
            <wp:simplePos x="0" y="0"/>
            <wp:positionH relativeFrom="column">
              <wp:posOffset>1457325</wp:posOffset>
            </wp:positionH>
            <wp:positionV relativeFrom="paragraph">
              <wp:posOffset>0</wp:posOffset>
            </wp:positionV>
            <wp:extent cx="2719181" cy="8093406"/>
            <wp:effectExtent l="0" t="0" r="5080" b="3175"/>
            <wp:wrapTopAndBottom/>
            <wp:docPr id="2" name="Picture 2" descr="A close-up of a cell phone screen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cell phone screen  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719181" cy="8093406"/>
                    </a:xfrm>
                    <a:prstGeom prst="rect">
                      <a:avLst/>
                    </a:prstGeom>
                  </pic:spPr>
                </pic:pic>
              </a:graphicData>
            </a:graphic>
            <wp14:sizeRelH relativeFrom="margin">
              <wp14:pctWidth>0</wp14:pctWidth>
            </wp14:sizeRelH>
            <wp14:sizeRelV relativeFrom="margin">
              <wp14:pctHeight>0</wp14:pctHeight>
            </wp14:sizeRelV>
          </wp:anchor>
        </w:drawing>
      </w:r>
    </w:p>
    <w:p w14:paraId="52078FE1" w14:textId="77777777" w:rsidR="009929E2" w:rsidRDefault="009929E2" w:rsidP="009929E2">
      <w:pPr>
        <w:tabs>
          <w:tab w:val="left" w:pos="6060"/>
        </w:tabs>
      </w:pPr>
      <w:r>
        <w:lastRenderedPageBreak/>
        <w:tab/>
      </w:r>
    </w:p>
    <w:p w14:paraId="07279584" w14:textId="77777777" w:rsidR="00AC2D81" w:rsidRDefault="00AC2D81" w:rsidP="00AC2D81">
      <w:bookmarkStart w:id="90" w:name="_Toc234060415"/>
      <w:r>
        <w:t xml:space="preserve">Taken together, the probe data lead to a practical conclusion: the sampling system </w:t>
      </w:r>
      <w:proofErr w:type="gramStart"/>
      <w:r>
        <w:t>has to</w:t>
      </w:r>
      <w:proofErr w:type="gramEnd"/>
      <w:r>
        <w:t xml:space="preserve"> be designed around the actual probe family, not an abstract sample. The handling equipment must support slender probes without damaging them, accommodate different diameters and end features, manage residual heat, and allow the laboratory to break out or prepare the sample without excessive manual intervention. A transport system that suits one probe type will not automatically suit slag probes, hydrogen probes or future cartridges.</w:t>
      </w:r>
    </w:p>
    <w:p w14:paraId="149F9636" w14:textId="77777777" w:rsidR="009929E2" w:rsidRDefault="00D61B4F" w:rsidP="003569ED">
      <w:pPr>
        <w:pStyle w:val="Heading2"/>
      </w:pPr>
      <w:bookmarkStart w:id="91" w:name="_Toc234699535"/>
      <w:r>
        <w:t>Sample transport demand and capacity</w:t>
      </w:r>
      <w:bookmarkEnd w:id="90"/>
      <w:bookmarkEnd w:id="91"/>
    </w:p>
    <w:p w14:paraId="4952645E" w14:textId="77777777" w:rsidR="005060F7" w:rsidRDefault="005060F7" w:rsidP="005060F7">
      <w:r>
        <w:t>The Telelift correspondence, as shown in Appendix I, provides enough information for a preliminary capacity check. The stated demand was six probes every 42 minutes from each furnace, twelve probes every 42 minutes for two furnaces, an average combined rate of 12/42 = 0.286 probes per minute, or about 17.1 probes per hour, with an average interval of 3.5 minutes between probes. The route was about 35 m horizontally and 3.5 m vertically, and the supplier considered a speed of 1 m/s sufficient (Telelift GmbH, 2025a).</w:t>
      </w:r>
    </w:p>
    <w:p w14:paraId="78E14050" w14:textId="77777777" w:rsidR="005060F7" w:rsidRDefault="005060F7" w:rsidP="005060F7">
      <w:r>
        <w:t>A simple travel calculation (Appendix B) suggests line-haul movement is not the binding constraint: a 38.5 m equivalent path at 1 m/s takes about 38.5 seconds before allowing for acceleration, deceleration, curves, docking, loading, unloading and control logic. Even if the practical cycle time were several times higher, the average demand of one probe every 3.5 minutes looks manageable, particularly since Telelift stated that multiple vehicles can operate independently on one track and more can be added to raise throughput (Telelift GmbH, 2025d). Two caveats apply. The 3.5-minute figure is an average, so the design should also consider the worst case in which both furnaces request samples almost simultaneously; and the real uncertainty is not base transport speed but probe temperature, loading and unloading reliability, mis-sample recovery and compatibility with the laboratory process.</w:t>
      </w:r>
    </w:p>
    <w:p w14:paraId="746D38EB" w14:textId="77777777" w:rsidR="007F646D" w:rsidRDefault="005060F7" w:rsidP="005060F7">
      <w:pPr>
        <w:spacing w:after="120"/>
      </w:pPr>
      <w:r>
        <w:rPr>
          <w:lang w:val="fr-FR"/>
        </w:rPr>
        <w:t xml:space="preserve">Mis-sampling deserves particular attention. </w:t>
      </w:r>
      <w:r>
        <w:t>Correspondence, captured in Appendix I, raised the concern that if a sample arrives at the laboratory unsuitable for analysis, a replacement must be obtained quickly enough to avoid process delay. Telelift responded that a vehicle could stand by at the Polycut machine and that an operator could override automatic operation to order a new probe (Telelift GmbH, 2025d). This is a useful resilience concept, but it needs converting into a formal operating philosophy: who authorises a repeat sample, how the furnace sequence is protected, where the unsuitable probe is quarantined, and whether the robot can safely repeat the sample within the available process window.</w:t>
      </w:r>
    </w:p>
    <w:p w14:paraId="1D2D72F4" w14:textId="77777777" w:rsidR="007F646D" w:rsidRDefault="007F646D" w:rsidP="007F646D">
      <w:pPr>
        <w:spacing w:after="120"/>
      </w:pPr>
    </w:p>
    <w:p w14:paraId="739FBD8C" w14:textId="77777777" w:rsidR="007F646D" w:rsidRDefault="007F646D" w:rsidP="007F646D">
      <w:pPr>
        <w:spacing w:after="120"/>
      </w:pPr>
    </w:p>
    <w:p w14:paraId="5237ABEE" w14:textId="77777777" w:rsidR="00C7093E" w:rsidRDefault="00C7093E" w:rsidP="00C7093E">
      <w:pPr>
        <w:pStyle w:val="Heading2"/>
      </w:pPr>
      <w:bookmarkStart w:id="92" w:name="_Toc234060416"/>
      <w:bookmarkStart w:id="93" w:name="_Toc234699536"/>
      <w:r>
        <w:t>Environmental and layout constraints for transport</w:t>
      </w:r>
      <w:bookmarkEnd w:id="92"/>
      <w:bookmarkEnd w:id="93"/>
    </w:p>
    <w:p w14:paraId="3CCB9DE8" w14:textId="77777777" w:rsidR="00086F3B" w:rsidRDefault="00086F3B" w:rsidP="00086F3B">
      <w:bookmarkStart w:id="94" w:name="_Toc234060417"/>
      <w:r>
        <w:t>The transport concept also interacts with the meltshop layout. Email correspondence, featured in Appendix I, identified the need to avoid electrode stands, because the overhead crane requires clear access to lift electrodes, and to keep the system below 2 m above floor level in one constrained area so the crane can pass while carrying electrodes (Telelift GmbH, 2025a). These constraints are significant: a track-based system that looked simple on paper could conflict with crane operations, maintenance access or emergency routes.</w:t>
      </w:r>
    </w:p>
    <w:p w14:paraId="6A759BF4" w14:textId="77777777" w:rsidR="00086F3B" w:rsidRDefault="00086F3B" w:rsidP="00086F3B">
      <w:r>
        <w:t>Dust and contamination were raised too. Telelift stated that dry, dusty environments do not generally cause problems, because power contacts are pressed against the rail under high spring load, gaps between rail segments displace dust, and passive brushes on the vehicle can sweep the rail top (Telelift GmbH, 2025c). That is credible in principle, but EAF dust is not always benign; it can contain metallic particles, lime, carbon, slag fines and conductive dust, and be affected by humidity, oil or water. The design should therefore include a dust validation trial, a defined cleaning frequency, inspection access and a failure-mode review for contact contamination.</w:t>
      </w:r>
    </w:p>
    <w:p w14:paraId="3CECD534" w14:textId="77777777" w:rsidR="007F646D" w:rsidRDefault="003459A6" w:rsidP="009D04B9">
      <w:pPr>
        <w:pStyle w:val="Heading2"/>
      </w:pPr>
      <w:bookmarkStart w:id="95" w:name="_Toc234699537"/>
      <w:r>
        <w:t>Manual baseline assessment</w:t>
      </w:r>
      <w:bookmarkEnd w:id="94"/>
      <w:bookmarkEnd w:id="95"/>
    </w:p>
    <w:p w14:paraId="64BC0581" w14:textId="77777777" w:rsidR="00C84FC8" w:rsidRDefault="00C84FC8" w:rsidP="00C84FC8">
      <w:r>
        <w:t>The manual baseline matters because it is the yardstick against which automation must be judged. Manual sampling has real advantages: low capital complexity, familiar practice, flexibility during abnormal events and no dependence on robot availability. In the context of a new automated EAF, though, those advantages are outweighed. Manual sampling puts people close to the furnace, relies on PPE and procedural discipline, and creates variability in sample position, timing and handling. It also cuts against the automation philosophy of Project Invictus: a new high-technology Meltshop that kept manual slag sampling as its normal method would leave a critical process-control input outside the automated ambition.</w:t>
      </w:r>
    </w:p>
    <w:p w14:paraId="1C2C08FF" w14:textId="77777777" w:rsidR="00C84FC8" w:rsidRDefault="00C84FC8" w:rsidP="00C84FC8">
      <w:r>
        <w:t>That does not make the baseline unacceptable for every task. Manual fallback may be needed during commissioning, robot outages or abnormal events. It should therefore be designed as a controlled contingency rather than the preferred normal mode, with defined rules for when manual sampling is permitted, who authorises it, what additional controls apply, and how manual-sample data are flagged in the process-control system, since their repeatability may differ from robotic samples.</w:t>
      </w:r>
    </w:p>
    <w:p w14:paraId="6061DE06" w14:textId="77777777" w:rsidR="00D61B4F" w:rsidRDefault="00D61B4F" w:rsidP="00D61B4F"/>
    <w:p w14:paraId="258F7FA5" w14:textId="77777777" w:rsidR="008167D6" w:rsidRDefault="008167D6" w:rsidP="00D61B4F"/>
    <w:p w14:paraId="0D20B343" w14:textId="77777777" w:rsidR="008167D6" w:rsidRDefault="008167D6" w:rsidP="008167D6">
      <w:pPr>
        <w:pStyle w:val="Heading1"/>
        <w:rPr>
          <w:b/>
          <w:bCs/>
          <w:color w:val="0070C0"/>
        </w:rPr>
      </w:pPr>
      <w:bookmarkStart w:id="96" w:name="_Toc234060418"/>
      <w:bookmarkStart w:id="97" w:name="_Toc234699538"/>
      <w:r>
        <w:rPr>
          <w:b/>
          <w:bCs/>
          <w:color w:val="0070C0"/>
        </w:rPr>
        <w:lastRenderedPageBreak/>
        <w:t>Optioneering Results</w:t>
      </w:r>
      <w:bookmarkEnd w:id="96"/>
      <w:bookmarkEnd w:id="97"/>
    </w:p>
    <w:p w14:paraId="3A89CE68" w14:textId="77777777" w:rsidR="00F37E12" w:rsidRDefault="00F37E12" w:rsidP="00F37E12">
      <w:pPr>
        <w:pStyle w:val="Heading2"/>
      </w:pPr>
      <w:bookmarkStart w:id="98" w:name="_Toc234060419"/>
      <w:bookmarkStart w:id="99" w:name="_Toc234699539"/>
      <w:r>
        <w:t>Option descriptions</w:t>
      </w:r>
      <w:bookmarkEnd w:id="98"/>
      <w:bookmarkEnd w:id="99"/>
    </w:p>
    <w:p w14:paraId="53C0470B" w14:textId="77777777" w:rsidR="003E4F00" w:rsidRDefault="003E4F00" w:rsidP="003E4F00">
      <w:bookmarkStart w:id="100" w:name="_Toc234049065"/>
      <w:bookmarkStart w:id="101" w:name="_Toc234060454"/>
      <w:bookmarkStart w:id="102" w:name="_Toc234060464"/>
      <w:r>
        <w:t>Six options were evaluated. Option 1, manual sampling with enhanced controls, continues traditional practice with improved platforms, PPE, procedures, training and supervision. Option 2, robotic steel sampling only, uses the proven PolySAMPLE EAF system for steel temperature and sampling while keeping manual or semi-manual sample transfer. Option 3 combines the PolySAMPLE EAF with a protected Telelift-type transport route to the laboratory. Option 4 attempts full automation of both metal and vertical slag sampling through the robot or associated equipment. Option 5, the staged slag strategy, implements proven steel sampling and automated transport now while treating EAF slag sampling as a separate development path, potentially beginning with ladle furnace or off-furnace slag sampling where conditions are more controlled. Option 6 introduces a dedicated fixed or telescopic vertical slag sampler, independent of the main robot. Options are summarised in</w:t>
      </w:r>
      <w:r>
        <w:rPr>
          <w:highlight w:val="yellow"/>
        </w:rPr>
        <w:t xml:space="preserve"> </w:t>
      </w:r>
      <w:r w:rsidRPr="00276EA3">
        <w:t>Table 5 below</w:t>
      </w:r>
      <w:r>
        <w:t>:</w:t>
      </w:r>
    </w:p>
    <w:p w14:paraId="127253FB" w14:textId="77777777" w:rsidR="00CE3E6A" w:rsidRDefault="00CE3E6A" w:rsidP="00CE3E6A">
      <w:pPr>
        <w:pStyle w:val="Caption"/>
        <w:keepNext/>
        <w:jc w:val="center"/>
      </w:pPr>
      <w:bookmarkStart w:id="103" w:name="_Toc234530033"/>
      <w:bookmarkEnd w:id="100"/>
      <w:bookmarkEnd w:id="101"/>
      <w:bookmarkEnd w:id="102"/>
      <w:r>
        <w:t xml:space="preserve">Table </w:t>
      </w:r>
      <w:fldSimple w:instr=" SEQ Table \* ARABIC ">
        <w:r>
          <w:rPr>
            <w:noProof/>
          </w:rPr>
          <w:t>5</w:t>
        </w:r>
      </w:fldSimple>
      <w:r>
        <w:t>: Option summary</w:t>
      </w:r>
      <w:bookmarkEnd w:id="103"/>
    </w:p>
    <w:tbl>
      <w:tblPr>
        <w:tblStyle w:val="TableGrid"/>
        <w:tblW w:w="0" w:type="auto"/>
        <w:jc w:val="center"/>
        <w:tblLook w:val="04A0" w:firstRow="1" w:lastRow="0" w:firstColumn="1" w:lastColumn="0" w:noHBand="0" w:noVBand="1"/>
      </w:tblPr>
      <w:tblGrid>
        <w:gridCol w:w="1131"/>
        <w:gridCol w:w="5067"/>
        <w:gridCol w:w="2818"/>
      </w:tblGrid>
      <w:tr w:rsidR="0075747E" w14:paraId="2A26246E" w14:textId="77777777" w:rsidTr="0075747E">
        <w:trPr>
          <w:jc w:val="center"/>
        </w:trPr>
        <w:tc>
          <w:tcPr>
            <w:tcW w:w="1134" w:type="dxa"/>
            <w:shd w:val="clear" w:color="auto" w:fill="D9D9D9" w:themeFill="background1" w:themeFillShade="D9"/>
            <w:vAlign w:val="center"/>
          </w:tcPr>
          <w:p w14:paraId="470C75A3" w14:textId="77777777" w:rsidR="0075747E" w:rsidRPr="0075747E" w:rsidRDefault="0075747E" w:rsidP="0075747E">
            <w:pPr>
              <w:jc w:val="center"/>
              <w:rPr>
                <w:b/>
                <w:bCs/>
              </w:rPr>
            </w:pPr>
            <w:r>
              <w:rPr>
                <w:b/>
                <w:bCs/>
              </w:rPr>
              <w:t>Option</w:t>
            </w:r>
          </w:p>
        </w:tc>
        <w:tc>
          <w:tcPr>
            <w:tcW w:w="5102" w:type="dxa"/>
            <w:shd w:val="clear" w:color="auto" w:fill="D9D9D9" w:themeFill="background1" w:themeFillShade="D9"/>
            <w:vAlign w:val="center"/>
          </w:tcPr>
          <w:p w14:paraId="4409C38F" w14:textId="77777777" w:rsidR="0075747E" w:rsidRPr="0075747E" w:rsidRDefault="0075747E" w:rsidP="0075747E">
            <w:pPr>
              <w:jc w:val="center"/>
              <w:rPr>
                <w:b/>
                <w:bCs/>
              </w:rPr>
            </w:pPr>
            <w:r>
              <w:rPr>
                <w:b/>
                <w:bCs/>
              </w:rPr>
              <w:t>Description</w:t>
            </w:r>
          </w:p>
        </w:tc>
        <w:tc>
          <w:tcPr>
            <w:tcW w:w="2835" w:type="dxa"/>
            <w:shd w:val="clear" w:color="auto" w:fill="D9D9D9" w:themeFill="background1" w:themeFillShade="D9"/>
            <w:vAlign w:val="center"/>
          </w:tcPr>
          <w:p w14:paraId="45A01A84" w14:textId="77777777" w:rsidR="0075747E" w:rsidRPr="0075747E" w:rsidRDefault="0075747E" w:rsidP="0075747E">
            <w:pPr>
              <w:jc w:val="center"/>
              <w:rPr>
                <w:b/>
                <w:bCs/>
              </w:rPr>
            </w:pPr>
            <w:r>
              <w:rPr>
                <w:b/>
                <w:bCs/>
              </w:rPr>
              <w:t>Initial judgement</w:t>
            </w:r>
          </w:p>
        </w:tc>
      </w:tr>
      <w:tr w:rsidR="0075747E" w14:paraId="01BBE859" w14:textId="77777777" w:rsidTr="00354319">
        <w:trPr>
          <w:jc w:val="center"/>
        </w:trPr>
        <w:tc>
          <w:tcPr>
            <w:tcW w:w="1134" w:type="dxa"/>
          </w:tcPr>
          <w:p w14:paraId="145047B6" w14:textId="77777777" w:rsidR="0075747E" w:rsidRDefault="0075747E" w:rsidP="00354319">
            <w:r>
              <w:t>1</w:t>
            </w:r>
          </w:p>
        </w:tc>
        <w:tc>
          <w:tcPr>
            <w:tcW w:w="5102" w:type="dxa"/>
          </w:tcPr>
          <w:p w14:paraId="66DBC9FC" w14:textId="77777777" w:rsidR="0075747E" w:rsidRDefault="0075747E" w:rsidP="00354319">
            <w:r>
              <w:t>Manual steel and slag sampling with improved controls.</w:t>
            </w:r>
          </w:p>
        </w:tc>
        <w:tc>
          <w:tcPr>
            <w:tcW w:w="2835" w:type="dxa"/>
          </w:tcPr>
          <w:p w14:paraId="18E0C395" w14:textId="77777777" w:rsidR="0075747E" w:rsidRDefault="0075747E" w:rsidP="00354319">
            <w:r>
              <w:t>Technically possible but weak alignment with safety and automation goals.</w:t>
            </w:r>
          </w:p>
        </w:tc>
      </w:tr>
      <w:tr w:rsidR="0075747E" w14:paraId="2B453E83" w14:textId="77777777" w:rsidTr="00354319">
        <w:trPr>
          <w:jc w:val="center"/>
        </w:trPr>
        <w:tc>
          <w:tcPr>
            <w:tcW w:w="1134" w:type="dxa"/>
          </w:tcPr>
          <w:p w14:paraId="20CD612C" w14:textId="77777777" w:rsidR="0075747E" w:rsidRDefault="0075747E" w:rsidP="00354319">
            <w:r>
              <w:t>2</w:t>
            </w:r>
          </w:p>
        </w:tc>
        <w:tc>
          <w:tcPr>
            <w:tcW w:w="5102" w:type="dxa"/>
          </w:tcPr>
          <w:p w14:paraId="0215895E" w14:textId="77777777" w:rsidR="0075747E" w:rsidRDefault="0075747E" w:rsidP="00354319">
            <w:r>
              <w:t>PolySAMPLE EAF for steel temperature/sampling, conventional sample transfer.</w:t>
            </w:r>
          </w:p>
        </w:tc>
        <w:tc>
          <w:tcPr>
            <w:tcW w:w="2835" w:type="dxa"/>
          </w:tcPr>
          <w:p w14:paraId="0F437DFE" w14:textId="77777777" w:rsidR="0075747E" w:rsidRDefault="0075747E" w:rsidP="00354319">
            <w:r>
              <w:t>Strong maturity but incomplete end-to-end automation.</w:t>
            </w:r>
          </w:p>
        </w:tc>
      </w:tr>
      <w:tr w:rsidR="0075747E" w14:paraId="583AA826" w14:textId="77777777" w:rsidTr="00354319">
        <w:trPr>
          <w:jc w:val="center"/>
        </w:trPr>
        <w:tc>
          <w:tcPr>
            <w:tcW w:w="1134" w:type="dxa"/>
          </w:tcPr>
          <w:p w14:paraId="1A7BEBC7" w14:textId="77777777" w:rsidR="0075747E" w:rsidRDefault="0075747E" w:rsidP="00354319">
            <w:r>
              <w:t>3</w:t>
            </w:r>
          </w:p>
        </w:tc>
        <w:tc>
          <w:tcPr>
            <w:tcW w:w="5102" w:type="dxa"/>
          </w:tcPr>
          <w:p w14:paraId="1F10F003" w14:textId="77777777" w:rsidR="0075747E" w:rsidRDefault="0075747E" w:rsidP="00354319">
            <w:r>
              <w:t>PolySAMPLE EAF plus automated protected sample transport to laboratory.</w:t>
            </w:r>
          </w:p>
        </w:tc>
        <w:tc>
          <w:tcPr>
            <w:tcW w:w="2835" w:type="dxa"/>
          </w:tcPr>
          <w:p w14:paraId="67D457D6" w14:textId="77777777" w:rsidR="0075747E" w:rsidRDefault="0075747E" w:rsidP="00354319">
            <w:r>
              <w:t>Strong preferred baseline if thermal and handling issues are validated.</w:t>
            </w:r>
          </w:p>
        </w:tc>
      </w:tr>
      <w:tr w:rsidR="0075747E" w14:paraId="62DB06A7" w14:textId="77777777" w:rsidTr="00354319">
        <w:trPr>
          <w:jc w:val="center"/>
        </w:trPr>
        <w:tc>
          <w:tcPr>
            <w:tcW w:w="1134" w:type="dxa"/>
          </w:tcPr>
          <w:p w14:paraId="5D5199DC" w14:textId="77777777" w:rsidR="0075747E" w:rsidRDefault="0075747E" w:rsidP="00354319">
            <w:r>
              <w:t>4</w:t>
            </w:r>
          </w:p>
        </w:tc>
        <w:tc>
          <w:tcPr>
            <w:tcW w:w="5102" w:type="dxa"/>
          </w:tcPr>
          <w:p w14:paraId="1E8887E2" w14:textId="77777777" w:rsidR="0075747E" w:rsidRDefault="0075747E" w:rsidP="00354319">
            <w:r>
              <w:t>Fully automated steel and EAF vertical slag sampling.</w:t>
            </w:r>
          </w:p>
        </w:tc>
        <w:tc>
          <w:tcPr>
            <w:tcW w:w="2835" w:type="dxa"/>
          </w:tcPr>
          <w:p w14:paraId="76D19F59" w14:textId="77777777" w:rsidR="0075747E" w:rsidRDefault="0075747E" w:rsidP="00354319">
            <w:r>
              <w:t>Attractive target state but highest technical uncertainty.</w:t>
            </w:r>
          </w:p>
        </w:tc>
      </w:tr>
      <w:tr w:rsidR="0075747E" w14:paraId="471295C3" w14:textId="77777777" w:rsidTr="00354319">
        <w:trPr>
          <w:jc w:val="center"/>
        </w:trPr>
        <w:tc>
          <w:tcPr>
            <w:tcW w:w="1134" w:type="dxa"/>
          </w:tcPr>
          <w:p w14:paraId="079B0F1C" w14:textId="77777777" w:rsidR="0075747E" w:rsidRDefault="0075747E" w:rsidP="00354319">
            <w:r>
              <w:t>5</w:t>
            </w:r>
          </w:p>
        </w:tc>
        <w:tc>
          <w:tcPr>
            <w:tcW w:w="5102" w:type="dxa"/>
          </w:tcPr>
          <w:p w14:paraId="629F61DD" w14:textId="77777777" w:rsidR="0075747E" w:rsidRDefault="0075747E" w:rsidP="00354319">
            <w:r>
              <w:t>Staged slag strategy: steel robot and transport now, slag automation developed/trialled separately.</w:t>
            </w:r>
          </w:p>
        </w:tc>
        <w:tc>
          <w:tcPr>
            <w:tcW w:w="2835" w:type="dxa"/>
          </w:tcPr>
          <w:p w14:paraId="177A3A12" w14:textId="77777777" w:rsidR="0075747E" w:rsidRDefault="0075747E" w:rsidP="00354319">
            <w:r>
              <w:t>Most balanced option for design-freeze environment.</w:t>
            </w:r>
          </w:p>
        </w:tc>
      </w:tr>
      <w:tr w:rsidR="0075747E" w14:paraId="3E9FE375" w14:textId="77777777" w:rsidTr="00354319">
        <w:trPr>
          <w:jc w:val="center"/>
        </w:trPr>
        <w:tc>
          <w:tcPr>
            <w:tcW w:w="1134" w:type="dxa"/>
          </w:tcPr>
          <w:p w14:paraId="2F082FC9" w14:textId="77777777" w:rsidR="0075747E" w:rsidRDefault="0075747E" w:rsidP="00354319">
            <w:r>
              <w:t>6</w:t>
            </w:r>
          </w:p>
        </w:tc>
        <w:tc>
          <w:tcPr>
            <w:tcW w:w="5102" w:type="dxa"/>
          </w:tcPr>
          <w:p w14:paraId="681DF29B" w14:textId="77777777" w:rsidR="0075747E" w:rsidRDefault="0075747E" w:rsidP="00354319">
            <w:r>
              <w:t>Dedicated fixed or telescopic vertical slag sampler.</w:t>
            </w:r>
          </w:p>
        </w:tc>
        <w:tc>
          <w:tcPr>
            <w:tcW w:w="2835" w:type="dxa"/>
          </w:tcPr>
          <w:p w14:paraId="5FF1142D" w14:textId="77777777" w:rsidR="0075747E" w:rsidRDefault="0075747E" w:rsidP="00354319">
            <w:r>
              <w:t>Potentially useful but intrusive and less mature within available evidence.</w:t>
            </w:r>
          </w:p>
        </w:tc>
      </w:tr>
    </w:tbl>
    <w:p w14:paraId="16E5C291" w14:textId="77777777" w:rsidR="00FB1C66" w:rsidRDefault="009C2E6B" w:rsidP="009C2E6B">
      <w:pPr>
        <w:pStyle w:val="Heading2"/>
      </w:pPr>
      <w:bookmarkStart w:id="104" w:name="_Toc234060420"/>
      <w:bookmarkStart w:id="105" w:name="_Toc234699540"/>
      <w:r>
        <w:lastRenderedPageBreak/>
        <w:t>Weighted scoring results</w:t>
      </w:r>
      <w:bookmarkEnd w:id="104"/>
      <w:bookmarkEnd w:id="105"/>
      <w:r>
        <w:t xml:space="preserve"> </w:t>
      </w:r>
    </w:p>
    <w:p w14:paraId="0765FDF6" w14:textId="77777777" w:rsidR="0032655A" w:rsidRDefault="0032655A" w:rsidP="0032655A">
      <w:r w:rsidRPr="00276EA3">
        <w:t>Table 6</w:t>
      </w:r>
      <w:r>
        <w:t xml:space="preserve"> presents the weighted decision matrix. Each score was multiplied by the criterion weight and summed; the totals shown are the exact arithmetic result of the scores and weights in the table, and the per-criterion scoring rationale is given in Appendix A. One scoring judgement deserves highlighting: Option 5 scores 5 for turnaround and process-control value, the same as Options 3 and 4, because the staged strategy implements automated transport from the outset; what it defers is slag automation, not the transport of steel samples.</w:t>
      </w:r>
    </w:p>
    <w:p w14:paraId="6ECC6C34" w14:textId="77777777" w:rsidR="00CE3E6A" w:rsidRDefault="00CE3E6A" w:rsidP="00CE3E6A">
      <w:pPr>
        <w:pStyle w:val="Caption"/>
        <w:keepNext/>
        <w:jc w:val="center"/>
      </w:pPr>
      <w:bookmarkStart w:id="106" w:name="_Toc234049066"/>
      <w:bookmarkStart w:id="107" w:name="_Toc234060455"/>
      <w:bookmarkStart w:id="108" w:name="_Toc234060465"/>
      <w:bookmarkStart w:id="109" w:name="_Toc234530034"/>
      <w:bookmarkEnd w:id="106"/>
      <w:bookmarkEnd w:id="107"/>
      <w:bookmarkEnd w:id="108"/>
      <w:r>
        <w:t xml:space="preserve">Table </w:t>
      </w:r>
      <w:fldSimple w:instr=" SEQ Table \* ARABIC ">
        <w:r>
          <w:rPr>
            <w:noProof/>
          </w:rPr>
          <w:t>6</w:t>
        </w:r>
      </w:fldSimple>
      <w:r>
        <w:t>: Weighted decision matrix</w:t>
      </w:r>
      <w:bookmarkEnd w:id="109"/>
    </w:p>
    <w:tbl>
      <w:tblPr>
        <w:tblStyle w:val="TableGrid"/>
        <w:tblW w:w="0" w:type="auto"/>
        <w:jc w:val="center"/>
        <w:tblLook w:val="04A0" w:firstRow="1" w:lastRow="0" w:firstColumn="1" w:lastColumn="0" w:noHBand="0" w:noVBand="1"/>
      </w:tblPr>
      <w:tblGrid>
        <w:gridCol w:w="2602"/>
        <w:gridCol w:w="887"/>
        <w:gridCol w:w="904"/>
        <w:gridCol w:w="823"/>
        <w:gridCol w:w="1040"/>
        <w:gridCol w:w="776"/>
        <w:gridCol w:w="888"/>
        <w:gridCol w:w="1096"/>
      </w:tblGrid>
      <w:tr w:rsidR="00BF586F" w14:paraId="6EF38BFC" w14:textId="77777777" w:rsidTr="009437BC">
        <w:trPr>
          <w:jc w:val="center"/>
        </w:trPr>
        <w:tc>
          <w:tcPr>
            <w:tcW w:w="1170" w:type="dxa"/>
            <w:shd w:val="clear" w:color="auto" w:fill="D9D9D9" w:themeFill="background1" w:themeFillShade="D9"/>
            <w:vAlign w:val="center"/>
          </w:tcPr>
          <w:p w14:paraId="335FFCAE" w14:textId="77777777" w:rsidR="00BF586F" w:rsidRPr="00FE6672" w:rsidRDefault="00BF586F" w:rsidP="009437BC">
            <w:pPr>
              <w:jc w:val="center"/>
              <w:rPr>
                <w:b/>
                <w:bCs/>
                <w:sz w:val="18"/>
                <w:szCs w:val="18"/>
              </w:rPr>
            </w:pPr>
            <w:r>
              <w:rPr>
                <w:b/>
                <w:bCs/>
                <w:sz w:val="18"/>
                <w:szCs w:val="18"/>
              </w:rPr>
              <w:t>Criterion</w:t>
            </w:r>
          </w:p>
        </w:tc>
        <w:tc>
          <w:tcPr>
            <w:tcW w:w="1170" w:type="dxa"/>
            <w:shd w:val="clear" w:color="auto" w:fill="D9D9D9" w:themeFill="background1" w:themeFillShade="D9"/>
            <w:vAlign w:val="center"/>
          </w:tcPr>
          <w:p w14:paraId="046D675F" w14:textId="77777777" w:rsidR="00BF586F" w:rsidRPr="00FE6672" w:rsidRDefault="00BF586F" w:rsidP="009437BC">
            <w:pPr>
              <w:jc w:val="center"/>
              <w:rPr>
                <w:b/>
                <w:bCs/>
                <w:sz w:val="18"/>
                <w:szCs w:val="18"/>
              </w:rPr>
            </w:pPr>
            <w:r>
              <w:rPr>
                <w:b/>
                <w:bCs/>
                <w:sz w:val="18"/>
                <w:szCs w:val="18"/>
              </w:rPr>
              <w:t>Weight</w:t>
            </w:r>
          </w:p>
        </w:tc>
        <w:tc>
          <w:tcPr>
            <w:tcW w:w="1170" w:type="dxa"/>
            <w:shd w:val="clear" w:color="auto" w:fill="D9D9D9" w:themeFill="background1" w:themeFillShade="D9"/>
            <w:vAlign w:val="center"/>
          </w:tcPr>
          <w:p w14:paraId="742357EA" w14:textId="77777777" w:rsidR="00BF586F" w:rsidRPr="00FE6672" w:rsidRDefault="00BF586F" w:rsidP="009437BC">
            <w:pPr>
              <w:jc w:val="center"/>
              <w:rPr>
                <w:b/>
                <w:bCs/>
                <w:sz w:val="18"/>
                <w:szCs w:val="18"/>
              </w:rPr>
            </w:pPr>
            <w:r>
              <w:rPr>
                <w:b/>
                <w:bCs/>
                <w:sz w:val="18"/>
                <w:szCs w:val="18"/>
              </w:rPr>
              <w:t>Opt.1 Manual</w:t>
            </w:r>
          </w:p>
        </w:tc>
        <w:tc>
          <w:tcPr>
            <w:tcW w:w="1170" w:type="dxa"/>
            <w:shd w:val="clear" w:color="auto" w:fill="D9D9D9" w:themeFill="background1" w:themeFillShade="D9"/>
            <w:vAlign w:val="center"/>
          </w:tcPr>
          <w:p w14:paraId="0AF092E3" w14:textId="77777777" w:rsidR="00BF586F" w:rsidRPr="00FE6672" w:rsidRDefault="00BF586F" w:rsidP="009437BC">
            <w:pPr>
              <w:jc w:val="center"/>
              <w:rPr>
                <w:b/>
                <w:bCs/>
                <w:sz w:val="18"/>
                <w:szCs w:val="18"/>
              </w:rPr>
            </w:pPr>
            <w:r>
              <w:rPr>
                <w:b/>
                <w:bCs/>
                <w:sz w:val="18"/>
                <w:szCs w:val="18"/>
              </w:rPr>
              <w:t>Opt.2 Robot steel</w:t>
            </w:r>
          </w:p>
        </w:tc>
        <w:tc>
          <w:tcPr>
            <w:tcW w:w="1170" w:type="dxa"/>
            <w:shd w:val="clear" w:color="auto" w:fill="D9D9D9" w:themeFill="background1" w:themeFillShade="D9"/>
            <w:vAlign w:val="center"/>
          </w:tcPr>
          <w:p w14:paraId="4A3FD113" w14:textId="77777777" w:rsidR="00BF586F" w:rsidRPr="00FE6672" w:rsidRDefault="00BF586F" w:rsidP="009437BC">
            <w:pPr>
              <w:jc w:val="center"/>
              <w:rPr>
                <w:b/>
                <w:bCs/>
                <w:sz w:val="18"/>
                <w:szCs w:val="18"/>
              </w:rPr>
            </w:pPr>
            <w:r>
              <w:rPr>
                <w:b/>
                <w:bCs/>
                <w:sz w:val="18"/>
                <w:szCs w:val="18"/>
              </w:rPr>
              <w:t>Opt.3 Robot + transport</w:t>
            </w:r>
          </w:p>
        </w:tc>
        <w:tc>
          <w:tcPr>
            <w:tcW w:w="1170" w:type="dxa"/>
            <w:shd w:val="clear" w:color="auto" w:fill="D9D9D9" w:themeFill="background1" w:themeFillShade="D9"/>
            <w:vAlign w:val="center"/>
          </w:tcPr>
          <w:p w14:paraId="0D44B21A" w14:textId="77777777" w:rsidR="00BF586F" w:rsidRPr="00FE6672" w:rsidRDefault="00BF586F" w:rsidP="009437BC">
            <w:pPr>
              <w:jc w:val="center"/>
              <w:rPr>
                <w:b/>
                <w:bCs/>
                <w:sz w:val="18"/>
                <w:szCs w:val="18"/>
              </w:rPr>
            </w:pPr>
            <w:r>
              <w:rPr>
                <w:b/>
                <w:bCs/>
                <w:sz w:val="18"/>
                <w:szCs w:val="18"/>
              </w:rPr>
              <w:t>Opt.4 Full steel + slag</w:t>
            </w:r>
          </w:p>
        </w:tc>
        <w:tc>
          <w:tcPr>
            <w:tcW w:w="1170" w:type="dxa"/>
            <w:shd w:val="clear" w:color="auto" w:fill="D9D9D9" w:themeFill="background1" w:themeFillShade="D9"/>
            <w:vAlign w:val="center"/>
          </w:tcPr>
          <w:p w14:paraId="1F714E03" w14:textId="77777777" w:rsidR="00BF586F" w:rsidRPr="00FE6672" w:rsidRDefault="00BF586F" w:rsidP="009437BC">
            <w:pPr>
              <w:jc w:val="center"/>
              <w:rPr>
                <w:b/>
                <w:bCs/>
                <w:sz w:val="18"/>
                <w:szCs w:val="18"/>
              </w:rPr>
            </w:pPr>
            <w:r>
              <w:rPr>
                <w:b/>
                <w:bCs/>
                <w:sz w:val="18"/>
                <w:szCs w:val="18"/>
              </w:rPr>
              <w:t>Opt.5 Staged slag</w:t>
            </w:r>
          </w:p>
        </w:tc>
        <w:tc>
          <w:tcPr>
            <w:tcW w:w="1170" w:type="dxa"/>
            <w:shd w:val="clear" w:color="auto" w:fill="D9D9D9" w:themeFill="background1" w:themeFillShade="D9"/>
            <w:vAlign w:val="center"/>
          </w:tcPr>
          <w:p w14:paraId="58CA9644" w14:textId="77777777" w:rsidR="00BF586F" w:rsidRPr="00FE6672" w:rsidRDefault="00BF586F" w:rsidP="009437BC">
            <w:pPr>
              <w:jc w:val="center"/>
              <w:rPr>
                <w:b/>
                <w:bCs/>
                <w:sz w:val="18"/>
                <w:szCs w:val="18"/>
              </w:rPr>
            </w:pPr>
            <w:r>
              <w:rPr>
                <w:b/>
                <w:bCs/>
                <w:sz w:val="18"/>
                <w:szCs w:val="18"/>
              </w:rPr>
              <w:t>Opt.6 Dedicated slag</w:t>
            </w:r>
          </w:p>
        </w:tc>
      </w:tr>
      <w:tr w:rsidR="00FE6672" w14:paraId="1ED2466B" w14:textId="77777777" w:rsidTr="00354319">
        <w:trPr>
          <w:jc w:val="center"/>
        </w:trPr>
        <w:tc>
          <w:tcPr>
            <w:tcW w:w="1170" w:type="dxa"/>
          </w:tcPr>
          <w:p w14:paraId="104E4839" w14:textId="77777777" w:rsidR="00BF586F" w:rsidRDefault="00BF586F" w:rsidP="00354319">
            <w:r>
              <w:t>Safety risk reduction</w:t>
            </w:r>
          </w:p>
        </w:tc>
        <w:tc>
          <w:tcPr>
            <w:tcW w:w="1170" w:type="dxa"/>
          </w:tcPr>
          <w:p w14:paraId="263567FC" w14:textId="77777777" w:rsidR="00BF586F" w:rsidRDefault="00BF586F" w:rsidP="00354319">
            <w:r>
              <w:t>25</w:t>
            </w:r>
          </w:p>
        </w:tc>
        <w:tc>
          <w:tcPr>
            <w:tcW w:w="1170" w:type="dxa"/>
          </w:tcPr>
          <w:p w14:paraId="69E2E7A4" w14:textId="77777777" w:rsidR="00BF586F" w:rsidRDefault="00BF586F" w:rsidP="00354319">
            <w:r>
              <w:t>2</w:t>
            </w:r>
          </w:p>
        </w:tc>
        <w:tc>
          <w:tcPr>
            <w:tcW w:w="1170" w:type="dxa"/>
          </w:tcPr>
          <w:p w14:paraId="40DD6827" w14:textId="77777777" w:rsidR="00BF586F" w:rsidRDefault="00BF586F" w:rsidP="00354319">
            <w:r>
              <w:t>4</w:t>
            </w:r>
          </w:p>
        </w:tc>
        <w:tc>
          <w:tcPr>
            <w:tcW w:w="1170" w:type="dxa"/>
          </w:tcPr>
          <w:p w14:paraId="08F17763" w14:textId="77777777" w:rsidR="00BF586F" w:rsidRDefault="00BF586F" w:rsidP="00354319">
            <w:r>
              <w:t>5</w:t>
            </w:r>
          </w:p>
        </w:tc>
        <w:tc>
          <w:tcPr>
            <w:tcW w:w="1170" w:type="dxa"/>
          </w:tcPr>
          <w:p w14:paraId="327DD4ED" w14:textId="77777777" w:rsidR="00BF586F" w:rsidRDefault="00BF586F" w:rsidP="00354319">
            <w:r>
              <w:t>5</w:t>
            </w:r>
          </w:p>
        </w:tc>
        <w:tc>
          <w:tcPr>
            <w:tcW w:w="1170" w:type="dxa"/>
          </w:tcPr>
          <w:p w14:paraId="205E5846" w14:textId="77777777" w:rsidR="00BF586F" w:rsidRDefault="00BF586F" w:rsidP="00354319">
            <w:r>
              <w:t>5</w:t>
            </w:r>
          </w:p>
        </w:tc>
        <w:tc>
          <w:tcPr>
            <w:tcW w:w="1170" w:type="dxa"/>
          </w:tcPr>
          <w:p w14:paraId="5E6D368A" w14:textId="77777777" w:rsidR="00BF586F" w:rsidRDefault="00BF586F" w:rsidP="00354319">
            <w:r>
              <w:t>4</w:t>
            </w:r>
          </w:p>
        </w:tc>
      </w:tr>
      <w:tr w:rsidR="00FE6672" w14:paraId="357E911D" w14:textId="77777777" w:rsidTr="00354319">
        <w:trPr>
          <w:jc w:val="center"/>
        </w:trPr>
        <w:tc>
          <w:tcPr>
            <w:tcW w:w="1170" w:type="dxa"/>
          </w:tcPr>
          <w:p w14:paraId="03E43B22" w14:textId="77777777" w:rsidR="00BF586F" w:rsidRDefault="00BF586F" w:rsidP="00354319">
            <w:r>
              <w:t>Sampling repeatability/quality</w:t>
            </w:r>
          </w:p>
        </w:tc>
        <w:tc>
          <w:tcPr>
            <w:tcW w:w="1170" w:type="dxa"/>
          </w:tcPr>
          <w:p w14:paraId="65BD4D08" w14:textId="77777777" w:rsidR="00BF586F" w:rsidRDefault="00BF586F" w:rsidP="00354319">
            <w:r>
              <w:t>20</w:t>
            </w:r>
          </w:p>
        </w:tc>
        <w:tc>
          <w:tcPr>
            <w:tcW w:w="1170" w:type="dxa"/>
          </w:tcPr>
          <w:p w14:paraId="2A412943" w14:textId="77777777" w:rsidR="00BF586F" w:rsidRDefault="00BF586F" w:rsidP="00354319">
            <w:r>
              <w:t>2</w:t>
            </w:r>
          </w:p>
        </w:tc>
        <w:tc>
          <w:tcPr>
            <w:tcW w:w="1170" w:type="dxa"/>
          </w:tcPr>
          <w:p w14:paraId="20D8C4C3" w14:textId="77777777" w:rsidR="00BF586F" w:rsidRDefault="00BF586F" w:rsidP="00354319">
            <w:r>
              <w:t>4</w:t>
            </w:r>
          </w:p>
        </w:tc>
        <w:tc>
          <w:tcPr>
            <w:tcW w:w="1170" w:type="dxa"/>
          </w:tcPr>
          <w:p w14:paraId="37012304" w14:textId="77777777" w:rsidR="00BF586F" w:rsidRDefault="00BF586F" w:rsidP="00354319">
            <w:r>
              <w:t>4</w:t>
            </w:r>
          </w:p>
        </w:tc>
        <w:tc>
          <w:tcPr>
            <w:tcW w:w="1170" w:type="dxa"/>
          </w:tcPr>
          <w:p w14:paraId="41A91071" w14:textId="77777777" w:rsidR="00BF586F" w:rsidRDefault="00BF586F" w:rsidP="00354319">
            <w:r>
              <w:t>5</w:t>
            </w:r>
          </w:p>
        </w:tc>
        <w:tc>
          <w:tcPr>
            <w:tcW w:w="1170" w:type="dxa"/>
          </w:tcPr>
          <w:p w14:paraId="0DE89D8A" w14:textId="77777777" w:rsidR="00BF586F" w:rsidRDefault="00BF586F" w:rsidP="00354319">
            <w:r>
              <w:t>4</w:t>
            </w:r>
          </w:p>
        </w:tc>
        <w:tc>
          <w:tcPr>
            <w:tcW w:w="1170" w:type="dxa"/>
          </w:tcPr>
          <w:p w14:paraId="2FF06C7C" w14:textId="77777777" w:rsidR="00BF586F" w:rsidRDefault="00BF586F" w:rsidP="00354319">
            <w:r>
              <w:t>3</w:t>
            </w:r>
          </w:p>
        </w:tc>
      </w:tr>
      <w:tr w:rsidR="00FE6672" w14:paraId="6014C9F9" w14:textId="77777777" w:rsidTr="00354319">
        <w:trPr>
          <w:jc w:val="center"/>
        </w:trPr>
        <w:tc>
          <w:tcPr>
            <w:tcW w:w="1170" w:type="dxa"/>
          </w:tcPr>
          <w:p w14:paraId="5391C4A0" w14:textId="77777777" w:rsidR="00BF586F" w:rsidRDefault="00BF586F" w:rsidP="00354319">
            <w:r>
              <w:t>Technical maturity</w:t>
            </w:r>
          </w:p>
        </w:tc>
        <w:tc>
          <w:tcPr>
            <w:tcW w:w="1170" w:type="dxa"/>
          </w:tcPr>
          <w:p w14:paraId="1A3105B8" w14:textId="77777777" w:rsidR="00BF586F" w:rsidRDefault="00BF586F" w:rsidP="00354319">
            <w:r>
              <w:t>15</w:t>
            </w:r>
          </w:p>
        </w:tc>
        <w:tc>
          <w:tcPr>
            <w:tcW w:w="1170" w:type="dxa"/>
          </w:tcPr>
          <w:p w14:paraId="65B52448" w14:textId="77777777" w:rsidR="00BF586F" w:rsidRDefault="00BF586F" w:rsidP="00354319">
            <w:r>
              <w:t>5</w:t>
            </w:r>
          </w:p>
        </w:tc>
        <w:tc>
          <w:tcPr>
            <w:tcW w:w="1170" w:type="dxa"/>
          </w:tcPr>
          <w:p w14:paraId="713DC016" w14:textId="77777777" w:rsidR="00BF586F" w:rsidRDefault="00BF586F" w:rsidP="00354319">
            <w:r>
              <w:t>5</w:t>
            </w:r>
          </w:p>
        </w:tc>
        <w:tc>
          <w:tcPr>
            <w:tcW w:w="1170" w:type="dxa"/>
          </w:tcPr>
          <w:p w14:paraId="68FEF557" w14:textId="77777777" w:rsidR="00BF586F" w:rsidRDefault="00BF586F" w:rsidP="00354319">
            <w:r>
              <w:t>3</w:t>
            </w:r>
          </w:p>
        </w:tc>
        <w:tc>
          <w:tcPr>
            <w:tcW w:w="1170" w:type="dxa"/>
          </w:tcPr>
          <w:p w14:paraId="1816F348" w14:textId="77777777" w:rsidR="00BF586F" w:rsidRDefault="00BF586F" w:rsidP="00354319">
            <w:r>
              <w:t>2</w:t>
            </w:r>
          </w:p>
        </w:tc>
        <w:tc>
          <w:tcPr>
            <w:tcW w:w="1170" w:type="dxa"/>
          </w:tcPr>
          <w:p w14:paraId="437FE17B" w14:textId="77777777" w:rsidR="00BF586F" w:rsidRDefault="00BF586F" w:rsidP="00354319">
            <w:r>
              <w:t>4</w:t>
            </w:r>
          </w:p>
        </w:tc>
        <w:tc>
          <w:tcPr>
            <w:tcW w:w="1170" w:type="dxa"/>
          </w:tcPr>
          <w:p w14:paraId="1BF9FABC" w14:textId="77777777" w:rsidR="00BF586F" w:rsidRDefault="00BF586F" w:rsidP="00354319">
            <w:r>
              <w:t>2</w:t>
            </w:r>
          </w:p>
        </w:tc>
      </w:tr>
      <w:tr w:rsidR="00FE6672" w14:paraId="1FAE6A02" w14:textId="77777777" w:rsidTr="00354319">
        <w:trPr>
          <w:jc w:val="center"/>
        </w:trPr>
        <w:tc>
          <w:tcPr>
            <w:tcW w:w="1170" w:type="dxa"/>
          </w:tcPr>
          <w:p w14:paraId="189540D5" w14:textId="77777777" w:rsidR="00BF586F" w:rsidRDefault="00BF586F" w:rsidP="00354319">
            <w:r>
              <w:t>Integration with Project Invictus</w:t>
            </w:r>
          </w:p>
        </w:tc>
        <w:tc>
          <w:tcPr>
            <w:tcW w:w="1170" w:type="dxa"/>
          </w:tcPr>
          <w:p w14:paraId="30E4EA05" w14:textId="77777777" w:rsidR="00BF586F" w:rsidRDefault="00BF586F" w:rsidP="00354319">
            <w:r>
              <w:t>15</w:t>
            </w:r>
          </w:p>
        </w:tc>
        <w:tc>
          <w:tcPr>
            <w:tcW w:w="1170" w:type="dxa"/>
          </w:tcPr>
          <w:p w14:paraId="58F295F6" w14:textId="77777777" w:rsidR="00BF586F" w:rsidRDefault="00BF586F" w:rsidP="00354319">
            <w:r>
              <w:t>3</w:t>
            </w:r>
          </w:p>
        </w:tc>
        <w:tc>
          <w:tcPr>
            <w:tcW w:w="1170" w:type="dxa"/>
          </w:tcPr>
          <w:p w14:paraId="6D6FD788" w14:textId="77777777" w:rsidR="00BF586F" w:rsidRDefault="00BF586F" w:rsidP="00354319">
            <w:r>
              <w:t>5</w:t>
            </w:r>
          </w:p>
        </w:tc>
        <w:tc>
          <w:tcPr>
            <w:tcW w:w="1170" w:type="dxa"/>
          </w:tcPr>
          <w:p w14:paraId="76AC5C16" w14:textId="77777777" w:rsidR="00BF586F" w:rsidRDefault="00BF586F" w:rsidP="00354319">
            <w:r>
              <w:t>3</w:t>
            </w:r>
          </w:p>
        </w:tc>
        <w:tc>
          <w:tcPr>
            <w:tcW w:w="1170" w:type="dxa"/>
          </w:tcPr>
          <w:p w14:paraId="4D55B68C" w14:textId="77777777" w:rsidR="00BF586F" w:rsidRDefault="00BF586F" w:rsidP="00354319">
            <w:r>
              <w:t>2</w:t>
            </w:r>
          </w:p>
        </w:tc>
        <w:tc>
          <w:tcPr>
            <w:tcW w:w="1170" w:type="dxa"/>
          </w:tcPr>
          <w:p w14:paraId="6C48EAC1" w14:textId="77777777" w:rsidR="00BF586F" w:rsidRDefault="00BF586F" w:rsidP="00354319">
            <w:r>
              <w:t>4</w:t>
            </w:r>
          </w:p>
        </w:tc>
        <w:tc>
          <w:tcPr>
            <w:tcW w:w="1170" w:type="dxa"/>
          </w:tcPr>
          <w:p w14:paraId="4462DC68" w14:textId="77777777" w:rsidR="00BF586F" w:rsidRDefault="00BF586F" w:rsidP="00354319">
            <w:r>
              <w:t>2</w:t>
            </w:r>
          </w:p>
        </w:tc>
      </w:tr>
      <w:tr w:rsidR="00FE6672" w14:paraId="4A8D1AD5" w14:textId="77777777" w:rsidTr="00354319">
        <w:trPr>
          <w:jc w:val="center"/>
        </w:trPr>
        <w:tc>
          <w:tcPr>
            <w:tcW w:w="1170" w:type="dxa"/>
          </w:tcPr>
          <w:p w14:paraId="01259B9B" w14:textId="77777777" w:rsidR="00BF586F" w:rsidRDefault="00BF586F" w:rsidP="00354319">
            <w:r>
              <w:t>Turnaround/process value</w:t>
            </w:r>
          </w:p>
        </w:tc>
        <w:tc>
          <w:tcPr>
            <w:tcW w:w="1170" w:type="dxa"/>
          </w:tcPr>
          <w:p w14:paraId="1ACF4AB9" w14:textId="77777777" w:rsidR="00BF586F" w:rsidRDefault="00BF586F" w:rsidP="00354319">
            <w:r>
              <w:t>10</w:t>
            </w:r>
          </w:p>
        </w:tc>
        <w:tc>
          <w:tcPr>
            <w:tcW w:w="1170" w:type="dxa"/>
          </w:tcPr>
          <w:p w14:paraId="1D7264A4" w14:textId="77777777" w:rsidR="00BF586F" w:rsidRDefault="00BF586F" w:rsidP="00354319">
            <w:r>
              <w:t>2</w:t>
            </w:r>
          </w:p>
        </w:tc>
        <w:tc>
          <w:tcPr>
            <w:tcW w:w="1170" w:type="dxa"/>
          </w:tcPr>
          <w:p w14:paraId="488BA6DB" w14:textId="77777777" w:rsidR="00BF586F" w:rsidRDefault="00BF586F" w:rsidP="00354319">
            <w:r>
              <w:t>3</w:t>
            </w:r>
          </w:p>
        </w:tc>
        <w:tc>
          <w:tcPr>
            <w:tcW w:w="1170" w:type="dxa"/>
          </w:tcPr>
          <w:p w14:paraId="308CF564" w14:textId="77777777" w:rsidR="00BF586F" w:rsidRDefault="00BF586F" w:rsidP="00354319">
            <w:r>
              <w:t>5</w:t>
            </w:r>
          </w:p>
        </w:tc>
        <w:tc>
          <w:tcPr>
            <w:tcW w:w="1170" w:type="dxa"/>
          </w:tcPr>
          <w:p w14:paraId="2AAEC6AF" w14:textId="77777777" w:rsidR="00BF586F" w:rsidRDefault="00BF586F" w:rsidP="00354319">
            <w:r>
              <w:t>5</w:t>
            </w:r>
          </w:p>
        </w:tc>
        <w:tc>
          <w:tcPr>
            <w:tcW w:w="1170" w:type="dxa"/>
          </w:tcPr>
          <w:p w14:paraId="0E08FABF" w14:textId="77777777" w:rsidR="00BF586F" w:rsidRDefault="00BF586F" w:rsidP="00354319">
            <w:r>
              <w:rPr>
                <w:highlight w:val="yellow"/>
              </w:rPr>
              <w:t>5</w:t>
            </w:r>
          </w:p>
        </w:tc>
        <w:tc>
          <w:tcPr>
            <w:tcW w:w="1170" w:type="dxa"/>
          </w:tcPr>
          <w:p w14:paraId="09883CB1" w14:textId="77777777" w:rsidR="00BF586F" w:rsidRDefault="00BF586F" w:rsidP="00354319">
            <w:r>
              <w:t>3</w:t>
            </w:r>
          </w:p>
        </w:tc>
      </w:tr>
      <w:tr w:rsidR="00FE6672" w14:paraId="1078C070" w14:textId="77777777" w:rsidTr="00354319">
        <w:trPr>
          <w:jc w:val="center"/>
        </w:trPr>
        <w:tc>
          <w:tcPr>
            <w:tcW w:w="1170" w:type="dxa"/>
          </w:tcPr>
          <w:p w14:paraId="224B30A0" w14:textId="77777777" w:rsidR="00BF586F" w:rsidRDefault="00BF586F" w:rsidP="00354319">
            <w:r>
              <w:t>Maintainability/resilience</w:t>
            </w:r>
          </w:p>
        </w:tc>
        <w:tc>
          <w:tcPr>
            <w:tcW w:w="1170" w:type="dxa"/>
          </w:tcPr>
          <w:p w14:paraId="39953C66" w14:textId="77777777" w:rsidR="00BF586F" w:rsidRDefault="00BF586F" w:rsidP="00354319">
            <w:r>
              <w:t>10</w:t>
            </w:r>
          </w:p>
        </w:tc>
        <w:tc>
          <w:tcPr>
            <w:tcW w:w="1170" w:type="dxa"/>
          </w:tcPr>
          <w:p w14:paraId="2D3AD977" w14:textId="77777777" w:rsidR="00BF586F" w:rsidRDefault="00BF586F" w:rsidP="00354319">
            <w:r>
              <w:t>3</w:t>
            </w:r>
          </w:p>
        </w:tc>
        <w:tc>
          <w:tcPr>
            <w:tcW w:w="1170" w:type="dxa"/>
          </w:tcPr>
          <w:p w14:paraId="45B57DDA" w14:textId="77777777" w:rsidR="00BF586F" w:rsidRDefault="00BF586F" w:rsidP="00354319">
            <w:r>
              <w:t>4</w:t>
            </w:r>
          </w:p>
        </w:tc>
        <w:tc>
          <w:tcPr>
            <w:tcW w:w="1170" w:type="dxa"/>
          </w:tcPr>
          <w:p w14:paraId="5EA9E2F2" w14:textId="77777777" w:rsidR="00BF586F" w:rsidRDefault="00BF586F" w:rsidP="00354319">
            <w:r>
              <w:t>3</w:t>
            </w:r>
          </w:p>
        </w:tc>
        <w:tc>
          <w:tcPr>
            <w:tcW w:w="1170" w:type="dxa"/>
          </w:tcPr>
          <w:p w14:paraId="36743415" w14:textId="77777777" w:rsidR="00BF586F" w:rsidRDefault="00BF586F" w:rsidP="00354319">
            <w:r>
              <w:t>2</w:t>
            </w:r>
          </w:p>
        </w:tc>
        <w:tc>
          <w:tcPr>
            <w:tcW w:w="1170" w:type="dxa"/>
          </w:tcPr>
          <w:p w14:paraId="22FEDF20" w14:textId="77777777" w:rsidR="00BF586F" w:rsidRDefault="00BF586F" w:rsidP="00354319">
            <w:r>
              <w:t>4</w:t>
            </w:r>
          </w:p>
        </w:tc>
        <w:tc>
          <w:tcPr>
            <w:tcW w:w="1170" w:type="dxa"/>
          </w:tcPr>
          <w:p w14:paraId="26C28BC5" w14:textId="77777777" w:rsidR="00BF586F" w:rsidRDefault="00BF586F" w:rsidP="00354319">
            <w:r>
              <w:t>2</w:t>
            </w:r>
          </w:p>
        </w:tc>
      </w:tr>
      <w:tr w:rsidR="00FE6672" w14:paraId="7A392F4A" w14:textId="77777777" w:rsidTr="00354319">
        <w:trPr>
          <w:jc w:val="center"/>
        </w:trPr>
        <w:tc>
          <w:tcPr>
            <w:tcW w:w="1170" w:type="dxa"/>
          </w:tcPr>
          <w:p w14:paraId="037B4130" w14:textId="77777777" w:rsidR="00BF586F" w:rsidRDefault="00BF586F" w:rsidP="00354319">
            <w:r>
              <w:t>Cost/programme certainty</w:t>
            </w:r>
          </w:p>
        </w:tc>
        <w:tc>
          <w:tcPr>
            <w:tcW w:w="1170" w:type="dxa"/>
          </w:tcPr>
          <w:p w14:paraId="2A808044" w14:textId="77777777" w:rsidR="00BF586F" w:rsidRDefault="00BF586F" w:rsidP="00354319">
            <w:r>
              <w:t>5</w:t>
            </w:r>
          </w:p>
        </w:tc>
        <w:tc>
          <w:tcPr>
            <w:tcW w:w="1170" w:type="dxa"/>
          </w:tcPr>
          <w:p w14:paraId="1EC58287" w14:textId="77777777" w:rsidR="00BF586F" w:rsidRDefault="00BF586F" w:rsidP="00354319">
            <w:r>
              <w:t>5</w:t>
            </w:r>
          </w:p>
        </w:tc>
        <w:tc>
          <w:tcPr>
            <w:tcW w:w="1170" w:type="dxa"/>
          </w:tcPr>
          <w:p w14:paraId="1A2D3602" w14:textId="77777777" w:rsidR="00BF586F" w:rsidRDefault="00BF586F" w:rsidP="00354319">
            <w:r>
              <w:t>4</w:t>
            </w:r>
          </w:p>
        </w:tc>
        <w:tc>
          <w:tcPr>
            <w:tcW w:w="1170" w:type="dxa"/>
          </w:tcPr>
          <w:p w14:paraId="537DB0B5" w14:textId="77777777" w:rsidR="00BF586F" w:rsidRDefault="00BF586F" w:rsidP="00354319">
            <w:r>
              <w:t>3</w:t>
            </w:r>
          </w:p>
        </w:tc>
        <w:tc>
          <w:tcPr>
            <w:tcW w:w="1170" w:type="dxa"/>
          </w:tcPr>
          <w:p w14:paraId="17F1029F" w14:textId="77777777" w:rsidR="00BF586F" w:rsidRDefault="00BF586F" w:rsidP="00354319">
            <w:r>
              <w:t>1</w:t>
            </w:r>
          </w:p>
        </w:tc>
        <w:tc>
          <w:tcPr>
            <w:tcW w:w="1170" w:type="dxa"/>
          </w:tcPr>
          <w:p w14:paraId="13FE52B3" w14:textId="77777777" w:rsidR="00BF586F" w:rsidRDefault="00BF586F" w:rsidP="00354319">
            <w:r>
              <w:t>3</w:t>
            </w:r>
          </w:p>
        </w:tc>
        <w:tc>
          <w:tcPr>
            <w:tcW w:w="1170" w:type="dxa"/>
          </w:tcPr>
          <w:p w14:paraId="1EB754B4" w14:textId="77777777" w:rsidR="00BF586F" w:rsidRDefault="00BF586F" w:rsidP="00354319">
            <w:r>
              <w:t>2</w:t>
            </w:r>
          </w:p>
        </w:tc>
      </w:tr>
      <w:tr w:rsidR="00FE6672" w:rsidRPr="00FE6672" w14:paraId="5435A82B" w14:textId="77777777" w:rsidTr="00354319">
        <w:trPr>
          <w:jc w:val="center"/>
        </w:trPr>
        <w:tc>
          <w:tcPr>
            <w:tcW w:w="1170" w:type="dxa"/>
          </w:tcPr>
          <w:p w14:paraId="7ED82908" w14:textId="77777777" w:rsidR="00BF586F" w:rsidRPr="00FE6672" w:rsidRDefault="00BF586F" w:rsidP="00354319">
            <w:pPr>
              <w:rPr>
                <w:color w:val="FF0000"/>
              </w:rPr>
            </w:pPr>
            <w:r>
              <w:rPr>
                <w:color w:val="FF0000"/>
              </w:rPr>
              <w:t>Weighted total / 5.00</w:t>
            </w:r>
          </w:p>
        </w:tc>
        <w:tc>
          <w:tcPr>
            <w:tcW w:w="1170" w:type="dxa"/>
          </w:tcPr>
          <w:p w14:paraId="45AB218D" w14:textId="77777777" w:rsidR="00BF586F" w:rsidRPr="00FE6672" w:rsidRDefault="00BF586F" w:rsidP="00354319">
            <w:pPr>
              <w:rPr>
                <w:color w:val="FF0000"/>
              </w:rPr>
            </w:pPr>
            <w:r>
              <w:rPr>
                <w:color w:val="FF0000"/>
              </w:rPr>
              <w:t>100</w:t>
            </w:r>
          </w:p>
        </w:tc>
        <w:tc>
          <w:tcPr>
            <w:tcW w:w="1170" w:type="dxa"/>
          </w:tcPr>
          <w:p w14:paraId="5132EB9F" w14:textId="77777777" w:rsidR="00BF586F" w:rsidRPr="00FE6672" w:rsidRDefault="00BF586F" w:rsidP="00354319">
            <w:pPr>
              <w:rPr>
                <w:color w:val="FF0000"/>
              </w:rPr>
            </w:pPr>
            <w:r>
              <w:rPr>
                <w:color w:val="FF0000"/>
              </w:rPr>
              <w:t>2.85</w:t>
            </w:r>
          </w:p>
        </w:tc>
        <w:tc>
          <w:tcPr>
            <w:tcW w:w="1170" w:type="dxa"/>
          </w:tcPr>
          <w:p w14:paraId="298624F4" w14:textId="77777777" w:rsidR="00BF586F" w:rsidRPr="00FE6672" w:rsidRDefault="00BF586F" w:rsidP="00354319">
            <w:pPr>
              <w:rPr>
                <w:color w:val="FF0000"/>
              </w:rPr>
            </w:pPr>
            <w:r>
              <w:rPr>
                <w:color w:val="FF0000"/>
              </w:rPr>
              <w:t>4.20</w:t>
            </w:r>
          </w:p>
        </w:tc>
        <w:tc>
          <w:tcPr>
            <w:tcW w:w="1170" w:type="dxa"/>
          </w:tcPr>
          <w:p w14:paraId="1A447797" w14:textId="77777777" w:rsidR="00BF586F" w:rsidRPr="00FE6672" w:rsidRDefault="003B457C" w:rsidP="00354319">
            <w:pPr>
              <w:rPr>
                <w:color w:val="FF0000"/>
              </w:rPr>
            </w:pPr>
            <w:r>
              <w:rPr>
                <w:color w:val="FF0000"/>
              </w:rPr>
              <w:t>3.90</w:t>
            </w:r>
          </w:p>
        </w:tc>
        <w:tc>
          <w:tcPr>
            <w:tcW w:w="1170" w:type="dxa"/>
          </w:tcPr>
          <w:p w14:paraId="4FAC9241" w14:textId="77777777" w:rsidR="00BF586F" w:rsidRPr="00FE6672" w:rsidRDefault="00BF586F" w:rsidP="00354319">
            <w:pPr>
              <w:rPr>
                <w:color w:val="FF0000"/>
              </w:rPr>
            </w:pPr>
            <w:r>
              <w:rPr>
                <w:color w:val="FF0000"/>
              </w:rPr>
              <w:t>3.60</w:t>
            </w:r>
          </w:p>
        </w:tc>
        <w:tc>
          <w:tcPr>
            <w:tcW w:w="1170" w:type="dxa"/>
          </w:tcPr>
          <w:p w14:paraId="2A739C82" w14:textId="77777777" w:rsidR="00BF586F" w:rsidRPr="00FE6672" w:rsidRDefault="00BF586F" w:rsidP="00354319">
            <w:pPr>
              <w:rPr>
                <w:color w:val="FF0000"/>
              </w:rPr>
            </w:pPr>
            <w:r>
              <w:rPr>
                <w:color w:val="FF0000"/>
              </w:rPr>
              <w:t>4.30</w:t>
            </w:r>
          </w:p>
        </w:tc>
        <w:tc>
          <w:tcPr>
            <w:tcW w:w="1170" w:type="dxa"/>
          </w:tcPr>
          <w:p w14:paraId="3047F959" w14:textId="77777777" w:rsidR="00BF586F" w:rsidRPr="00FE6672" w:rsidRDefault="00BF586F" w:rsidP="00354319">
            <w:pPr>
              <w:rPr>
                <w:color w:val="FF0000"/>
              </w:rPr>
            </w:pPr>
            <w:r>
              <w:rPr>
                <w:color w:val="FF0000"/>
              </w:rPr>
              <w:t>2.80</w:t>
            </w:r>
          </w:p>
        </w:tc>
      </w:tr>
    </w:tbl>
    <w:p w14:paraId="2981557C" w14:textId="77777777" w:rsidR="00E44368" w:rsidRDefault="00E44368" w:rsidP="00E44368"/>
    <w:p w14:paraId="61B9440C" w14:textId="77777777" w:rsidR="00E44368" w:rsidRDefault="00E44368" w:rsidP="00E44368">
      <w:r>
        <w:t xml:space="preserve">The matrix separates the options into three groups. Option 5, the staged slag strategy, scores highest at 4.30 because it captures the proven safety and repeatability benefits of robotic steel sampling and the turnaround benefit of automated transport, while avoiding a premature commitment to an unvalidated vertical slag sampler. Option 2 follows closely at 4.20: it is the most mature and best-integrated option, but the retained manual sample transfer limits its turnaround value and leaves residual hot-probe handling. Option 3, at 3.90, carries the same end-to-end benefits as the transport element of Option 5 but is scored lower on maturity and integration because it commits to the transport system as a day-one dependency before the thermal, load, dust and laboratory-interface questions in Section 4.5 are resolved, and without the staged fallback structure of Option 5. Option 4 (3.60) scores </w:t>
      </w:r>
      <w:r>
        <w:lastRenderedPageBreak/>
        <w:t>strongly on theoretical safety and process benefit but is penalised heavily on maturity, integration, resilience and cost certainty. Options 1 and 6 trail at 2.85 and 2.80 for different reasons: Option 1 leaves exposure and variability in place, while Option 6 adds a separate intrusive system with uncertain integration and maturity.</w:t>
      </w:r>
    </w:p>
    <w:p w14:paraId="1B745D93" w14:textId="77777777" w:rsidR="00E44368" w:rsidRDefault="00E44368" w:rsidP="000C7E7D">
      <w:r>
        <w:t>The 0.10 gap between Options 5 and 2 is small, and the two options are not really competitors: Option 5 contains Option 2’s proven robotic core and extends it. In practical terms the matrix does not select a single item of equipment; it selects a phased decision pathway that starts from the Option 2 baseline, adds validated transport, and holds slag automation in structured development.</w:t>
      </w:r>
    </w:p>
    <w:p w14:paraId="5A368261" w14:textId="77777777" w:rsidR="006A65A7" w:rsidRDefault="006A65A7" w:rsidP="006A65A7">
      <w:pPr>
        <w:pStyle w:val="Heading2"/>
      </w:pPr>
      <w:bookmarkStart w:id="110" w:name="_Toc234699541"/>
      <w:r>
        <w:t>Sensitivity of the result</w:t>
      </w:r>
      <w:bookmarkEnd w:id="110"/>
    </w:p>
    <w:p w14:paraId="7834A2FE" w14:textId="77777777" w:rsidR="001C5A0C" w:rsidRDefault="00077EEC" w:rsidP="001C5A0C">
      <w:r>
        <w:t xml:space="preserve">Because the weights embody judgements that could reasonably be challenged, the scoring was re-run under three alternative weighting scenarios: a safety-weighted case (safety raised to 35% and maturity cut to 5%), a maturity-weighted case (maturity raised to 30% and safety cut to 10%), and equal weights across all seven </w:t>
      </w:r>
      <w:r w:rsidRPr="00276EA3">
        <w:t>criteria. Table 7 shows</w:t>
      </w:r>
      <w:r>
        <w:t xml:space="preserve"> the results.</w:t>
      </w:r>
    </w:p>
    <w:p w14:paraId="165DEFB9" w14:textId="77777777" w:rsidR="00DE2DCB" w:rsidRDefault="00DE2DCB" w:rsidP="001C5A0C"/>
    <w:p w14:paraId="2CC25304" w14:textId="77777777" w:rsidR="00CE3E6A" w:rsidRDefault="00CE3E6A" w:rsidP="00CE3E6A">
      <w:pPr>
        <w:pStyle w:val="Caption"/>
        <w:keepNext/>
        <w:jc w:val="center"/>
      </w:pPr>
      <w:bookmarkStart w:id="111" w:name="_Toc234530035"/>
      <w:r>
        <w:t xml:space="preserve">Table </w:t>
      </w:r>
      <w:fldSimple w:instr=" SEQ Table \* ARABIC ">
        <w:r>
          <w:rPr>
            <w:noProof/>
          </w:rPr>
          <w:t>7</w:t>
        </w:r>
      </w:fldSimple>
      <w:r>
        <w:t>: Sensitivity of the weighted result to alternative weightings</w:t>
      </w:r>
      <w:bookmarkEnd w:id="111"/>
    </w:p>
    <w:tbl>
      <w:tblPr>
        <w:tblW w:w="10000" w:type="dxa"/>
        <w:tblInd w:w="-4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0"/>
        <w:gridCol w:w="850"/>
        <w:gridCol w:w="850"/>
        <w:gridCol w:w="850"/>
        <w:gridCol w:w="850"/>
        <w:gridCol w:w="850"/>
        <w:gridCol w:w="850"/>
        <w:gridCol w:w="1500"/>
      </w:tblGrid>
      <w:tr w:rsidR="00DE2DCB" w14:paraId="7FB41F04" w14:textId="77777777" w:rsidTr="00DE2DCB">
        <w:trPr>
          <w:tblHeader/>
        </w:trPr>
        <w:tc>
          <w:tcPr>
            <w:tcW w:w="3400" w:type="dxa"/>
            <w:shd w:val="clear" w:color="auto" w:fill="E8E8E8"/>
            <w:tcMar>
              <w:top w:w="60" w:type="dxa"/>
              <w:left w:w="100" w:type="dxa"/>
              <w:bottom w:w="60" w:type="dxa"/>
              <w:right w:w="100" w:type="dxa"/>
            </w:tcMar>
            <w:vAlign w:val="center"/>
          </w:tcPr>
          <w:p w14:paraId="35F78CE2" w14:textId="77777777" w:rsidR="00DE2DCB" w:rsidRPr="00DE2DCB" w:rsidRDefault="00DE2DCB" w:rsidP="00DE2DCB">
            <w:pPr>
              <w:spacing w:after="0"/>
              <w:jc w:val="center"/>
              <w:rPr>
                <w:b/>
                <w:bCs/>
              </w:rPr>
            </w:pPr>
            <w:r>
              <w:rPr>
                <w:b/>
                <w:bCs/>
              </w:rPr>
              <w:t>Scenario</w:t>
            </w:r>
          </w:p>
        </w:tc>
        <w:tc>
          <w:tcPr>
            <w:tcW w:w="850" w:type="dxa"/>
            <w:shd w:val="clear" w:color="auto" w:fill="E8E8E8"/>
            <w:tcMar>
              <w:top w:w="60" w:type="dxa"/>
              <w:left w:w="100" w:type="dxa"/>
              <w:bottom w:w="60" w:type="dxa"/>
              <w:right w:w="100" w:type="dxa"/>
            </w:tcMar>
            <w:vAlign w:val="center"/>
          </w:tcPr>
          <w:p w14:paraId="74E47810" w14:textId="77777777" w:rsidR="00DE2DCB" w:rsidRPr="00DE2DCB" w:rsidRDefault="00DE2DCB" w:rsidP="00DE2DCB">
            <w:pPr>
              <w:spacing w:after="0"/>
              <w:jc w:val="center"/>
              <w:rPr>
                <w:b/>
                <w:bCs/>
              </w:rPr>
            </w:pPr>
            <w:r>
              <w:rPr>
                <w:b/>
                <w:bCs/>
              </w:rPr>
              <w:t>Opt. 1</w:t>
            </w:r>
          </w:p>
        </w:tc>
        <w:tc>
          <w:tcPr>
            <w:tcW w:w="850" w:type="dxa"/>
            <w:shd w:val="clear" w:color="auto" w:fill="E8E8E8"/>
            <w:tcMar>
              <w:top w:w="60" w:type="dxa"/>
              <w:left w:w="100" w:type="dxa"/>
              <w:bottom w:w="60" w:type="dxa"/>
              <w:right w:w="100" w:type="dxa"/>
            </w:tcMar>
            <w:vAlign w:val="center"/>
          </w:tcPr>
          <w:p w14:paraId="7BDF0654" w14:textId="77777777" w:rsidR="00DE2DCB" w:rsidRPr="00DE2DCB" w:rsidRDefault="00DE2DCB" w:rsidP="00DE2DCB">
            <w:pPr>
              <w:spacing w:after="0"/>
              <w:jc w:val="center"/>
              <w:rPr>
                <w:b/>
                <w:bCs/>
              </w:rPr>
            </w:pPr>
            <w:r>
              <w:rPr>
                <w:b/>
                <w:bCs/>
              </w:rPr>
              <w:t>Opt. 2</w:t>
            </w:r>
          </w:p>
        </w:tc>
        <w:tc>
          <w:tcPr>
            <w:tcW w:w="850" w:type="dxa"/>
            <w:shd w:val="clear" w:color="auto" w:fill="E8E8E8"/>
            <w:tcMar>
              <w:top w:w="60" w:type="dxa"/>
              <w:left w:w="100" w:type="dxa"/>
              <w:bottom w:w="60" w:type="dxa"/>
              <w:right w:w="100" w:type="dxa"/>
            </w:tcMar>
            <w:vAlign w:val="center"/>
          </w:tcPr>
          <w:p w14:paraId="3602C2C5" w14:textId="77777777" w:rsidR="00DE2DCB" w:rsidRPr="00DE2DCB" w:rsidRDefault="00DE2DCB" w:rsidP="00DE2DCB">
            <w:pPr>
              <w:spacing w:after="0"/>
              <w:jc w:val="center"/>
              <w:rPr>
                <w:b/>
                <w:bCs/>
              </w:rPr>
            </w:pPr>
            <w:r>
              <w:rPr>
                <w:b/>
                <w:bCs/>
              </w:rPr>
              <w:t>Opt. 3</w:t>
            </w:r>
          </w:p>
        </w:tc>
        <w:tc>
          <w:tcPr>
            <w:tcW w:w="850" w:type="dxa"/>
            <w:shd w:val="clear" w:color="auto" w:fill="E8E8E8"/>
            <w:tcMar>
              <w:top w:w="60" w:type="dxa"/>
              <w:left w:w="100" w:type="dxa"/>
              <w:bottom w:w="60" w:type="dxa"/>
              <w:right w:w="100" w:type="dxa"/>
            </w:tcMar>
            <w:vAlign w:val="center"/>
          </w:tcPr>
          <w:p w14:paraId="22F6DBF5" w14:textId="77777777" w:rsidR="00DE2DCB" w:rsidRPr="00DE2DCB" w:rsidRDefault="00DE2DCB" w:rsidP="00DE2DCB">
            <w:pPr>
              <w:spacing w:after="0"/>
              <w:jc w:val="center"/>
              <w:rPr>
                <w:b/>
                <w:bCs/>
              </w:rPr>
            </w:pPr>
            <w:r>
              <w:rPr>
                <w:b/>
                <w:bCs/>
              </w:rPr>
              <w:t>Opt. 4</w:t>
            </w:r>
          </w:p>
        </w:tc>
        <w:tc>
          <w:tcPr>
            <w:tcW w:w="850" w:type="dxa"/>
            <w:shd w:val="clear" w:color="auto" w:fill="E8E8E8"/>
            <w:tcMar>
              <w:top w:w="60" w:type="dxa"/>
              <w:left w:w="100" w:type="dxa"/>
              <w:bottom w:w="60" w:type="dxa"/>
              <w:right w:w="100" w:type="dxa"/>
            </w:tcMar>
            <w:vAlign w:val="center"/>
          </w:tcPr>
          <w:p w14:paraId="7360F80E" w14:textId="77777777" w:rsidR="00DE2DCB" w:rsidRPr="00DE2DCB" w:rsidRDefault="00DE2DCB" w:rsidP="00DE2DCB">
            <w:pPr>
              <w:spacing w:after="0"/>
              <w:jc w:val="center"/>
              <w:rPr>
                <w:b/>
                <w:bCs/>
              </w:rPr>
            </w:pPr>
            <w:r>
              <w:rPr>
                <w:b/>
                <w:bCs/>
              </w:rPr>
              <w:t>Opt. 5</w:t>
            </w:r>
          </w:p>
        </w:tc>
        <w:tc>
          <w:tcPr>
            <w:tcW w:w="850" w:type="dxa"/>
            <w:shd w:val="clear" w:color="auto" w:fill="E8E8E8"/>
            <w:tcMar>
              <w:top w:w="60" w:type="dxa"/>
              <w:left w:w="100" w:type="dxa"/>
              <w:bottom w:w="60" w:type="dxa"/>
              <w:right w:w="100" w:type="dxa"/>
            </w:tcMar>
            <w:vAlign w:val="center"/>
          </w:tcPr>
          <w:p w14:paraId="6A1917CF" w14:textId="77777777" w:rsidR="00DE2DCB" w:rsidRPr="00DE2DCB" w:rsidRDefault="00DE2DCB" w:rsidP="00DE2DCB">
            <w:pPr>
              <w:spacing w:after="0"/>
              <w:jc w:val="center"/>
              <w:rPr>
                <w:b/>
                <w:bCs/>
              </w:rPr>
            </w:pPr>
            <w:r>
              <w:rPr>
                <w:b/>
                <w:bCs/>
              </w:rPr>
              <w:t>Opt. 6</w:t>
            </w:r>
          </w:p>
        </w:tc>
        <w:tc>
          <w:tcPr>
            <w:tcW w:w="1500" w:type="dxa"/>
            <w:shd w:val="clear" w:color="auto" w:fill="E8E8E8"/>
            <w:tcMar>
              <w:top w:w="60" w:type="dxa"/>
              <w:left w:w="100" w:type="dxa"/>
              <w:bottom w:w="60" w:type="dxa"/>
              <w:right w:w="100" w:type="dxa"/>
            </w:tcMar>
            <w:vAlign w:val="center"/>
          </w:tcPr>
          <w:p w14:paraId="5FB36199" w14:textId="77777777" w:rsidR="00DE2DCB" w:rsidRPr="00DE2DCB" w:rsidRDefault="00DE2DCB" w:rsidP="00DE2DCB">
            <w:pPr>
              <w:spacing w:after="0"/>
              <w:jc w:val="center"/>
              <w:rPr>
                <w:b/>
                <w:bCs/>
              </w:rPr>
            </w:pPr>
            <w:r>
              <w:rPr>
                <w:b/>
                <w:bCs/>
              </w:rPr>
              <w:t>Leading option</w:t>
            </w:r>
          </w:p>
        </w:tc>
      </w:tr>
      <w:tr w:rsidR="00DE2DCB" w14:paraId="7E24D71A" w14:textId="77777777" w:rsidTr="00DE2DCB">
        <w:tc>
          <w:tcPr>
            <w:tcW w:w="3400" w:type="dxa"/>
            <w:tcMar>
              <w:top w:w="60" w:type="dxa"/>
              <w:left w:w="100" w:type="dxa"/>
              <w:bottom w:w="60" w:type="dxa"/>
              <w:right w:w="100" w:type="dxa"/>
            </w:tcMar>
            <w:vAlign w:val="center"/>
          </w:tcPr>
          <w:p w14:paraId="3C16E6FF" w14:textId="77777777" w:rsidR="00DE2DCB" w:rsidRDefault="00DE2DCB" w:rsidP="00DE2DCB">
            <w:pPr>
              <w:spacing w:after="0"/>
            </w:pPr>
            <w:r>
              <w:t xml:space="preserve">Base </w:t>
            </w:r>
            <w:r w:rsidRPr="00276EA3">
              <w:t>weights (Table 3)</w:t>
            </w:r>
          </w:p>
        </w:tc>
        <w:tc>
          <w:tcPr>
            <w:tcW w:w="850" w:type="dxa"/>
            <w:tcMar>
              <w:top w:w="60" w:type="dxa"/>
              <w:left w:w="100" w:type="dxa"/>
              <w:bottom w:w="60" w:type="dxa"/>
              <w:right w:w="100" w:type="dxa"/>
            </w:tcMar>
            <w:vAlign w:val="center"/>
          </w:tcPr>
          <w:p w14:paraId="55A898EE" w14:textId="77777777" w:rsidR="00DE2DCB" w:rsidRDefault="00DE2DCB" w:rsidP="00DE2DCB">
            <w:pPr>
              <w:spacing w:after="0"/>
            </w:pPr>
            <w:r>
              <w:t>2.85</w:t>
            </w:r>
          </w:p>
        </w:tc>
        <w:tc>
          <w:tcPr>
            <w:tcW w:w="850" w:type="dxa"/>
            <w:tcMar>
              <w:top w:w="60" w:type="dxa"/>
              <w:left w:w="100" w:type="dxa"/>
              <w:bottom w:w="60" w:type="dxa"/>
              <w:right w:w="100" w:type="dxa"/>
            </w:tcMar>
            <w:vAlign w:val="center"/>
          </w:tcPr>
          <w:p w14:paraId="3FFFC990" w14:textId="77777777" w:rsidR="00DE2DCB" w:rsidRDefault="00DE2DCB" w:rsidP="00DE2DCB">
            <w:pPr>
              <w:spacing w:after="0"/>
            </w:pPr>
            <w:r>
              <w:t>4.20</w:t>
            </w:r>
          </w:p>
        </w:tc>
        <w:tc>
          <w:tcPr>
            <w:tcW w:w="850" w:type="dxa"/>
            <w:tcMar>
              <w:top w:w="60" w:type="dxa"/>
              <w:left w:w="100" w:type="dxa"/>
              <w:bottom w:w="60" w:type="dxa"/>
              <w:right w:w="100" w:type="dxa"/>
            </w:tcMar>
            <w:vAlign w:val="center"/>
          </w:tcPr>
          <w:p w14:paraId="52E470C1" w14:textId="77777777" w:rsidR="00DE2DCB" w:rsidRDefault="00DE2DCB" w:rsidP="00DE2DCB">
            <w:pPr>
              <w:spacing w:after="0"/>
            </w:pPr>
            <w:r>
              <w:t>3.90</w:t>
            </w:r>
          </w:p>
        </w:tc>
        <w:tc>
          <w:tcPr>
            <w:tcW w:w="850" w:type="dxa"/>
            <w:tcMar>
              <w:top w:w="60" w:type="dxa"/>
              <w:left w:w="100" w:type="dxa"/>
              <w:bottom w:w="60" w:type="dxa"/>
              <w:right w:w="100" w:type="dxa"/>
            </w:tcMar>
            <w:vAlign w:val="center"/>
          </w:tcPr>
          <w:p w14:paraId="20C674FB" w14:textId="77777777" w:rsidR="00DE2DCB" w:rsidRDefault="00DE2DCB" w:rsidP="00DE2DCB">
            <w:pPr>
              <w:spacing w:after="0"/>
            </w:pPr>
            <w:r>
              <w:t>3.60</w:t>
            </w:r>
          </w:p>
        </w:tc>
        <w:tc>
          <w:tcPr>
            <w:tcW w:w="850" w:type="dxa"/>
            <w:tcMar>
              <w:top w:w="60" w:type="dxa"/>
              <w:left w:w="100" w:type="dxa"/>
              <w:bottom w:w="60" w:type="dxa"/>
              <w:right w:w="100" w:type="dxa"/>
            </w:tcMar>
            <w:vAlign w:val="center"/>
          </w:tcPr>
          <w:p w14:paraId="788284FE" w14:textId="77777777" w:rsidR="00DE2DCB" w:rsidRDefault="00DE2DCB" w:rsidP="00DE2DCB">
            <w:pPr>
              <w:spacing w:after="0"/>
            </w:pPr>
            <w:r>
              <w:t>4.30</w:t>
            </w:r>
          </w:p>
        </w:tc>
        <w:tc>
          <w:tcPr>
            <w:tcW w:w="850" w:type="dxa"/>
            <w:tcMar>
              <w:top w:w="60" w:type="dxa"/>
              <w:left w:w="100" w:type="dxa"/>
              <w:bottom w:w="60" w:type="dxa"/>
              <w:right w:w="100" w:type="dxa"/>
            </w:tcMar>
            <w:vAlign w:val="center"/>
          </w:tcPr>
          <w:p w14:paraId="4234ECE0" w14:textId="77777777" w:rsidR="00DE2DCB" w:rsidRDefault="00DE2DCB" w:rsidP="00DE2DCB">
            <w:pPr>
              <w:spacing w:after="0"/>
            </w:pPr>
            <w:r>
              <w:t>2.80</w:t>
            </w:r>
          </w:p>
        </w:tc>
        <w:tc>
          <w:tcPr>
            <w:tcW w:w="1500" w:type="dxa"/>
            <w:tcMar>
              <w:top w:w="60" w:type="dxa"/>
              <w:left w:w="100" w:type="dxa"/>
              <w:bottom w:w="60" w:type="dxa"/>
              <w:right w:w="100" w:type="dxa"/>
            </w:tcMar>
            <w:vAlign w:val="center"/>
          </w:tcPr>
          <w:p w14:paraId="037016BC" w14:textId="77777777" w:rsidR="00DE2DCB" w:rsidRDefault="00DE2DCB" w:rsidP="00DE2DCB">
            <w:pPr>
              <w:spacing w:after="0"/>
            </w:pPr>
            <w:r>
              <w:t>Option 5</w:t>
            </w:r>
          </w:p>
        </w:tc>
      </w:tr>
      <w:tr w:rsidR="00DE2DCB" w14:paraId="6F73C4F7" w14:textId="77777777" w:rsidTr="00DE2DCB">
        <w:tc>
          <w:tcPr>
            <w:tcW w:w="3400" w:type="dxa"/>
            <w:tcMar>
              <w:top w:w="60" w:type="dxa"/>
              <w:left w:w="100" w:type="dxa"/>
              <w:bottom w:w="60" w:type="dxa"/>
              <w:right w:w="100" w:type="dxa"/>
            </w:tcMar>
            <w:vAlign w:val="center"/>
          </w:tcPr>
          <w:p w14:paraId="665CF21C" w14:textId="77777777" w:rsidR="00DE2DCB" w:rsidRDefault="00DE2DCB" w:rsidP="00DE2DCB">
            <w:pPr>
              <w:spacing w:after="0"/>
            </w:pPr>
            <w:r>
              <w:t>Safety-weighted (35/20/5/15/10/10/5)</w:t>
            </w:r>
          </w:p>
        </w:tc>
        <w:tc>
          <w:tcPr>
            <w:tcW w:w="850" w:type="dxa"/>
            <w:tcMar>
              <w:top w:w="60" w:type="dxa"/>
              <w:left w:w="100" w:type="dxa"/>
              <w:bottom w:w="60" w:type="dxa"/>
              <w:right w:w="100" w:type="dxa"/>
            </w:tcMar>
            <w:vAlign w:val="center"/>
          </w:tcPr>
          <w:p w14:paraId="16C10B25" w14:textId="77777777" w:rsidR="00DE2DCB" w:rsidRDefault="00DE2DCB" w:rsidP="00DE2DCB">
            <w:pPr>
              <w:spacing w:after="0"/>
            </w:pPr>
            <w:r>
              <w:t>2.55</w:t>
            </w:r>
          </w:p>
        </w:tc>
        <w:tc>
          <w:tcPr>
            <w:tcW w:w="850" w:type="dxa"/>
            <w:tcMar>
              <w:top w:w="60" w:type="dxa"/>
              <w:left w:w="100" w:type="dxa"/>
              <w:bottom w:w="60" w:type="dxa"/>
              <w:right w:w="100" w:type="dxa"/>
            </w:tcMar>
            <w:vAlign w:val="center"/>
          </w:tcPr>
          <w:p w14:paraId="06D53E4C" w14:textId="77777777" w:rsidR="00DE2DCB" w:rsidRDefault="00DE2DCB" w:rsidP="00DE2DCB">
            <w:pPr>
              <w:spacing w:after="0"/>
            </w:pPr>
            <w:r>
              <w:t>4.10</w:t>
            </w:r>
          </w:p>
        </w:tc>
        <w:tc>
          <w:tcPr>
            <w:tcW w:w="850" w:type="dxa"/>
            <w:tcMar>
              <w:top w:w="60" w:type="dxa"/>
              <w:left w:w="100" w:type="dxa"/>
              <w:bottom w:w="60" w:type="dxa"/>
              <w:right w:w="100" w:type="dxa"/>
            </w:tcMar>
            <w:vAlign w:val="center"/>
          </w:tcPr>
          <w:p w14:paraId="3DC39166" w14:textId="77777777" w:rsidR="00DE2DCB" w:rsidRDefault="00DE2DCB" w:rsidP="00DE2DCB">
            <w:pPr>
              <w:spacing w:after="0"/>
            </w:pPr>
            <w:r>
              <w:t>4.10</w:t>
            </w:r>
          </w:p>
        </w:tc>
        <w:tc>
          <w:tcPr>
            <w:tcW w:w="850" w:type="dxa"/>
            <w:tcMar>
              <w:top w:w="60" w:type="dxa"/>
              <w:left w:w="100" w:type="dxa"/>
              <w:bottom w:w="60" w:type="dxa"/>
              <w:right w:w="100" w:type="dxa"/>
            </w:tcMar>
            <w:vAlign w:val="center"/>
          </w:tcPr>
          <w:p w14:paraId="12ADBAD8" w14:textId="77777777" w:rsidR="00DE2DCB" w:rsidRDefault="00DE2DCB" w:rsidP="00DE2DCB">
            <w:pPr>
              <w:spacing w:after="0"/>
            </w:pPr>
            <w:r>
              <w:t>3.90</w:t>
            </w:r>
          </w:p>
        </w:tc>
        <w:tc>
          <w:tcPr>
            <w:tcW w:w="850" w:type="dxa"/>
            <w:tcMar>
              <w:top w:w="60" w:type="dxa"/>
              <w:left w:w="100" w:type="dxa"/>
              <w:bottom w:w="60" w:type="dxa"/>
              <w:right w:w="100" w:type="dxa"/>
            </w:tcMar>
            <w:vAlign w:val="center"/>
          </w:tcPr>
          <w:p w14:paraId="2DE59A35" w14:textId="77777777" w:rsidR="00DE2DCB" w:rsidRDefault="00DE2DCB" w:rsidP="00DE2DCB">
            <w:pPr>
              <w:spacing w:after="0"/>
            </w:pPr>
            <w:r>
              <w:t>4.40</w:t>
            </w:r>
          </w:p>
        </w:tc>
        <w:tc>
          <w:tcPr>
            <w:tcW w:w="850" w:type="dxa"/>
            <w:tcMar>
              <w:top w:w="60" w:type="dxa"/>
              <w:left w:w="100" w:type="dxa"/>
              <w:bottom w:w="60" w:type="dxa"/>
              <w:right w:w="100" w:type="dxa"/>
            </w:tcMar>
            <w:vAlign w:val="center"/>
          </w:tcPr>
          <w:p w14:paraId="5C599D66" w14:textId="77777777" w:rsidR="00DE2DCB" w:rsidRDefault="00DE2DCB" w:rsidP="00DE2DCB">
            <w:pPr>
              <w:spacing w:after="0"/>
            </w:pPr>
            <w:r>
              <w:t>3.00</w:t>
            </w:r>
          </w:p>
        </w:tc>
        <w:tc>
          <w:tcPr>
            <w:tcW w:w="1500" w:type="dxa"/>
            <w:tcMar>
              <w:top w:w="60" w:type="dxa"/>
              <w:left w:w="100" w:type="dxa"/>
              <w:bottom w:w="60" w:type="dxa"/>
              <w:right w:w="100" w:type="dxa"/>
            </w:tcMar>
            <w:vAlign w:val="center"/>
          </w:tcPr>
          <w:p w14:paraId="74F82A18" w14:textId="77777777" w:rsidR="00DE2DCB" w:rsidRDefault="00DE2DCB" w:rsidP="00DE2DCB">
            <w:pPr>
              <w:spacing w:after="0"/>
            </w:pPr>
            <w:r>
              <w:t>Option 5</w:t>
            </w:r>
          </w:p>
        </w:tc>
      </w:tr>
      <w:tr w:rsidR="00DE2DCB" w14:paraId="3795696E" w14:textId="77777777" w:rsidTr="00DE2DCB">
        <w:tc>
          <w:tcPr>
            <w:tcW w:w="3400" w:type="dxa"/>
            <w:tcMar>
              <w:top w:w="60" w:type="dxa"/>
              <w:left w:w="100" w:type="dxa"/>
              <w:bottom w:w="60" w:type="dxa"/>
              <w:right w:w="100" w:type="dxa"/>
            </w:tcMar>
            <w:vAlign w:val="center"/>
          </w:tcPr>
          <w:p w14:paraId="4758274C" w14:textId="77777777" w:rsidR="00DE2DCB" w:rsidRDefault="00DE2DCB" w:rsidP="00DE2DCB">
            <w:pPr>
              <w:spacing w:after="0"/>
            </w:pPr>
            <w:r>
              <w:t>Maturity-weighted (10/20/30/15/10/10/5)</w:t>
            </w:r>
          </w:p>
        </w:tc>
        <w:tc>
          <w:tcPr>
            <w:tcW w:w="850" w:type="dxa"/>
            <w:tcMar>
              <w:top w:w="60" w:type="dxa"/>
              <w:left w:w="100" w:type="dxa"/>
              <w:bottom w:w="60" w:type="dxa"/>
              <w:right w:w="100" w:type="dxa"/>
            </w:tcMar>
            <w:vAlign w:val="center"/>
          </w:tcPr>
          <w:p w14:paraId="1BE87A49" w14:textId="77777777" w:rsidR="00DE2DCB" w:rsidRDefault="00DE2DCB" w:rsidP="00DE2DCB">
            <w:pPr>
              <w:spacing w:after="0"/>
            </w:pPr>
            <w:r>
              <w:t>3.30</w:t>
            </w:r>
          </w:p>
        </w:tc>
        <w:tc>
          <w:tcPr>
            <w:tcW w:w="850" w:type="dxa"/>
            <w:tcMar>
              <w:top w:w="60" w:type="dxa"/>
              <w:left w:w="100" w:type="dxa"/>
              <w:bottom w:w="60" w:type="dxa"/>
              <w:right w:w="100" w:type="dxa"/>
            </w:tcMar>
            <w:vAlign w:val="center"/>
          </w:tcPr>
          <w:p w14:paraId="40A7F6AB" w14:textId="77777777" w:rsidR="00DE2DCB" w:rsidRDefault="00DE2DCB" w:rsidP="00DE2DCB">
            <w:pPr>
              <w:spacing w:after="0"/>
            </w:pPr>
            <w:r>
              <w:t>4.35</w:t>
            </w:r>
          </w:p>
        </w:tc>
        <w:tc>
          <w:tcPr>
            <w:tcW w:w="850" w:type="dxa"/>
            <w:tcMar>
              <w:top w:w="60" w:type="dxa"/>
              <w:left w:w="100" w:type="dxa"/>
              <w:bottom w:w="60" w:type="dxa"/>
              <w:right w:w="100" w:type="dxa"/>
            </w:tcMar>
            <w:vAlign w:val="center"/>
          </w:tcPr>
          <w:p w14:paraId="06AEE826" w14:textId="77777777" w:rsidR="00DE2DCB" w:rsidRDefault="00DE2DCB" w:rsidP="00DE2DCB">
            <w:pPr>
              <w:spacing w:after="0"/>
            </w:pPr>
            <w:r>
              <w:t>3.60</w:t>
            </w:r>
          </w:p>
        </w:tc>
        <w:tc>
          <w:tcPr>
            <w:tcW w:w="850" w:type="dxa"/>
            <w:tcMar>
              <w:top w:w="60" w:type="dxa"/>
              <w:left w:w="100" w:type="dxa"/>
              <w:bottom w:w="60" w:type="dxa"/>
              <w:right w:w="100" w:type="dxa"/>
            </w:tcMar>
            <w:vAlign w:val="center"/>
          </w:tcPr>
          <w:p w14:paraId="7F0CAE1A" w14:textId="77777777" w:rsidR="00DE2DCB" w:rsidRDefault="00DE2DCB" w:rsidP="00DE2DCB">
            <w:pPr>
              <w:spacing w:after="0"/>
            </w:pPr>
            <w:r>
              <w:t>3.15</w:t>
            </w:r>
          </w:p>
        </w:tc>
        <w:tc>
          <w:tcPr>
            <w:tcW w:w="850" w:type="dxa"/>
            <w:tcMar>
              <w:top w:w="60" w:type="dxa"/>
              <w:left w:w="100" w:type="dxa"/>
              <w:bottom w:w="60" w:type="dxa"/>
              <w:right w:w="100" w:type="dxa"/>
            </w:tcMar>
            <w:vAlign w:val="center"/>
          </w:tcPr>
          <w:p w14:paraId="24801368" w14:textId="77777777" w:rsidR="00DE2DCB" w:rsidRDefault="00DE2DCB" w:rsidP="00DE2DCB">
            <w:pPr>
              <w:spacing w:after="0"/>
            </w:pPr>
            <w:r>
              <w:t>4.15</w:t>
            </w:r>
          </w:p>
        </w:tc>
        <w:tc>
          <w:tcPr>
            <w:tcW w:w="850" w:type="dxa"/>
            <w:tcMar>
              <w:top w:w="60" w:type="dxa"/>
              <w:left w:w="100" w:type="dxa"/>
              <w:bottom w:w="60" w:type="dxa"/>
              <w:right w:w="100" w:type="dxa"/>
            </w:tcMar>
            <w:vAlign w:val="center"/>
          </w:tcPr>
          <w:p w14:paraId="60754F47" w14:textId="77777777" w:rsidR="00DE2DCB" w:rsidRDefault="00DE2DCB" w:rsidP="00DE2DCB">
            <w:pPr>
              <w:spacing w:after="0"/>
            </w:pPr>
            <w:r>
              <w:t>2.50</w:t>
            </w:r>
          </w:p>
        </w:tc>
        <w:tc>
          <w:tcPr>
            <w:tcW w:w="1500" w:type="dxa"/>
            <w:tcMar>
              <w:top w:w="60" w:type="dxa"/>
              <w:left w:w="100" w:type="dxa"/>
              <w:bottom w:w="60" w:type="dxa"/>
              <w:right w:w="100" w:type="dxa"/>
            </w:tcMar>
            <w:vAlign w:val="center"/>
          </w:tcPr>
          <w:p w14:paraId="0F6F301C" w14:textId="77777777" w:rsidR="00DE2DCB" w:rsidRDefault="00DE2DCB" w:rsidP="00DE2DCB">
            <w:pPr>
              <w:spacing w:after="0"/>
            </w:pPr>
            <w:r>
              <w:t>Option 2</w:t>
            </w:r>
          </w:p>
        </w:tc>
      </w:tr>
      <w:tr w:rsidR="00DE2DCB" w14:paraId="53455464" w14:textId="77777777" w:rsidTr="00DE2DCB">
        <w:tc>
          <w:tcPr>
            <w:tcW w:w="3400" w:type="dxa"/>
            <w:tcMar>
              <w:top w:w="60" w:type="dxa"/>
              <w:left w:w="100" w:type="dxa"/>
              <w:bottom w:w="60" w:type="dxa"/>
              <w:right w:w="100" w:type="dxa"/>
            </w:tcMar>
            <w:vAlign w:val="center"/>
          </w:tcPr>
          <w:p w14:paraId="79FA70D5" w14:textId="77777777" w:rsidR="00DE2DCB" w:rsidRDefault="00DE2DCB" w:rsidP="00DE2DCB">
            <w:pPr>
              <w:spacing w:after="0"/>
            </w:pPr>
            <w:r>
              <w:t>Equal weights (≈1/7 each)</w:t>
            </w:r>
          </w:p>
        </w:tc>
        <w:tc>
          <w:tcPr>
            <w:tcW w:w="850" w:type="dxa"/>
            <w:tcMar>
              <w:top w:w="60" w:type="dxa"/>
              <w:left w:w="100" w:type="dxa"/>
              <w:bottom w:w="60" w:type="dxa"/>
              <w:right w:w="100" w:type="dxa"/>
            </w:tcMar>
            <w:vAlign w:val="center"/>
          </w:tcPr>
          <w:p w14:paraId="17C78D59" w14:textId="77777777" w:rsidR="00DE2DCB" w:rsidRDefault="00DE2DCB" w:rsidP="00DE2DCB">
            <w:pPr>
              <w:spacing w:after="0"/>
            </w:pPr>
            <w:r>
              <w:t>3.14</w:t>
            </w:r>
          </w:p>
        </w:tc>
        <w:tc>
          <w:tcPr>
            <w:tcW w:w="850" w:type="dxa"/>
            <w:tcMar>
              <w:top w:w="60" w:type="dxa"/>
              <w:left w:w="100" w:type="dxa"/>
              <w:bottom w:w="60" w:type="dxa"/>
              <w:right w:w="100" w:type="dxa"/>
            </w:tcMar>
            <w:vAlign w:val="center"/>
          </w:tcPr>
          <w:p w14:paraId="5D864D72" w14:textId="77777777" w:rsidR="00DE2DCB" w:rsidRDefault="00DE2DCB" w:rsidP="00DE2DCB">
            <w:pPr>
              <w:spacing w:after="0"/>
            </w:pPr>
            <w:r>
              <w:t>4.14</w:t>
            </w:r>
          </w:p>
        </w:tc>
        <w:tc>
          <w:tcPr>
            <w:tcW w:w="850" w:type="dxa"/>
            <w:tcMar>
              <w:top w:w="60" w:type="dxa"/>
              <w:left w:w="100" w:type="dxa"/>
              <w:bottom w:w="60" w:type="dxa"/>
              <w:right w:w="100" w:type="dxa"/>
            </w:tcMar>
            <w:vAlign w:val="center"/>
          </w:tcPr>
          <w:p w14:paraId="0455FE83" w14:textId="77777777" w:rsidR="00DE2DCB" w:rsidRDefault="00DE2DCB" w:rsidP="00DE2DCB">
            <w:pPr>
              <w:spacing w:after="0"/>
            </w:pPr>
            <w:r>
              <w:t>3.71</w:t>
            </w:r>
          </w:p>
        </w:tc>
        <w:tc>
          <w:tcPr>
            <w:tcW w:w="850" w:type="dxa"/>
            <w:tcMar>
              <w:top w:w="60" w:type="dxa"/>
              <w:left w:w="100" w:type="dxa"/>
              <w:bottom w:w="60" w:type="dxa"/>
              <w:right w:w="100" w:type="dxa"/>
            </w:tcMar>
            <w:vAlign w:val="center"/>
          </w:tcPr>
          <w:p w14:paraId="721190DF" w14:textId="77777777" w:rsidR="00DE2DCB" w:rsidRDefault="00DE2DCB" w:rsidP="00DE2DCB">
            <w:pPr>
              <w:spacing w:after="0"/>
            </w:pPr>
            <w:r>
              <w:t>3.14</w:t>
            </w:r>
          </w:p>
        </w:tc>
        <w:tc>
          <w:tcPr>
            <w:tcW w:w="850" w:type="dxa"/>
            <w:tcMar>
              <w:top w:w="60" w:type="dxa"/>
              <w:left w:w="100" w:type="dxa"/>
              <w:bottom w:w="60" w:type="dxa"/>
              <w:right w:w="100" w:type="dxa"/>
            </w:tcMar>
            <w:vAlign w:val="center"/>
          </w:tcPr>
          <w:p w14:paraId="26EFBE70" w14:textId="77777777" w:rsidR="00DE2DCB" w:rsidRDefault="00DE2DCB" w:rsidP="00DE2DCB">
            <w:pPr>
              <w:spacing w:after="0"/>
            </w:pPr>
            <w:r>
              <w:t>4.14</w:t>
            </w:r>
          </w:p>
        </w:tc>
        <w:tc>
          <w:tcPr>
            <w:tcW w:w="850" w:type="dxa"/>
            <w:tcMar>
              <w:top w:w="60" w:type="dxa"/>
              <w:left w:w="100" w:type="dxa"/>
              <w:bottom w:w="60" w:type="dxa"/>
              <w:right w:w="100" w:type="dxa"/>
            </w:tcMar>
            <w:vAlign w:val="center"/>
          </w:tcPr>
          <w:p w14:paraId="56699917" w14:textId="77777777" w:rsidR="00DE2DCB" w:rsidRDefault="00DE2DCB" w:rsidP="00DE2DCB">
            <w:pPr>
              <w:spacing w:after="0"/>
            </w:pPr>
            <w:r>
              <w:t>2.57</w:t>
            </w:r>
          </w:p>
        </w:tc>
        <w:tc>
          <w:tcPr>
            <w:tcW w:w="1500" w:type="dxa"/>
            <w:tcMar>
              <w:top w:w="60" w:type="dxa"/>
              <w:left w:w="100" w:type="dxa"/>
              <w:bottom w:w="60" w:type="dxa"/>
              <w:right w:w="100" w:type="dxa"/>
            </w:tcMar>
            <w:vAlign w:val="center"/>
          </w:tcPr>
          <w:p w14:paraId="2C22EF5C" w14:textId="77777777" w:rsidR="00DE2DCB" w:rsidRDefault="00DE2DCB" w:rsidP="00DE2DCB">
            <w:pPr>
              <w:spacing w:after="0"/>
            </w:pPr>
            <w:r>
              <w:t>Options 2 and 5 tie</w:t>
            </w:r>
          </w:p>
        </w:tc>
      </w:tr>
    </w:tbl>
    <w:p w14:paraId="25C37478" w14:textId="77777777" w:rsidR="00077EEC" w:rsidRDefault="00077EEC" w:rsidP="001C5A0C"/>
    <w:p w14:paraId="5657E7E6" w14:textId="77777777" w:rsidR="00C0754B" w:rsidRPr="001C5A0C" w:rsidRDefault="00C0754B" w:rsidP="001C5A0C">
      <w:r>
        <w:t xml:space="preserve">The sensitivity analysis strengthens rather than weakens the recommendation. Option 5 leads under the base weights and extends its lead when safety is weighted more heavily. When technical maturity dominates, Option 2 overtakes it, which is entirely consistent with the staged logic, since Option 2’s proven robotic core is precisely the element the staged strategy adopts first. Under equal weights the two tie. In no scenario does the manual baseline, the fully automated option or the dedicated slag sampler come close to leading. Whatever reasonable weighting is applied, the answer converges on the same pathway: </w:t>
      </w:r>
      <w:r>
        <w:lastRenderedPageBreak/>
        <w:t>implement the proven robotic steel sampling core, add transport once validated, and develop slag automation separately.</w:t>
      </w:r>
    </w:p>
    <w:p w14:paraId="05684743" w14:textId="77777777" w:rsidR="002757EB" w:rsidRDefault="002757EB" w:rsidP="002757EB">
      <w:pPr>
        <w:pStyle w:val="Heading2"/>
      </w:pPr>
      <w:bookmarkStart w:id="112" w:name="_Toc234060421"/>
      <w:bookmarkStart w:id="113" w:name="_Toc234699542"/>
      <w:r>
        <w:t>Safety results</w:t>
      </w:r>
      <w:bookmarkEnd w:id="112"/>
      <w:bookmarkEnd w:id="113"/>
      <w:r>
        <w:t xml:space="preserve"> </w:t>
      </w:r>
    </w:p>
    <w:p w14:paraId="0C828D9D" w14:textId="2AD0EC21" w:rsidR="00890E85" w:rsidRDefault="00890E85" w:rsidP="00890E85">
      <w:bookmarkStart w:id="114" w:name="_Toc234049067"/>
      <w:bookmarkStart w:id="115" w:name="_Toc234060456"/>
      <w:bookmarkStart w:id="116" w:name="_Toc234060466"/>
      <w:r>
        <w:t xml:space="preserve">The task-based comparison shows the greatest risk reduction where the operator is removed from the immediate furnace sampling task and from routine hot-probe carrying. Options 2 to 5 all cut furnace-front exposure relative to the manual baseline. Option 3 </w:t>
      </w:r>
      <w:r w:rsidR="00276EA3">
        <w:t>offers additional benefit by eliminating manual transport of hot probes, but introduces new hazards associated with automated vehicles, rails, docking, hot cargo, cleaning,</w:t>
      </w:r>
      <w:r>
        <w:t xml:space="preserve"> and maintenance. Option 4 offers the greatest theoretical removal of manual exposure because it automates slag sampling too, but that benefit is conditional on the slag system </w:t>
      </w:r>
      <w:proofErr w:type="gramStart"/>
      <w:r>
        <w:t>actually working</w:t>
      </w:r>
      <w:proofErr w:type="gramEnd"/>
      <w:r>
        <w:t>. An immature slag sampler that fails often and demands manual intervention could deliver less real risk reduction than the matrix score implies.</w:t>
      </w:r>
    </w:p>
    <w:p w14:paraId="077F8353" w14:textId="77777777" w:rsidR="00890E85" w:rsidRDefault="00890E85" w:rsidP="00890E85">
      <w:r>
        <w:t xml:space="preserve">The manual baseline, as captured </w:t>
      </w:r>
      <w:r w:rsidRPr="00276EA3">
        <w:t>in Table 8,</w:t>
      </w:r>
      <w:r>
        <w:t xml:space="preserve"> fares particularly badly against the hierarchy of control. It rests on PPE, procedures and competence in a hostile environment. Better platforms, barriers, thermal PPE and training reduce risk, but they do not remove the person from the heat source. A robotic cell, by contrast, provides genuine engineering control by separating the operator from the sampling zone during normal operation, a substantial improvement, provided safeguarding, interlocks and maintenance controls are implemented properly.</w:t>
      </w:r>
    </w:p>
    <w:p w14:paraId="41DDBEF9" w14:textId="77777777" w:rsidR="00CE3E6A" w:rsidRDefault="00CE3E6A" w:rsidP="00CE3E6A">
      <w:pPr>
        <w:pStyle w:val="Caption"/>
        <w:keepNext/>
        <w:jc w:val="center"/>
      </w:pPr>
      <w:bookmarkStart w:id="117" w:name="_Toc234530036"/>
      <w:bookmarkEnd w:id="114"/>
      <w:bookmarkEnd w:id="115"/>
      <w:bookmarkEnd w:id="116"/>
      <w:r>
        <w:t xml:space="preserve">Table </w:t>
      </w:r>
      <w:fldSimple w:instr=" SEQ Table \* ARABIC ">
        <w:r>
          <w:rPr>
            <w:noProof/>
          </w:rPr>
          <w:t>8</w:t>
        </w:r>
      </w:fldSimple>
      <w:r>
        <w:t>: Main hazard comparison</w:t>
      </w:r>
      <w:bookmarkEnd w:id="117"/>
    </w:p>
    <w:tbl>
      <w:tblPr>
        <w:tblStyle w:val="TableGrid"/>
        <w:tblW w:w="0" w:type="auto"/>
        <w:jc w:val="center"/>
        <w:tblLook w:val="04A0" w:firstRow="1" w:lastRow="0" w:firstColumn="1" w:lastColumn="0" w:noHBand="0" w:noVBand="1"/>
      </w:tblPr>
      <w:tblGrid>
        <w:gridCol w:w="2538"/>
        <w:gridCol w:w="3097"/>
        <w:gridCol w:w="3381"/>
      </w:tblGrid>
      <w:tr w:rsidR="007B3544" w14:paraId="59841E69" w14:textId="77777777" w:rsidTr="00054777">
        <w:trPr>
          <w:jc w:val="center"/>
        </w:trPr>
        <w:tc>
          <w:tcPr>
            <w:tcW w:w="2538" w:type="dxa"/>
            <w:shd w:val="clear" w:color="auto" w:fill="D9D9D9" w:themeFill="background1" w:themeFillShade="D9"/>
            <w:vAlign w:val="center"/>
          </w:tcPr>
          <w:p w14:paraId="72F43CA8" w14:textId="77777777" w:rsidR="007B3544" w:rsidRPr="00054777" w:rsidRDefault="007B3544" w:rsidP="00054777">
            <w:pPr>
              <w:jc w:val="center"/>
              <w:rPr>
                <w:b/>
                <w:bCs/>
              </w:rPr>
            </w:pPr>
            <w:r>
              <w:rPr>
                <w:b/>
                <w:bCs/>
              </w:rPr>
              <w:t>Hazard / failure mode</w:t>
            </w:r>
          </w:p>
        </w:tc>
        <w:tc>
          <w:tcPr>
            <w:tcW w:w="3097" w:type="dxa"/>
            <w:shd w:val="clear" w:color="auto" w:fill="D9D9D9" w:themeFill="background1" w:themeFillShade="D9"/>
            <w:vAlign w:val="center"/>
          </w:tcPr>
          <w:p w14:paraId="1EC7EFF2" w14:textId="77777777" w:rsidR="007B3544" w:rsidRPr="00054777" w:rsidRDefault="007B3544" w:rsidP="00054777">
            <w:pPr>
              <w:jc w:val="center"/>
              <w:rPr>
                <w:b/>
                <w:bCs/>
              </w:rPr>
            </w:pPr>
            <w:r>
              <w:rPr>
                <w:b/>
                <w:bCs/>
              </w:rPr>
              <w:t>Manual baseline</w:t>
            </w:r>
          </w:p>
        </w:tc>
        <w:tc>
          <w:tcPr>
            <w:tcW w:w="3381" w:type="dxa"/>
            <w:shd w:val="clear" w:color="auto" w:fill="D9D9D9" w:themeFill="background1" w:themeFillShade="D9"/>
            <w:vAlign w:val="center"/>
          </w:tcPr>
          <w:p w14:paraId="774CD494" w14:textId="77777777" w:rsidR="007B3544" w:rsidRPr="00054777" w:rsidRDefault="007B3544" w:rsidP="00054777">
            <w:pPr>
              <w:jc w:val="center"/>
              <w:rPr>
                <w:b/>
                <w:bCs/>
              </w:rPr>
            </w:pPr>
            <w:r>
              <w:rPr>
                <w:b/>
                <w:bCs/>
              </w:rPr>
              <w:t>Automated strategy control</w:t>
            </w:r>
          </w:p>
        </w:tc>
      </w:tr>
      <w:tr w:rsidR="007B3544" w14:paraId="1E604EDC" w14:textId="77777777" w:rsidTr="00BF34D0">
        <w:trPr>
          <w:jc w:val="center"/>
        </w:trPr>
        <w:tc>
          <w:tcPr>
            <w:tcW w:w="2538" w:type="dxa"/>
          </w:tcPr>
          <w:p w14:paraId="3C8F8A85" w14:textId="77777777" w:rsidR="007B3544" w:rsidRDefault="007B3544" w:rsidP="00354319">
            <w:r>
              <w:t>Radiant heat and splash during sampling</w:t>
            </w:r>
          </w:p>
        </w:tc>
        <w:tc>
          <w:tcPr>
            <w:tcW w:w="3097" w:type="dxa"/>
          </w:tcPr>
          <w:p w14:paraId="69C1EB21" w14:textId="77777777" w:rsidR="007B3544" w:rsidRDefault="007B3544" w:rsidP="00354319">
            <w:r>
              <w:t>Operator near furnace opening; dependent on PPE and timing.</w:t>
            </w:r>
          </w:p>
        </w:tc>
        <w:tc>
          <w:tcPr>
            <w:tcW w:w="3381" w:type="dxa"/>
          </w:tcPr>
          <w:p w14:paraId="4F663085" w14:textId="77777777" w:rsidR="007B3544" w:rsidRDefault="007B3544" w:rsidP="00354319">
            <w:r>
              <w:t>Robot performs insertion; operator outside safeguarded area during normal operation.</w:t>
            </w:r>
          </w:p>
        </w:tc>
      </w:tr>
      <w:tr w:rsidR="007B3544" w14:paraId="54D9283C" w14:textId="77777777" w:rsidTr="00BF34D0">
        <w:trPr>
          <w:jc w:val="center"/>
        </w:trPr>
        <w:tc>
          <w:tcPr>
            <w:tcW w:w="2538" w:type="dxa"/>
          </w:tcPr>
          <w:p w14:paraId="6FBE2104" w14:textId="77777777" w:rsidR="007B3544" w:rsidRDefault="007B3544" w:rsidP="00354319">
            <w:r>
              <w:t>Sampling depth/timing variability</w:t>
            </w:r>
          </w:p>
        </w:tc>
        <w:tc>
          <w:tcPr>
            <w:tcW w:w="3097" w:type="dxa"/>
          </w:tcPr>
          <w:p w14:paraId="6C058126" w14:textId="77777777" w:rsidR="007B3544" w:rsidRDefault="007B3544" w:rsidP="00354319">
            <w:r>
              <w:t>Dependent on operator judgement and conditions.</w:t>
            </w:r>
          </w:p>
        </w:tc>
        <w:tc>
          <w:tcPr>
            <w:tcW w:w="3381" w:type="dxa"/>
          </w:tcPr>
          <w:p w14:paraId="2A3881D2" w14:textId="77777777" w:rsidR="007B3544" w:rsidRDefault="007B3544" w:rsidP="00354319">
            <w:r>
              <w:t>Programmed trajectory and dwell time, with bath-level logic where available.</w:t>
            </w:r>
          </w:p>
        </w:tc>
      </w:tr>
      <w:tr w:rsidR="007B3544" w14:paraId="726CA9B0" w14:textId="77777777" w:rsidTr="00BF34D0">
        <w:trPr>
          <w:jc w:val="center"/>
        </w:trPr>
        <w:tc>
          <w:tcPr>
            <w:tcW w:w="2538" w:type="dxa"/>
          </w:tcPr>
          <w:p w14:paraId="29E9628F" w14:textId="77777777" w:rsidR="007B3544" w:rsidRDefault="007B3544" w:rsidP="00354319">
            <w:r>
              <w:t>Hot probe transport</w:t>
            </w:r>
          </w:p>
        </w:tc>
        <w:tc>
          <w:tcPr>
            <w:tcW w:w="3097" w:type="dxa"/>
          </w:tcPr>
          <w:p w14:paraId="7976DCD7" w14:textId="77777777" w:rsidR="007B3544" w:rsidRDefault="007B3544" w:rsidP="00354319">
            <w:r>
              <w:t>Manual carrying or local handling creates burn and route risk.</w:t>
            </w:r>
          </w:p>
        </w:tc>
        <w:tc>
          <w:tcPr>
            <w:tcW w:w="3381" w:type="dxa"/>
          </w:tcPr>
          <w:p w14:paraId="60031C97" w14:textId="77777777" w:rsidR="007B3544" w:rsidRDefault="007B3544" w:rsidP="00354319">
            <w:r>
              <w:t>Protected automated carrier or controlled transfer to laboratory conveyor.</w:t>
            </w:r>
          </w:p>
        </w:tc>
      </w:tr>
      <w:tr w:rsidR="007B3544" w14:paraId="2A7BAAC8" w14:textId="77777777" w:rsidTr="00BF34D0">
        <w:trPr>
          <w:jc w:val="center"/>
        </w:trPr>
        <w:tc>
          <w:tcPr>
            <w:tcW w:w="2538" w:type="dxa"/>
          </w:tcPr>
          <w:p w14:paraId="4DB6C72A" w14:textId="77777777" w:rsidR="007B3544" w:rsidRDefault="007B3544" w:rsidP="00354319">
            <w:r>
              <w:t>Mis-sample recovery</w:t>
            </w:r>
          </w:p>
        </w:tc>
        <w:tc>
          <w:tcPr>
            <w:tcW w:w="3097" w:type="dxa"/>
          </w:tcPr>
          <w:p w14:paraId="78036441" w14:textId="77777777" w:rsidR="007B3544" w:rsidRDefault="007B3544" w:rsidP="00354319">
            <w:r>
              <w:t>Operator may need repeat exposure under time pressure.</w:t>
            </w:r>
          </w:p>
        </w:tc>
        <w:tc>
          <w:tcPr>
            <w:tcW w:w="3381" w:type="dxa"/>
          </w:tcPr>
          <w:p w14:paraId="352A1530" w14:textId="77777777" w:rsidR="007B3544" w:rsidRDefault="007B3544" w:rsidP="00354319">
            <w:r>
              <w:t>Standby vehicle and defined repeat-sample logic; manual fallback only by authorisation.</w:t>
            </w:r>
          </w:p>
        </w:tc>
      </w:tr>
      <w:tr w:rsidR="007B3544" w14:paraId="616BB248" w14:textId="77777777" w:rsidTr="00BF34D0">
        <w:trPr>
          <w:jc w:val="center"/>
        </w:trPr>
        <w:tc>
          <w:tcPr>
            <w:tcW w:w="2538" w:type="dxa"/>
          </w:tcPr>
          <w:p w14:paraId="6553740D" w14:textId="77777777" w:rsidR="007B3544" w:rsidRDefault="007B3544" w:rsidP="00354319">
            <w:r>
              <w:t>Robot or transport fault</w:t>
            </w:r>
          </w:p>
        </w:tc>
        <w:tc>
          <w:tcPr>
            <w:tcW w:w="3097" w:type="dxa"/>
          </w:tcPr>
          <w:p w14:paraId="4D97F5CE" w14:textId="77777777" w:rsidR="007B3544" w:rsidRDefault="007B3544" w:rsidP="00354319">
            <w:r>
              <w:t>Not applicable, but manual task continues.</w:t>
            </w:r>
          </w:p>
        </w:tc>
        <w:tc>
          <w:tcPr>
            <w:tcW w:w="3381" w:type="dxa"/>
          </w:tcPr>
          <w:p w14:paraId="59BDCCEE" w14:textId="77777777" w:rsidR="007B3544" w:rsidRDefault="007B3544" w:rsidP="00354319">
            <w:r>
              <w:t xml:space="preserve">Requires interlocks, safe access, lock-off, fault </w:t>
            </w:r>
            <w:r>
              <w:lastRenderedPageBreak/>
              <w:t>procedures and maintainable design.</w:t>
            </w:r>
          </w:p>
        </w:tc>
      </w:tr>
      <w:tr w:rsidR="007B3544" w14:paraId="159DF0FE" w14:textId="77777777" w:rsidTr="00BF34D0">
        <w:trPr>
          <w:jc w:val="center"/>
        </w:trPr>
        <w:tc>
          <w:tcPr>
            <w:tcW w:w="2538" w:type="dxa"/>
          </w:tcPr>
          <w:p w14:paraId="7BA35C9A" w14:textId="77777777" w:rsidR="007B3544" w:rsidRDefault="007B3544" w:rsidP="00354319">
            <w:r>
              <w:t>Dust contamination of transport rail</w:t>
            </w:r>
          </w:p>
        </w:tc>
        <w:tc>
          <w:tcPr>
            <w:tcW w:w="3097" w:type="dxa"/>
          </w:tcPr>
          <w:p w14:paraId="45248817" w14:textId="77777777" w:rsidR="007B3544" w:rsidRDefault="007B3544" w:rsidP="00354319">
            <w:r>
              <w:t>Not applicable to manual carrying.</w:t>
            </w:r>
          </w:p>
        </w:tc>
        <w:tc>
          <w:tcPr>
            <w:tcW w:w="3381" w:type="dxa"/>
          </w:tcPr>
          <w:p w14:paraId="2585B5D8" w14:textId="77777777" w:rsidR="007B3544" w:rsidRDefault="007B3544" w:rsidP="00354319">
            <w:r>
              <w:t>Passive brushes, inspection regime and environmental validation trial required.</w:t>
            </w:r>
          </w:p>
        </w:tc>
      </w:tr>
    </w:tbl>
    <w:p w14:paraId="67330BB9" w14:textId="77777777" w:rsidR="002757EB" w:rsidRDefault="00BF34D0" w:rsidP="007B3544">
      <w:pPr>
        <w:pStyle w:val="Heading2"/>
      </w:pPr>
      <w:bookmarkStart w:id="118" w:name="_Toc234060422"/>
      <w:bookmarkStart w:id="119" w:name="_Toc234699543"/>
      <w:r>
        <w:t>Sampling quality and process-control results</w:t>
      </w:r>
      <w:bookmarkEnd w:id="118"/>
      <w:bookmarkEnd w:id="119"/>
    </w:p>
    <w:p w14:paraId="2C55B50A" w14:textId="77777777" w:rsidR="00EF15A8" w:rsidRDefault="00EF15A8" w:rsidP="00EF15A8">
      <w:bookmarkStart w:id="120" w:name="_Toc234060423"/>
      <w:r>
        <w:t>Sampling quality improves most where immersion conditions can be standardised. Robotic steel sampling offers a repeatable trajectory, controlled insertion and consistent timing, which should reduce variability relative to manual practice. Automated transport adds process-control value by shortening and standardising the sample path. Neither guarantees analytical accuracy as laboratory preparation and sample integrity still matter, but together they remove avoidable variation between furnace and laboratory.</w:t>
      </w:r>
    </w:p>
    <w:p w14:paraId="6F0F0BA2" w14:textId="77777777" w:rsidR="00EF15A8" w:rsidRDefault="00EF15A8" w:rsidP="00EF15A8">
      <w:r>
        <w:t>Slag sampling quality is far less certain. A robot can control position, but the real question is whether the sampler collects a representative slag specimen under EAF conditions. The slag probe drawing demonstrates a specific sampler design, yet the evidence available in this project does not show that it can reliably obtain representative vertical EAF slag samples across variable foam, crust, slag depth and furnace condition. That is why Option 4 was not recommended as a day-one commitment: the potential quality benefit is high, but the confidence level is currently well below that of steel sampling.</w:t>
      </w:r>
    </w:p>
    <w:p w14:paraId="2F3E3F3D" w14:textId="77777777" w:rsidR="00BF34D0" w:rsidRDefault="00422826" w:rsidP="00A704D3">
      <w:pPr>
        <w:pStyle w:val="Heading2"/>
      </w:pPr>
      <w:bookmarkStart w:id="121" w:name="_Toc234699544"/>
      <w:r>
        <w:t>Technical maturity and integration results</w:t>
      </w:r>
      <w:bookmarkEnd w:id="120"/>
      <w:bookmarkEnd w:id="121"/>
    </w:p>
    <w:p w14:paraId="020CC488" w14:textId="77777777" w:rsidR="00C235D1" w:rsidRDefault="00C235D1" w:rsidP="00C235D1">
      <w:bookmarkStart w:id="122" w:name="_Toc234060424"/>
      <w:r>
        <w:t>Technical maturity is strongest for the PolySAMPLE EAF steel sampling robot. The OEM information, the reference installations and the Project Invictus drawings all support its feasibility as a production technology, and the integration risk is manageable because the system already appears in project drawings with defined utilities, control interfaces and mechanical arrangements. Automated sample transport is feasible in principle but needs further detailed design, since the Telelift system must be adapted to hot probes, EAF dust, load stability, crane constraints and laboratory transfer.</w:t>
      </w:r>
    </w:p>
    <w:p w14:paraId="3EDC3FD1" w14:textId="77777777" w:rsidR="00C235D1" w:rsidRDefault="00C235D1" w:rsidP="00C235D1">
      <w:r>
        <w:t xml:space="preserve">The least mature area is automated vertical EAF slag sampling. The absence of widely validated examples in the accessible data means the project should not treat it as </w:t>
      </w:r>
      <w:proofErr w:type="gramStart"/>
      <w:r>
        <w:t>proven,  which</w:t>
      </w:r>
      <w:proofErr w:type="gramEnd"/>
      <w:r>
        <w:t xml:space="preserve"> is not the same as abandoning it. It should be progressed through trials, supplier development, simulation, mock-up testing and staged acceptance criteria. A design-freeze environment rewards maturity: introducing an uncertain vertical slag sampler too late could create programme risk, design rework and a false sense of safety improvement if manual fallback remains frequent.</w:t>
      </w:r>
    </w:p>
    <w:p w14:paraId="2289076D" w14:textId="77777777" w:rsidR="00422826" w:rsidRDefault="00E96981" w:rsidP="00E96981">
      <w:pPr>
        <w:pStyle w:val="Heading2"/>
      </w:pPr>
      <w:bookmarkStart w:id="123" w:name="_Toc234699545"/>
      <w:r>
        <w:lastRenderedPageBreak/>
        <w:t>Recommended option</w:t>
      </w:r>
      <w:bookmarkEnd w:id="122"/>
      <w:bookmarkEnd w:id="123"/>
      <w:r>
        <w:t xml:space="preserve"> </w:t>
      </w:r>
    </w:p>
    <w:p w14:paraId="7DEEAA8C" w14:textId="77777777" w:rsidR="00F51696" w:rsidRDefault="00F51696" w:rsidP="00F51696">
      <w:r>
        <w:t>The recommended option is a staged strategy that combines Options 5 and 3. Implement the proven PolySAMPLE EAF robotic steel sampling and temperature measurement functions as the primary baseline. Progress automated sample transport to the laboratory, but only after detailed validation of probe temperature, maximum probe and refractory-box mass, cargo handling, rail dust tolerance, crane clearance, docking, laboratory receipt and mis-sample recovery. Do not commit to automated vertical EAF slag sampling as a day-one production dependency; treat it instead as a structured development package with defined trial criteria.</w:t>
      </w:r>
    </w:p>
    <w:p w14:paraId="4811C7C7" w14:textId="77777777" w:rsidR="00F51696" w:rsidRDefault="00F51696" w:rsidP="00F51696">
      <w:r>
        <w:t>This recommendation balances ambition with realism, and the sensitivity analysis in Section 5.3 shows it is robust to reasonable changes in the weighting. It refuses to accept the manual baseline as good enough for a new automated Meltshop, and it equally refuses to adopt an immature slag technology just because it fits the automation narrative. The staged option delivers immediate safety and process benefits from proven equipment while keeping a genuine route open to future slag automation once the evidence is stronger.</w:t>
      </w:r>
    </w:p>
    <w:p w14:paraId="6D29EDFD" w14:textId="77777777" w:rsidR="00E96981" w:rsidRDefault="00E96981" w:rsidP="00E96981"/>
    <w:p w14:paraId="7C9BF4CC" w14:textId="77777777" w:rsidR="00850CC6" w:rsidRDefault="00850CC6" w:rsidP="00E96981"/>
    <w:p w14:paraId="060B39E9" w14:textId="77777777" w:rsidR="00850CC6" w:rsidRDefault="00850CC6" w:rsidP="00E96981"/>
    <w:p w14:paraId="77B96699" w14:textId="77777777" w:rsidR="00850CC6" w:rsidRDefault="00850CC6" w:rsidP="00E96981"/>
    <w:p w14:paraId="1EA1FC50" w14:textId="77777777" w:rsidR="00850CC6" w:rsidRDefault="00850CC6" w:rsidP="00E96981"/>
    <w:p w14:paraId="47593EC9" w14:textId="77777777" w:rsidR="00850CC6" w:rsidRDefault="00850CC6" w:rsidP="00E96981"/>
    <w:p w14:paraId="45CA87ED" w14:textId="77777777" w:rsidR="00850CC6" w:rsidRDefault="00850CC6" w:rsidP="00E96981"/>
    <w:p w14:paraId="05CD5FF3" w14:textId="77777777" w:rsidR="00850CC6" w:rsidRDefault="00850CC6" w:rsidP="00E96981"/>
    <w:p w14:paraId="32E6A061" w14:textId="77777777" w:rsidR="00850CC6" w:rsidRDefault="00850CC6" w:rsidP="00E96981"/>
    <w:p w14:paraId="54A37E6E" w14:textId="77777777" w:rsidR="00850CC6" w:rsidRDefault="00850CC6" w:rsidP="00E96981"/>
    <w:p w14:paraId="1F362FF5" w14:textId="77777777" w:rsidR="00850CC6" w:rsidRDefault="00850CC6" w:rsidP="00E96981"/>
    <w:p w14:paraId="7CDA965A" w14:textId="77777777" w:rsidR="00850CC6" w:rsidRDefault="00850CC6" w:rsidP="00E96981"/>
    <w:p w14:paraId="68C6FE6B" w14:textId="77777777" w:rsidR="00850CC6" w:rsidRDefault="00850CC6" w:rsidP="00E96981"/>
    <w:p w14:paraId="351B3526" w14:textId="77777777" w:rsidR="00850CC6" w:rsidRDefault="00850CC6" w:rsidP="00E96981"/>
    <w:p w14:paraId="6FD2CA51" w14:textId="77777777" w:rsidR="00850CC6" w:rsidRDefault="00850CC6" w:rsidP="00E96981"/>
    <w:p w14:paraId="04A88BA0" w14:textId="77777777" w:rsidR="00850CC6" w:rsidRPr="00850CC6" w:rsidRDefault="00850CC6" w:rsidP="00850CC6">
      <w:pPr>
        <w:pStyle w:val="Heading1"/>
        <w:rPr>
          <w:b/>
          <w:bCs/>
        </w:rPr>
      </w:pPr>
      <w:bookmarkStart w:id="124" w:name="_Toc234060425"/>
      <w:bookmarkStart w:id="125" w:name="_Toc234699546"/>
      <w:r>
        <w:rPr>
          <w:b/>
          <w:bCs/>
          <w:color w:val="0070C0"/>
        </w:rPr>
        <w:lastRenderedPageBreak/>
        <w:t>Discussion</w:t>
      </w:r>
      <w:bookmarkEnd w:id="124"/>
      <w:bookmarkEnd w:id="125"/>
      <w:r>
        <w:rPr>
          <w:b/>
          <w:bCs/>
        </w:rPr>
        <w:t xml:space="preserve"> </w:t>
      </w:r>
    </w:p>
    <w:p w14:paraId="510138E3" w14:textId="77777777" w:rsidR="009437BC" w:rsidRDefault="00F408D3" w:rsidP="00850CC6">
      <w:pPr>
        <w:pStyle w:val="Heading2"/>
      </w:pPr>
      <w:bookmarkStart w:id="126" w:name="_Toc234060426"/>
      <w:bookmarkStart w:id="127" w:name="_Toc234699547"/>
      <w:r>
        <w:t>Interpretation of the preferred strategy</w:t>
      </w:r>
      <w:bookmarkEnd w:id="126"/>
      <w:bookmarkEnd w:id="127"/>
    </w:p>
    <w:p w14:paraId="36F04C69" w14:textId="77777777" w:rsidR="00646706" w:rsidRDefault="00646706" w:rsidP="00646706">
      <w:bookmarkStart w:id="128" w:name="_Toc234060427"/>
      <w:r>
        <w:t>The preferred strategy is best understood as a risk-based technology roadmap. It does not reject automated slag sampling; it sequences it. That distinction matters because the project aim covers both safety and process optimisation, and a premature fully automated slag solution could fail both if it proved unreliable and pushed operators back into manual intervention. A staged approach, by contrast, delivers early risk reduction through robotic steel sampling and automated transport while building the evidence needed for robust slag automation later.</w:t>
      </w:r>
    </w:p>
    <w:p w14:paraId="3BB019DB" w14:textId="77777777" w:rsidR="00646706" w:rsidRDefault="00646706" w:rsidP="00646706">
      <w:r>
        <w:t>Each stage has its own justification. Robotic steel sampling and temperature measurement removes operators from routine furnace-front sampling, improves repeatability, aligns with the Project Invictus control architecture, and creates the operational platform on which further sampling functions can be developed. Automated transport extends the benefit beyond the robot cell by cutting hot-sample handling and stabilising the sample-to-analysis path. Slag automation comes once furnace operation, slag practice, laboratory requirements and sampling performance criteria are better understood.</w:t>
      </w:r>
    </w:p>
    <w:p w14:paraId="6DDCCBDC" w14:textId="77777777" w:rsidR="009437BC" w:rsidRDefault="00D1349E" w:rsidP="00D1349E">
      <w:pPr>
        <w:pStyle w:val="Heading2"/>
      </w:pPr>
      <w:bookmarkStart w:id="129" w:name="_Toc234699548"/>
      <w:r>
        <w:t>Safety implications</w:t>
      </w:r>
      <w:bookmarkEnd w:id="128"/>
      <w:bookmarkEnd w:id="129"/>
    </w:p>
    <w:p w14:paraId="4A85A6F0" w14:textId="77777777" w:rsidR="00A34907" w:rsidRDefault="00A34907" w:rsidP="00A34907">
      <w:bookmarkStart w:id="130" w:name="_Toc234060428"/>
      <w:r>
        <w:t xml:space="preserve">The principal safety benefit is reduced exposure to high-energy furnace hazards. In a manual system, the operator is part of the control loop at the point of hazard; in a robotic system, the operator supervises the loop from a protected location. That is a genuine change in risk profile and is consistent with the hierarchy of control. But the safety case </w:t>
      </w:r>
      <w:proofErr w:type="gramStart"/>
      <w:r>
        <w:t>has to</w:t>
      </w:r>
      <w:proofErr w:type="gramEnd"/>
      <w:r>
        <w:t xml:space="preserve"> cover the whole lifecycle: cartridge loading, tool maintenance, cleaning, fault recovery, laboratory handling and manual fallback can all reintroduce exposure if they are designed badly.</w:t>
      </w:r>
    </w:p>
    <w:p w14:paraId="0462344F" w14:textId="77777777" w:rsidR="00A34907" w:rsidRDefault="00A34907" w:rsidP="00A34907">
      <w:r>
        <w:t>The most important residual risk in automated strategies is complacency about abnormal operation. Robots and transport systems perform best when the sequence is stable, and steelmaking is not always stable; probes break, slag foams unexpectedly, furnace conditions change, samples fail. The project therefore needs a clearly defined abnormal-operation philosophy: rules for when operators may enter the cell, how hot failed probes are managed, how repeat samples are requested, what happens when the transport system is unavailable, and how manual sampling is authorised and risk assessed.</w:t>
      </w:r>
    </w:p>
    <w:p w14:paraId="467D7C7C" w14:textId="77777777" w:rsidR="00A34907" w:rsidRDefault="00A34907" w:rsidP="00A34907">
      <w:r>
        <w:t xml:space="preserve">Functional safety should be embedded from the design stage. The robot cell and transport system need defined safety functions, validated stop times, safe zones, access interlocks and maintenance modes. The network layout already includes PROFIsafe and safety </w:t>
      </w:r>
      <w:r>
        <w:lastRenderedPageBreak/>
        <w:t>interface concepts, but those must be translated into documented safety requirements and validation tests. A safety function that has not been tested under realistic conditions is not a reliable control.</w:t>
      </w:r>
    </w:p>
    <w:p w14:paraId="571D8D51" w14:textId="77777777" w:rsidR="00BA3674" w:rsidRDefault="00BA3674" w:rsidP="00BA3674">
      <w:pPr>
        <w:pStyle w:val="Heading2"/>
      </w:pPr>
      <w:bookmarkStart w:id="131" w:name="_Toc234699549"/>
      <w:r>
        <w:t>Human-factor implications</w:t>
      </w:r>
      <w:bookmarkEnd w:id="130"/>
      <w:bookmarkEnd w:id="131"/>
      <w:r>
        <w:t xml:space="preserve"> </w:t>
      </w:r>
    </w:p>
    <w:p w14:paraId="23C34853" w14:textId="77777777" w:rsidR="0022129E" w:rsidRDefault="0022129E" w:rsidP="0022129E">
      <w:bookmarkStart w:id="132" w:name="_Toc234060429"/>
      <w:r>
        <w:t xml:space="preserve">Human-factor improvement is not achieved simply by moving a person away from one location; the whole work system </w:t>
      </w:r>
      <w:proofErr w:type="gramStart"/>
      <w:r>
        <w:t>has to</w:t>
      </w:r>
      <w:proofErr w:type="gramEnd"/>
      <w:r>
        <w:t xml:space="preserve"> be redesigned so operators retain meaningful situational awareness and control. In a manual task, the operator sees the furnace directly and physically controls the probe. In an automated task, the operator depends on HMI information, CCTV, robot status, sample tracking and laboratory feedback, so the human-machine interface must present the right information at the right time. A poor interface can create mode confusion, delayed intervention or unnecessary manual override.</w:t>
      </w:r>
    </w:p>
    <w:p w14:paraId="15BA6136" w14:textId="77777777" w:rsidR="0022129E" w:rsidRDefault="0022129E" w:rsidP="0022129E">
      <w:r>
        <w:t>Training changes too. Operators will need to understand robot operating modes, sample-request logic, failed-sample criteria, emergency-stop implications, manual fallback and interaction with laboratory staff. Maintenance personnel will need safe access methods for tooling, cartridges, dust removal and track inspection. Laboratory staff will need clear processes for receiving automated samples, identifying unsuitable specimens and requesting repeats. The success of automated sampling depends on organisational competence as much as mechanical design.</w:t>
      </w:r>
    </w:p>
    <w:p w14:paraId="2A300BEA" w14:textId="77777777" w:rsidR="00BA3674" w:rsidRDefault="00E01C84" w:rsidP="000F0B98">
      <w:pPr>
        <w:pStyle w:val="Heading2"/>
      </w:pPr>
      <w:bookmarkStart w:id="133" w:name="_Toc234699550"/>
      <w:r>
        <w:t>Process optimisation implications</w:t>
      </w:r>
      <w:bookmarkEnd w:id="132"/>
      <w:bookmarkEnd w:id="133"/>
    </w:p>
    <w:p w14:paraId="1045EBCC" w14:textId="77777777" w:rsidR="0080450B" w:rsidRDefault="0080450B" w:rsidP="0080450B">
      <w:r>
        <w:t>The process value of automation depends on the reliability and speed of the analytical loop. A robot that takes a consistent sample but leaves it waiting for manual transport delivers only part of the benefit. Automated transport reduces variation in sample movement and improves confidence that the analytical result reflects the furnace condition at the intended point in the heat, supporting better control of tap temperature, composition adjustment and slag practice.</w:t>
      </w:r>
    </w:p>
    <w:p w14:paraId="6573B824" w14:textId="77777777" w:rsidR="0080450B" w:rsidRDefault="0080450B" w:rsidP="0080450B">
      <w:r>
        <w:t xml:space="preserve">The slag element is more strategically important than the current evidence allows it to be operationally guaranteed. Slag chemistry influences foamability, refractory life and energy transfer, and reliable automated slag sampling could ultimately support a more advanced closed-loop control philosophy. The </w:t>
      </w:r>
      <w:proofErr w:type="gramStart"/>
      <w:r>
        <w:t>first priority</w:t>
      </w:r>
      <w:proofErr w:type="gramEnd"/>
      <w:r>
        <w:t xml:space="preserve">, though, is to define what a good slag sample </w:t>
      </w:r>
      <w:proofErr w:type="gramStart"/>
      <w:r>
        <w:t>actually means</w:t>
      </w:r>
      <w:proofErr w:type="gramEnd"/>
      <w:r>
        <w:t>, i.e., location, depth, timing, mass, acceptable contamination, preparation method and analytical repeatability. Without those criteria, the project risks automating a task without proving that its output is metallurgically valid.</w:t>
      </w:r>
    </w:p>
    <w:p w14:paraId="236C1E69" w14:textId="77777777" w:rsidR="00E01C84" w:rsidRDefault="00E01C84" w:rsidP="00E01C84"/>
    <w:p w14:paraId="05D77A1D" w14:textId="77777777" w:rsidR="000243EA" w:rsidRDefault="00DA5F09" w:rsidP="000243EA">
      <w:pPr>
        <w:pStyle w:val="Heading2"/>
      </w:pPr>
      <w:bookmarkStart w:id="134" w:name="_Toc234060430"/>
      <w:bookmarkStart w:id="135" w:name="_Toc234699551"/>
      <w:r>
        <w:lastRenderedPageBreak/>
        <w:t>Integration and programme implications</w:t>
      </w:r>
      <w:bookmarkEnd w:id="134"/>
      <w:bookmarkEnd w:id="135"/>
    </w:p>
    <w:p w14:paraId="36746774" w14:textId="77777777" w:rsidR="005F3DB1" w:rsidRDefault="005F3DB1" w:rsidP="005F3DB1">
      <w:bookmarkStart w:id="136" w:name="_Toc234060431"/>
      <w:r>
        <w:t>Project integration is a major constraint. The EAF robot system has defined utilities, control cabinets, communication architecture and physical layout, and adding transport or slag sampling touches many other disciplines: mechanical layout, electrical power, automation, crane operations, laboratory design, fire safety, maintenance access and emergency response. The Telelift correspondence, as per Appendix I, illustrates the point through crane clearance and electrode-stand constraints, therefore a transport route that appears technically simple could become unacceptable if it obstructs electrode handling or maintenance routes.</w:t>
      </w:r>
    </w:p>
    <w:p w14:paraId="2AB19A78" w14:textId="77777777" w:rsidR="005F3DB1" w:rsidRDefault="005F3DB1" w:rsidP="005F3DB1">
      <w:r>
        <w:t xml:space="preserve">Programme timing matters equally. With design freeze and HAZOP/human-factors timescales identified as key project risks, a staged strategy is compatible with those constraints because it avoids forcing an immature slag solution into the frozen design envelope; </w:t>
      </w:r>
      <w:proofErr w:type="gramStart"/>
      <w:r>
        <w:t>instead</w:t>
      </w:r>
      <w:proofErr w:type="gramEnd"/>
      <w:r>
        <w:t xml:space="preserve"> it locks in the proven elements while keeping space, utility and interface allowances for later development. That is more resilient than either ignoring slag automation or committing to an unvalidated solution.</w:t>
      </w:r>
    </w:p>
    <w:p w14:paraId="7A7FB273" w14:textId="77777777" w:rsidR="00DA5F09" w:rsidRPr="00DA5F09" w:rsidRDefault="00AC1C65" w:rsidP="00F81E8A">
      <w:pPr>
        <w:pStyle w:val="Heading2"/>
      </w:pPr>
      <w:bookmarkStart w:id="137" w:name="_Toc234699552"/>
      <w:r>
        <w:t>Economic and environmental implications</w:t>
      </w:r>
      <w:bookmarkEnd w:id="136"/>
      <w:bookmarkEnd w:id="137"/>
    </w:p>
    <w:p w14:paraId="0FEDE336" w14:textId="77777777" w:rsidR="00D218C1" w:rsidRDefault="00D218C1" w:rsidP="00D218C1">
      <w:bookmarkStart w:id="138" w:name="_Toc234060432"/>
      <w:r>
        <w:t xml:space="preserve">Complete capital and whole-life cost data were not available, so a detailed economic appraisal was not possible; the economics can nevertheless be discussed qualitatively. Manual sampling has low direct capital cost but hidden costs in exposure risk, variable sample quality, process delay and poor compatibility with automation. Robotic sampling costs more to buy and maintain but reduces exposure, improves repeatability and supports process efficiency. Automated transport adds further cost and </w:t>
      </w:r>
      <w:proofErr w:type="gramStart"/>
      <w:r>
        <w:t>complexity, but</w:t>
      </w:r>
      <w:proofErr w:type="gramEnd"/>
      <w:r>
        <w:t xml:space="preserve"> protects the value of the robot by making sure the sample </w:t>
      </w:r>
      <w:proofErr w:type="gramStart"/>
      <w:r>
        <w:t>actually reaches</w:t>
      </w:r>
      <w:proofErr w:type="gramEnd"/>
      <w:r>
        <w:t xml:space="preserve"> the laboratory quickly and consistently.</w:t>
      </w:r>
    </w:p>
    <w:p w14:paraId="343244A4" w14:textId="77777777" w:rsidR="00D218C1" w:rsidRDefault="00D218C1" w:rsidP="00D218C1">
      <w:r>
        <w:t>Environmental benefits are indirect but real. Better slag and steel control can reduce energy consumption, improve yield, extend refractory life and re-heats (rework), all aligned with the decarbonisation rationale of Project Invictus. Those claims should not be overstated without plant data, so this report treats environmental benefit as a plausible secondary outcome of improved process control rather than a quantified result.</w:t>
      </w:r>
    </w:p>
    <w:p w14:paraId="07801FFF" w14:textId="77777777" w:rsidR="00AC1C65" w:rsidRDefault="0078025A" w:rsidP="00AC1C65">
      <w:pPr>
        <w:pStyle w:val="Heading2"/>
      </w:pPr>
      <w:bookmarkStart w:id="139" w:name="_Toc234699553"/>
      <w:r>
        <w:t>Critical review of the evidence</w:t>
      </w:r>
      <w:bookmarkEnd w:id="138"/>
      <w:bookmarkEnd w:id="139"/>
    </w:p>
    <w:p w14:paraId="59583A00" w14:textId="77777777" w:rsidR="00680945" w:rsidRDefault="00680945" w:rsidP="00680945">
      <w:bookmarkStart w:id="140" w:name="_Toc234060433"/>
      <w:r>
        <w:t xml:space="preserve">The evidence base is not uniform, and the conclusions should follow its gradient. It is strongest for the existence and integration of the PolySAMPLE EAF steel sampling robot; moderate for automated transport, where the supplier has provided credible concept </w:t>
      </w:r>
      <w:proofErr w:type="gramStart"/>
      <w:r>
        <w:t>information</w:t>
      </w:r>
      <w:proofErr w:type="gramEnd"/>
      <w:r>
        <w:t xml:space="preserve"> but several important details remain open; and weakest for automated vertical </w:t>
      </w:r>
      <w:r>
        <w:lastRenderedPageBreak/>
        <w:t>EAF slag sampling, where accessible evidence of production-proven technology in this exact application is limited. It would be equally weak, academically, to dismiss slag automation because it is hard or to recommend it as proven because it is desirable.</w:t>
      </w:r>
    </w:p>
    <w:p w14:paraId="28B5ECF7" w14:textId="77777777" w:rsidR="00680945" w:rsidRDefault="00680945" w:rsidP="00680945">
      <w:r>
        <w:t>The central uncertainty is not whether slag chemistry matters, it clearly does. It is whether the available equipment can collect a representative EAF slag sample safely, repeatedly and maintainably under Project Invictus conditions. That uncertainty is reducible through trials: a cold mock-up can test reach, collision, handling and tool change; a hot off-line trial can test sampler survivability and sample integrity; commissioning trials can compare robotic and manual samples statistically. Only when that evidence exists should automated slag sampling be treated as an operational control input.</w:t>
      </w:r>
    </w:p>
    <w:bookmarkEnd w:id="140"/>
    <w:p w14:paraId="665086D6" w14:textId="77777777" w:rsidR="009437BC" w:rsidRDefault="009437BC" w:rsidP="000C7E7D">
      <w:pPr>
        <w:rPr>
          <w:color w:val="FF0000"/>
        </w:rPr>
      </w:pPr>
    </w:p>
    <w:p w14:paraId="3A51A80B" w14:textId="77777777" w:rsidR="007454C8" w:rsidRDefault="007454C8" w:rsidP="000C7E7D">
      <w:pPr>
        <w:rPr>
          <w:color w:val="FF0000"/>
        </w:rPr>
      </w:pPr>
    </w:p>
    <w:p w14:paraId="69A881D7" w14:textId="77777777" w:rsidR="007454C8" w:rsidRDefault="007454C8" w:rsidP="000C7E7D">
      <w:pPr>
        <w:rPr>
          <w:color w:val="FF0000"/>
        </w:rPr>
      </w:pPr>
    </w:p>
    <w:p w14:paraId="0089F8C4" w14:textId="77777777" w:rsidR="007454C8" w:rsidRDefault="007454C8" w:rsidP="000C7E7D">
      <w:pPr>
        <w:rPr>
          <w:color w:val="FF0000"/>
        </w:rPr>
      </w:pPr>
    </w:p>
    <w:p w14:paraId="48191AA5" w14:textId="77777777" w:rsidR="007454C8" w:rsidRDefault="007454C8" w:rsidP="000C7E7D">
      <w:pPr>
        <w:rPr>
          <w:color w:val="FF0000"/>
        </w:rPr>
      </w:pPr>
    </w:p>
    <w:p w14:paraId="06200290" w14:textId="77777777" w:rsidR="007454C8" w:rsidRDefault="007454C8" w:rsidP="000C7E7D">
      <w:pPr>
        <w:rPr>
          <w:color w:val="FF0000"/>
        </w:rPr>
      </w:pPr>
    </w:p>
    <w:p w14:paraId="150F0C5B" w14:textId="77777777" w:rsidR="007454C8" w:rsidRDefault="007454C8" w:rsidP="000C7E7D">
      <w:pPr>
        <w:rPr>
          <w:color w:val="FF0000"/>
        </w:rPr>
      </w:pPr>
    </w:p>
    <w:p w14:paraId="7D59C1D1" w14:textId="77777777" w:rsidR="007454C8" w:rsidRDefault="007454C8" w:rsidP="000C7E7D">
      <w:pPr>
        <w:rPr>
          <w:color w:val="FF0000"/>
        </w:rPr>
      </w:pPr>
    </w:p>
    <w:p w14:paraId="776D690E" w14:textId="77777777" w:rsidR="007454C8" w:rsidRDefault="007454C8" w:rsidP="000C7E7D">
      <w:pPr>
        <w:rPr>
          <w:color w:val="FF0000"/>
        </w:rPr>
      </w:pPr>
    </w:p>
    <w:p w14:paraId="3B644123" w14:textId="77777777" w:rsidR="004514ED" w:rsidRDefault="004514ED" w:rsidP="000C7E7D">
      <w:pPr>
        <w:rPr>
          <w:color w:val="FF0000"/>
        </w:rPr>
      </w:pPr>
    </w:p>
    <w:p w14:paraId="1023A9B8" w14:textId="77777777" w:rsidR="004514ED" w:rsidRDefault="004514ED" w:rsidP="000C7E7D">
      <w:pPr>
        <w:rPr>
          <w:color w:val="FF0000"/>
        </w:rPr>
      </w:pPr>
    </w:p>
    <w:p w14:paraId="4332AEB1" w14:textId="77777777" w:rsidR="004514ED" w:rsidRDefault="004514ED" w:rsidP="000C7E7D">
      <w:pPr>
        <w:rPr>
          <w:color w:val="FF0000"/>
        </w:rPr>
      </w:pPr>
    </w:p>
    <w:p w14:paraId="0A6494A5" w14:textId="77777777" w:rsidR="004514ED" w:rsidRDefault="004514ED" w:rsidP="000C7E7D">
      <w:pPr>
        <w:rPr>
          <w:color w:val="FF0000"/>
        </w:rPr>
      </w:pPr>
    </w:p>
    <w:p w14:paraId="4FA73756" w14:textId="77777777" w:rsidR="004514ED" w:rsidRDefault="004514ED" w:rsidP="000C7E7D">
      <w:pPr>
        <w:rPr>
          <w:color w:val="FF0000"/>
        </w:rPr>
      </w:pPr>
    </w:p>
    <w:p w14:paraId="5D02BD53" w14:textId="77777777" w:rsidR="004514ED" w:rsidRDefault="004514ED" w:rsidP="000C7E7D">
      <w:pPr>
        <w:rPr>
          <w:color w:val="FF0000"/>
        </w:rPr>
      </w:pPr>
    </w:p>
    <w:p w14:paraId="4D26063F" w14:textId="77777777" w:rsidR="004514ED" w:rsidRDefault="004514ED" w:rsidP="000C7E7D">
      <w:pPr>
        <w:rPr>
          <w:color w:val="FF0000"/>
        </w:rPr>
      </w:pPr>
    </w:p>
    <w:p w14:paraId="46CA8AB5" w14:textId="77777777" w:rsidR="004514ED" w:rsidRDefault="004514ED" w:rsidP="000C7E7D">
      <w:pPr>
        <w:rPr>
          <w:color w:val="FF0000"/>
        </w:rPr>
      </w:pPr>
    </w:p>
    <w:p w14:paraId="63382A34" w14:textId="77777777" w:rsidR="00CB14D6" w:rsidRPr="00276EA3" w:rsidRDefault="00CB14D6" w:rsidP="00CB14D6">
      <w:pPr>
        <w:pStyle w:val="Heading2"/>
      </w:pPr>
      <w:bookmarkStart w:id="141" w:name="_Toc_Contribution_to_Knowledge"/>
      <w:bookmarkStart w:id="142" w:name="_Toc234699554"/>
      <w:r w:rsidRPr="00276EA3">
        <w:lastRenderedPageBreak/>
        <w:t>Contribution to Knowledge</w:t>
      </w:r>
      <w:bookmarkEnd w:id="141"/>
      <w:bookmarkEnd w:id="142"/>
    </w:p>
    <w:p w14:paraId="7CB7EEAB" w14:textId="77777777" w:rsidR="00CB14D6" w:rsidRPr="00276EA3" w:rsidRDefault="00CB14D6" w:rsidP="00097E62">
      <w:r w:rsidRPr="00276EA3">
        <w:t>This project makes several practical contributions to the understanding of remote hot-metal and slag sampling for electric arc furnace steelmaking. First, it consolidates fragmented OEM, supplier and standards evidence into a single, traceable technical baseline for the Project Invictus sampling architecture, linking probe geometry, robot loading, sample-transport demand and machinery-safety requirements that are normally considered in isolation. Second, it develops and applies a transparent, weighted optioneering framework, tested for sensitivity, that allows the competing steel- and slag-sampling strategies to be compared on a consistent basis of safety, sampling quality, technical maturity, integration, turnaround, resilience and cost, rather than on supplier preference alone.</w:t>
      </w:r>
    </w:p>
    <w:p w14:paraId="374C17E6" w14:textId="0A69A88C" w:rsidR="00CB14D6" w:rsidRDefault="00CB14D6" w:rsidP="00097E62">
      <w:r w:rsidRPr="00276EA3">
        <w:t xml:space="preserve">Third, and most significantly for the field, the study identifies and evidences a specific maturity gap: whereas automated robotic steel sampling and protected sample transport are shown to be technically ready or near-ready for the new Meltshop, production-proven automated vertical EAF slag sampling is not demonstrated in the accessible evidence, and should therefore be managed as a staged development workstream rather than committed at design freeze. This reframes the sampling decision from a single equipment selection into a phased implementation </w:t>
      </w:r>
      <w:r w:rsidR="00276EA3" w:rsidRPr="00276EA3">
        <w:t>pathway and</w:t>
      </w:r>
      <w:r w:rsidRPr="00276EA3">
        <w:t xml:space="preserve"> provides a reusable decision structure that other EAF transition projects facing comparable safety and automation pressures could adopt. The limitations of this contribution, and the further validation required to close the slag-sampling evidence gap, are set out in Sections 6.7 and 8.</w:t>
      </w:r>
    </w:p>
    <w:p w14:paraId="7D3D9D1B" w14:textId="77777777" w:rsidR="004514ED" w:rsidRDefault="004514ED" w:rsidP="004514ED">
      <w:pPr>
        <w:pStyle w:val="Heading1"/>
        <w:rPr>
          <w:b/>
          <w:bCs/>
          <w:color w:val="0070C0"/>
        </w:rPr>
      </w:pPr>
      <w:bookmarkStart w:id="143" w:name="_Toc234060434"/>
      <w:bookmarkStart w:id="144" w:name="_Toc234699555"/>
      <w:r>
        <w:rPr>
          <w:b/>
          <w:bCs/>
          <w:color w:val="0070C0"/>
        </w:rPr>
        <w:t>Conclusions</w:t>
      </w:r>
      <w:bookmarkEnd w:id="143"/>
      <w:bookmarkEnd w:id="144"/>
    </w:p>
    <w:p w14:paraId="3FC10ABF" w14:textId="77777777" w:rsidR="00790377" w:rsidRDefault="00790377" w:rsidP="00790377">
      <w:r>
        <w:t>This project set out to evaluate remote hot-metal, liquid-steel and slag sampling methodologies for safety and process optimisation in Project Invictus EAF steelmaking. It reviewed the relevant literature, standards and industrial source data; assessed the existing robotic sampling baseline; analysed probe and transport constraints; compared manual and automated task risks; and developed a weighted, sensitivity-tested decision framework. Five conclusions follow.</w:t>
      </w:r>
    </w:p>
    <w:p w14:paraId="6BC6177A" w14:textId="77777777" w:rsidR="00790377" w:rsidRDefault="00790377" w:rsidP="00790377">
      <w:r>
        <w:t>Sampling is a critical process-control function in EAF steelmaking. Steel and slag chemistry drive tap decisions, slag foaming, refractory wear, energy efficiency and downstream metallurgical performance (Heo and Park, 2021; Kirschen, 2021; Kleimt et al., 2023). Reliable sampling is a production and safety issue, not an auxiliary activity.</w:t>
      </w:r>
    </w:p>
    <w:p w14:paraId="297F9836" w14:textId="77777777" w:rsidR="00790377" w:rsidRDefault="00790377" w:rsidP="00790377">
      <w:r>
        <w:t xml:space="preserve">Manual furnace sampling is poorly aligned with the aims of a modern automated meltshop. It may remain necessary as contingency, but it exposes operators to heat, radiation, fume and </w:t>
      </w:r>
      <w:r>
        <w:lastRenderedPageBreak/>
        <w:t>splash and introduces human-factor variability in collection and handling. Better PPE and procedures reduce these weaknesses; they do not eliminate them.</w:t>
      </w:r>
    </w:p>
    <w:p w14:paraId="1EFF10E2" w14:textId="77777777" w:rsidR="00790377" w:rsidRDefault="00790377" w:rsidP="00790377">
      <w:r>
        <w:t>Robotic steel sampling and temperature measurement through the PolySAMPLE EAF architecture is the strongest available baseline. It is technically mature, already reflected in project documentation and drawings, and capable of improving both exposure control and repeatability (BM Group Polytec, n.d.; BM Group Polytec, 2022; Tenova, 2025a). It should be the foundation of the sampling strategy.</w:t>
      </w:r>
    </w:p>
    <w:p w14:paraId="3A376998" w14:textId="77777777" w:rsidR="00790377" w:rsidRDefault="00790377" w:rsidP="00790377">
      <w:r>
        <w:t>Automated sample transport has strong potential but needs validating first. The preliminary Telelift concept appears capable of meeting the average cycle demand, but thermal protection, maximum sample mass, slag-probe handling, dust tolerance, crane clearances, docking and the laboratory workflow all remain open. These should be resolved through detailed design and testing, not assumed.</w:t>
      </w:r>
    </w:p>
    <w:p w14:paraId="7ADACE99" w14:textId="77777777" w:rsidR="00790377" w:rsidRDefault="00790377" w:rsidP="00790377">
      <w:r>
        <w:t>Automated vertical EAF slag sampling should not be adopted as an unqualified day-one production dependency on the current evidence. Slag chemistry is highly valuable, but the maturity, representativeness and maintainability of vertical slag automation remain uncertain. The right approach is staged development supported by mock-ups, trials and comparative sample analysis.</w:t>
      </w:r>
    </w:p>
    <w:p w14:paraId="3734B061" w14:textId="77777777" w:rsidR="004514ED" w:rsidRDefault="00790377" w:rsidP="00790377">
      <w:r>
        <w:t>The final recommendation is therefore a staged strategy: adopt proven robotic steel sampling, progress automated transport after validation, retain manual sampling only as a controlled contingency, and develop automated EAF slag sampling as a formal future workstream. The weighted evaluation supports this outcome under the base weights and every alternative weighting examined, delivering immediate safety and process-control benefits while protecting Project Invictus from the programme and safety risks of immature technology.</w:t>
      </w:r>
    </w:p>
    <w:p w14:paraId="7B5F492F" w14:textId="77777777" w:rsidR="001528DD" w:rsidRDefault="001528DD" w:rsidP="004514ED"/>
    <w:p w14:paraId="11878903" w14:textId="77777777" w:rsidR="001528DD" w:rsidRDefault="001528DD" w:rsidP="004514ED"/>
    <w:p w14:paraId="179FF203" w14:textId="77777777" w:rsidR="001528DD" w:rsidRDefault="001528DD" w:rsidP="004514ED"/>
    <w:p w14:paraId="6E142039" w14:textId="77777777" w:rsidR="001528DD" w:rsidRDefault="001528DD" w:rsidP="004514ED"/>
    <w:p w14:paraId="15252152" w14:textId="77777777" w:rsidR="001528DD" w:rsidRDefault="001528DD" w:rsidP="004514ED"/>
    <w:p w14:paraId="4C7C0EF2" w14:textId="77777777" w:rsidR="001528DD" w:rsidRDefault="001528DD" w:rsidP="004514ED"/>
    <w:p w14:paraId="4E5630AE" w14:textId="77777777" w:rsidR="001528DD" w:rsidRDefault="001528DD" w:rsidP="004514ED"/>
    <w:p w14:paraId="52B0E68F" w14:textId="77777777" w:rsidR="001528DD" w:rsidRDefault="001528DD" w:rsidP="004514ED"/>
    <w:p w14:paraId="6789E479" w14:textId="77777777" w:rsidR="001528DD" w:rsidRDefault="003C157B" w:rsidP="003C157B">
      <w:pPr>
        <w:pStyle w:val="Heading1"/>
        <w:rPr>
          <w:b/>
          <w:bCs/>
          <w:color w:val="0070C0"/>
        </w:rPr>
      </w:pPr>
      <w:bookmarkStart w:id="145" w:name="_Toc234060435"/>
      <w:bookmarkStart w:id="146" w:name="_Toc234699556"/>
      <w:r>
        <w:rPr>
          <w:b/>
          <w:bCs/>
          <w:color w:val="0070C0"/>
        </w:rPr>
        <w:lastRenderedPageBreak/>
        <w:t>Recommended Further Work</w:t>
      </w:r>
      <w:bookmarkEnd w:id="145"/>
      <w:bookmarkEnd w:id="146"/>
    </w:p>
    <w:p w14:paraId="300EDEB5" w14:textId="77777777" w:rsidR="00467063" w:rsidRDefault="00467063" w:rsidP="00467063">
      <w:r>
        <w:t xml:space="preserve">Further work should turn the concept recommendation into validated engineering requirements. The </w:t>
      </w:r>
      <w:proofErr w:type="gramStart"/>
      <w:r>
        <w:t>first priority</w:t>
      </w:r>
      <w:proofErr w:type="gramEnd"/>
      <w:r>
        <w:t xml:space="preserve"> is a sampling performance specification: required sample types, sample mass, immersion depth, dwell time, acceptable sample quality, repeat-sample criteria, maximum analytical turnaround time and data interface requirements. Without this specification, supplier performance cannot be judged consistently.</w:t>
      </w:r>
    </w:p>
    <w:p w14:paraId="45829D0C" w14:textId="77777777" w:rsidR="00467063" w:rsidRDefault="00467063" w:rsidP="00467063">
      <w:r>
        <w:t>The second priority is a detailed transport validation study. This should confirm actual probe weights including refractory protection; the maximum allowable probe temperature at transfer; thermal decay between sampling and loading; the design of a refractory box or heat shield; vehicle payload and acceleration effects; docking reliability; crane clearance; dust exposure and cleaning frequency; emergency recovery; and laboratory receipt. A physical mock-up of the loading and unloading interface would deliver high value before procurement, and the capacity assessment should be extended from the average demand case to the worst case in which both furnaces request samples near-simultaneously.</w:t>
      </w:r>
    </w:p>
    <w:p w14:paraId="3ECFA04A" w14:textId="77777777" w:rsidR="00467063" w:rsidRDefault="00467063" w:rsidP="00467063">
      <w:r>
        <w:t>The third priority is a formal machinery risk assessment for the combined robot and transport system: ISO 12100 risk assessment, safety requirement specification, safety function validation, emergency-stop zoning, access control, teach mode, lock-off, maintenance access and abnormal-operation procedures, conducted with operations, maintenance, automation, safety, laboratory and OEM representation.</w:t>
      </w:r>
    </w:p>
    <w:p w14:paraId="3E4502EF" w14:textId="77777777" w:rsidR="00467063" w:rsidRDefault="00467063" w:rsidP="00467063">
      <w:r>
        <w:t>The fourth priority is the EAF slag sampling trial plan. A cold trial should verify reach, trajectory, collision clearance and tool handling; a hot trial should assess sampler survivability, sample integrity, operator exposure, robot protection and analytical suitability; and commissioning trials should compare manual and automated slag samples statistically for repeatability, bias and process usefulness. Only after that evidence exists should automated slag sampling be promoted from development to production control.</w:t>
      </w:r>
    </w:p>
    <w:p w14:paraId="788E72AC" w14:textId="77777777" w:rsidR="009F7F30" w:rsidRDefault="00467063" w:rsidP="00467063">
      <w:pPr>
        <w:spacing w:after="120"/>
      </w:pPr>
      <w:r>
        <w:t>The fifth priority is operational governance: training standards, manual fallback authorisation, mis-sample management, sample tracking, laboratory communication, and maintenance inspection and cleaning ownership. The system should collect performance data from day one, i.e., sample success rate, cycle time, repeat-sample frequency, robot and transport availability, laboratory turnaround and manual interventions, so the sampling system can be improved after commissioning (Appendix C).</w:t>
      </w:r>
    </w:p>
    <w:p w14:paraId="0BD22740" w14:textId="77777777" w:rsidR="009F7F30" w:rsidRDefault="009F7F30" w:rsidP="00025531">
      <w:pPr>
        <w:spacing w:after="120"/>
      </w:pPr>
    </w:p>
    <w:p w14:paraId="183871FB" w14:textId="77777777" w:rsidR="00CE3E6A" w:rsidRDefault="00CE3E6A" w:rsidP="00CE3E6A">
      <w:pPr>
        <w:pStyle w:val="Caption"/>
        <w:keepNext/>
        <w:jc w:val="center"/>
      </w:pPr>
      <w:bookmarkStart w:id="147" w:name="_Toc234049068"/>
      <w:bookmarkStart w:id="148" w:name="_Toc234060457"/>
      <w:bookmarkStart w:id="149" w:name="_Toc234060467"/>
      <w:bookmarkStart w:id="150" w:name="_Toc234530037"/>
      <w:bookmarkEnd w:id="147"/>
      <w:bookmarkEnd w:id="148"/>
      <w:bookmarkEnd w:id="149"/>
      <w:r>
        <w:lastRenderedPageBreak/>
        <w:t xml:space="preserve">Table </w:t>
      </w:r>
      <w:fldSimple w:instr=" SEQ Table \* ARABIC ">
        <w:r>
          <w:rPr>
            <w:noProof/>
          </w:rPr>
          <w:t>9</w:t>
        </w:r>
      </w:fldSimple>
      <w:r>
        <w:t>: Implementation roadmap</w:t>
      </w:r>
      <w:bookmarkEnd w:id="150"/>
    </w:p>
    <w:tbl>
      <w:tblPr>
        <w:tblStyle w:val="TableGrid"/>
        <w:tblW w:w="0" w:type="auto"/>
        <w:jc w:val="center"/>
        <w:tblLook w:val="04A0" w:firstRow="1" w:lastRow="0" w:firstColumn="1" w:lastColumn="0" w:noHBand="0" w:noVBand="1"/>
      </w:tblPr>
      <w:tblGrid>
        <w:gridCol w:w="1691"/>
        <w:gridCol w:w="3943"/>
        <w:gridCol w:w="3382"/>
      </w:tblGrid>
      <w:tr w:rsidR="009F7F30" w14:paraId="56A03119" w14:textId="77777777" w:rsidTr="009F7F30">
        <w:trPr>
          <w:jc w:val="center"/>
        </w:trPr>
        <w:tc>
          <w:tcPr>
            <w:tcW w:w="1701" w:type="dxa"/>
            <w:shd w:val="clear" w:color="auto" w:fill="D9D9D9" w:themeFill="background1" w:themeFillShade="D9"/>
            <w:vAlign w:val="center"/>
          </w:tcPr>
          <w:p w14:paraId="487978B5" w14:textId="77777777" w:rsidR="009F7F30" w:rsidRPr="009F7F30" w:rsidRDefault="009F7F30" w:rsidP="009F7F30">
            <w:pPr>
              <w:jc w:val="center"/>
              <w:rPr>
                <w:b/>
                <w:bCs/>
              </w:rPr>
            </w:pPr>
            <w:r>
              <w:rPr>
                <w:b/>
                <w:bCs/>
              </w:rPr>
              <w:t>Phase</w:t>
            </w:r>
          </w:p>
        </w:tc>
        <w:tc>
          <w:tcPr>
            <w:tcW w:w="3969" w:type="dxa"/>
            <w:shd w:val="clear" w:color="auto" w:fill="D9D9D9" w:themeFill="background1" w:themeFillShade="D9"/>
            <w:vAlign w:val="center"/>
          </w:tcPr>
          <w:p w14:paraId="77189F60" w14:textId="77777777" w:rsidR="009F7F30" w:rsidRPr="009F7F30" w:rsidRDefault="009F7F30" w:rsidP="009F7F30">
            <w:pPr>
              <w:jc w:val="center"/>
              <w:rPr>
                <w:b/>
                <w:bCs/>
              </w:rPr>
            </w:pPr>
            <w:r>
              <w:rPr>
                <w:b/>
                <w:bCs/>
              </w:rPr>
              <w:t>Action</w:t>
            </w:r>
          </w:p>
        </w:tc>
        <w:tc>
          <w:tcPr>
            <w:tcW w:w="3402" w:type="dxa"/>
            <w:shd w:val="clear" w:color="auto" w:fill="D9D9D9" w:themeFill="background1" w:themeFillShade="D9"/>
            <w:vAlign w:val="center"/>
          </w:tcPr>
          <w:p w14:paraId="06A72E19" w14:textId="77777777" w:rsidR="009F7F30" w:rsidRPr="009F7F30" w:rsidRDefault="009F7F30" w:rsidP="009F7F30">
            <w:pPr>
              <w:jc w:val="center"/>
              <w:rPr>
                <w:b/>
                <w:bCs/>
              </w:rPr>
            </w:pPr>
            <w:r>
              <w:rPr>
                <w:b/>
                <w:bCs/>
              </w:rPr>
              <w:t>Purpose</w:t>
            </w:r>
          </w:p>
        </w:tc>
      </w:tr>
      <w:tr w:rsidR="009F7F30" w14:paraId="7E66DC82" w14:textId="77777777" w:rsidTr="00354319">
        <w:trPr>
          <w:jc w:val="center"/>
        </w:trPr>
        <w:tc>
          <w:tcPr>
            <w:tcW w:w="1701" w:type="dxa"/>
          </w:tcPr>
          <w:p w14:paraId="5A8878E0" w14:textId="77777777" w:rsidR="009F7F30" w:rsidRDefault="009F7F30" w:rsidP="00354319">
            <w:r>
              <w:t>Phase 1</w:t>
            </w:r>
          </w:p>
        </w:tc>
        <w:tc>
          <w:tcPr>
            <w:tcW w:w="3969" w:type="dxa"/>
          </w:tcPr>
          <w:p w14:paraId="40921FB0" w14:textId="77777777" w:rsidR="009F7F30" w:rsidRDefault="009F7F30" w:rsidP="00354319">
            <w:r>
              <w:t>Confirm robotic steel sampling requirements and operating philosophy.</w:t>
            </w:r>
          </w:p>
        </w:tc>
        <w:tc>
          <w:tcPr>
            <w:tcW w:w="3402" w:type="dxa"/>
          </w:tcPr>
          <w:p w14:paraId="40D67582" w14:textId="77777777" w:rsidR="009F7F30" w:rsidRDefault="009F7F30" w:rsidP="00354319">
            <w:r>
              <w:t>Lock in proven safety and repeatability benefit.</w:t>
            </w:r>
          </w:p>
        </w:tc>
      </w:tr>
      <w:tr w:rsidR="009F7F30" w14:paraId="4F12434F" w14:textId="77777777" w:rsidTr="00354319">
        <w:trPr>
          <w:jc w:val="center"/>
        </w:trPr>
        <w:tc>
          <w:tcPr>
            <w:tcW w:w="1701" w:type="dxa"/>
          </w:tcPr>
          <w:p w14:paraId="4B2650BA" w14:textId="77777777" w:rsidR="009F7F30" w:rsidRDefault="009F7F30" w:rsidP="00354319">
            <w:r>
              <w:t>Phase 2</w:t>
            </w:r>
          </w:p>
        </w:tc>
        <w:tc>
          <w:tcPr>
            <w:tcW w:w="3969" w:type="dxa"/>
          </w:tcPr>
          <w:p w14:paraId="17F3BFD2" w14:textId="77777777" w:rsidR="009F7F30" w:rsidRDefault="009F7F30" w:rsidP="00354319">
            <w:r>
              <w:t>Validate automated transport by mock-up and supplier design review.</w:t>
            </w:r>
          </w:p>
        </w:tc>
        <w:tc>
          <w:tcPr>
            <w:tcW w:w="3402" w:type="dxa"/>
          </w:tcPr>
          <w:p w14:paraId="7D12A35E" w14:textId="77777777" w:rsidR="009F7F30" w:rsidRDefault="009F7F30" w:rsidP="00354319">
            <w:r>
              <w:t>Resolve load, heat, dust, crane and laboratory interface uncertainties.</w:t>
            </w:r>
          </w:p>
        </w:tc>
      </w:tr>
      <w:tr w:rsidR="009F7F30" w14:paraId="5EC03FEE" w14:textId="77777777" w:rsidTr="00354319">
        <w:trPr>
          <w:jc w:val="center"/>
        </w:trPr>
        <w:tc>
          <w:tcPr>
            <w:tcW w:w="1701" w:type="dxa"/>
          </w:tcPr>
          <w:p w14:paraId="0AAD18C6" w14:textId="77777777" w:rsidR="009F7F30" w:rsidRDefault="009F7F30" w:rsidP="00354319">
            <w:r>
              <w:t>Phase 3</w:t>
            </w:r>
          </w:p>
        </w:tc>
        <w:tc>
          <w:tcPr>
            <w:tcW w:w="3969" w:type="dxa"/>
          </w:tcPr>
          <w:p w14:paraId="2D9C2D10" w14:textId="77777777" w:rsidR="009F7F30" w:rsidRDefault="009F7F30" w:rsidP="00354319">
            <w:r>
              <w:t>Complete machinery safety lifecycle for robot and transport interfaces.</w:t>
            </w:r>
          </w:p>
        </w:tc>
        <w:tc>
          <w:tcPr>
            <w:tcW w:w="3402" w:type="dxa"/>
          </w:tcPr>
          <w:p w14:paraId="5B797D14" w14:textId="77777777" w:rsidR="009F7F30" w:rsidRDefault="009F7F30" w:rsidP="00354319">
            <w:r>
              <w:t>Ensure safety functions, access and abnormal operation are validated.</w:t>
            </w:r>
          </w:p>
        </w:tc>
      </w:tr>
      <w:tr w:rsidR="009F7F30" w14:paraId="6E8ABE0A" w14:textId="77777777" w:rsidTr="00354319">
        <w:trPr>
          <w:jc w:val="center"/>
        </w:trPr>
        <w:tc>
          <w:tcPr>
            <w:tcW w:w="1701" w:type="dxa"/>
          </w:tcPr>
          <w:p w14:paraId="10617B3C" w14:textId="77777777" w:rsidR="009F7F30" w:rsidRDefault="009F7F30" w:rsidP="00354319">
            <w:r>
              <w:t>Phase 4</w:t>
            </w:r>
          </w:p>
        </w:tc>
        <w:tc>
          <w:tcPr>
            <w:tcW w:w="3969" w:type="dxa"/>
          </w:tcPr>
          <w:p w14:paraId="06C1643F" w14:textId="77777777" w:rsidR="009F7F30" w:rsidRDefault="009F7F30" w:rsidP="00354319">
            <w:r>
              <w:t>Run slag sampling cold and hot trials.</w:t>
            </w:r>
          </w:p>
        </w:tc>
        <w:tc>
          <w:tcPr>
            <w:tcW w:w="3402" w:type="dxa"/>
          </w:tcPr>
          <w:p w14:paraId="442F883F" w14:textId="77777777" w:rsidR="009F7F30" w:rsidRDefault="009F7F30" w:rsidP="00354319">
            <w:r>
              <w:t>Establish whether automated EAF slag samples are representative and reliable.</w:t>
            </w:r>
          </w:p>
        </w:tc>
      </w:tr>
      <w:tr w:rsidR="009F7F30" w14:paraId="28DE8129" w14:textId="77777777" w:rsidTr="00354319">
        <w:trPr>
          <w:jc w:val="center"/>
        </w:trPr>
        <w:tc>
          <w:tcPr>
            <w:tcW w:w="1701" w:type="dxa"/>
          </w:tcPr>
          <w:p w14:paraId="5BA967B6" w14:textId="77777777" w:rsidR="009F7F30" w:rsidRDefault="009F7F30" w:rsidP="00354319">
            <w:r>
              <w:t>Phase 5</w:t>
            </w:r>
          </w:p>
        </w:tc>
        <w:tc>
          <w:tcPr>
            <w:tcW w:w="3969" w:type="dxa"/>
          </w:tcPr>
          <w:p w14:paraId="0CFCA87B" w14:textId="77777777" w:rsidR="009F7F30" w:rsidRDefault="009F7F30" w:rsidP="00354319">
            <w:r>
              <w:t>Use commissioning data to optimise sequence and decide on slag automation expansion.</w:t>
            </w:r>
          </w:p>
        </w:tc>
        <w:tc>
          <w:tcPr>
            <w:tcW w:w="3402" w:type="dxa"/>
          </w:tcPr>
          <w:p w14:paraId="53D837B8" w14:textId="77777777" w:rsidR="009F7F30" w:rsidRDefault="009F7F30" w:rsidP="00354319">
            <w:r>
              <w:t>Move from concept judgement to evidence-based operational control.</w:t>
            </w:r>
          </w:p>
        </w:tc>
      </w:tr>
    </w:tbl>
    <w:p w14:paraId="7B0DCA46" w14:textId="77777777" w:rsidR="009F7F30" w:rsidRDefault="009F7F30" w:rsidP="00025531">
      <w:pPr>
        <w:spacing w:after="120"/>
      </w:pPr>
    </w:p>
    <w:p w14:paraId="5B15CB1A" w14:textId="77777777" w:rsidR="00025531" w:rsidRDefault="00025531" w:rsidP="00025531"/>
    <w:p w14:paraId="6E1D7F08" w14:textId="77777777" w:rsidR="00025531" w:rsidRDefault="00025531" w:rsidP="00025531"/>
    <w:p w14:paraId="7C9F46E5" w14:textId="77777777" w:rsidR="00825979" w:rsidRDefault="00825979" w:rsidP="00025531"/>
    <w:p w14:paraId="056FBC1A" w14:textId="77777777" w:rsidR="00825979" w:rsidRDefault="00825979" w:rsidP="00025531"/>
    <w:p w14:paraId="2A8FDD21" w14:textId="77777777" w:rsidR="00825979" w:rsidRDefault="00825979" w:rsidP="00025531"/>
    <w:p w14:paraId="6C2310DB" w14:textId="77777777" w:rsidR="00825979" w:rsidRDefault="00825979" w:rsidP="00025531"/>
    <w:p w14:paraId="184A818B" w14:textId="77777777" w:rsidR="00825979" w:rsidRDefault="00825979" w:rsidP="00025531"/>
    <w:p w14:paraId="7D587F31" w14:textId="77777777" w:rsidR="00825979" w:rsidRDefault="00825979" w:rsidP="00025531"/>
    <w:p w14:paraId="471488DD" w14:textId="77777777" w:rsidR="00825979" w:rsidRDefault="00825979" w:rsidP="00025531"/>
    <w:p w14:paraId="79D36F1B" w14:textId="77777777" w:rsidR="00825979" w:rsidRDefault="00825979" w:rsidP="00025531"/>
    <w:p w14:paraId="3F5A636F" w14:textId="77777777" w:rsidR="00825979" w:rsidRDefault="00825979" w:rsidP="00025531"/>
    <w:p w14:paraId="09A56023" w14:textId="77777777" w:rsidR="00825979" w:rsidRDefault="00825979" w:rsidP="00025531"/>
    <w:p w14:paraId="2865C4C8" w14:textId="77777777" w:rsidR="00825979" w:rsidRDefault="00825979" w:rsidP="00025531"/>
    <w:p w14:paraId="633AEA9F" w14:textId="77777777" w:rsidR="00825979" w:rsidRDefault="00825979" w:rsidP="00825979">
      <w:pPr>
        <w:pStyle w:val="Heading1"/>
        <w:rPr>
          <w:b/>
          <w:bCs/>
          <w:color w:val="0070C0"/>
        </w:rPr>
      </w:pPr>
      <w:bookmarkStart w:id="151" w:name="_Toc234060436"/>
      <w:bookmarkStart w:id="152" w:name="_Toc234699557"/>
      <w:r>
        <w:rPr>
          <w:b/>
          <w:bCs/>
          <w:color w:val="0070C0"/>
        </w:rPr>
        <w:lastRenderedPageBreak/>
        <w:t>References</w:t>
      </w:r>
      <w:bookmarkEnd w:id="151"/>
      <w:bookmarkEnd w:id="152"/>
    </w:p>
    <w:p w14:paraId="6647B7EA" w14:textId="77777777" w:rsidR="00B77D55" w:rsidRDefault="00B77D55" w:rsidP="00B77D55">
      <w:r>
        <w:t>BM Group Polytec (n.d.) Automatic EAF sampling and measurement robot – PolySAMPLE EAF. Available at: https://www.polytec.bmgroup.com/index.php/en/markets/steel/steelmaking/eaf/automatic-eaf-sampling-and-measurement-robot-polysample-eaf (Accessed: 19 June 2026).</w:t>
      </w:r>
    </w:p>
    <w:p w14:paraId="68678A43" w14:textId="77777777" w:rsidR="00B77D55" w:rsidRDefault="00B77D55" w:rsidP="00B77D55">
      <w:r>
        <w:t>BM Group Polytec (2022) Polytec reference list steel 02022022. Available at: https://polytec.bmgroup.com/sites/default/files/2022-02/Polytec%20Reference%20List%20Steel%20022022.pdf (Accessed: 19 June 2026).</w:t>
      </w:r>
    </w:p>
    <w:p w14:paraId="673008A6" w14:textId="77777777" w:rsidR="00B77D55" w:rsidRDefault="00B77D55" w:rsidP="00B77D55">
      <w:r>
        <w:t>Frey, M. (2025) Investigation of Remote Hot-Metal and Slag Sampling Methodologies for Safety and Process Optimisation in Electric Arc Furnace Steelmaking. ACMA6013 Interim Viva, 16 December. Unpublished presentation.</w:t>
      </w:r>
    </w:p>
    <w:p w14:paraId="38C8C01E" w14:textId="77777777" w:rsidR="00B77D55" w:rsidRDefault="00B77D55" w:rsidP="00B77D55">
      <w:r>
        <w:t>Hay, T., Visuri, V.-V., Aula, M. and Echterhof, T. (2021) ‘A review of mathematical process models for the electric arc furnace process’, Steel Research International, 92(3), article 2000395. https://doi.org/10.1002/srin.202000395.</w:t>
      </w:r>
    </w:p>
    <w:p w14:paraId="087F0363" w14:textId="77777777" w:rsidR="00B77D55" w:rsidRDefault="00B77D55" w:rsidP="00B77D55">
      <w:r>
        <w:t>Health and Safety Executive (HSE) (2026) Using personal protective equipment (PPE) to control risks at work. Available at: https://www.hse.gov.uk/ppe/managing-risk-using-ppe.htm (Accessed: 19 June 2026).</w:t>
      </w:r>
    </w:p>
    <w:p w14:paraId="0BB1A132" w14:textId="77777777" w:rsidR="00B77D55" w:rsidRDefault="00B77D55" w:rsidP="00B77D55">
      <w:r>
        <w:t>Heo, J.H. and Park, J.H. (2021) ‘Effect of slag composition on dephosphorization and foamability in the electric arc furnace steelmaking process: improvement of plant operation’, Metallurgical and Materials Transactions B, 52(6), pp. 3613–3623. https://doi.org/10.1007/s11663-021-02322-3.</w:t>
      </w:r>
    </w:p>
    <w:p w14:paraId="38819F6E" w14:textId="77777777" w:rsidR="00B77D55" w:rsidRDefault="00B77D55" w:rsidP="00B77D55">
      <w:r>
        <w:t>Heraeus Electro-Nite (2005) Polytec standard probes, drawing D 694.01. Unpublished supplier drawing supplied to Tata Steel UK.</w:t>
      </w:r>
    </w:p>
    <w:p w14:paraId="5FCE1580" w14:textId="77777777" w:rsidR="00B77D55" w:rsidRDefault="00B77D55" w:rsidP="00B77D55">
      <w:r>
        <w:t>Heraeus Electro-Nite (2023) CELOX SLAC on Tube 1200BSEB5, drawing 65319610. Unpublished supplier drawing supplied to Tata Steel UK.</w:t>
      </w:r>
    </w:p>
    <w:p w14:paraId="001BC7D7" w14:textId="77777777" w:rsidR="00B77D55" w:rsidRDefault="00B77D55" w:rsidP="00B77D55">
      <w:r>
        <w:t>Heraeus Electro-Nite (2025a) EAF slag probe for 3-in-1 C310S2N15212BSE with drip rings. Unpublished supplier image/drawing supplied to Tata Steel UK.</w:t>
      </w:r>
    </w:p>
    <w:p w14:paraId="44CE2BA4" w14:textId="77777777" w:rsidR="00B77D55" w:rsidRDefault="00B77D55" w:rsidP="00B77D55">
      <w:r>
        <w:t>Heraeus Electro-Nite (2025b) Hydris probe dimensional image. Unpublished supplier image supplied to Tata Steel UK.</w:t>
      </w:r>
    </w:p>
    <w:p w14:paraId="346D16AF" w14:textId="77777777" w:rsidR="00BB5565" w:rsidRDefault="00054777">
      <w:r>
        <w:t>Heraeus Electro-Nite (2025c) LF slag sampler dimensional image. Unpublished supplier image supplied to Tata Steel UK.</w:t>
      </w:r>
    </w:p>
    <w:p w14:paraId="580C1336" w14:textId="77777777" w:rsidR="00B77D55" w:rsidRDefault="00B77D55" w:rsidP="00B77D55">
      <w:r>
        <w:lastRenderedPageBreak/>
        <w:t>International Electrotechnical Commission (IEC) (2010) IEC 61508: Functional safety of electrical/electronic/programmable electronic safety-related systems. Geneva: IEC.</w:t>
      </w:r>
    </w:p>
    <w:p w14:paraId="6249DE13" w14:textId="77777777" w:rsidR="00B77D55" w:rsidRDefault="00B77D55" w:rsidP="00B77D55">
      <w:r>
        <w:t>International Organization for Standardization (ISO) (2010) ISO 12100:2010 Safety of machinery – General principles for design – Risk assessment and risk reduction. Available at: https://www.iso.org/standard/51528.html (Accessed: 19 June 2026).</w:t>
      </w:r>
    </w:p>
    <w:p w14:paraId="46D9687A" w14:textId="77777777" w:rsidR="00B77D55" w:rsidRDefault="00B77D55" w:rsidP="00B77D55">
      <w:r>
        <w:t>International Organization for Standardization (ISO) (2011) ISO 10218-2:2011 Robots and robotic devices – Safety requirements for industrial robots – Part 2: Robot systems and integration. Available at: https://www.iso.org/standard/41571.html (Accessed: 19 June 2026).</w:t>
      </w:r>
    </w:p>
    <w:p w14:paraId="1D89E78A" w14:textId="77777777" w:rsidR="00B77D55" w:rsidRDefault="00B77D55" w:rsidP="00B77D55">
      <w:r>
        <w:t>International Organization for Standardization (ISO) (2016) ISO 6385:2016 Ergonomics principles in the design of work systems. Available at: https://www.iso.org/standard/63785.html (Accessed: 19 June 2026).</w:t>
      </w:r>
    </w:p>
    <w:p w14:paraId="4E845D18" w14:textId="77777777" w:rsidR="00B77D55" w:rsidRDefault="00B77D55" w:rsidP="00B77D55">
      <w:r>
        <w:t>International Organization for Standardization (ISO) (2023) ISO 13849-1:2023 Safety of machinery – Safety-related parts of control systems – Part 1: General principles for design. Available at: https://www.iso.org/standard/73481.html (Accessed: 19 June 2026).</w:t>
      </w:r>
    </w:p>
    <w:p w14:paraId="46F431E4" w14:textId="77777777" w:rsidR="00B77D55" w:rsidRDefault="00B77D55" w:rsidP="00B77D55">
      <w:r>
        <w:t>Karbowniczek, M. (2021) Electric Arc Furnace Steelmaking. Boca Raton: CRC Press. https://doi.org/10.1201/9781003130949.</w:t>
      </w:r>
    </w:p>
    <w:p w14:paraId="212ADF4E" w14:textId="77777777" w:rsidR="00B77D55" w:rsidRDefault="00B77D55" w:rsidP="00B77D55">
      <w:r>
        <w:t>Kieush, L., Schenk, J., Rieger, J., Mombelli, D. and Mapelli, C. (2023) ‘Evaluation of slag foaming behavior using renewable carbonaceous materials in electric arc furnace steelmaking’, Energies, 16(12), article 4673. https://doi.org/10.3390/en16124673.</w:t>
      </w:r>
    </w:p>
    <w:p w14:paraId="04C58742" w14:textId="77777777" w:rsidR="00B77D55" w:rsidRDefault="00B77D55" w:rsidP="00B77D55">
      <w:r>
        <w:t>Kirschen, M. (2021) ‘Visualization of slag data for efficient monitoring and improvement of steelmaking slag operation in electric arc furnaces, with a focus on MgO saturation’, Metals, 11(1), article 17. https://doi.org/10.3390/met11010017.</w:t>
      </w:r>
    </w:p>
    <w:p w14:paraId="28E2B33D" w14:textId="77777777" w:rsidR="00B77D55" w:rsidRDefault="00B77D55" w:rsidP="00B77D55">
      <w:r>
        <w:t xml:space="preserve">Kleimt, B., Krieger, W., Mier Vasallo, D., Arteaga Ayarza, A. and Unamuno Iriondo, I. (2023) ‘Model-based decision support system for electric arc furnace (EAF) online monitoring and control’, Metals, 13(8), article 1332. </w:t>
      </w:r>
      <w:hyperlink r:id="rId24" w:history="1">
        <w:r>
          <w:rPr>
            <w:rStyle w:val="Hyperlink"/>
          </w:rPr>
          <w:t>https://doi.org/10.3390/met13081332</w:t>
        </w:r>
      </w:hyperlink>
      <w:r>
        <w:t>.</w:t>
      </w:r>
    </w:p>
    <w:p w14:paraId="1C02F0D9" w14:textId="77777777" w:rsidR="006860EE" w:rsidRDefault="00746466" w:rsidP="00B77D55">
      <w:r>
        <w:t xml:space="preserve">Lee, J., Kwak, G., Jung, Y. and Choi, W. (2025) ‘Life cycle greenhouse gas emissions of conventional and alternative steel production methods in countries dependent on energy import: A South Korean case study’, </w:t>
      </w:r>
      <w:r>
        <w:rPr>
          <w:i/>
          <w:iCs/>
        </w:rPr>
        <w:t>Energy Conversion and Management: X</w:t>
      </w:r>
      <w:r>
        <w:t>, 25, article 100865. doi: 10.1016/j.ecmx.2024.100865.</w:t>
      </w:r>
    </w:p>
    <w:p w14:paraId="37DE6576" w14:textId="77777777" w:rsidR="00B77D55" w:rsidRDefault="00B77D55" w:rsidP="00B77D55">
      <w:r>
        <w:t>National Academies of Sciences, Engineering, and Medicine (2023) Health Risk Considerations for the Use of Unencapsulated Steel Slag. Washington, DC: The National Academies Press. https://doi.org/10.17226/26881.</w:t>
      </w:r>
    </w:p>
    <w:p w14:paraId="69E73549" w14:textId="77777777" w:rsidR="00B77D55" w:rsidRDefault="00B77D55" w:rsidP="00B77D55">
      <w:r>
        <w:lastRenderedPageBreak/>
        <w:t>Tata Steel (2025) Tata Group Chairman N. Chandrasekaran marks groundbreaking of new electric arc furnace at Port Talbot. Available at: https://www.tatasteel.com/newsroom/press-releases/india/2025/tata-group-chairman-n-chandrasekaran-marks-groundbreaking-of-new-electric-arc-furnace-at-port-talbot/ (Accessed: 19 June 2026).</w:t>
      </w:r>
    </w:p>
    <w:p w14:paraId="65F40E0E" w14:textId="77777777" w:rsidR="00B77D55" w:rsidRDefault="00B77D55" w:rsidP="00B77D55">
      <w:r>
        <w:t>Tata Steel UK (2025a) Green Steel Future. Available at: https://www.tatasteeluk.com/green-steel-future (Accessed: 19 June 2026).</w:t>
      </w:r>
    </w:p>
    <w:p w14:paraId="5ECC1570" w14:textId="77777777" w:rsidR="00B77D55" w:rsidRDefault="00B77D55" w:rsidP="00B77D55">
      <w:r>
        <w:t>Tata Steel UK (2025b) Our investment in low emission steelmaking: challenges and opportunities for decarbonising. Available at: https://www.tatasteeluk.com/sites/default/files/tata-steel-uk-briefing---challenges-and-opportunies-for-decarbonising-2025v12.pdf (Accessed: 19 June 2026).</w:t>
      </w:r>
    </w:p>
    <w:p w14:paraId="565F482C" w14:textId="77777777" w:rsidR="00B77D55" w:rsidRDefault="00B77D55" w:rsidP="00B77D55">
      <w:r>
        <w:t>Telelift GmbH (2025a) Email correspondence with Tata Steel UK: transport of steel probes from robot to laboratory, 7–11 July. Unpublished project correspondence.</w:t>
      </w:r>
    </w:p>
    <w:p w14:paraId="20609BB3" w14:textId="77777777" w:rsidR="00B77D55" w:rsidRDefault="00B77D55" w:rsidP="00B77D55">
      <w:r>
        <w:t>Telelift GmbH (2025b) Email correspondence with Tata Steel UK: initial concept and sample weights, 29 July–12 August. Unpublished project correspondence.</w:t>
      </w:r>
    </w:p>
    <w:p w14:paraId="3541E218" w14:textId="77777777" w:rsidR="00B77D55" w:rsidRDefault="00B77D55" w:rsidP="00B77D55">
      <w:r>
        <w:t>Telelift GmbH (2025c) Email correspondence with Tata Steel UK: dust and electrical contact considerations, 29 July. Unpublished project correspondence.</w:t>
      </w:r>
    </w:p>
    <w:p w14:paraId="3B8B71CF" w14:textId="77777777" w:rsidR="00B77D55" w:rsidRDefault="00B77D55" w:rsidP="00B77D55">
      <w:r>
        <w:t>Telelift GmbH (2025d) Email correspondence with Tata Steel UK: car speeds and mis-sample recovery, 14–19 August. Unpublished project correspondence.</w:t>
      </w:r>
    </w:p>
    <w:p w14:paraId="6F99E9CA" w14:textId="77777777" w:rsidR="00B77D55" w:rsidRDefault="00B77D55" w:rsidP="00B77D55">
      <w:r>
        <w:t>Tenova (2025a) EAF Temperature and Sampling Robot – General Layout, drawing 3701.00025.TEN.201004.ME.DRG.DD.00193. Unpublished Project Invictus drawing supplied to Tata Steel UK.</w:t>
      </w:r>
    </w:p>
    <w:p w14:paraId="7EAAD12E" w14:textId="77777777" w:rsidR="00B77D55" w:rsidRDefault="00B77D55" w:rsidP="00B77D55">
      <w:r>
        <w:t>Tenova (2025b) EAF Temperature and Sampling Robot – General Network Layout, drawing 3701.00025.TEN.201004.EL.DDO.DI.00019. Unpublished Project Invictus drawing supplied to Tata Steel UK.</w:t>
      </w:r>
    </w:p>
    <w:p w14:paraId="7A27DA01" w14:textId="77777777" w:rsidR="00B77D55" w:rsidRDefault="00B77D55" w:rsidP="00B77D55">
      <w:r>
        <w:t>Tenova (2025c) EAF Temperature and Sampling Robot – Utility and TOP Layout, drawing 3701.00025.TEN.201004.ME.DRG.DD.00869. Unpublished Project Invictus drawing supplied to Tata Steel UK.</w:t>
      </w:r>
    </w:p>
    <w:p w14:paraId="65E341C9" w14:textId="77777777" w:rsidR="00B77D55" w:rsidRDefault="00B77D55" w:rsidP="00B77D55">
      <w:r>
        <w:t>Tenova (2025d) EAF Temperature and Sampling Robot – Sampling Configurations, drawing 3701.00025.TEN.201004.ME.DRG.DD.00870. Unpublished Project Invictus drawing supplied to Tata Steel UK.</w:t>
      </w:r>
    </w:p>
    <w:p w14:paraId="5A5FABBD" w14:textId="77777777" w:rsidR="00BB5565" w:rsidRDefault="00054777">
      <w:r>
        <w:lastRenderedPageBreak/>
        <w:t xml:space="preserve">Tenova (2026) PolySAMPLE LF1 component list and suggested spare parts list, drawing </w:t>
      </w:r>
      <w:proofErr w:type="gramStart"/>
      <w:r>
        <w:t>3701.00025.TEN.201402.EL.BOM.LI.</w:t>
      </w:r>
      <w:proofErr w:type="gramEnd"/>
      <w:r>
        <w:t>00001. Unpublished Project Invictus document supplied to Tata Steel UK.</w:t>
      </w:r>
    </w:p>
    <w:p w14:paraId="234C44D5" w14:textId="77777777" w:rsidR="00BB5565" w:rsidRDefault="00054777">
      <w:r>
        <w:t>World Steel Association (2021) Scrap use in the steel industry. Available at: https://worldsteel.org/wp-content/uploads/Fact-sheet-on-scrap_2021.pdf (Accessed: 19 June 2026).</w:t>
      </w:r>
    </w:p>
    <w:p w14:paraId="3FF96AAF" w14:textId="77777777" w:rsidR="00BB5565" w:rsidRDefault="00054777">
      <w:r>
        <w:t>World Steel Association (2025) Climate change and the production of iron and steel. Available at: https://worldsteel.org/climate-action/climate-change-and-the-production-of-iron-and-steel/ (Accessed: 19 June 2026).</w:t>
      </w:r>
    </w:p>
    <w:p w14:paraId="5E7E841A" w14:textId="77777777" w:rsidR="00203185" w:rsidRDefault="00203185">
      <w:r>
        <w:t xml:space="preserve">Yildirim, I.Z. and Prezzi, M. (2011) ‘Chemical, mineralogical, and morphological properties of steel slag’, </w:t>
      </w:r>
      <w:r>
        <w:rPr>
          <w:i/>
          <w:iCs/>
        </w:rPr>
        <w:t>Advances in Civil Engineering</w:t>
      </w:r>
      <w:r>
        <w:t>, 2011, Article ID 463638, pp. 1–13. doi: 10.1155/2011/463638.</w:t>
      </w:r>
    </w:p>
    <w:p w14:paraId="369ED30E" w14:textId="77777777" w:rsidR="00BB5565" w:rsidRDefault="00054777">
      <w:r>
        <w:t>Zhou, Y., Naert, K. and Nuyens, D. (2025) ‘Modeling scrap composition in electric arc and basic oxygen furnaces’, arXiv preprint arXiv:2504.09382. Available at: https://arxiv.org/abs/2504.09382 (Accessed: 6 July 2026).</w:t>
      </w:r>
    </w:p>
    <w:p w14:paraId="0613925C" w14:textId="77777777" w:rsidR="00E66FCB" w:rsidRDefault="00E66FCB" w:rsidP="00B978F5">
      <w:pPr>
        <w:spacing w:after="120"/>
      </w:pPr>
    </w:p>
    <w:p w14:paraId="37E297D5" w14:textId="77777777" w:rsidR="00E66FCB" w:rsidRDefault="00E66FCB" w:rsidP="00B978F5">
      <w:pPr>
        <w:spacing w:after="120"/>
      </w:pPr>
    </w:p>
    <w:p w14:paraId="0AE79A01" w14:textId="77777777" w:rsidR="00E66FCB" w:rsidRDefault="00E66FCB" w:rsidP="00B978F5">
      <w:pPr>
        <w:spacing w:after="120"/>
      </w:pPr>
    </w:p>
    <w:p w14:paraId="720BC0BF" w14:textId="77777777" w:rsidR="00E66FCB" w:rsidRDefault="00E66FCB" w:rsidP="00B978F5">
      <w:pPr>
        <w:spacing w:after="120"/>
      </w:pPr>
    </w:p>
    <w:p w14:paraId="47EE5BEB" w14:textId="77777777" w:rsidR="00E66FCB" w:rsidRDefault="00E66FCB" w:rsidP="00B978F5">
      <w:pPr>
        <w:spacing w:after="120"/>
      </w:pPr>
    </w:p>
    <w:p w14:paraId="1E491BDE" w14:textId="77777777" w:rsidR="00E66FCB" w:rsidRDefault="00E66FCB" w:rsidP="00B978F5">
      <w:pPr>
        <w:spacing w:after="120"/>
      </w:pPr>
    </w:p>
    <w:p w14:paraId="75BED0C9" w14:textId="77777777" w:rsidR="00054777" w:rsidRDefault="00054777" w:rsidP="00B978F5">
      <w:pPr>
        <w:spacing w:after="120"/>
      </w:pPr>
    </w:p>
    <w:p w14:paraId="345CB79D" w14:textId="77777777" w:rsidR="00054777" w:rsidRDefault="00054777" w:rsidP="00B978F5">
      <w:pPr>
        <w:spacing w:after="120"/>
      </w:pPr>
    </w:p>
    <w:p w14:paraId="63FCE0F8" w14:textId="77777777" w:rsidR="00054777" w:rsidRDefault="00054777" w:rsidP="00B978F5">
      <w:pPr>
        <w:spacing w:after="120"/>
      </w:pPr>
    </w:p>
    <w:p w14:paraId="774F6940" w14:textId="77777777" w:rsidR="00054777" w:rsidRDefault="00054777" w:rsidP="00B978F5">
      <w:pPr>
        <w:spacing w:after="120"/>
      </w:pPr>
    </w:p>
    <w:p w14:paraId="3C85B051" w14:textId="77777777" w:rsidR="00054777" w:rsidRDefault="00054777" w:rsidP="00B978F5">
      <w:pPr>
        <w:spacing w:after="120"/>
      </w:pPr>
    </w:p>
    <w:p w14:paraId="6FC9D4D6" w14:textId="77777777" w:rsidR="00054777" w:rsidRDefault="00054777" w:rsidP="00B978F5">
      <w:pPr>
        <w:spacing w:after="120"/>
      </w:pPr>
    </w:p>
    <w:p w14:paraId="2CF70589" w14:textId="77777777" w:rsidR="00054777" w:rsidRDefault="00054777" w:rsidP="00B978F5">
      <w:pPr>
        <w:spacing w:after="120"/>
      </w:pPr>
    </w:p>
    <w:p w14:paraId="1B9C32E9" w14:textId="77777777" w:rsidR="00054777" w:rsidRDefault="00054777" w:rsidP="00B978F5">
      <w:pPr>
        <w:spacing w:after="120"/>
      </w:pPr>
    </w:p>
    <w:p w14:paraId="5259DBD3" w14:textId="77777777" w:rsidR="00E66FCB" w:rsidRDefault="00E66FCB" w:rsidP="00B978F5">
      <w:pPr>
        <w:spacing w:after="120"/>
      </w:pPr>
    </w:p>
    <w:p w14:paraId="5C531CEB" w14:textId="77777777" w:rsidR="00E66FCB" w:rsidRPr="00023C7C" w:rsidRDefault="00023C7C" w:rsidP="00023C7C">
      <w:pPr>
        <w:pStyle w:val="Heading1"/>
        <w:rPr>
          <w:b/>
          <w:bCs/>
          <w:color w:val="0070C0"/>
        </w:rPr>
      </w:pPr>
      <w:bookmarkStart w:id="153" w:name="_Toc234060437"/>
      <w:bookmarkStart w:id="154" w:name="_Toc234699558"/>
      <w:r>
        <w:rPr>
          <w:b/>
          <w:bCs/>
          <w:color w:val="0070C0"/>
        </w:rPr>
        <w:lastRenderedPageBreak/>
        <w:t>Appendices</w:t>
      </w:r>
      <w:bookmarkEnd w:id="153"/>
      <w:bookmarkEnd w:id="154"/>
    </w:p>
    <w:p w14:paraId="7B895974" w14:textId="77777777" w:rsidR="00594F98" w:rsidRDefault="00023C7C" w:rsidP="00A72A1C">
      <w:pPr>
        <w:pStyle w:val="Heading2"/>
      </w:pPr>
      <w:bookmarkStart w:id="155" w:name="_Toc234060438"/>
      <w:bookmarkStart w:id="156" w:name="_Toc234699559"/>
      <w:r>
        <w:t>Appendix A: Decision matrix scoring rationale</w:t>
      </w:r>
      <w:bookmarkEnd w:id="155"/>
      <w:bookmarkEnd w:id="156"/>
      <w:r>
        <w:t xml:space="preserve"> </w:t>
      </w:r>
    </w:p>
    <w:p w14:paraId="5F39C188" w14:textId="77777777" w:rsidR="00CE3E6A" w:rsidRDefault="00CE3E6A" w:rsidP="00CE3E6A">
      <w:pPr>
        <w:pStyle w:val="Caption"/>
        <w:keepNext/>
        <w:jc w:val="center"/>
      </w:pPr>
      <w:bookmarkStart w:id="157" w:name="_Toc234049069"/>
      <w:bookmarkStart w:id="158" w:name="_Toc234060458"/>
      <w:bookmarkStart w:id="159" w:name="_Toc234060468"/>
      <w:bookmarkStart w:id="160" w:name="_Toc234530038"/>
      <w:bookmarkEnd w:id="157"/>
      <w:bookmarkEnd w:id="158"/>
      <w:bookmarkEnd w:id="159"/>
      <w:r>
        <w:t xml:space="preserve">Table </w:t>
      </w:r>
      <w:fldSimple w:instr=" SEQ Table \* ARABIC ">
        <w:r>
          <w:rPr>
            <w:noProof/>
          </w:rPr>
          <w:t>10</w:t>
        </w:r>
      </w:fldSimple>
      <w:r>
        <w:t>: Scoring rationale summary</w:t>
      </w:r>
      <w:bookmarkEnd w:id="160"/>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6800"/>
      </w:tblGrid>
      <w:tr w:rsidR="00655D52" w14:paraId="35E395C9" w14:textId="77777777" w:rsidTr="0060785E">
        <w:trPr>
          <w:tblHeader/>
        </w:trPr>
        <w:tc>
          <w:tcPr>
            <w:tcW w:w="2400" w:type="dxa"/>
            <w:shd w:val="clear" w:color="auto" w:fill="E8E8E8"/>
            <w:tcMar>
              <w:top w:w="60" w:type="dxa"/>
              <w:left w:w="100" w:type="dxa"/>
              <w:bottom w:w="60" w:type="dxa"/>
              <w:right w:w="100" w:type="dxa"/>
            </w:tcMar>
            <w:vAlign w:val="center"/>
          </w:tcPr>
          <w:p w14:paraId="45C26B21" w14:textId="77777777" w:rsidR="00655D52" w:rsidRDefault="00655D52" w:rsidP="0060785E">
            <w:pPr>
              <w:spacing w:after="40" w:line="276" w:lineRule="auto"/>
            </w:pPr>
            <w:r>
              <w:t>Option</w:t>
            </w:r>
          </w:p>
        </w:tc>
        <w:tc>
          <w:tcPr>
            <w:tcW w:w="6800" w:type="dxa"/>
            <w:shd w:val="clear" w:color="auto" w:fill="E8E8E8"/>
            <w:tcMar>
              <w:top w:w="60" w:type="dxa"/>
              <w:left w:w="100" w:type="dxa"/>
              <w:bottom w:w="60" w:type="dxa"/>
              <w:right w:w="100" w:type="dxa"/>
            </w:tcMar>
            <w:vAlign w:val="center"/>
          </w:tcPr>
          <w:p w14:paraId="4E9499F8" w14:textId="77777777" w:rsidR="00655D52" w:rsidRDefault="00655D52" w:rsidP="0060785E">
            <w:pPr>
              <w:spacing w:after="40" w:line="276" w:lineRule="auto"/>
            </w:pPr>
            <w:r>
              <w:t>Main reasons for score</w:t>
            </w:r>
          </w:p>
        </w:tc>
      </w:tr>
      <w:tr w:rsidR="00655D52" w14:paraId="6991C7D3" w14:textId="77777777" w:rsidTr="0060785E">
        <w:tc>
          <w:tcPr>
            <w:tcW w:w="2400" w:type="dxa"/>
            <w:tcMar>
              <w:top w:w="60" w:type="dxa"/>
              <w:left w:w="100" w:type="dxa"/>
              <w:bottom w:w="60" w:type="dxa"/>
              <w:right w:w="100" w:type="dxa"/>
            </w:tcMar>
            <w:vAlign w:val="center"/>
          </w:tcPr>
          <w:p w14:paraId="76F61FED" w14:textId="77777777" w:rsidR="00655D52" w:rsidRDefault="00655D52" w:rsidP="0060785E">
            <w:pPr>
              <w:spacing w:after="40" w:line="276" w:lineRule="auto"/>
            </w:pPr>
            <w:r>
              <w:t>Option 1 – Manual</w:t>
            </w:r>
          </w:p>
        </w:tc>
        <w:tc>
          <w:tcPr>
            <w:tcW w:w="6800" w:type="dxa"/>
            <w:tcMar>
              <w:top w:w="60" w:type="dxa"/>
              <w:left w:w="100" w:type="dxa"/>
              <w:bottom w:w="60" w:type="dxa"/>
              <w:right w:w="100" w:type="dxa"/>
            </w:tcMar>
            <w:vAlign w:val="center"/>
          </w:tcPr>
          <w:p w14:paraId="5B33B41E" w14:textId="77777777" w:rsidR="00655D52" w:rsidRDefault="00655D52" w:rsidP="0060785E">
            <w:pPr>
              <w:spacing w:after="40" w:line="276" w:lineRule="auto"/>
            </w:pPr>
            <w:r>
              <w:t>Retains flexibility and low capital complexity (maturity 5, cost 5) but performs poorly for exposure reduction (safety 2), repeatability (2) and turnaround (2); moderate integration and resilience because it fits the existing environment while conflicting with the automation philosophy.</w:t>
            </w:r>
          </w:p>
        </w:tc>
      </w:tr>
      <w:tr w:rsidR="00655D52" w14:paraId="155EF14E" w14:textId="77777777" w:rsidTr="0060785E">
        <w:tc>
          <w:tcPr>
            <w:tcW w:w="2400" w:type="dxa"/>
            <w:tcMar>
              <w:top w:w="60" w:type="dxa"/>
              <w:left w:w="100" w:type="dxa"/>
              <w:bottom w:w="60" w:type="dxa"/>
              <w:right w:w="100" w:type="dxa"/>
            </w:tcMar>
            <w:vAlign w:val="center"/>
          </w:tcPr>
          <w:p w14:paraId="18ABDD32" w14:textId="77777777" w:rsidR="00655D52" w:rsidRDefault="00655D52" w:rsidP="0060785E">
            <w:pPr>
              <w:spacing w:after="40" w:line="276" w:lineRule="auto"/>
            </w:pPr>
            <w:r>
              <w:t>Option 2 – Robot steel</w:t>
            </w:r>
          </w:p>
        </w:tc>
        <w:tc>
          <w:tcPr>
            <w:tcW w:w="6800" w:type="dxa"/>
            <w:tcMar>
              <w:top w:w="60" w:type="dxa"/>
              <w:left w:w="100" w:type="dxa"/>
              <w:bottom w:w="60" w:type="dxa"/>
              <w:right w:w="100" w:type="dxa"/>
            </w:tcMar>
            <w:vAlign w:val="center"/>
          </w:tcPr>
          <w:p w14:paraId="14517E17" w14:textId="77777777" w:rsidR="00655D52" w:rsidRDefault="00655D52" w:rsidP="0060785E">
            <w:pPr>
              <w:spacing w:after="40" w:line="276" w:lineRule="auto"/>
            </w:pPr>
            <w:r>
              <w:t>High maturity (5) and strong integration with the project drawings (5); safety 4 because furnace-front exposure is removed but manual hot-probe transfer remains; turnaround limited (3) by the manual or semi-manual transfer step.</w:t>
            </w:r>
          </w:p>
        </w:tc>
      </w:tr>
      <w:tr w:rsidR="00655D52" w14:paraId="36981D90" w14:textId="77777777" w:rsidTr="0060785E">
        <w:tc>
          <w:tcPr>
            <w:tcW w:w="2400" w:type="dxa"/>
            <w:tcMar>
              <w:top w:w="60" w:type="dxa"/>
              <w:left w:w="100" w:type="dxa"/>
              <w:bottom w:w="60" w:type="dxa"/>
              <w:right w:w="100" w:type="dxa"/>
            </w:tcMar>
            <w:vAlign w:val="center"/>
          </w:tcPr>
          <w:p w14:paraId="765BF29B" w14:textId="77777777" w:rsidR="00655D52" w:rsidRDefault="00655D52" w:rsidP="0060785E">
            <w:pPr>
              <w:spacing w:after="40" w:line="276" w:lineRule="auto"/>
            </w:pPr>
            <w:r>
              <w:t>Option 3 – Robot plus transport</w:t>
            </w:r>
          </w:p>
        </w:tc>
        <w:tc>
          <w:tcPr>
            <w:tcW w:w="6800" w:type="dxa"/>
            <w:tcMar>
              <w:top w:w="60" w:type="dxa"/>
              <w:left w:w="100" w:type="dxa"/>
              <w:bottom w:w="60" w:type="dxa"/>
              <w:right w:w="100" w:type="dxa"/>
            </w:tcMar>
            <w:vAlign w:val="center"/>
          </w:tcPr>
          <w:p w14:paraId="40772A21" w14:textId="77777777" w:rsidR="00655D52" w:rsidRDefault="00655D52" w:rsidP="0060785E">
            <w:pPr>
              <w:spacing w:after="40" w:line="276" w:lineRule="auto"/>
            </w:pPr>
            <w:r>
              <w:t>Highest safety (5) and turnaround (5) of the single-step options; maturity and integration limited (3) because it commits to the transport system as a day-one dependency before heat, load, dust, crane clearance and laboratory-interface questions are resolved.</w:t>
            </w:r>
          </w:p>
        </w:tc>
      </w:tr>
      <w:tr w:rsidR="00655D52" w14:paraId="3C48EB52" w14:textId="77777777" w:rsidTr="0060785E">
        <w:tc>
          <w:tcPr>
            <w:tcW w:w="2400" w:type="dxa"/>
            <w:tcMar>
              <w:top w:w="60" w:type="dxa"/>
              <w:left w:w="100" w:type="dxa"/>
              <w:bottom w:w="60" w:type="dxa"/>
              <w:right w:w="100" w:type="dxa"/>
            </w:tcMar>
            <w:vAlign w:val="center"/>
          </w:tcPr>
          <w:p w14:paraId="04B2F488" w14:textId="77777777" w:rsidR="00655D52" w:rsidRDefault="00655D52" w:rsidP="0060785E">
            <w:pPr>
              <w:spacing w:after="40" w:line="276" w:lineRule="auto"/>
            </w:pPr>
            <w:r>
              <w:t>Option 4 – Full automation including EAF slag</w:t>
            </w:r>
          </w:p>
        </w:tc>
        <w:tc>
          <w:tcPr>
            <w:tcW w:w="6800" w:type="dxa"/>
            <w:tcMar>
              <w:top w:w="60" w:type="dxa"/>
              <w:left w:w="100" w:type="dxa"/>
              <w:bottom w:w="60" w:type="dxa"/>
              <w:right w:w="100" w:type="dxa"/>
            </w:tcMar>
            <w:vAlign w:val="center"/>
          </w:tcPr>
          <w:p w14:paraId="605BC95D" w14:textId="77777777" w:rsidR="00655D52" w:rsidRDefault="00655D52" w:rsidP="0060785E">
            <w:pPr>
              <w:spacing w:after="40" w:line="276" w:lineRule="auto"/>
            </w:pPr>
            <w:r>
              <w:t>Maximum theoretical safety (5) and repeatability (5) and full turnaround value (5), but heavily penalised on maturity (2), integration (2), resilience (2) and cost certainty (1) because of the unproven vertical slag sampler.</w:t>
            </w:r>
          </w:p>
        </w:tc>
      </w:tr>
      <w:tr w:rsidR="00655D52" w14:paraId="22124263" w14:textId="77777777" w:rsidTr="0060785E">
        <w:tc>
          <w:tcPr>
            <w:tcW w:w="2400" w:type="dxa"/>
            <w:tcMar>
              <w:top w:w="60" w:type="dxa"/>
              <w:left w:w="100" w:type="dxa"/>
              <w:bottom w:w="60" w:type="dxa"/>
              <w:right w:w="100" w:type="dxa"/>
            </w:tcMar>
            <w:vAlign w:val="center"/>
          </w:tcPr>
          <w:p w14:paraId="54789044" w14:textId="77777777" w:rsidR="00655D52" w:rsidRDefault="00655D52" w:rsidP="0060785E">
            <w:pPr>
              <w:spacing w:after="40" w:line="276" w:lineRule="auto"/>
            </w:pPr>
            <w:r>
              <w:t>Option 5 – Staged slag strategy</w:t>
            </w:r>
          </w:p>
        </w:tc>
        <w:tc>
          <w:tcPr>
            <w:tcW w:w="6800" w:type="dxa"/>
            <w:tcMar>
              <w:top w:w="60" w:type="dxa"/>
              <w:left w:w="100" w:type="dxa"/>
              <w:bottom w:w="60" w:type="dxa"/>
              <w:right w:w="100" w:type="dxa"/>
            </w:tcMar>
            <w:vAlign w:val="center"/>
          </w:tcPr>
          <w:p w14:paraId="304354A0" w14:textId="77777777" w:rsidR="00655D52" w:rsidRDefault="00655D52" w:rsidP="0060785E">
            <w:pPr>
              <w:spacing w:after="40" w:line="276" w:lineRule="auto"/>
            </w:pPr>
            <w:r>
              <w:t>Combines the proven robotic core with automated transport, so safety and turnaround both score 5; maturity and integration score 4 rather than 5 because the transport element still requires validation, but the staged structure retains fallback and avoids day-one dependency; resilience 4 for the same reason.</w:t>
            </w:r>
          </w:p>
        </w:tc>
      </w:tr>
      <w:tr w:rsidR="00655D52" w14:paraId="33FCB107" w14:textId="77777777" w:rsidTr="0060785E">
        <w:tc>
          <w:tcPr>
            <w:tcW w:w="2400" w:type="dxa"/>
            <w:tcMar>
              <w:top w:w="60" w:type="dxa"/>
              <w:left w:w="100" w:type="dxa"/>
              <w:bottom w:w="60" w:type="dxa"/>
              <w:right w:w="100" w:type="dxa"/>
            </w:tcMar>
            <w:vAlign w:val="center"/>
          </w:tcPr>
          <w:p w14:paraId="318995A6" w14:textId="77777777" w:rsidR="00655D52" w:rsidRDefault="00655D52" w:rsidP="0060785E">
            <w:pPr>
              <w:spacing w:after="40" w:line="276" w:lineRule="auto"/>
            </w:pPr>
            <w:r>
              <w:t>Option 6 – Dedicated slag sampler</w:t>
            </w:r>
          </w:p>
        </w:tc>
        <w:tc>
          <w:tcPr>
            <w:tcW w:w="6800" w:type="dxa"/>
            <w:tcMar>
              <w:top w:w="60" w:type="dxa"/>
              <w:left w:w="100" w:type="dxa"/>
              <w:bottom w:w="60" w:type="dxa"/>
              <w:right w:w="100" w:type="dxa"/>
            </w:tcMar>
            <w:vAlign w:val="center"/>
          </w:tcPr>
          <w:p w14:paraId="063ED84D" w14:textId="77777777" w:rsidR="00655D52" w:rsidRDefault="00655D52" w:rsidP="0060785E">
            <w:pPr>
              <w:spacing w:after="40" w:line="276" w:lineRule="auto"/>
            </w:pPr>
            <w:r>
              <w:t>May solve a specific task (safety 4) but adds intrusive equipment with uncertain maturity (2), integration (2) and resilience (2) within the frozen design envelope.</w:t>
            </w:r>
          </w:p>
        </w:tc>
      </w:tr>
    </w:tbl>
    <w:p w14:paraId="00203615" w14:textId="77777777" w:rsidR="00513D96" w:rsidRDefault="00513D96" w:rsidP="00594F98"/>
    <w:p w14:paraId="6EC7839D" w14:textId="77777777" w:rsidR="00513D96" w:rsidRDefault="00513D96" w:rsidP="00513D96">
      <w:pPr>
        <w:pStyle w:val="Heading2"/>
      </w:pPr>
      <w:bookmarkStart w:id="161" w:name="_Toc234060439"/>
      <w:bookmarkStart w:id="162" w:name="_Toc234699560"/>
      <w:r>
        <w:t>Appendix B: Sample transport preliminary calculation</w:t>
      </w:r>
      <w:bookmarkEnd w:id="161"/>
      <w:bookmarkEnd w:id="162"/>
      <w:r>
        <w:t xml:space="preserve"> </w:t>
      </w:r>
    </w:p>
    <w:p w14:paraId="771122E2" w14:textId="77777777" w:rsidR="00E60D8E" w:rsidRDefault="00E60D8E" w:rsidP="00E60D8E">
      <w:r>
        <w:t>Two furnaces × six probes every 42 minutes = twelve probes every 42 minutes.</w:t>
      </w:r>
    </w:p>
    <w:p w14:paraId="6774221F" w14:textId="77777777" w:rsidR="00E60D8E" w:rsidRDefault="00E60D8E" w:rsidP="00E60D8E">
      <w:r>
        <w:t>Average demand = 12 / 42 = 0.286 probes per minute = 17.1 probes per hour.</w:t>
      </w:r>
    </w:p>
    <w:p w14:paraId="6D4E005C" w14:textId="77777777" w:rsidR="00E60D8E" w:rsidRDefault="00E60D8E" w:rsidP="00E60D8E">
      <w:r>
        <w:t>Average interval between probes = 42 / 12 = 3.5 minutes.</w:t>
      </w:r>
    </w:p>
    <w:p w14:paraId="6470C859" w14:textId="77777777" w:rsidR="00E60D8E" w:rsidRDefault="00E60D8E" w:rsidP="00E60D8E">
      <w:r>
        <w:t xml:space="preserve">A nominal 38.5 m route at 1 m/s gives 38.5 seconds of line-haul movement before allowances for loading, docking, acceleration, deceleration, unloading, thermal protection and laboratory transfer. Even with a practical cycle time several times higher, average </w:t>
      </w:r>
      <w:r>
        <w:lastRenderedPageBreak/>
        <w:t>demand appears manageable with multiple vehicles. The average-demand case should be supplemented in detailed design by a worst-case analysis in which both furnaces request samples near-simultaneously.</w:t>
      </w:r>
    </w:p>
    <w:p w14:paraId="55C2F2FF" w14:textId="77777777" w:rsidR="00BC7BEF" w:rsidRDefault="00BC7BEF" w:rsidP="0075488D"/>
    <w:p w14:paraId="32F0F35C" w14:textId="77777777" w:rsidR="00F06E4B" w:rsidRPr="00F06E4B" w:rsidRDefault="00BC7BEF" w:rsidP="00F06E4B">
      <w:pPr>
        <w:pStyle w:val="Heading2"/>
      </w:pPr>
      <w:bookmarkStart w:id="163" w:name="_Toc234060440"/>
      <w:bookmarkStart w:id="164" w:name="_Toc234699561"/>
      <w:r>
        <w:t>Appendix C: Suggested commissioning performance metrics</w:t>
      </w:r>
      <w:bookmarkEnd w:id="163"/>
      <w:bookmarkEnd w:id="164"/>
      <w:r>
        <w:t xml:space="preserve"> </w:t>
      </w:r>
    </w:p>
    <w:p w14:paraId="60B4D847" w14:textId="77777777" w:rsidR="00CE3E6A" w:rsidRDefault="00CE3E6A" w:rsidP="00CE3E6A">
      <w:pPr>
        <w:pStyle w:val="Caption"/>
        <w:keepNext/>
        <w:jc w:val="center"/>
      </w:pPr>
      <w:bookmarkStart w:id="165" w:name="_Toc234049070"/>
      <w:bookmarkStart w:id="166" w:name="_Toc234060459"/>
      <w:bookmarkStart w:id="167" w:name="_Toc234060469"/>
      <w:bookmarkStart w:id="168" w:name="_Toc234530039"/>
      <w:bookmarkEnd w:id="165"/>
      <w:bookmarkEnd w:id="166"/>
      <w:bookmarkEnd w:id="167"/>
      <w:r>
        <w:t xml:space="preserve">Table </w:t>
      </w:r>
      <w:fldSimple w:instr=" SEQ Table \* ARABIC ">
        <w:r>
          <w:rPr>
            <w:noProof/>
          </w:rPr>
          <w:t>11</w:t>
        </w:r>
      </w:fldSimple>
      <w:r>
        <w:t>:Performance metrics</w:t>
      </w:r>
      <w:bookmarkEnd w:id="168"/>
    </w:p>
    <w:tbl>
      <w:tblPr>
        <w:tblStyle w:val="TableGrid"/>
        <w:tblW w:w="0" w:type="auto"/>
        <w:jc w:val="center"/>
        <w:tblLook w:val="04A0" w:firstRow="1" w:lastRow="0" w:firstColumn="1" w:lastColumn="0" w:noHBand="0" w:noVBand="1"/>
      </w:tblPr>
      <w:tblGrid>
        <w:gridCol w:w="2822"/>
        <w:gridCol w:w="6194"/>
      </w:tblGrid>
      <w:tr w:rsidR="00F06E4B" w14:paraId="3267F63F" w14:textId="77777777" w:rsidTr="00F06E4B">
        <w:trPr>
          <w:jc w:val="center"/>
        </w:trPr>
        <w:tc>
          <w:tcPr>
            <w:tcW w:w="2835" w:type="dxa"/>
            <w:shd w:val="clear" w:color="auto" w:fill="D9D9D9" w:themeFill="background1" w:themeFillShade="D9"/>
            <w:vAlign w:val="center"/>
          </w:tcPr>
          <w:p w14:paraId="14D9FD0E" w14:textId="77777777" w:rsidR="00F06E4B" w:rsidRPr="00F06E4B" w:rsidRDefault="00F06E4B" w:rsidP="00F06E4B">
            <w:pPr>
              <w:jc w:val="center"/>
              <w:rPr>
                <w:b/>
                <w:bCs/>
              </w:rPr>
            </w:pPr>
            <w:r>
              <w:rPr>
                <w:b/>
                <w:bCs/>
              </w:rPr>
              <w:t>Metric</w:t>
            </w:r>
          </w:p>
        </w:tc>
        <w:tc>
          <w:tcPr>
            <w:tcW w:w="6236" w:type="dxa"/>
            <w:shd w:val="clear" w:color="auto" w:fill="D9D9D9" w:themeFill="background1" w:themeFillShade="D9"/>
            <w:vAlign w:val="center"/>
          </w:tcPr>
          <w:p w14:paraId="09CDACB9" w14:textId="77777777" w:rsidR="00F06E4B" w:rsidRPr="00F06E4B" w:rsidRDefault="00F06E4B" w:rsidP="00F06E4B">
            <w:pPr>
              <w:jc w:val="center"/>
              <w:rPr>
                <w:b/>
                <w:bCs/>
              </w:rPr>
            </w:pPr>
            <w:r>
              <w:rPr>
                <w:b/>
                <w:bCs/>
              </w:rPr>
              <w:t>Reason for measuring</w:t>
            </w:r>
          </w:p>
        </w:tc>
      </w:tr>
      <w:tr w:rsidR="00F06E4B" w14:paraId="512F33B8" w14:textId="77777777" w:rsidTr="00354319">
        <w:trPr>
          <w:jc w:val="center"/>
        </w:trPr>
        <w:tc>
          <w:tcPr>
            <w:tcW w:w="2835" w:type="dxa"/>
          </w:tcPr>
          <w:p w14:paraId="595E9BD6" w14:textId="77777777" w:rsidR="00F06E4B" w:rsidRDefault="00F06E4B" w:rsidP="00354319">
            <w:r>
              <w:t>Sample success rate</w:t>
            </w:r>
          </w:p>
        </w:tc>
        <w:tc>
          <w:tcPr>
            <w:tcW w:w="6236" w:type="dxa"/>
          </w:tcPr>
          <w:p w14:paraId="1D8D4F7D" w14:textId="77777777" w:rsidR="00F06E4B" w:rsidRDefault="00F06E4B" w:rsidP="00354319">
            <w:r>
              <w:t>Confirms whether automated sampling produces usable samples.</w:t>
            </w:r>
          </w:p>
        </w:tc>
      </w:tr>
      <w:tr w:rsidR="00F06E4B" w14:paraId="619DCD4A" w14:textId="77777777" w:rsidTr="00354319">
        <w:trPr>
          <w:jc w:val="center"/>
        </w:trPr>
        <w:tc>
          <w:tcPr>
            <w:tcW w:w="2835" w:type="dxa"/>
          </w:tcPr>
          <w:p w14:paraId="1ADFF45C" w14:textId="77777777" w:rsidR="00F06E4B" w:rsidRDefault="00F06E4B" w:rsidP="00354319">
            <w:r>
              <w:t>Repeat sample rate</w:t>
            </w:r>
          </w:p>
        </w:tc>
        <w:tc>
          <w:tcPr>
            <w:tcW w:w="6236" w:type="dxa"/>
          </w:tcPr>
          <w:p w14:paraId="1CAE3116" w14:textId="77777777" w:rsidR="00F06E4B" w:rsidRDefault="00F06E4B" w:rsidP="00354319">
            <w:r>
              <w:t>Identifies reliability issues and process delay risk.</w:t>
            </w:r>
          </w:p>
        </w:tc>
      </w:tr>
      <w:tr w:rsidR="00F06E4B" w14:paraId="512F6C2C" w14:textId="77777777" w:rsidTr="00354319">
        <w:trPr>
          <w:jc w:val="center"/>
        </w:trPr>
        <w:tc>
          <w:tcPr>
            <w:tcW w:w="2835" w:type="dxa"/>
          </w:tcPr>
          <w:p w14:paraId="7DD987D7" w14:textId="77777777" w:rsidR="00F06E4B" w:rsidRDefault="00F06E4B" w:rsidP="00354319">
            <w:r>
              <w:t>Robot availability</w:t>
            </w:r>
          </w:p>
        </w:tc>
        <w:tc>
          <w:tcPr>
            <w:tcW w:w="6236" w:type="dxa"/>
          </w:tcPr>
          <w:p w14:paraId="1D3D3BE4" w14:textId="77777777" w:rsidR="00F06E4B" w:rsidRDefault="00F06E4B" w:rsidP="00354319">
            <w:r>
              <w:t>Measures production resilience of robotic sampling.</w:t>
            </w:r>
          </w:p>
        </w:tc>
      </w:tr>
      <w:tr w:rsidR="00F06E4B" w14:paraId="0E99C1AB" w14:textId="77777777" w:rsidTr="00354319">
        <w:trPr>
          <w:jc w:val="center"/>
        </w:trPr>
        <w:tc>
          <w:tcPr>
            <w:tcW w:w="2835" w:type="dxa"/>
          </w:tcPr>
          <w:p w14:paraId="2355C5BA" w14:textId="77777777" w:rsidR="00F06E4B" w:rsidRDefault="00F06E4B" w:rsidP="00354319">
            <w:r>
              <w:t>Transport availability</w:t>
            </w:r>
          </w:p>
        </w:tc>
        <w:tc>
          <w:tcPr>
            <w:tcW w:w="6236" w:type="dxa"/>
          </w:tcPr>
          <w:p w14:paraId="2C8F4012" w14:textId="77777777" w:rsidR="00F06E4B" w:rsidRDefault="00F06E4B" w:rsidP="00354319">
            <w:r>
              <w:t>Measures whether sample movement becomes the bottleneck.</w:t>
            </w:r>
          </w:p>
        </w:tc>
      </w:tr>
      <w:tr w:rsidR="00F06E4B" w14:paraId="6F2C347F" w14:textId="77777777" w:rsidTr="00354319">
        <w:trPr>
          <w:jc w:val="center"/>
        </w:trPr>
        <w:tc>
          <w:tcPr>
            <w:tcW w:w="2835" w:type="dxa"/>
          </w:tcPr>
          <w:p w14:paraId="3BA76968" w14:textId="77777777" w:rsidR="00F06E4B" w:rsidRDefault="00F06E4B" w:rsidP="00354319">
            <w:r>
              <w:t>Laboratory turnaround time</w:t>
            </w:r>
          </w:p>
        </w:tc>
        <w:tc>
          <w:tcPr>
            <w:tcW w:w="6236" w:type="dxa"/>
          </w:tcPr>
          <w:p w14:paraId="20837BAC" w14:textId="77777777" w:rsidR="00F06E4B" w:rsidRDefault="00F06E4B" w:rsidP="00354319">
            <w:r>
              <w:t>Links sampling to process-control value.</w:t>
            </w:r>
          </w:p>
        </w:tc>
      </w:tr>
      <w:tr w:rsidR="00F06E4B" w14:paraId="48B477A1" w14:textId="77777777" w:rsidTr="00354319">
        <w:trPr>
          <w:jc w:val="center"/>
        </w:trPr>
        <w:tc>
          <w:tcPr>
            <w:tcW w:w="2835" w:type="dxa"/>
          </w:tcPr>
          <w:p w14:paraId="0DE6E320" w14:textId="77777777" w:rsidR="00F06E4B" w:rsidRDefault="00F06E4B" w:rsidP="00354319">
            <w:r>
              <w:t>Manual intervention frequency</w:t>
            </w:r>
          </w:p>
        </w:tc>
        <w:tc>
          <w:tcPr>
            <w:tcW w:w="6236" w:type="dxa"/>
          </w:tcPr>
          <w:p w14:paraId="6DA4072F" w14:textId="77777777" w:rsidR="00F06E4B" w:rsidRDefault="00F06E4B" w:rsidP="00354319">
            <w:r>
              <w:t>Tests whether exposure reduction is being sustained.</w:t>
            </w:r>
          </w:p>
        </w:tc>
      </w:tr>
      <w:tr w:rsidR="00F06E4B" w14:paraId="42B4800E" w14:textId="77777777" w:rsidTr="00354319">
        <w:trPr>
          <w:jc w:val="center"/>
        </w:trPr>
        <w:tc>
          <w:tcPr>
            <w:tcW w:w="2835" w:type="dxa"/>
          </w:tcPr>
          <w:p w14:paraId="4E5E485C" w14:textId="77777777" w:rsidR="00F06E4B" w:rsidRDefault="00F06E4B" w:rsidP="00354319">
            <w:r>
              <w:t>Fault recovery time</w:t>
            </w:r>
          </w:p>
        </w:tc>
        <w:tc>
          <w:tcPr>
            <w:tcW w:w="6236" w:type="dxa"/>
          </w:tcPr>
          <w:p w14:paraId="120AC858" w14:textId="77777777" w:rsidR="00F06E4B" w:rsidRDefault="00F06E4B" w:rsidP="00354319">
            <w:r>
              <w:t>Tests abnormal-operation resilience.</w:t>
            </w:r>
          </w:p>
        </w:tc>
      </w:tr>
      <w:tr w:rsidR="00F06E4B" w14:paraId="024B6603" w14:textId="77777777" w:rsidTr="00354319">
        <w:trPr>
          <w:jc w:val="center"/>
        </w:trPr>
        <w:tc>
          <w:tcPr>
            <w:tcW w:w="2835" w:type="dxa"/>
          </w:tcPr>
          <w:p w14:paraId="21A179BF" w14:textId="77777777" w:rsidR="00F06E4B" w:rsidRDefault="00F06E4B" w:rsidP="00354319">
            <w:r>
              <w:t>Slag sample repeatability</w:t>
            </w:r>
          </w:p>
        </w:tc>
        <w:tc>
          <w:tcPr>
            <w:tcW w:w="6236" w:type="dxa"/>
          </w:tcPr>
          <w:p w14:paraId="4AC85400" w14:textId="77777777" w:rsidR="00F06E4B" w:rsidRDefault="00F06E4B" w:rsidP="00354319">
            <w:r>
              <w:t>Determines whether automated slag sampling is metallurgically useful.</w:t>
            </w:r>
          </w:p>
        </w:tc>
      </w:tr>
    </w:tbl>
    <w:p w14:paraId="219524AF" w14:textId="77777777" w:rsidR="00000152" w:rsidRPr="00000152" w:rsidRDefault="00000152" w:rsidP="00000152"/>
    <w:p w14:paraId="71AD0BC4" w14:textId="77777777" w:rsidR="00B61E64" w:rsidRDefault="00186C9F">
      <w:pPr>
        <w:pStyle w:val="Heading2"/>
      </w:pPr>
      <w:bookmarkStart w:id="169" w:name="_Toc234060441"/>
      <w:bookmarkStart w:id="170" w:name="_Toc234699562"/>
      <w:r>
        <w:t>Appendix D: Evidence Traceability Matrix</w:t>
      </w:r>
      <w:bookmarkEnd w:id="169"/>
      <w:bookmarkEnd w:id="170"/>
    </w:p>
    <w:p w14:paraId="16A945E8" w14:textId="77777777" w:rsidR="00B61E64" w:rsidRDefault="00186C9F">
      <w:pPr>
        <w:jc w:val="both"/>
      </w:pPr>
      <w:r>
        <w:t>The evidence traceability matrix links the project objectives to the source material and analysis used in the report. Its purpose is to demonstrate that the conclusions were derived from identifiable evidence rather than unsupported opinion.</w:t>
      </w:r>
    </w:p>
    <w:p w14:paraId="76EB97BD" w14:textId="77777777" w:rsidR="00CE3E6A" w:rsidRDefault="00CE3E6A" w:rsidP="00CE3E6A">
      <w:pPr>
        <w:pStyle w:val="Caption"/>
        <w:keepNext/>
        <w:jc w:val="center"/>
      </w:pPr>
      <w:bookmarkStart w:id="171" w:name="_Toc234530040"/>
      <w:r>
        <w:t xml:space="preserve">Table </w:t>
      </w:r>
      <w:fldSimple w:instr=" SEQ Table \* ARABIC ">
        <w:r>
          <w:rPr>
            <w:noProof/>
          </w:rPr>
          <w:t>12</w:t>
        </w:r>
      </w:fldSimple>
      <w:r>
        <w:t>: Evidence traceability matrix</w:t>
      </w:r>
      <w:bookmarkEnd w:id="171"/>
    </w:p>
    <w:tbl>
      <w:tblPr>
        <w:tblStyle w:val="TableGrid"/>
        <w:tblW w:w="0" w:type="auto"/>
        <w:jc w:val="center"/>
        <w:tblLook w:val="04A0" w:firstRow="1" w:lastRow="0" w:firstColumn="1" w:lastColumn="0" w:noHBand="0" w:noVBand="1"/>
      </w:tblPr>
      <w:tblGrid>
        <w:gridCol w:w="2095"/>
        <w:gridCol w:w="2601"/>
        <w:gridCol w:w="2393"/>
        <w:gridCol w:w="1927"/>
      </w:tblGrid>
      <w:tr w:rsidR="00B61E64" w14:paraId="33984DE5" w14:textId="77777777" w:rsidTr="00B17387">
        <w:trPr>
          <w:jc w:val="center"/>
        </w:trPr>
        <w:tc>
          <w:tcPr>
            <w:tcW w:w="2256" w:type="dxa"/>
            <w:shd w:val="clear" w:color="auto" w:fill="D9D9D9" w:themeFill="background1" w:themeFillShade="D9"/>
          </w:tcPr>
          <w:p w14:paraId="47293248" w14:textId="77777777" w:rsidR="00B61E64" w:rsidRDefault="00186C9F" w:rsidP="00B17387">
            <w:pPr>
              <w:spacing w:line="240" w:lineRule="auto"/>
              <w:jc w:val="center"/>
            </w:pPr>
            <w:r>
              <w:t>Project objective</w:t>
            </w:r>
          </w:p>
        </w:tc>
        <w:tc>
          <w:tcPr>
            <w:tcW w:w="2256" w:type="dxa"/>
            <w:shd w:val="clear" w:color="auto" w:fill="D9D9D9" w:themeFill="background1" w:themeFillShade="D9"/>
          </w:tcPr>
          <w:p w14:paraId="127AE154" w14:textId="77777777" w:rsidR="00B61E64" w:rsidRDefault="00186C9F" w:rsidP="00B17387">
            <w:pPr>
              <w:spacing w:line="240" w:lineRule="auto"/>
              <w:jc w:val="center"/>
            </w:pPr>
            <w:r>
              <w:t>Evidence used</w:t>
            </w:r>
          </w:p>
        </w:tc>
        <w:tc>
          <w:tcPr>
            <w:tcW w:w="2256" w:type="dxa"/>
            <w:shd w:val="clear" w:color="auto" w:fill="D9D9D9" w:themeFill="background1" w:themeFillShade="D9"/>
          </w:tcPr>
          <w:p w14:paraId="0F231FF2" w14:textId="77777777" w:rsidR="00B61E64" w:rsidRDefault="00186C9F" w:rsidP="00B17387">
            <w:pPr>
              <w:spacing w:line="240" w:lineRule="auto"/>
              <w:jc w:val="center"/>
            </w:pPr>
            <w:r>
              <w:t>How the evidence supports the project</w:t>
            </w:r>
          </w:p>
        </w:tc>
        <w:tc>
          <w:tcPr>
            <w:tcW w:w="2256" w:type="dxa"/>
            <w:shd w:val="clear" w:color="auto" w:fill="D9D9D9" w:themeFill="background1" w:themeFillShade="D9"/>
          </w:tcPr>
          <w:p w14:paraId="518D44E1" w14:textId="77777777" w:rsidR="00B61E64" w:rsidRDefault="00186C9F" w:rsidP="00B17387">
            <w:pPr>
              <w:spacing w:line="240" w:lineRule="auto"/>
              <w:jc w:val="center"/>
            </w:pPr>
            <w:r>
              <w:t>Report location</w:t>
            </w:r>
          </w:p>
        </w:tc>
      </w:tr>
      <w:tr w:rsidR="00B61E64" w14:paraId="375C11A3" w14:textId="77777777">
        <w:trPr>
          <w:jc w:val="center"/>
        </w:trPr>
        <w:tc>
          <w:tcPr>
            <w:tcW w:w="2256" w:type="dxa"/>
          </w:tcPr>
          <w:p w14:paraId="74F12214" w14:textId="77777777" w:rsidR="00B61E64" w:rsidRDefault="00186C9F">
            <w:pPr>
              <w:spacing w:line="240" w:lineRule="auto"/>
            </w:pPr>
            <w:r>
              <w:t>Evaluate existing manual and automated sampling practices relevant to EAF steelmaking</w:t>
            </w:r>
          </w:p>
        </w:tc>
        <w:tc>
          <w:tcPr>
            <w:tcW w:w="2256" w:type="dxa"/>
          </w:tcPr>
          <w:p w14:paraId="61B55BF0" w14:textId="77777777" w:rsidR="00B61E64" w:rsidRDefault="00186C9F">
            <w:pPr>
              <w:spacing w:line="240" w:lineRule="auto"/>
            </w:pPr>
            <w:r>
              <w:t>Literature review, manual baseline assessment, PolySAMPLE public information, Project Invictus robot drawings and task-based comparison.</w:t>
            </w:r>
          </w:p>
        </w:tc>
        <w:tc>
          <w:tcPr>
            <w:tcW w:w="2256" w:type="dxa"/>
          </w:tcPr>
          <w:p w14:paraId="0594FE00" w14:textId="77777777" w:rsidR="00B61E64" w:rsidRDefault="00186C9F">
            <w:pPr>
              <w:spacing w:line="240" w:lineRule="auto"/>
            </w:pPr>
            <w:r>
              <w:t>Shows the difference between manual exposure, robotic steel sampling and potential automated transport. Supports the need for a staged strategy rather than a single technology assumption.</w:t>
            </w:r>
          </w:p>
        </w:tc>
        <w:tc>
          <w:tcPr>
            <w:tcW w:w="2256" w:type="dxa"/>
          </w:tcPr>
          <w:p w14:paraId="3FE10A7C" w14:textId="77777777" w:rsidR="00B61E64" w:rsidRDefault="00186C9F">
            <w:pPr>
              <w:spacing w:line="240" w:lineRule="auto"/>
            </w:pPr>
            <w:r>
              <w:t>Sections 2.3, 2.4, 3.5, 4.7, 5.1-5.6</w:t>
            </w:r>
          </w:p>
        </w:tc>
      </w:tr>
      <w:tr w:rsidR="00B61E64" w14:paraId="2B46E839" w14:textId="77777777">
        <w:trPr>
          <w:jc w:val="center"/>
        </w:trPr>
        <w:tc>
          <w:tcPr>
            <w:tcW w:w="2256" w:type="dxa"/>
          </w:tcPr>
          <w:p w14:paraId="621D64D7" w14:textId="77777777" w:rsidR="00B61E64" w:rsidRDefault="00186C9F">
            <w:pPr>
              <w:spacing w:line="240" w:lineRule="auto"/>
            </w:pPr>
            <w:r>
              <w:lastRenderedPageBreak/>
              <w:t>Review literature on EAF process control, slag chemistry, sampling reliability, robotics and human factors</w:t>
            </w:r>
          </w:p>
        </w:tc>
        <w:tc>
          <w:tcPr>
            <w:tcW w:w="2256" w:type="dxa"/>
          </w:tcPr>
          <w:p w14:paraId="1CB28903" w14:textId="77777777" w:rsidR="00B61E64" w:rsidRDefault="00186C9F">
            <w:pPr>
              <w:spacing w:line="240" w:lineRule="auto"/>
            </w:pPr>
            <w:r>
              <w:t>Current and established literature on EAF process modelling, slag chemistry, foamability, refractory interaction, robotics, HSE hierarchy of control and machinery/ergonomic standards.</w:t>
            </w:r>
          </w:p>
        </w:tc>
        <w:tc>
          <w:tcPr>
            <w:tcW w:w="2256" w:type="dxa"/>
          </w:tcPr>
          <w:p w14:paraId="083F0A11" w14:textId="77777777" w:rsidR="00B61E64" w:rsidRDefault="00186C9F">
            <w:pPr>
              <w:spacing w:line="240" w:lineRule="auto"/>
            </w:pPr>
            <w:r>
              <w:t>Provides the academic basis for treating sampling as a process-control and safety-critical design issue, not just an operating task.</w:t>
            </w:r>
          </w:p>
        </w:tc>
        <w:tc>
          <w:tcPr>
            <w:tcW w:w="2256" w:type="dxa"/>
          </w:tcPr>
          <w:p w14:paraId="7571D6B6" w14:textId="77777777" w:rsidR="00B61E64" w:rsidRDefault="00186C9F">
            <w:pPr>
              <w:spacing w:line="240" w:lineRule="auto"/>
            </w:pPr>
            <w:r>
              <w:t>Sections 2.1-2.7</w:t>
            </w:r>
          </w:p>
        </w:tc>
      </w:tr>
      <w:tr w:rsidR="00B61E64" w14:paraId="49372B01" w14:textId="77777777">
        <w:trPr>
          <w:jc w:val="center"/>
        </w:trPr>
        <w:tc>
          <w:tcPr>
            <w:tcW w:w="2256" w:type="dxa"/>
          </w:tcPr>
          <w:p w14:paraId="5A479FF5" w14:textId="77777777" w:rsidR="00B61E64" w:rsidRDefault="00186C9F">
            <w:pPr>
              <w:spacing w:line="240" w:lineRule="auto"/>
            </w:pPr>
            <w:r>
              <w:t>Identify safety, machinery and compliance requirements that influence system selection</w:t>
            </w:r>
          </w:p>
        </w:tc>
        <w:tc>
          <w:tcPr>
            <w:tcW w:w="2256" w:type="dxa"/>
          </w:tcPr>
          <w:p w14:paraId="08D05E43" w14:textId="77777777" w:rsidR="00B61E64" w:rsidRDefault="00186C9F">
            <w:pPr>
              <w:spacing w:line="240" w:lineRule="auto"/>
            </w:pPr>
            <w:r>
              <w:t>ISO 12100, ISO 10218, ISO 13849/IEC 62061 principles, IEC 61508, ISO 6385 and HSE hierarchy of control.</w:t>
            </w:r>
          </w:p>
        </w:tc>
        <w:tc>
          <w:tcPr>
            <w:tcW w:w="2256" w:type="dxa"/>
          </w:tcPr>
          <w:p w14:paraId="3CBCE52A" w14:textId="77777777" w:rsidR="00B61E64" w:rsidRDefault="00186C9F">
            <w:pPr>
              <w:spacing w:line="240" w:lineRule="auto"/>
            </w:pPr>
            <w:r>
              <w:t>Supports the assessment of automated sampling as an engineering control while recognising that automation introduces its own safeguarding, control-system and maintenance requirements.</w:t>
            </w:r>
          </w:p>
        </w:tc>
        <w:tc>
          <w:tcPr>
            <w:tcW w:w="2256" w:type="dxa"/>
          </w:tcPr>
          <w:p w14:paraId="35B05845" w14:textId="77777777" w:rsidR="00B61E64" w:rsidRDefault="00186C9F">
            <w:pPr>
              <w:spacing w:line="240" w:lineRule="auto"/>
            </w:pPr>
            <w:r>
              <w:t>Sections 2.6, 3.5, 5.3, 6.2-6.3</w:t>
            </w:r>
          </w:p>
        </w:tc>
      </w:tr>
      <w:tr w:rsidR="00B61E64" w14:paraId="4856852B" w14:textId="77777777">
        <w:trPr>
          <w:jc w:val="center"/>
        </w:trPr>
        <w:tc>
          <w:tcPr>
            <w:tcW w:w="2256" w:type="dxa"/>
          </w:tcPr>
          <w:p w14:paraId="64799A54" w14:textId="77777777" w:rsidR="00B61E64" w:rsidRDefault="00186C9F">
            <w:pPr>
              <w:spacing w:line="240" w:lineRule="auto"/>
            </w:pPr>
            <w:r>
              <w:t>Assess Project Invictus source data including robot layout, probe geometry, utility requirements and transport assumptions</w:t>
            </w:r>
          </w:p>
        </w:tc>
        <w:tc>
          <w:tcPr>
            <w:tcW w:w="2256" w:type="dxa"/>
          </w:tcPr>
          <w:p w14:paraId="282287F8" w14:textId="77777777" w:rsidR="00B61E64" w:rsidRDefault="00186C9F">
            <w:pPr>
              <w:spacing w:line="240" w:lineRule="auto"/>
            </w:pPr>
            <w:r>
              <w:t>Tenova/Polytec layout, utility/TOP drawing, network layout, sampling configuration drawing, Heraeus Electro-Nite probe drawings/images and Telelift correspondence.</w:t>
            </w:r>
          </w:p>
        </w:tc>
        <w:tc>
          <w:tcPr>
            <w:tcW w:w="2256" w:type="dxa"/>
          </w:tcPr>
          <w:p w14:paraId="4FC70DCF" w14:textId="77777777" w:rsidR="00B61E64" w:rsidRDefault="00186C9F">
            <w:pPr>
              <w:spacing w:line="240" w:lineRule="auto"/>
            </w:pPr>
            <w:r>
              <w:t>Provides the industrial evidence base for assessing reach, utilities, control interfaces, probe handling, transport load and thermal/environmental constraints.</w:t>
            </w:r>
          </w:p>
        </w:tc>
        <w:tc>
          <w:tcPr>
            <w:tcW w:w="2256" w:type="dxa"/>
          </w:tcPr>
          <w:p w14:paraId="22699A70" w14:textId="77777777" w:rsidR="00B61E64" w:rsidRDefault="00186C9F">
            <w:pPr>
              <w:spacing w:line="240" w:lineRule="auto"/>
            </w:pPr>
            <w:r>
              <w:t>Sections 3.2, 4.1-4.6</w:t>
            </w:r>
          </w:p>
        </w:tc>
      </w:tr>
      <w:tr w:rsidR="00B61E64" w14:paraId="2B75062B" w14:textId="77777777">
        <w:trPr>
          <w:jc w:val="center"/>
        </w:trPr>
        <w:tc>
          <w:tcPr>
            <w:tcW w:w="2256" w:type="dxa"/>
          </w:tcPr>
          <w:p w14:paraId="3A3F8B3A" w14:textId="77777777" w:rsidR="00B61E64" w:rsidRDefault="00186C9F">
            <w:pPr>
              <w:spacing w:line="240" w:lineRule="auto"/>
            </w:pPr>
            <w:r>
              <w:t>Develop a weighted optioneering method</w:t>
            </w:r>
          </w:p>
        </w:tc>
        <w:tc>
          <w:tcPr>
            <w:tcW w:w="2256" w:type="dxa"/>
          </w:tcPr>
          <w:p w14:paraId="32CD0A49" w14:textId="77777777" w:rsidR="00B61E64" w:rsidRDefault="00186C9F">
            <w:pPr>
              <w:spacing w:line="240" w:lineRule="auto"/>
            </w:pPr>
            <w:r>
              <w:t>Seven weighted decision criteria: safety, sampling quality, maturity, integration, turnaround value, maintainability/resilience and cost/programme certainty.</w:t>
            </w:r>
          </w:p>
        </w:tc>
        <w:tc>
          <w:tcPr>
            <w:tcW w:w="2256" w:type="dxa"/>
          </w:tcPr>
          <w:p w14:paraId="7F1060AB" w14:textId="77777777" w:rsidR="00B61E64" w:rsidRDefault="00186C9F">
            <w:pPr>
              <w:spacing w:line="240" w:lineRule="auto"/>
            </w:pPr>
            <w:r>
              <w:t>Creates an auditable decision framework and avoids relying on an unsupported preferred option.</w:t>
            </w:r>
          </w:p>
        </w:tc>
        <w:tc>
          <w:tcPr>
            <w:tcW w:w="2256" w:type="dxa"/>
          </w:tcPr>
          <w:p w14:paraId="32596B45" w14:textId="77777777" w:rsidR="00B61E64" w:rsidRDefault="00186C9F">
            <w:pPr>
              <w:spacing w:line="240" w:lineRule="auto"/>
            </w:pPr>
            <w:r>
              <w:t>Sections 3.3-3.4, 5.1-5.2, Appendix A</w:t>
            </w:r>
          </w:p>
        </w:tc>
      </w:tr>
      <w:tr w:rsidR="00B61E64" w:rsidRPr="00A01586" w14:paraId="042C1507" w14:textId="77777777">
        <w:trPr>
          <w:jc w:val="center"/>
        </w:trPr>
        <w:tc>
          <w:tcPr>
            <w:tcW w:w="2256" w:type="dxa"/>
          </w:tcPr>
          <w:p w14:paraId="437A59C4" w14:textId="77777777" w:rsidR="00B61E64" w:rsidRDefault="00186C9F">
            <w:pPr>
              <w:spacing w:line="240" w:lineRule="auto"/>
            </w:pPr>
            <w:r>
              <w:t>Compare technically plausible sampling and transport options</w:t>
            </w:r>
          </w:p>
        </w:tc>
        <w:tc>
          <w:tcPr>
            <w:tcW w:w="2256" w:type="dxa"/>
          </w:tcPr>
          <w:p w14:paraId="47D28C3E" w14:textId="77777777" w:rsidR="00B61E64" w:rsidRDefault="00186C9F">
            <w:pPr>
              <w:spacing w:line="240" w:lineRule="auto"/>
            </w:pPr>
            <w:r>
              <w:t>Six-option assessment, weighted matrix, hazard comparison and scoring rationale.</w:t>
            </w:r>
          </w:p>
        </w:tc>
        <w:tc>
          <w:tcPr>
            <w:tcW w:w="2256" w:type="dxa"/>
          </w:tcPr>
          <w:p w14:paraId="735B10C5" w14:textId="77777777" w:rsidR="00B61E64" w:rsidRDefault="00186C9F">
            <w:pPr>
              <w:spacing w:line="240" w:lineRule="auto"/>
            </w:pPr>
            <w:r>
              <w:t>Shows why the staged slag option and robotic steel sampling baseline score higher than manual-only or fully automated EAF slag sampling at day one.</w:t>
            </w:r>
          </w:p>
        </w:tc>
        <w:tc>
          <w:tcPr>
            <w:tcW w:w="2256" w:type="dxa"/>
          </w:tcPr>
          <w:p w14:paraId="079F4523" w14:textId="77777777" w:rsidR="00B61E64" w:rsidRPr="00054777" w:rsidRDefault="00186C9F">
            <w:pPr>
              <w:spacing w:line="240" w:lineRule="auto"/>
              <w:rPr>
                <w:lang w:val="fr-FR"/>
              </w:rPr>
            </w:pPr>
            <w:r>
              <w:rPr>
                <w:lang w:val="fr-FR"/>
              </w:rPr>
              <w:t>Sections 5.1-5.6, Appendix A, Appendix G</w:t>
            </w:r>
          </w:p>
        </w:tc>
      </w:tr>
      <w:tr w:rsidR="00B61E64" w:rsidRPr="00A01586" w14:paraId="77D31919" w14:textId="77777777">
        <w:trPr>
          <w:jc w:val="center"/>
        </w:trPr>
        <w:tc>
          <w:tcPr>
            <w:tcW w:w="2256" w:type="dxa"/>
          </w:tcPr>
          <w:p w14:paraId="2A2F61B2" w14:textId="77777777" w:rsidR="00B61E64" w:rsidRDefault="00186C9F">
            <w:pPr>
              <w:spacing w:line="240" w:lineRule="auto"/>
            </w:pPr>
            <w:r>
              <w:t>Propose an implementation strategy with further validation requirements</w:t>
            </w:r>
          </w:p>
        </w:tc>
        <w:tc>
          <w:tcPr>
            <w:tcW w:w="2256" w:type="dxa"/>
          </w:tcPr>
          <w:p w14:paraId="76C3AD52" w14:textId="77777777" w:rsidR="00B61E64" w:rsidRDefault="00186C9F">
            <w:pPr>
              <w:spacing w:line="240" w:lineRule="auto"/>
            </w:pPr>
            <w:r>
              <w:t>Implementation roadmap, commissioning metrics, assumptions register and validation plan.</w:t>
            </w:r>
          </w:p>
        </w:tc>
        <w:tc>
          <w:tcPr>
            <w:tcW w:w="2256" w:type="dxa"/>
          </w:tcPr>
          <w:p w14:paraId="4BDD23D1" w14:textId="77777777" w:rsidR="00B61E64" w:rsidRDefault="00186C9F">
            <w:pPr>
              <w:spacing w:line="240" w:lineRule="auto"/>
            </w:pPr>
            <w:r>
              <w:t>Links the recommendation to evidence gaps and defines how the decision would be validated before production reliance.</w:t>
            </w:r>
          </w:p>
        </w:tc>
        <w:tc>
          <w:tcPr>
            <w:tcW w:w="2256" w:type="dxa"/>
          </w:tcPr>
          <w:p w14:paraId="7DB3DA85" w14:textId="77777777" w:rsidR="00B61E64" w:rsidRPr="00054777" w:rsidRDefault="00186C9F">
            <w:pPr>
              <w:spacing w:line="240" w:lineRule="auto"/>
              <w:rPr>
                <w:lang w:val="fr-FR"/>
              </w:rPr>
            </w:pPr>
            <w:r>
              <w:rPr>
                <w:lang w:val="fr-FR"/>
              </w:rPr>
              <w:t>Sections 6.7-6.8, 8, Appendix C, Appendix F, Appendix H</w:t>
            </w:r>
          </w:p>
        </w:tc>
      </w:tr>
    </w:tbl>
    <w:p w14:paraId="549EF76F" w14:textId="77777777" w:rsidR="00054777" w:rsidRPr="00706552" w:rsidRDefault="00054777">
      <w:pPr>
        <w:rPr>
          <w:lang w:val="fr-FR"/>
        </w:rPr>
      </w:pPr>
    </w:p>
    <w:p w14:paraId="7187354A" w14:textId="77777777" w:rsidR="00B61E64" w:rsidRDefault="00186C9F">
      <w:pPr>
        <w:pStyle w:val="Heading2"/>
      </w:pPr>
      <w:bookmarkStart w:id="172" w:name="_Toc234060442"/>
      <w:bookmarkStart w:id="173" w:name="_Toc234699563"/>
      <w:r>
        <w:lastRenderedPageBreak/>
        <w:t>Appendix E: Source Review Log</w:t>
      </w:r>
      <w:bookmarkEnd w:id="172"/>
      <w:bookmarkEnd w:id="173"/>
    </w:p>
    <w:p w14:paraId="6B143B29" w14:textId="77777777" w:rsidR="00B17387" w:rsidRDefault="00186C9F">
      <w:pPr>
        <w:jc w:val="both"/>
      </w:pPr>
      <w:r>
        <w:t>The source review log records the main academic, supplier and project sources used to construct the technical baseline. It also records the limitation of each source so that supplier information, preliminary drawings and author judgement are not treated as stronger evidence than they are.</w:t>
      </w:r>
    </w:p>
    <w:p w14:paraId="022E87AA" w14:textId="77777777" w:rsidR="00CE3E6A" w:rsidRDefault="00CE3E6A" w:rsidP="00CE3E6A">
      <w:pPr>
        <w:pStyle w:val="Caption"/>
        <w:keepNext/>
        <w:jc w:val="center"/>
      </w:pPr>
      <w:bookmarkStart w:id="174" w:name="_Toc234530041"/>
      <w:r>
        <w:t xml:space="preserve">Table </w:t>
      </w:r>
      <w:fldSimple w:instr=" SEQ Table \* ARABIC ">
        <w:r>
          <w:rPr>
            <w:noProof/>
          </w:rPr>
          <w:t>13</w:t>
        </w:r>
      </w:fldSimple>
      <w:r>
        <w:t>: Source review log</w:t>
      </w:r>
      <w:bookmarkEnd w:id="174"/>
    </w:p>
    <w:tbl>
      <w:tblPr>
        <w:tblStyle w:val="TableGrid"/>
        <w:tblW w:w="0" w:type="auto"/>
        <w:jc w:val="center"/>
        <w:tblLook w:val="04A0" w:firstRow="1" w:lastRow="0" w:firstColumn="1" w:lastColumn="0" w:noHBand="0" w:noVBand="1"/>
      </w:tblPr>
      <w:tblGrid>
        <w:gridCol w:w="3730"/>
        <w:gridCol w:w="1997"/>
        <w:gridCol w:w="1625"/>
        <w:gridCol w:w="1664"/>
      </w:tblGrid>
      <w:tr w:rsidR="00B61E64" w14:paraId="6BFDDD7B" w14:textId="77777777" w:rsidTr="00E60D8E">
        <w:trPr>
          <w:jc w:val="center"/>
        </w:trPr>
        <w:tc>
          <w:tcPr>
            <w:tcW w:w="2256" w:type="dxa"/>
            <w:shd w:val="clear" w:color="auto" w:fill="D9D9D9" w:themeFill="background1" w:themeFillShade="D9"/>
          </w:tcPr>
          <w:p w14:paraId="4E172A4C" w14:textId="77777777" w:rsidR="00B61E64" w:rsidRPr="00E60D8E" w:rsidRDefault="00186C9F" w:rsidP="00E60D8E">
            <w:pPr>
              <w:spacing w:line="240" w:lineRule="auto"/>
              <w:jc w:val="center"/>
              <w:rPr>
                <w:b/>
                <w:bCs/>
              </w:rPr>
            </w:pPr>
            <w:r>
              <w:rPr>
                <w:b/>
                <w:bCs/>
              </w:rPr>
              <w:t>Source reviewed</w:t>
            </w:r>
          </w:p>
        </w:tc>
        <w:tc>
          <w:tcPr>
            <w:tcW w:w="2256" w:type="dxa"/>
            <w:shd w:val="clear" w:color="auto" w:fill="D9D9D9" w:themeFill="background1" w:themeFillShade="D9"/>
          </w:tcPr>
          <w:p w14:paraId="69BE7F86" w14:textId="77777777" w:rsidR="00B61E64" w:rsidRPr="00E60D8E" w:rsidRDefault="00186C9F" w:rsidP="00E60D8E">
            <w:pPr>
              <w:spacing w:line="240" w:lineRule="auto"/>
              <w:jc w:val="center"/>
              <w:rPr>
                <w:b/>
                <w:bCs/>
              </w:rPr>
            </w:pPr>
            <w:r>
              <w:rPr>
                <w:b/>
                <w:bCs/>
              </w:rPr>
              <w:t>Key information extracted</w:t>
            </w:r>
          </w:p>
        </w:tc>
        <w:tc>
          <w:tcPr>
            <w:tcW w:w="2256" w:type="dxa"/>
            <w:shd w:val="clear" w:color="auto" w:fill="D9D9D9" w:themeFill="background1" w:themeFillShade="D9"/>
          </w:tcPr>
          <w:p w14:paraId="4C2F2753" w14:textId="77777777" w:rsidR="00B61E64" w:rsidRPr="00E60D8E" w:rsidRDefault="00186C9F" w:rsidP="00E60D8E">
            <w:pPr>
              <w:spacing w:line="240" w:lineRule="auto"/>
              <w:jc w:val="center"/>
              <w:rPr>
                <w:b/>
                <w:bCs/>
              </w:rPr>
            </w:pPr>
            <w:r>
              <w:rPr>
                <w:b/>
                <w:bCs/>
              </w:rPr>
              <w:t>Use in project</w:t>
            </w:r>
          </w:p>
        </w:tc>
        <w:tc>
          <w:tcPr>
            <w:tcW w:w="2256" w:type="dxa"/>
            <w:shd w:val="clear" w:color="auto" w:fill="D9D9D9" w:themeFill="background1" w:themeFillShade="D9"/>
          </w:tcPr>
          <w:p w14:paraId="4804675B" w14:textId="77777777" w:rsidR="00B61E64" w:rsidRPr="00E60D8E" w:rsidRDefault="00186C9F" w:rsidP="00E60D8E">
            <w:pPr>
              <w:spacing w:line="240" w:lineRule="auto"/>
              <w:jc w:val="center"/>
              <w:rPr>
                <w:b/>
                <w:bCs/>
              </w:rPr>
            </w:pPr>
            <w:r>
              <w:rPr>
                <w:b/>
                <w:bCs/>
              </w:rPr>
              <w:t>Confidence and limitation</w:t>
            </w:r>
          </w:p>
        </w:tc>
      </w:tr>
      <w:tr w:rsidR="00B61E64" w14:paraId="05D28938" w14:textId="77777777">
        <w:trPr>
          <w:jc w:val="center"/>
        </w:trPr>
        <w:tc>
          <w:tcPr>
            <w:tcW w:w="2256" w:type="dxa"/>
          </w:tcPr>
          <w:p w14:paraId="0526A635" w14:textId="77777777" w:rsidR="00B61E64" w:rsidRDefault="00186C9F">
            <w:pPr>
              <w:spacing w:line="240" w:lineRule="auto"/>
            </w:pPr>
            <w:r>
              <w:t>Interim viva presentation, 16 December 2025</w:t>
            </w:r>
          </w:p>
        </w:tc>
        <w:tc>
          <w:tcPr>
            <w:tcW w:w="2256" w:type="dxa"/>
          </w:tcPr>
          <w:p w14:paraId="36C2EFBC" w14:textId="77777777" w:rsidR="00B61E64" w:rsidRDefault="00186C9F">
            <w:pPr>
              <w:spacing w:line="240" w:lineRule="auto"/>
            </w:pPr>
            <w:r>
              <w:t>Project significance, objectives, benefits, risks and initial plan.</w:t>
            </w:r>
          </w:p>
        </w:tc>
        <w:tc>
          <w:tcPr>
            <w:tcW w:w="2256" w:type="dxa"/>
          </w:tcPr>
          <w:p w14:paraId="6F73C6C7" w14:textId="77777777" w:rsidR="00B61E64" w:rsidRDefault="00186C9F">
            <w:pPr>
              <w:spacing w:line="240" w:lineRule="auto"/>
            </w:pPr>
            <w:r>
              <w:t>Confirmed the industrial problem: automated EAF meltshop requires reliable slag/steel sampling; manual methods create exposure and variability.</w:t>
            </w:r>
          </w:p>
        </w:tc>
        <w:tc>
          <w:tcPr>
            <w:tcW w:w="2256" w:type="dxa"/>
          </w:tcPr>
          <w:p w14:paraId="479DA512" w14:textId="77777777" w:rsidR="00B61E64" w:rsidRDefault="00186C9F">
            <w:pPr>
              <w:spacing w:line="240" w:lineRule="auto"/>
            </w:pPr>
            <w:r>
              <w:t>High relevance; produced by the author as interim project evidence. It is not independent external validation.</w:t>
            </w:r>
          </w:p>
        </w:tc>
      </w:tr>
      <w:tr w:rsidR="00B61E64" w14:paraId="4B9EF8EA" w14:textId="77777777">
        <w:trPr>
          <w:jc w:val="center"/>
        </w:trPr>
        <w:tc>
          <w:tcPr>
            <w:tcW w:w="2256" w:type="dxa"/>
          </w:tcPr>
          <w:p w14:paraId="78E6EF79" w14:textId="77777777" w:rsidR="00B61E64" w:rsidRDefault="00186C9F">
            <w:pPr>
              <w:spacing w:line="240" w:lineRule="auto"/>
            </w:pPr>
            <w:r>
              <w:t>BM Group Polytec PolySAMPLE EAF information and reference list</w:t>
            </w:r>
          </w:p>
        </w:tc>
        <w:tc>
          <w:tcPr>
            <w:tcW w:w="2256" w:type="dxa"/>
          </w:tcPr>
          <w:p w14:paraId="4E7DF5C2" w14:textId="77777777" w:rsidR="00B61E64" w:rsidRDefault="00186C9F">
            <w:pPr>
              <w:spacing w:line="240" w:lineRule="auto"/>
            </w:pPr>
            <w:r>
              <w:t>Automatic EAF sampling/measurement functions, cartridge loading, tool handling and published installation references.</w:t>
            </w:r>
          </w:p>
        </w:tc>
        <w:tc>
          <w:tcPr>
            <w:tcW w:w="2256" w:type="dxa"/>
          </w:tcPr>
          <w:p w14:paraId="5149F69B" w14:textId="77777777" w:rsidR="00B61E64" w:rsidRDefault="00186C9F">
            <w:pPr>
              <w:spacing w:line="240" w:lineRule="auto"/>
            </w:pPr>
            <w:r>
              <w:t>Supported maturity assessment for robotic steel sampling and temperature measurement.</w:t>
            </w:r>
          </w:p>
        </w:tc>
        <w:tc>
          <w:tcPr>
            <w:tcW w:w="2256" w:type="dxa"/>
          </w:tcPr>
          <w:p w14:paraId="1D867E10" w14:textId="77777777" w:rsidR="00B61E64" w:rsidRDefault="00186C9F">
            <w:pPr>
              <w:spacing w:line="240" w:lineRule="auto"/>
            </w:pPr>
            <w:r>
              <w:t>Useful supplier evidence; should be treated as supplier information rather than peer-reviewed proof of Project Invictus performance.</w:t>
            </w:r>
          </w:p>
        </w:tc>
      </w:tr>
      <w:tr w:rsidR="00B61E64" w14:paraId="52546684" w14:textId="77777777">
        <w:trPr>
          <w:jc w:val="center"/>
        </w:trPr>
        <w:tc>
          <w:tcPr>
            <w:tcW w:w="2256" w:type="dxa"/>
          </w:tcPr>
          <w:p w14:paraId="2CBFFF54" w14:textId="77777777" w:rsidR="00B61E64" w:rsidRDefault="00186C9F">
            <w:pPr>
              <w:spacing w:line="240" w:lineRule="auto"/>
            </w:pPr>
            <w:r>
              <w:t>Tenova/Polytec EAF temperature and sampling robot general layout, 3701.00025.TEN.201004.ME.DRG.DD.00193, Rev.03, 07/11/2025</w:t>
            </w:r>
          </w:p>
        </w:tc>
        <w:tc>
          <w:tcPr>
            <w:tcW w:w="2256" w:type="dxa"/>
          </w:tcPr>
          <w:p w14:paraId="5CB2F695" w14:textId="77777777" w:rsidR="00B61E64" w:rsidRDefault="00186C9F">
            <w:pPr>
              <w:spacing w:line="240" w:lineRule="auto"/>
            </w:pPr>
            <w:r>
              <w:t>ABB IRB 8700, sample lance, PolyEYE lance, tool rack, cartridge warehouse, chiller, probe cut, robot/furnace relationship and equipment masses.</w:t>
            </w:r>
          </w:p>
        </w:tc>
        <w:tc>
          <w:tcPr>
            <w:tcW w:w="2256" w:type="dxa"/>
          </w:tcPr>
          <w:p w14:paraId="58AA8D64" w14:textId="77777777" w:rsidR="00B61E64" w:rsidRDefault="00186C9F">
            <w:pPr>
              <w:spacing w:line="240" w:lineRule="auto"/>
            </w:pPr>
            <w:r>
              <w:t>Defined the existing robotic baseline and the spatial/mechanical integration constraints.</w:t>
            </w:r>
          </w:p>
        </w:tc>
        <w:tc>
          <w:tcPr>
            <w:tcW w:w="2256" w:type="dxa"/>
          </w:tcPr>
          <w:p w14:paraId="21FF1850" w14:textId="77777777" w:rsidR="00B61E64" w:rsidRDefault="00186C9F">
            <w:pPr>
              <w:spacing w:line="240" w:lineRule="auto"/>
            </w:pPr>
            <w:r>
              <w:t>Strong project-specific source; subject to design change through detailed engineering.</w:t>
            </w:r>
          </w:p>
        </w:tc>
      </w:tr>
      <w:tr w:rsidR="00B61E64" w14:paraId="0749064B" w14:textId="77777777">
        <w:trPr>
          <w:jc w:val="center"/>
        </w:trPr>
        <w:tc>
          <w:tcPr>
            <w:tcW w:w="2256" w:type="dxa"/>
          </w:tcPr>
          <w:p w14:paraId="0AEDAB4D" w14:textId="77777777" w:rsidR="00B61E64" w:rsidRDefault="00186C9F">
            <w:pPr>
              <w:spacing w:line="240" w:lineRule="auto"/>
            </w:pPr>
            <w:r>
              <w:t>Tenova robot utility/TOP layout, 3701.00025.TEN.201004.ME.DRG.DD.00869, Rev.03, 07/11/2025</w:t>
            </w:r>
          </w:p>
        </w:tc>
        <w:tc>
          <w:tcPr>
            <w:tcW w:w="2256" w:type="dxa"/>
          </w:tcPr>
          <w:p w14:paraId="5AD1582D" w14:textId="77777777" w:rsidR="00B61E64" w:rsidRDefault="00186C9F">
            <w:pPr>
              <w:spacing w:line="240" w:lineRule="auto"/>
            </w:pPr>
            <w:r>
              <w:t xml:space="preserve">Electrical supply, pneumatic requirements, cooling water, </w:t>
            </w:r>
            <w:r>
              <w:lastRenderedPageBreak/>
              <w:t>controller distance, fixation plate and working/emergency robot loads.</w:t>
            </w:r>
          </w:p>
        </w:tc>
        <w:tc>
          <w:tcPr>
            <w:tcW w:w="2256" w:type="dxa"/>
          </w:tcPr>
          <w:p w14:paraId="2C30A0D3" w14:textId="77777777" w:rsidR="00B61E64" w:rsidRDefault="00186C9F">
            <w:pPr>
              <w:spacing w:line="240" w:lineRule="auto"/>
            </w:pPr>
            <w:r>
              <w:lastRenderedPageBreak/>
              <w:t xml:space="preserve">Supported integration assessment and showed </w:t>
            </w:r>
            <w:r>
              <w:lastRenderedPageBreak/>
              <w:t>why additional tools affect foundation, services and safety interfaces.</w:t>
            </w:r>
          </w:p>
        </w:tc>
        <w:tc>
          <w:tcPr>
            <w:tcW w:w="2256" w:type="dxa"/>
          </w:tcPr>
          <w:p w14:paraId="60967666" w14:textId="77777777" w:rsidR="00B61E64" w:rsidRDefault="00186C9F">
            <w:pPr>
              <w:spacing w:line="240" w:lineRule="auto"/>
            </w:pPr>
            <w:r>
              <w:lastRenderedPageBreak/>
              <w:t xml:space="preserve">Strong project-specific source; detailed </w:t>
            </w:r>
            <w:r>
              <w:lastRenderedPageBreak/>
              <w:t>design validation still required.</w:t>
            </w:r>
          </w:p>
        </w:tc>
      </w:tr>
      <w:tr w:rsidR="00B61E64" w14:paraId="5602C645" w14:textId="77777777">
        <w:trPr>
          <w:jc w:val="center"/>
        </w:trPr>
        <w:tc>
          <w:tcPr>
            <w:tcW w:w="2256" w:type="dxa"/>
          </w:tcPr>
          <w:p w14:paraId="1783198E" w14:textId="77777777" w:rsidR="00B61E64" w:rsidRDefault="00186C9F">
            <w:pPr>
              <w:spacing w:line="240" w:lineRule="auto"/>
            </w:pPr>
            <w:r>
              <w:t>Tenova general network layout, 3701.00025.TEN.201004.EL.DDO.DI.00019, Rev.01, 18/07/2025</w:t>
            </w:r>
          </w:p>
        </w:tc>
        <w:tc>
          <w:tcPr>
            <w:tcW w:w="2256" w:type="dxa"/>
          </w:tcPr>
          <w:p w14:paraId="1B7819CE" w14:textId="77777777" w:rsidR="00B61E64" w:rsidRDefault="00186C9F">
            <w:pPr>
              <w:spacing w:line="240" w:lineRule="auto"/>
            </w:pPr>
            <w:r>
              <w:t>PLC, remote I/O, PROFIsafe, HMI, CCTV, sensor laboratory and robot controller communication architecture.</w:t>
            </w:r>
          </w:p>
        </w:tc>
        <w:tc>
          <w:tcPr>
            <w:tcW w:w="2256" w:type="dxa"/>
          </w:tcPr>
          <w:p w14:paraId="6982B6AB" w14:textId="77777777" w:rsidR="00B61E64" w:rsidRDefault="00186C9F">
            <w:pPr>
              <w:spacing w:line="240" w:lineRule="auto"/>
            </w:pPr>
            <w:r>
              <w:t>Supported discussion of safety-related controls, interfaces and integration complexity.</w:t>
            </w:r>
          </w:p>
        </w:tc>
        <w:tc>
          <w:tcPr>
            <w:tcW w:w="2256" w:type="dxa"/>
          </w:tcPr>
          <w:p w14:paraId="56A6BF39" w14:textId="77777777" w:rsidR="00B61E64" w:rsidRDefault="00186C9F">
            <w:pPr>
              <w:spacing w:line="240" w:lineRule="auto"/>
            </w:pPr>
            <w:r>
              <w:t>Good evidence of control architecture; does not by itself validate safety function performance.</w:t>
            </w:r>
          </w:p>
        </w:tc>
      </w:tr>
      <w:tr w:rsidR="00B61E64" w14:paraId="66D71034" w14:textId="77777777">
        <w:trPr>
          <w:jc w:val="center"/>
        </w:trPr>
        <w:tc>
          <w:tcPr>
            <w:tcW w:w="2256" w:type="dxa"/>
          </w:tcPr>
          <w:p w14:paraId="437D39BB" w14:textId="77777777" w:rsidR="00B61E64" w:rsidRDefault="00186C9F">
            <w:pPr>
              <w:spacing w:line="240" w:lineRule="auto"/>
            </w:pPr>
            <w:r>
              <w:t>Tenova sampling configuration drawing, 3701.00025.TEN.201004.ME.DRG.DD.00870, Rev.03, 07/11/2025</w:t>
            </w:r>
          </w:p>
        </w:tc>
        <w:tc>
          <w:tcPr>
            <w:tcW w:w="2256" w:type="dxa"/>
          </w:tcPr>
          <w:p w14:paraId="361C8DA8" w14:textId="77777777" w:rsidR="00B61E64" w:rsidRDefault="00186C9F">
            <w:pPr>
              <w:spacing w:line="240" w:lineRule="auto"/>
            </w:pPr>
            <w:r>
              <w:t>Furnace positions, bath levels, hot heel and picking point geometry.</w:t>
            </w:r>
          </w:p>
        </w:tc>
        <w:tc>
          <w:tcPr>
            <w:tcW w:w="2256" w:type="dxa"/>
          </w:tcPr>
          <w:p w14:paraId="00732DE4" w14:textId="77777777" w:rsidR="00B61E64" w:rsidRDefault="00186C9F">
            <w:pPr>
              <w:spacing w:line="240" w:lineRule="auto"/>
            </w:pPr>
            <w:r>
              <w:t>Supported reach/geometric feasibility discussion and the higher uncertainty associated with vertical slag sampling.</w:t>
            </w:r>
          </w:p>
        </w:tc>
        <w:tc>
          <w:tcPr>
            <w:tcW w:w="2256" w:type="dxa"/>
          </w:tcPr>
          <w:p w14:paraId="5DB43EB8" w14:textId="77777777" w:rsidR="00B61E64" w:rsidRDefault="00186C9F">
            <w:pPr>
              <w:spacing w:line="240" w:lineRule="auto"/>
            </w:pPr>
            <w:r>
              <w:t>Project-specific drawing; slag layer variability still requires operational validation.</w:t>
            </w:r>
          </w:p>
        </w:tc>
      </w:tr>
      <w:tr w:rsidR="00B61E64" w14:paraId="320BB58F" w14:textId="77777777">
        <w:trPr>
          <w:jc w:val="center"/>
        </w:trPr>
        <w:tc>
          <w:tcPr>
            <w:tcW w:w="2256" w:type="dxa"/>
          </w:tcPr>
          <w:p w14:paraId="63958DC1" w14:textId="77777777" w:rsidR="00B61E64" w:rsidRDefault="00186C9F">
            <w:pPr>
              <w:spacing w:line="240" w:lineRule="auto"/>
            </w:pPr>
            <w:r>
              <w:t>Heraeus Electro-Nite CELOX SLAC probe drawing, 65319610, 01/06/2023</w:t>
            </w:r>
          </w:p>
        </w:tc>
        <w:tc>
          <w:tcPr>
            <w:tcW w:w="2256" w:type="dxa"/>
          </w:tcPr>
          <w:p w14:paraId="7B6C1068" w14:textId="77777777" w:rsidR="00B61E64" w:rsidRDefault="00186C9F">
            <w:pPr>
              <w:spacing w:line="240" w:lineRule="auto"/>
            </w:pPr>
            <w:r>
              <w:t>Probe length, diameters and minimum pop-out force.</w:t>
            </w:r>
          </w:p>
        </w:tc>
        <w:tc>
          <w:tcPr>
            <w:tcW w:w="2256" w:type="dxa"/>
          </w:tcPr>
          <w:p w14:paraId="7BBE6A2D" w14:textId="77777777" w:rsidR="00B61E64" w:rsidRDefault="00186C9F">
            <w:pPr>
              <w:spacing w:line="240" w:lineRule="auto"/>
            </w:pPr>
            <w:r>
              <w:t>Supported probe-handling and transport assessment.</w:t>
            </w:r>
          </w:p>
        </w:tc>
        <w:tc>
          <w:tcPr>
            <w:tcW w:w="2256" w:type="dxa"/>
          </w:tcPr>
          <w:p w14:paraId="52FC3F0D" w14:textId="77777777" w:rsidR="00B61E64" w:rsidRDefault="00186C9F">
            <w:pPr>
              <w:spacing w:line="240" w:lineRule="auto"/>
            </w:pPr>
            <w:r>
              <w:t>Good product drawing; does not define hot post-sampling handling behaviour.</w:t>
            </w:r>
          </w:p>
        </w:tc>
      </w:tr>
      <w:tr w:rsidR="00B61E64" w14:paraId="4AF025E8" w14:textId="77777777">
        <w:trPr>
          <w:jc w:val="center"/>
        </w:trPr>
        <w:tc>
          <w:tcPr>
            <w:tcW w:w="2256" w:type="dxa"/>
          </w:tcPr>
          <w:p w14:paraId="0640EEA4" w14:textId="77777777" w:rsidR="00B61E64" w:rsidRDefault="00186C9F">
            <w:pPr>
              <w:spacing w:line="240" w:lineRule="auto"/>
            </w:pPr>
            <w:r>
              <w:t>Heraeus Electro-Nite EAF slag probe drawing/image, 2025</w:t>
            </w:r>
          </w:p>
        </w:tc>
        <w:tc>
          <w:tcPr>
            <w:tcW w:w="2256" w:type="dxa"/>
          </w:tcPr>
          <w:p w14:paraId="040FCC32" w14:textId="77777777" w:rsidR="00B61E64" w:rsidRDefault="00186C9F">
            <w:pPr>
              <w:spacing w:line="240" w:lineRule="auto"/>
            </w:pPr>
            <w:r>
              <w:t>3-in-1 slag sampler geometry with drip rings and overall dimensions.</w:t>
            </w:r>
          </w:p>
        </w:tc>
        <w:tc>
          <w:tcPr>
            <w:tcW w:w="2256" w:type="dxa"/>
          </w:tcPr>
          <w:p w14:paraId="6D1939A2" w14:textId="77777777" w:rsidR="00B61E64" w:rsidRDefault="00186C9F">
            <w:pPr>
              <w:spacing w:line="240" w:lineRule="auto"/>
            </w:pPr>
            <w:r>
              <w:t>Supported assessment of slag probe handling, gripping and transport complexity.</w:t>
            </w:r>
          </w:p>
        </w:tc>
        <w:tc>
          <w:tcPr>
            <w:tcW w:w="2256" w:type="dxa"/>
          </w:tcPr>
          <w:p w14:paraId="7BC4E0C7" w14:textId="77777777" w:rsidR="00B61E64" w:rsidRDefault="00186C9F">
            <w:pPr>
              <w:spacing w:line="240" w:lineRule="auto"/>
            </w:pPr>
            <w:r>
              <w:t>Useful geometry evidence; sample representativeness still unvalidated.</w:t>
            </w:r>
          </w:p>
        </w:tc>
      </w:tr>
      <w:tr w:rsidR="00B61E64" w14:paraId="37A6E7AB" w14:textId="77777777">
        <w:trPr>
          <w:jc w:val="center"/>
        </w:trPr>
        <w:tc>
          <w:tcPr>
            <w:tcW w:w="2256" w:type="dxa"/>
          </w:tcPr>
          <w:p w14:paraId="79EB199B" w14:textId="77777777" w:rsidR="00B61E64" w:rsidRPr="00054777" w:rsidRDefault="00186C9F">
            <w:pPr>
              <w:spacing w:line="240" w:lineRule="auto"/>
              <w:rPr>
                <w:lang w:val="fr-FR"/>
              </w:rPr>
            </w:pPr>
            <w:r>
              <w:rPr>
                <w:lang w:val="fr-FR"/>
              </w:rPr>
              <w:t>Hydris probe image/dimensional information, 2025</w:t>
            </w:r>
          </w:p>
        </w:tc>
        <w:tc>
          <w:tcPr>
            <w:tcW w:w="2256" w:type="dxa"/>
          </w:tcPr>
          <w:p w14:paraId="4B4257D4" w14:textId="77777777" w:rsidR="00B61E64" w:rsidRDefault="00186C9F">
            <w:pPr>
              <w:spacing w:line="240" w:lineRule="auto"/>
            </w:pPr>
            <w:r>
              <w:t>Annotated probe dimensions for hydrogen measurement equipment.</w:t>
            </w:r>
          </w:p>
        </w:tc>
        <w:tc>
          <w:tcPr>
            <w:tcW w:w="2256" w:type="dxa"/>
          </w:tcPr>
          <w:p w14:paraId="4B3037E8" w14:textId="77777777" w:rsidR="00B61E64" w:rsidRDefault="00186C9F">
            <w:pPr>
              <w:spacing w:line="240" w:lineRule="auto"/>
            </w:pPr>
            <w:r>
              <w:t>Demonstrated that a single transport solution may need to accommodate multiple probe families.</w:t>
            </w:r>
          </w:p>
        </w:tc>
        <w:tc>
          <w:tcPr>
            <w:tcW w:w="2256" w:type="dxa"/>
          </w:tcPr>
          <w:p w14:paraId="13DD9B99" w14:textId="77777777" w:rsidR="00B61E64" w:rsidRDefault="00186C9F">
            <w:pPr>
              <w:spacing w:line="240" w:lineRule="auto"/>
            </w:pPr>
            <w:r>
              <w:t>Useful for dimensional awareness; not a full handling specification.</w:t>
            </w:r>
          </w:p>
        </w:tc>
      </w:tr>
      <w:tr w:rsidR="00B61E64" w14:paraId="47A7F172" w14:textId="77777777">
        <w:trPr>
          <w:jc w:val="center"/>
        </w:trPr>
        <w:tc>
          <w:tcPr>
            <w:tcW w:w="2256" w:type="dxa"/>
          </w:tcPr>
          <w:p w14:paraId="19124F9C" w14:textId="77777777" w:rsidR="00B61E64" w:rsidRDefault="00186C9F">
            <w:pPr>
              <w:spacing w:line="240" w:lineRule="auto"/>
            </w:pPr>
            <w:r>
              <w:t>Telelift correspondence on probe transport, July-August 2025</w:t>
            </w:r>
          </w:p>
        </w:tc>
        <w:tc>
          <w:tcPr>
            <w:tcW w:w="2256" w:type="dxa"/>
          </w:tcPr>
          <w:p w14:paraId="6E84C7E5" w14:textId="77777777" w:rsidR="00B61E64" w:rsidRDefault="00186C9F">
            <w:pPr>
              <w:spacing w:line="240" w:lineRule="auto"/>
            </w:pPr>
            <w:r>
              <w:t xml:space="preserve">Approximate route length, vertical rise, 1 m/s speed assumption, cycle demand, load concerns, maximum operating temperature, dust </w:t>
            </w:r>
            <w:r>
              <w:lastRenderedPageBreak/>
              <w:t>tolerance and mis-sample recovery comments.</w:t>
            </w:r>
          </w:p>
        </w:tc>
        <w:tc>
          <w:tcPr>
            <w:tcW w:w="2256" w:type="dxa"/>
          </w:tcPr>
          <w:p w14:paraId="76F58D2E" w14:textId="77777777" w:rsidR="00B61E64" w:rsidRDefault="00186C9F">
            <w:pPr>
              <w:spacing w:line="240" w:lineRule="auto"/>
            </w:pPr>
            <w:r>
              <w:lastRenderedPageBreak/>
              <w:t>Supported preliminary transport feasibility, capacity calculation and validation requirements.</w:t>
            </w:r>
          </w:p>
        </w:tc>
        <w:tc>
          <w:tcPr>
            <w:tcW w:w="2256" w:type="dxa"/>
          </w:tcPr>
          <w:p w14:paraId="45361A9E" w14:textId="77777777" w:rsidR="00B61E64" w:rsidRDefault="00186C9F">
            <w:pPr>
              <w:spacing w:line="240" w:lineRule="auto"/>
            </w:pPr>
            <w:r>
              <w:t xml:space="preserve">Important supplier </w:t>
            </w:r>
            <w:proofErr w:type="gramStart"/>
            <w:r>
              <w:t>correspondence;</w:t>
            </w:r>
            <w:proofErr w:type="gramEnd"/>
            <w:r>
              <w:t xml:space="preserve"> assumptions require mock-up testing before production reliance.</w:t>
            </w:r>
          </w:p>
        </w:tc>
      </w:tr>
    </w:tbl>
    <w:p w14:paraId="10E67849" w14:textId="77777777" w:rsidR="00B17387" w:rsidRDefault="00B17387"/>
    <w:p w14:paraId="74A14223" w14:textId="77777777" w:rsidR="00054777" w:rsidRDefault="00054777"/>
    <w:p w14:paraId="69732CB4" w14:textId="77777777" w:rsidR="00054777" w:rsidRDefault="00054777"/>
    <w:p w14:paraId="0286D621" w14:textId="77777777" w:rsidR="00054777" w:rsidRDefault="00054777"/>
    <w:p w14:paraId="09D15036" w14:textId="77777777" w:rsidR="00054777" w:rsidRDefault="00054777"/>
    <w:p w14:paraId="3DFEDF24" w14:textId="77777777" w:rsidR="00054777" w:rsidRDefault="00054777"/>
    <w:p w14:paraId="75C34966" w14:textId="77777777" w:rsidR="00054777" w:rsidRDefault="00054777"/>
    <w:p w14:paraId="5FE3BD19" w14:textId="77777777" w:rsidR="00054777" w:rsidRDefault="00054777"/>
    <w:p w14:paraId="3EDA4944" w14:textId="77777777" w:rsidR="00054777" w:rsidRDefault="00054777"/>
    <w:p w14:paraId="57397FBB" w14:textId="77777777" w:rsidR="00054777" w:rsidRDefault="00054777"/>
    <w:p w14:paraId="53E61474" w14:textId="77777777" w:rsidR="00054777" w:rsidRDefault="00054777"/>
    <w:p w14:paraId="3CAB9915" w14:textId="77777777" w:rsidR="00054777" w:rsidRDefault="00054777"/>
    <w:p w14:paraId="1E1C8689" w14:textId="77777777" w:rsidR="00054777" w:rsidRDefault="00054777"/>
    <w:p w14:paraId="4761E952" w14:textId="77777777" w:rsidR="00054777" w:rsidRDefault="00054777"/>
    <w:p w14:paraId="1240C76F" w14:textId="77777777" w:rsidR="00054777" w:rsidRDefault="00054777"/>
    <w:p w14:paraId="5A2F9C3A" w14:textId="77777777" w:rsidR="00054777" w:rsidRDefault="00054777"/>
    <w:p w14:paraId="6F895208" w14:textId="77777777" w:rsidR="00054777" w:rsidRDefault="00054777"/>
    <w:p w14:paraId="021CEB81" w14:textId="77777777" w:rsidR="00054777" w:rsidRDefault="00054777"/>
    <w:p w14:paraId="2A836B3D" w14:textId="77777777" w:rsidR="00054777" w:rsidRDefault="00054777"/>
    <w:p w14:paraId="0EB5BF8F" w14:textId="77777777" w:rsidR="00054777" w:rsidRDefault="00054777"/>
    <w:p w14:paraId="6D82847F" w14:textId="77777777" w:rsidR="00054777" w:rsidRDefault="00054777"/>
    <w:p w14:paraId="4321FB24" w14:textId="77777777" w:rsidR="00054777" w:rsidRDefault="00054777"/>
    <w:p w14:paraId="09AC696D" w14:textId="77777777" w:rsidR="00B61E64" w:rsidRDefault="00186C9F">
      <w:pPr>
        <w:pStyle w:val="Heading2"/>
      </w:pPr>
      <w:bookmarkStart w:id="175" w:name="_Toc234060443"/>
      <w:bookmarkStart w:id="176" w:name="_Toc234699564"/>
      <w:r>
        <w:lastRenderedPageBreak/>
        <w:t>Appendix F: Assumptions and Validation Register</w:t>
      </w:r>
      <w:bookmarkEnd w:id="175"/>
      <w:bookmarkEnd w:id="176"/>
    </w:p>
    <w:p w14:paraId="365529CE" w14:textId="77777777" w:rsidR="00B61E64" w:rsidRDefault="00186C9F">
      <w:pPr>
        <w:jc w:val="both"/>
      </w:pPr>
      <w:r>
        <w:t>The assumptions and validation register converts the main uncertainties into explicit validation actions. This is important because the project was undertaken at concept and design-review stage, before live EAF commissioning trials were available.</w:t>
      </w:r>
    </w:p>
    <w:p w14:paraId="7C3187F1" w14:textId="77777777" w:rsidR="00CE3E6A" w:rsidRDefault="00CE3E6A" w:rsidP="00CE3E6A">
      <w:pPr>
        <w:pStyle w:val="Caption"/>
        <w:keepNext/>
        <w:jc w:val="center"/>
      </w:pPr>
      <w:bookmarkStart w:id="177" w:name="_Toc234530042"/>
      <w:r>
        <w:t xml:space="preserve">Table </w:t>
      </w:r>
      <w:fldSimple w:instr=" SEQ Table \* ARABIC ">
        <w:r>
          <w:rPr>
            <w:noProof/>
          </w:rPr>
          <w:t>14</w:t>
        </w:r>
      </w:fldSimple>
      <w:r>
        <w:t>: Assumptions and validation register</w:t>
      </w:r>
      <w:bookmarkEnd w:id="177"/>
    </w:p>
    <w:tbl>
      <w:tblPr>
        <w:tblStyle w:val="TableGrid"/>
        <w:tblW w:w="9209" w:type="dxa"/>
        <w:jc w:val="center"/>
        <w:tblLook w:val="04A0" w:firstRow="1" w:lastRow="0" w:firstColumn="1" w:lastColumn="0" w:noHBand="0" w:noVBand="1"/>
      </w:tblPr>
      <w:tblGrid>
        <w:gridCol w:w="1733"/>
        <w:gridCol w:w="2283"/>
        <w:gridCol w:w="2112"/>
        <w:gridCol w:w="2368"/>
        <w:gridCol w:w="999"/>
      </w:tblGrid>
      <w:tr w:rsidR="00B61E64" w14:paraId="76275158" w14:textId="77777777" w:rsidTr="00B17387">
        <w:trPr>
          <w:jc w:val="center"/>
        </w:trPr>
        <w:tc>
          <w:tcPr>
            <w:tcW w:w="1647" w:type="dxa"/>
            <w:shd w:val="clear" w:color="auto" w:fill="D9D9D9" w:themeFill="background1" w:themeFillShade="D9"/>
          </w:tcPr>
          <w:p w14:paraId="13392D07" w14:textId="77777777" w:rsidR="00B61E64" w:rsidRPr="00B17387" w:rsidRDefault="00186C9F" w:rsidP="00B17387">
            <w:pPr>
              <w:spacing w:line="240" w:lineRule="auto"/>
              <w:jc w:val="center"/>
              <w:rPr>
                <w:b/>
                <w:bCs/>
              </w:rPr>
            </w:pPr>
            <w:r>
              <w:rPr>
                <w:b/>
                <w:bCs/>
              </w:rPr>
              <w:t>Assumption</w:t>
            </w:r>
          </w:p>
        </w:tc>
        <w:tc>
          <w:tcPr>
            <w:tcW w:w="2165" w:type="dxa"/>
            <w:shd w:val="clear" w:color="auto" w:fill="D9D9D9" w:themeFill="background1" w:themeFillShade="D9"/>
          </w:tcPr>
          <w:p w14:paraId="13811E6B" w14:textId="77777777" w:rsidR="00B61E64" w:rsidRPr="00B17387" w:rsidRDefault="00186C9F" w:rsidP="00B17387">
            <w:pPr>
              <w:spacing w:line="240" w:lineRule="auto"/>
              <w:jc w:val="center"/>
              <w:rPr>
                <w:b/>
                <w:bCs/>
              </w:rPr>
            </w:pPr>
            <w:r>
              <w:rPr>
                <w:b/>
                <w:bCs/>
              </w:rPr>
              <w:t>Basis/evidence</w:t>
            </w:r>
          </w:p>
        </w:tc>
        <w:tc>
          <w:tcPr>
            <w:tcW w:w="2004" w:type="dxa"/>
            <w:shd w:val="clear" w:color="auto" w:fill="D9D9D9" w:themeFill="background1" w:themeFillShade="D9"/>
          </w:tcPr>
          <w:p w14:paraId="5B789D2D" w14:textId="77777777" w:rsidR="00B61E64" w:rsidRPr="00B17387" w:rsidRDefault="00186C9F" w:rsidP="00B17387">
            <w:pPr>
              <w:spacing w:line="240" w:lineRule="auto"/>
              <w:jc w:val="center"/>
              <w:rPr>
                <w:b/>
                <w:bCs/>
              </w:rPr>
            </w:pPr>
            <w:r>
              <w:rPr>
                <w:b/>
                <w:bCs/>
              </w:rPr>
              <w:t>Risk if wrong</w:t>
            </w:r>
          </w:p>
        </w:tc>
        <w:tc>
          <w:tcPr>
            <w:tcW w:w="2246" w:type="dxa"/>
            <w:shd w:val="clear" w:color="auto" w:fill="D9D9D9" w:themeFill="background1" w:themeFillShade="D9"/>
          </w:tcPr>
          <w:p w14:paraId="3D32AAEE" w14:textId="77777777" w:rsidR="00B61E64" w:rsidRPr="00B17387" w:rsidRDefault="00186C9F" w:rsidP="00B17387">
            <w:pPr>
              <w:spacing w:line="240" w:lineRule="auto"/>
              <w:jc w:val="center"/>
              <w:rPr>
                <w:b/>
                <w:bCs/>
              </w:rPr>
            </w:pPr>
            <w:r>
              <w:rPr>
                <w:b/>
                <w:bCs/>
              </w:rPr>
              <w:t>Validation required</w:t>
            </w:r>
          </w:p>
        </w:tc>
        <w:tc>
          <w:tcPr>
            <w:tcW w:w="1147" w:type="dxa"/>
            <w:shd w:val="clear" w:color="auto" w:fill="D9D9D9" w:themeFill="background1" w:themeFillShade="D9"/>
          </w:tcPr>
          <w:p w14:paraId="5BD42F4C" w14:textId="77777777" w:rsidR="00B61E64" w:rsidRPr="00B17387" w:rsidRDefault="00186C9F" w:rsidP="00B17387">
            <w:pPr>
              <w:spacing w:line="240" w:lineRule="auto"/>
              <w:jc w:val="center"/>
              <w:rPr>
                <w:b/>
                <w:bCs/>
              </w:rPr>
            </w:pPr>
            <w:r>
              <w:rPr>
                <w:b/>
                <w:bCs/>
              </w:rPr>
              <w:t>Priority</w:t>
            </w:r>
          </w:p>
        </w:tc>
      </w:tr>
      <w:tr w:rsidR="00B61E64" w14:paraId="5BBF5554" w14:textId="77777777" w:rsidTr="00B17387">
        <w:trPr>
          <w:jc w:val="center"/>
        </w:trPr>
        <w:tc>
          <w:tcPr>
            <w:tcW w:w="1647" w:type="dxa"/>
          </w:tcPr>
          <w:p w14:paraId="5D689BE5" w14:textId="77777777" w:rsidR="00B61E64" w:rsidRDefault="00186C9F">
            <w:pPr>
              <w:spacing w:line="240" w:lineRule="auto"/>
            </w:pPr>
            <w:r>
              <w:t>Robotic steel temperature measurement and sampling is technically mature enough to be the baseline</w:t>
            </w:r>
          </w:p>
        </w:tc>
        <w:tc>
          <w:tcPr>
            <w:tcW w:w="2165" w:type="dxa"/>
          </w:tcPr>
          <w:p w14:paraId="113194DC" w14:textId="77777777" w:rsidR="00B61E64" w:rsidRDefault="00186C9F">
            <w:pPr>
              <w:spacing w:line="240" w:lineRule="auto"/>
            </w:pPr>
            <w:r>
              <w:t>PolySAMPLE EAF information, reference installations and Project Invictus robot layout.</w:t>
            </w:r>
          </w:p>
        </w:tc>
        <w:tc>
          <w:tcPr>
            <w:tcW w:w="2004" w:type="dxa"/>
          </w:tcPr>
          <w:p w14:paraId="36286848" w14:textId="77777777" w:rsidR="00B61E64" w:rsidRDefault="00186C9F">
            <w:pPr>
              <w:spacing w:line="240" w:lineRule="auto"/>
            </w:pPr>
            <w:r>
              <w:t>Installation-specific issues could still affect availability, trajectory or sampling success.</w:t>
            </w:r>
          </w:p>
        </w:tc>
        <w:tc>
          <w:tcPr>
            <w:tcW w:w="2246" w:type="dxa"/>
          </w:tcPr>
          <w:p w14:paraId="47355A03" w14:textId="77777777" w:rsidR="00B61E64" w:rsidRDefault="00186C9F">
            <w:pPr>
              <w:spacing w:line="240" w:lineRule="auto"/>
            </w:pPr>
            <w:r>
              <w:t>FAT/SAT, dry commissioning and hot commissioning sample success-rate trial.</w:t>
            </w:r>
          </w:p>
        </w:tc>
        <w:tc>
          <w:tcPr>
            <w:tcW w:w="1147" w:type="dxa"/>
          </w:tcPr>
          <w:p w14:paraId="64CB0658" w14:textId="77777777" w:rsidR="00B61E64" w:rsidRDefault="00186C9F">
            <w:pPr>
              <w:spacing w:line="240" w:lineRule="auto"/>
            </w:pPr>
            <w:r>
              <w:t>High</w:t>
            </w:r>
          </w:p>
        </w:tc>
      </w:tr>
      <w:tr w:rsidR="00B61E64" w14:paraId="5F526851" w14:textId="77777777" w:rsidTr="00B17387">
        <w:trPr>
          <w:jc w:val="center"/>
        </w:trPr>
        <w:tc>
          <w:tcPr>
            <w:tcW w:w="1647" w:type="dxa"/>
          </w:tcPr>
          <w:p w14:paraId="56395EEA" w14:textId="77777777" w:rsidR="00B61E64" w:rsidRDefault="00186C9F">
            <w:pPr>
              <w:spacing w:line="240" w:lineRule="auto"/>
            </w:pPr>
            <w:r>
              <w:t>Automated sample transport at approximately 1 m/s is sufficient for the required probe demand</w:t>
            </w:r>
          </w:p>
        </w:tc>
        <w:tc>
          <w:tcPr>
            <w:tcW w:w="2165" w:type="dxa"/>
          </w:tcPr>
          <w:p w14:paraId="71FB2A52" w14:textId="77777777" w:rsidR="00B61E64" w:rsidRDefault="00186C9F">
            <w:pPr>
              <w:spacing w:line="240" w:lineRule="auto"/>
            </w:pPr>
            <w:r>
              <w:t>Telelift correspondence and preliminary cycle calculation using 12 probes per 42 minutes across two furnaces.</w:t>
            </w:r>
          </w:p>
        </w:tc>
        <w:tc>
          <w:tcPr>
            <w:tcW w:w="2004" w:type="dxa"/>
          </w:tcPr>
          <w:p w14:paraId="4B937A88" w14:textId="77777777" w:rsidR="00B61E64" w:rsidRDefault="00186C9F">
            <w:pPr>
              <w:spacing w:line="240" w:lineRule="auto"/>
            </w:pPr>
            <w:r>
              <w:t>Line-haul speed may not be limiting, but loading, docking, cooling, identification and laboratory receipt may cause delay.</w:t>
            </w:r>
          </w:p>
        </w:tc>
        <w:tc>
          <w:tcPr>
            <w:tcW w:w="2246" w:type="dxa"/>
          </w:tcPr>
          <w:p w14:paraId="73D09F13" w14:textId="77777777" w:rsidR="00B61E64" w:rsidRDefault="00186C9F">
            <w:pPr>
              <w:spacing w:line="240" w:lineRule="auto"/>
            </w:pPr>
            <w:r>
              <w:t>Timed end-to-end mock-up including robot discharge, vehicle loading, travel, laboratory receipt and abnormal recovery.</w:t>
            </w:r>
          </w:p>
        </w:tc>
        <w:tc>
          <w:tcPr>
            <w:tcW w:w="1147" w:type="dxa"/>
          </w:tcPr>
          <w:p w14:paraId="25739CC8" w14:textId="77777777" w:rsidR="00B61E64" w:rsidRDefault="00186C9F">
            <w:pPr>
              <w:spacing w:line="240" w:lineRule="auto"/>
            </w:pPr>
            <w:r>
              <w:t>High</w:t>
            </w:r>
          </w:p>
        </w:tc>
      </w:tr>
      <w:tr w:rsidR="00B61E64" w14:paraId="0F381F06" w14:textId="77777777" w:rsidTr="00B17387">
        <w:trPr>
          <w:jc w:val="center"/>
        </w:trPr>
        <w:tc>
          <w:tcPr>
            <w:tcW w:w="1647" w:type="dxa"/>
          </w:tcPr>
          <w:p w14:paraId="7778C616" w14:textId="77777777" w:rsidR="00B61E64" w:rsidRDefault="00186C9F">
            <w:pPr>
              <w:spacing w:line="240" w:lineRule="auto"/>
            </w:pPr>
            <w:r>
              <w:t>Hot probes can be shielded sufficiently for the transport vehicle and drive system</w:t>
            </w:r>
          </w:p>
        </w:tc>
        <w:tc>
          <w:tcPr>
            <w:tcW w:w="2165" w:type="dxa"/>
          </w:tcPr>
          <w:p w14:paraId="6F5431F3" w14:textId="77777777" w:rsidR="00B61E64" w:rsidRDefault="00186C9F">
            <w:pPr>
              <w:spacing w:line="240" w:lineRule="auto"/>
            </w:pPr>
            <w:r>
              <w:t>Telelift operating temperature concern and supplier comments on thermal protection.</w:t>
            </w:r>
          </w:p>
        </w:tc>
        <w:tc>
          <w:tcPr>
            <w:tcW w:w="2004" w:type="dxa"/>
          </w:tcPr>
          <w:p w14:paraId="0C0D3024" w14:textId="77777777" w:rsidR="00B61E64" w:rsidRDefault="00186C9F">
            <w:pPr>
              <w:spacing w:line="240" w:lineRule="auto"/>
            </w:pPr>
            <w:r>
              <w:t>Vehicle or electrical equipment could overheat; manual intervention may be required if protection fails.</w:t>
            </w:r>
          </w:p>
        </w:tc>
        <w:tc>
          <w:tcPr>
            <w:tcW w:w="2246" w:type="dxa"/>
          </w:tcPr>
          <w:p w14:paraId="70FC881A" w14:textId="77777777" w:rsidR="00B61E64" w:rsidRDefault="00186C9F">
            <w:pPr>
              <w:spacing w:line="240" w:lineRule="auto"/>
            </w:pPr>
            <w:r>
              <w:t>Thermal soak test using representative hot probe, carrier and worst-case dwell time.</w:t>
            </w:r>
          </w:p>
        </w:tc>
        <w:tc>
          <w:tcPr>
            <w:tcW w:w="1147" w:type="dxa"/>
          </w:tcPr>
          <w:p w14:paraId="22FE4209" w14:textId="77777777" w:rsidR="00B61E64" w:rsidRDefault="00186C9F">
            <w:pPr>
              <w:spacing w:line="240" w:lineRule="auto"/>
            </w:pPr>
            <w:r>
              <w:t>High</w:t>
            </w:r>
          </w:p>
        </w:tc>
      </w:tr>
      <w:tr w:rsidR="00B61E64" w14:paraId="1AD7CD0A" w14:textId="77777777" w:rsidTr="00B17387">
        <w:trPr>
          <w:jc w:val="center"/>
        </w:trPr>
        <w:tc>
          <w:tcPr>
            <w:tcW w:w="1647" w:type="dxa"/>
          </w:tcPr>
          <w:p w14:paraId="770AF527" w14:textId="77777777" w:rsidR="00B61E64" w:rsidRDefault="00186C9F">
            <w:pPr>
              <w:spacing w:line="240" w:lineRule="auto"/>
            </w:pPr>
            <w:r>
              <w:t>Dry dust is manageable for the transport track/contact system</w:t>
            </w:r>
          </w:p>
        </w:tc>
        <w:tc>
          <w:tcPr>
            <w:tcW w:w="2165" w:type="dxa"/>
          </w:tcPr>
          <w:p w14:paraId="7A6BE069" w14:textId="77777777" w:rsidR="00B61E64" w:rsidRDefault="00186C9F">
            <w:pPr>
              <w:spacing w:line="240" w:lineRule="auto"/>
            </w:pPr>
            <w:r>
              <w:t>Telelift comments on spring-loaded contacts, rail gaps and brushes.</w:t>
            </w:r>
          </w:p>
        </w:tc>
        <w:tc>
          <w:tcPr>
            <w:tcW w:w="2004" w:type="dxa"/>
          </w:tcPr>
          <w:p w14:paraId="178D171B" w14:textId="77777777" w:rsidR="00B61E64" w:rsidRDefault="00186C9F">
            <w:pPr>
              <w:spacing w:line="240" w:lineRule="auto"/>
            </w:pPr>
            <w:r>
              <w:t>Reliability loss, communication faults or vehicle stoppage in a dusty EAF environment.</w:t>
            </w:r>
          </w:p>
        </w:tc>
        <w:tc>
          <w:tcPr>
            <w:tcW w:w="2246" w:type="dxa"/>
          </w:tcPr>
          <w:p w14:paraId="1ABC1D22" w14:textId="77777777" w:rsidR="00B61E64" w:rsidRDefault="00186C9F">
            <w:pPr>
              <w:spacing w:line="240" w:lineRule="auto"/>
            </w:pPr>
            <w:r>
              <w:t>Dust exposure trial or supplier reliability demonstration in a representative environment.</w:t>
            </w:r>
          </w:p>
        </w:tc>
        <w:tc>
          <w:tcPr>
            <w:tcW w:w="1147" w:type="dxa"/>
          </w:tcPr>
          <w:p w14:paraId="3DB66F47" w14:textId="77777777" w:rsidR="00B61E64" w:rsidRDefault="00186C9F">
            <w:pPr>
              <w:spacing w:line="240" w:lineRule="auto"/>
            </w:pPr>
            <w:r>
              <w:t>Medium</w:t>
            </w:r>
          </w:p>
        </w:tc>
      </w:tr>
      <w:tr w:rsidR="00B61E64" w14:paraId="0CB000A8" w14:textId="77777777" w:rsidTr="00B17387">
        <w:trPr>
          <w:jc w:val="center"/>
        </w:trPr>
        <w:tc>
          <w:tcPr>
            <w:tcW w:w="1647" w:type="dxa"/>
          </w:tcPr>
          <w:p w14:paraId="63E1AEBB" w14:textId="77777777" w:rsidR="00B61E64" w:rsidRDefault="00186C9F">
            <w:pPr>
              <w:spacing w:line="240" w:lineRule="auto"/>
            </w:pPr>
            <w:r>
              <w:t>Slag sample mass and geometry are compatible with an automated transport system after design clarification</w:t>
            </w:r>
          </w:p>
        </w:tc>
        <w:tc>
          <w:tcPr>
            <w:tcW w:w="2165" w:type="dxa"/>
          </w:tcPr>
          <w:p w14:paraId="63F91B51" w14:textId="77777777" w:rsidR="00B61E64" w:rsidRDefault="00186C9F">
            <w:pPr>
              <w:spacing w:line="240" w:lineRule="auto"/>
            </w:pPr>
            <w:r>
              <w:t>Telelift correspondence identified potential heavy slag sample assumptions and need for clarification/redesign.</w:t>
            </w:r>
          </w:p>
        </w:tc>
        <w:tc>
          <w:tcPr>
            <w:tcW w:w="2004" w:type="dxa"/>
          </w:tcPr>
          <w:p w14:paraId="6699D508" w14:textId="77777777" w:rsidR="00B61E64" w:rsidRDefault="00186C9F">
            <w:pPr>
              <w:spacing w:line="240" w:lineRule="auto"/>
            </w:pPr>
            <w:r>
              <w:t>Vehicle overload, unstable carrier, or requirement for manual movement of hot slag samples.</w:t>
            </w:r>
          </w:p>
        </w:tc>
        <w:tc>
          <w:tcPr>
            <w:tcW w:w="2246" w:type="dxa"/>
          </w:tcPr>
          <w:p w14:paraId="368E6F3F" w14:textId="77777777" w:rsidR="00B61E64" w:rsidRDefault="00186C9F">
            <w:pPr>
              <w:spacing w:line="240" w:lineRule="auto"/>
            </w:pPr>
            <w:r>
              <w:t>Confirm actual slag probe and sample mass; complete mechanical handling review and load trial.</w:t>
            </w:r>
          </w:p>
        </w:tc>
        <w:tc>
          <w:tcPr>
            <w:tcW w:w="1147" w:type="dxa"/>
          </w:tcPr>
          <w:p w14:paraId="114E877A" w14:textId="77777777" w:rsidR="00B61E64" w:rsidRDefault="00186C9F">
            <w:pPr>
              <w:spacing w:line="240" w:lineRule="auto"/>
            </w:pPr>
            <w:r>
              <w:t>High</w:t>
            </w:r>
          </w:p>
        </w:tc>
      </w:tr>
      <w:tr w:rsidR="00B61E64" w14:paraId="19DFE581" w14:textId="77777777" w:rsidTr="00B17387">
        <w:trPr>
          <w:jc w:val="center"/>
        </w:trPr>
        <w:tc>
          <w:tcPr>
            <w:tcW w:w="1647" w:type="dxa"/>
          </w:tcPr>
          <w:p w14:paraId="5715DC63" w14:textId="77777777" w:rsidR="00B61E64" w:rsidRDefault="00186C9F">
            <w:pPr>
              <w:spacing w:line="240" w:lineRule="auto"/>
            </w:pPr>
            <w:r>
              <w:t>Manual sampling remains necessary as controlled contingency</w:t>
            </w:r>
          </w:p>
        </w:tc>
        <w:tc>
          <w:tcPr>
            <w:tcW w:w="2165" w:type="dxa"/>
          </w:tcPr>
          <w:p w14:paraId="7CB49402" w14:textId="77777777" w:rsidR="00B61E64" w:rsidRDefault="00186C9F">
            <w:pPr>
              <w:spacing w:line="240" w:lineRule="auto"/>
            </w:pPr>
            <w:r>
              <w:t>Automation failure modes, mis-sample recovery and production resilience requirements.</w:t>
            </w:r>
          </w:p>
        </w:tc>
        <w:tc>
          <w:tcPr>
            <w:tcW w:w="2004" w:type="dxa"/>
          </w:tcPr>
          <w:p w14:paraId="369F0CF5" w14:textId="77777777" w:rsidR="00B61E64" w:rsidRDefault="00186C9F">
            <w:pPr>
              <w:spacing w:line="240" w:lineRule="auto"/>
            </w:pPr>
            <w:r>
              <w:t>Uncontrolled fallback could recreate high exposure under production pressure.</w:t>
            </w:r>
          </w:p>
        </w:tc>
        <w:tc>
          <w:tcPr>
            <w:tcW w:w="2246" w:type="dxa"/>
          </w:tcPr>
          <w:p w14:paraId="0EC0F2FE" w14:textId="77777777" w:rsidR="00B61E64" w:rsidRDefault="00186C9F">
            <w:pPr>
              <w:spacing w:line="240" w:lineRule="auto"/>
            </w:pPr>
            <w:r>
              <w:t>Define authorised fallback procedure, competence requirements, permit/communication rules and rehearsal.</w:t>
            </w:r>
          </w:p>
        </w:tc>
        <w:tc>
          <w:tcPr>
            <w:tcW w:w="1147" w:type="dxa"/>
          </w:tcPr>
          <w:p w14:paraId="1B36A18A" w14:textId="77777777" w:rsidR="00B61E64" w:rsidRDefault="00186C9F">
            <w:pPr>
              <w:spacing w:line="240" w:lineRule="auto"/>
            </w:pPr>
            <w:r>
              <w:t>High</w:t>
            </w:r>
          </w:p>
        </w:tc>
      </w:tr>
      <w:tr w:rsidR="00B61E64" w14:paraId="4A0F93B1" w14:textId="77777777" w:rsidTr="00B17387">
        <w:trPr>
          <w:jc w:val="center"/>
        </w:trPr>
        <w:tc>
          <w:tcPr>
            <w:tcW w:w="1647" w:type="dxa"/>
          </w:tcPr>
          <w:p w14:paraId="3D744C72" w14:textId="77777777" w:rsidR="00B61E64" w:rsidRDefault="00186C9F">
            <w:pPr>
              <w:spacing w:line="240" w:lineRule="auto"/>
            </w:pPr>
            <w:r>
              <w:lastRenderedPageBreak/>
              <w:t>Automated vertical EAF slag sampling is not suitable as an unvalidated day-one dependency</w:t>
            </w:r>
          </w:p>
        </w:tc>
        <w:tc>
          <w:tcPr>
            <w:tcW w:w="2165" w:type="dxa"/>
          </w:tcPr>
          <w:p w14:paraId="31A58F4D" w14:textId="77777777" w:rsidR="00B61E64" w:rsidRDefault="00186C9F">
            <w:pPr>
              <w:spacing w:line="240" w:lineRule="auto"/>
            </w:pPr>
            <w:r>
              <w:t>Literature/source review and absence of confirmed production-ready vertical EAF slag sampler in available evidence.</w:t>
            </w:r>
          </w:p>
        </w:tc>
        <w:tc>
          <w:tcPr>
            <w:tcW w:w="2004" w:type="dxa"/>
          </w:tcPr>
          <w:p w14:paraId="3777474D" w14:textId="77777777" w:rsidR="00B61E64" w:rsidRDefault="00186C9F">
            <w:pPr>
              <w:spacing w:line="240" w:lineRule="auto"/>
            </w:pPr>
            <w:r>
              <w:t>Premature adoption could create downtime, invalid samples or new safety risks.</w:t>
            </w:r>
          </w:p>
        </w:tc>
        <w:tc>
          <w:tcPr>
            <w:tcW w:w="2246" w:type="dxa"/>
          </w:tcPr>
          <w:p w14:paraId="75F73600" w14:textId="77777777" w:rsidR="00B61E64" w:rsidRDefault="00186C9F">
            <w:pPr>
              <w:spacing w:line="240" w:lineRule="auto"/>
            </w:pPr>
            <w:r>
              <w:t>OEM development trial, cold trajectory trial, hot representative sampling trial and laboratory correlation study.</w:t>
            </w:r>
          </w:p>
        </w:tc>
        <w:tc>
          <w:tcPr>
            <w:tcW w:w="1147" w:type="dxa"/>
          </w:tcPr>
          <w:p w14:paraId="27DFA6D2" w14:textId="77777777" w:rsidR="00B61E64" w:rsidRDefault="00186C9F">
            <w:pPr>
              <w:spacing w:line="240" w:lineRule="auto"/>
            </w:pPr>
            <w:r>
              <w:t>High</w:t>
            </w:r>
          </w:p>
        </w:tc>
      </w:tr>
      <w:tr w:rsidR="00B61E64" w14:paraId="4724E1D4" w14:textId="77777777" w:rsidTr="00B17387">
        <w:trPr>
          <w:jc w:val="center"/>
        </w:trPr>
        <w:tc>
          <w:tcPr>
            <w:tcW w:w="1647" w:type="dxa"/>
          </w:tcPr>
          <w:p w14:paraId="52A1B921" w14:textId="77777777" w:rsidR="00B61E64" w:rsidRDefault="00186C9F">
            <w:pPr>
              <w:spacing w:line="240" w:lineRule="auto"/>
            </w:pPr>
            <w:r>
              <w:t>Robot cell maintenance can be completed without creating greater exposure than the manual task being removed</w:t>
            </w:r>
          </w:p>
        </w:tc>
        <w:tc>
          <w:tcPr>
            <w:tcW w:w="2165" w:type="dxa"/>
          </w:tcPr>
          <w:p w14:paraId="2147F9F0" w14:textId="77777777" w:rsidR="00B61E64" w:rsidRDefault="00186C9F">
            <w:pPr>
              <w:spacing w:line="240" w:lineRule="auto"/>
            </w:pPr>
            <w:r>
              <w:t>Machinery safety and ergonomic principles; robot/tooling arrangement.</w:t>
            </w:r>
          </w:p>
        </w:tc>
        <w:tc>
          <w:tcPr>
            <w:tcW w:w="2004" w:type="dxa"/>
          </w:tcPr>
          <w:p w14:paraId="614C2295" w14:textId="77777777" w:rsidR="00B61E64" w:rsidRDefault="00186C9F">
            <w:pPr>
              <w:spacing w:line="240" w:lineRule="auto"/>
            </w:pPr>
            <w:r>
              <w:t>Frequent awkward maintenance or cleaning could offset operational safety benefit.</w:t>
            </w:r>
          </w:p>
        </w:tc>
        <w:tc>
          <w:tcPr>
            <w:tcW w:w="2246" w:type="dxa"/>
          </w:tcPr>
          <w:p w14:paraId="40D7A963" w14:textId="77777777" w:rsidR="00B61E64" w:rsidRDefault="00186C9F">
            <w:pPr>
              <w:spacing w:line="240" w:lineRule="auto"/>
            </w:pPr>
            <w:r>
              <w:t>Maintainability review, task observation during commissioning and access/ergonomics assessment.</w:t>
            </w:r>
          </w:p>
        </w:tc>
        <w:tc>
          <w:tcPr>
            <w:tcW w:w="1147" w:type="dxa"/>
          </w:tcPr>
          <w:p w14:paraId="2C8A0D16" w14:textId="77777777" w:rsidR="00B61E64" w:rsidRDefault="00186C9F">
            <w:pPr>
              <w:spacing w:line="240" w:lineRule="auto"/>
            </w:pPr>
            <w:r>
              <w:t>Medium</w:t>
            </w:r>
          </w:p>
        </w:tc>
      </w:tr>
      <w:tr w:rsidR="00B61E64" w14:paraId="52AD316D" w14:textId="77777777" w:rsidTr="00B17387">
        <w:trPr>
          <w:jc w:val="center"/>
        </w:trPr>
        <w:tc>
          <w:tcPr>
            <w:tcW w:w="1647" w:type="dxa"/>
          </w:tcPr>
          <w:p w14:paraId="6CF85DE0" w14:textId="77777777" w:rsidR="00B61E64" w:rsidRDefault="00186C9F">
            <w:pPr>
              <w:spacing w:line="240" w:lineRule="auto"/>
            </w:pPr>
            <w:r>
              <w:t>Laboratory interface can receive and process automated samples without creating a bottleneck</w:t>
            </w:r>
          </w:p>
        </w:tc>
        <w:tc>
          <w:tcPr>
            <w:tcW w:w="2165" w:type="dxa"/>
          </w:tcPr>
          <w:p w14:paraId="0F364EBE" w14:textId="77777777" w:rsidR="00B61E64" w:rsidRDefault="00186C9F">
            <w:pPr>
              <w:spacing w:line="240" w:lineRule="auto"/>
            </w:pPr>
            <w:r>
              <w:t>Sample transport concept and process-control need for timely feedback.</w:t>
            </w:r>
          </w:p>
        </w:tc>
        <w:tc>
          <w:tcPr>
            <w:tcW w:w="2004" w:type="dxa"/>
          </w:tcPr>
          <w:p w14:paraId="317785F2" w14:textId="77777777" w:rsidR="00B61E64" w:rsidRDefault="00186C9F">
            <w:pPr>
              <w:spacing w:line="240" w:lineRule="auto"/>
            </w:pPr>
            <w:r>
              <w:t>Automated transport may move the bottleneck from furnace front to sample preparation/receipt.</w:t>
            </w:r>
          </w:p>
        </w:tc>
        <w:tc>
          <w:tcPr>
            <w:tcW w:w="2246" w:type="dxa"/>
          </w:tcPr>
          <w:p w14:paraId="515A7439" w14:textId="77777777" w:rsidR="00B61E64" w:rsidRDefault="00186C9F">
            <w:pPr>
              <w:spacing w:line="240" w:lineRule="auto"/>
            </w:pPr>
            <w:r>
              <w:t>Laboratory interface trial, barcode/identity check, sample breakout timing and data feedback test.</w:t>
            </w:r>
          </w:p>
        </w:tc>
        <w:tc>
          <w:tcPr>
            <w:tcW w:w="1147" w:type="dxa"/>
          </w:tcPr>
          <w:p w14:paraId="16298A59" w14:textId="77777777" w:rsidR="00B61E64" w:rsidRDefault="00186C9F">
            <w:pPr>
              <w:spacing w:line="240" w:lineRule="auto"/>
            </w:pPr>
            <w:r>
              <w:t>High</w:t>
            </w:r>
          </w:p>
        </w:tc>
      </w:tr>
      <w:tr w:rsidR="00B61E64" w14:paraId="37F3CB0C" w14:textId="77777777" w:rsidTr="00B17387">
        <w:trPr>
          <w:jc w:val="center"/>
        </w:trPr>
        <w:tc>
          <w:tcPr>
            <w:tcW w:w="1647" w:type="dxa"/>
          </w:tcPr>
          <w:p w14:paraId="594E0C2C" w14:textId="77777777" w:rsidR="00B61E64" w:rsidRDefault="00186C9F">
            <w:pPr>
              <w:spacing w:line="240" w:lineRule="auto"/>
            </w:pPr>
            <w:r>
              <w:t>Weighted scores are reasonable representations of relative performance</w:t>
            </w:r>
          </w:p>
        </w:tc>
        <w:tc>
          <w:tcPr>
            <w:tcW w:w="2165" w:type="dxa"/>
          </w:tcPr>
          <w:p w14:paraId="2235CB34" w14:textId="77777777" w:rsidR="00B61E64" w:rsidRDefault="00186C9F">
            <w:pPr>
              <w:spacing w:line="240" w:lineRule="auto"/>
            </w:pPr>
            <w:r>
              <w:t>Defined criteria and source-based scoring rationale.</w:t>
            </w:r>
          </w:p>
        </w:tc>
        <w:tc>
          <w:tcPr>
            <w:tcW w:w="2004" w:type="dxa"/>
          </w:tcPr>
          <w:p w14:paraId="04C14DDB" w14:textId="77777777" w:rsidR="00B61E64" w:rsidRDefault="00186C9F">
            <w:pPr>
              <w:spacing w:line="240" w:lineRule="auto"/>
            </w:pPr>
            <w:r>
              <w:t>Decision may be sensitive to weighting or to new evidence from trials.</w:t>
            </w:r>
          </w:p>
        </w:tc>
        <w:tc>
          <w:tcPr>
            <w:tcW w:w="2246" w:type="dxa"/>
          </w:tcPr>
          <w:p w14:paraId="06D4745F" w14:textId="77777777" w:rsidR="00B61E64" w:rsidRDefault="00186C9F">
            <w:pPr>
              <w:spacing w:line="240" w:lineRule="auto"/>
            </w:pPr>
            <w:r>
              <w:t>Sensitivity review with stakeholders after validation evidence becomes available.</w:t>
            </w:r>
          </w:p>
        </w:tc>
        <w:tc>
          <w:tcPr>
            <w:tcW w:w="1147" w:type="dxa"/>
          </w:tcPr>
          <w:p w14:paraId="1F8121A0" w14:textId="77777777" w:rsidR="00B61E64" w:rsidRDefault="00186C9F">
            <w:pPr>
              <w:spacing w:line="240" w:lineRule="auto"/>
            </w:pPr>
            <w:r>
              <w:t>Medium</w:t>
            </w:r>
          </w:p>
        </w:tc>
      </w:tr>
    </w:tbl>
    <w:p w14:paraId="1EC14F9F" w14:textId="77777777" w:rsidR="00B17387" w:rsidRDefault="00B17387"/>
    <w:p w14:paraId="79184C71" w14:textId="77777777" w:rsidR="00054777" w:rsidRDefault="00054777"/>
    <w:p w14:paraId="34398868" w14:textId="77777777" w:rsidR="00054777" w:rsidRDefault="00054777"/>
    <w:p w14:paraId="1E32D347" w14:textId="77777777" w:rsidR="00054777" w:rsidRDefault="00054777"/>
    <w:p w14:paraId="1EE007F0" w14:textId="77777777" w:rsidR="00054777" w:rsidRDefault="00054777"/>
    <w:p w14:paraId="139D3E0F" w14:textId="77777777" w:rsidR="00054777" w:rsidRDefault="00054777"/>
    <w:p w14:paraId="12627DF3" w14:textId="77777777" w:rsidR="00054777" w:rsidRDefault="00054777"/>
    <w:p w14:paraId="6786851A" w14:textId="77777777" w:rsidR="00054777" w:rsidRDefault="00054777"/>
    <w:p w14:paraId="2EAD2EA2" w14:textId="77777777" w:rsidR="00054777" w:rsidRDefault="00054777"/>
    <w:p w14:paraId="44E2BDD0" w14:textId="77777777" w:rsidR="00B61E64" w:rsidRDefault="00186C9F">
      <w:pPr>
        <w:pStyle w:val="Heading2"/>
      </w:pPr>
      <w:bookmarkStart w:id="178" w:name="_Toc234060444"/>
      <w:bookmarkStart w:id="179" w:name="_Toc234699565"/>
      <w:r>
        <w:lastRenderedPageBreak/>
        <w:t>Appendix G: Option Scoring Evidence Sheet</w:t>
      </w:r>
      <w:bookmarkEnd w:id="178"/>
      <w:bookmarkEnd w:id="179"/>
    </w:p>
    <w:p w14:paraId="4998C0E9" w14:textId="77777777" w:rsidR="00B61E64" w:rsidRDefault="00186C9F">
      <w:pPr>
        <w:jc w:val="both"/>
      </w:pPr>
      <w:r>
        <w:t>The option scoring evidence sheet expands the weighted decision matrix by giving the rationale behind each score. The scores are qualitative engineering judgements and should be read with the assumptions register and validation plan.</w:t>
      </w:r>
    </w:p>
    <w:p w14:paraId="042D7726" w14:textId="77777777" w:rsidR="00B61E64" w:rsidRDefault="00CE3E6A" w:rsidP="00CE3E6A">
      <w:pPr>
        <w:pStyle w:val="Caption"/>
        <w:tabs>
          <w:tab w:val="left" w:pos="210"/>
          <w:tab w:val="center" w:pos="4513"/>
        </w:tabs>
      </w:pPr>
      <w:r>
        <w:tab/>
      </w:r>
      <w:r>
        <w:tab/>
        <w:t>Table 15: Option scoring evidence sheet</w:t>
      </w:r>
    </w:p>
    <w:tbl>
      <w:tblPr>
        <w:tblStyle w:val="TableGrid"/>
        <w:tblW w:w="0" w:type="auto"/>
        <w:jc w:val="center"/>
        <w:tblLook w:val="04A0" w:firstRow="1" w:lastRow="0" w:firstColumn="1" w:lastColumn="0" w:noHBand="0" w:noVBand="1"/>
      </w:tblPr>
      <w:tblGrid>
        <w:gridCol w:w="2059"/>
        <w:gridCol w:w="2601"/>
        <w:gridCol w:w="1731"/>
        <w:gridCol w:w="2625"/>
      </w:tblGrid>
      <w:tr w:rsidR="00B61E64" w14:paraId="59F82674" w14:textId="77777777" w:rsidTr="00B17387">
        <w:trPr>
          <w:jc w:val="center"/>
        </w:trPr>
        <w:tc>
          <w:tcPr>
            <w:tcW w:w="2256" w:type="dxa"/>
            <w:shd w:val="clear" w:color="auto" w:fill="D9D9D9" w:themeFill="background1" w:themeFillShade="D9"/>
          </w:tcPr>
          <w:p w14:paraId="5F40B1BD" w14:textId="77777777" w:rsidR="00B61E64" w:rsidRPr="00B17387" w:rsidRDefault="00186C9F" w:rsidP="00B17387">
            <w:pPr>
              <w:shd w:val="clear" w:color="auto" w:fill="D9D9D9" w:themeFill="background1" w:themeFillShade="D9"/>
              <w:spacing w:line="240" w:lineRule="auto"/>
              <w:jc w:val="center"/>
              <w:rPr>
                <w:b/>
                <w:bCs/>
              </w:rPr>
            </w:pPr>
            <w:r>
              <w:rPr>
                <w:b/>
                <w:bCs/>
              </w:rPr>
              <w:t>Option</w:t>
            </w:r>
          </w:p>
        </w:tc>
        <w:tc>
          <w:tcPr>
            <w:tcW w:w="2256" w:type="dxa"/>
            <w:shd w:val="clear" w:color="auto" w:fill="D9D9D9" w:themeFill="background1" w:themeFillShade="D9"/>
          </w:tcPr>
          <w:p w14:paraId="4FEF7DB2" w14:textId="77777777" w:rsidR="00B61E64" w:rsidRPr="00B17387" w:rsidRDefault="00186C9F" w:rsidP="00B17387">
            <w:pPr>
              <w:shd w:val="clear" w:color="auto" w:fill="D9D9D9" w:themeFill="background1" w:themeFillShade="D9"/>
              <w:spacing w:line="240" w:lineRule="auto"/>
              <w:jc w:val="center"/>
              <w:rPr>
                <w:b/>
                <w:bCs/>
              </w:rPr>
            </w:pPr>
            <w:r>
              <w:rPr>
                <w:b/>
                <w:bCs/>
              </w:rPr>
              <w:t>Criterion</w:t>
            </w:r>
          </w:p>
        </w:tc>
        <w:tc>
          <w:tcPr>
            <w:tcW w:w="2256" w:type="dxa"/>
            <w:shd w:val="clear" w:color="auto" w:fill="D9D9D9" w:themeFill="background1" w:themeFillShade="D9"/>
          </w:tcPr>
          <w:p w14:paraId="31B5EDEE" w14:textId="77777777" w:rsidR="00B61E64" w:rsidRPr="00B17387" w:rsidRDefault="00186C9F" w:rsidP="00B17387">
            <w:pPr>
              <w:shd w:val="clear" w:color="auto" w:fill="D9D9D9" w:themeFill="background1" w:themeFillShade="D9"/>
              <w:spacing w:line="240" w:lineRule="auto"/>
              <w:jc w:val="center"/>
              <w:rPr>
                <w:b/>
                <w:bCs/>
              </w:rPr>
            </w:pPr>
            <w:r>
              <w:rPr>
                <w:b/>
                <w:bCs/>
              </w:rPr>
              <w:t>Score</w:t>
            </w:r>
          </w:p>
        </w:tc>
        <w:tc>
          <w:tcPr>
            <w:tcW w:w="2256" w:type="dxa"/>
            <w:shd w:val="clear" w:color="auto" w:fill="D9D9D9" w:themeFill="background1" w:themeFillShade="D9"/>
          </w:tcPr>
          <w:p w14:paraId="2B759C41" w14:textId="77777777" w:rsidR="00B61E64" w:rsidRPr="00B17387" w:rsidRDefault="00186C9F" w:rsidP="00B17387">
            <w:pPr>
              <w:shd w:val="clear" w:color="auto" w:fill="D9D9D9" w:themeFill="background1" w:themeFillShade="D9"/>
              <w:spacing w:line="240" w:lineRule="auto"/>
              <w:jc w:val="center"/>
              <w:rPr>
                <w:b/>
                <w:bCs/>
              </w:rPr>
            </w:pPr>
            <w:r>
              <w:rPr>
                <w:b/>
                <w:bCs/>
              </w:rPr>
              <w:t>Evidence/rationale</w:t>
            </w:r>
          </w:p>
        </w:tc>
      </w:tr>
      <w:tr w:rsidR="00B61E64" w14:paraId="53FC729A" w14:textId="77777777">
        <w:trPr>
          <w:jc w:val="center"/>
        </w:trPr>
        <w:tc>
          <w:tcPr>
            <w:tcW w:w="2256" w:type="dxa"/>
          </w:tcPr>
          <w:p w14:paraId="1FE81CDD" w14:textId="77777777" w:rsidR="00B61E64" w:rsidRDefault="00186C9F">
            <w:pPr>
              <w:spacing w:line="240" w:lineRule="auto"/>
            </w:pPr>
            <w:r>
              <w:t>Option 1: Manual steel and slag sampling</w:t>
            </w:r>
          </w:p>
        </w:tc>
        <w:tc>
          <w:tcPr>
            <w:tcW w:w="2256" w:type="dxa"/>
          </w:tcPr>
          <w:p w14:paraId="26A81344" w14:textId="77777777" w:rsidR="00B61E64" w:rsidRDefault="00186C9F">
            <w:pPr>
              <w:spacing w:line="240" w:lineRule="auto"/>
            </w:pPr>
            <w:r>
              <w:t>Safety risk reduction</w:t>
            </w:r>
          </w:p>
        </w:tc>
        <w:tc>
          <w:tcPr>
            <w:tcW w:w="2256" w:type="dxa"/>
          </w:tcPr>
          <w:p w14:paraId="18F7EE66" w14:textId="77777777" w:rsidR="00B61E64" w:rsidRDefault="00186C9F">
            <w:pPr>
              <w:spacing w:line="240" w:lineRule="auto"/>
            </w:pPr>
            <w:r>
              <w:t>2</w:t>
            </w:r>
          </w:p>
        </w:tc>
        <w:tc>
          <w:tcPr>
            <w:tcW w:w="2256" w:type="dxa"/>
          </w:tcPr>
          <w:p w14:paraId="7A817899" w14:textId="77777777" w:rsidR="00B61E64" w:rsidRDefault="00186C9F">
            <w:pPr>
              <w:spacing w:line="240" w:lineRule="auto"/>
            </w:pPr>
            <w:r>
              <w:t>Retains furnace-front exposure and hot-sample handling; improvements are mainly procedural/PPE based.</w:t>
            </w:r>
          </w:p>
        </w:tc>
      </w:tr>
      <w:tr w:rsidR="00B61E64" w14:paraId="285F5B69" w14:textId="77777777">
        <w:trPr>
          <w:jc w:val="center"/>
        </w:trPr>
        <w:tc>
          <w:tcPr>
            <w:tcW w:w="2256" w:type="dxa"/>
          </w:tcPr>
          <w:p w14:paraId="16C562E0" w14:textId="77777777" w:rsidR="00B61E64" w:rsidRDefault="00186C9F">
            <w:pPr>
              <w:spacing w:line="240" w:lineRule="auto"/>
            </w:pPr>
            <w:r>
              <w:t>Option 1: Manual steel and slag sampling</w:t>
            </w:r>
          </w:p>
        </w:tc>
        <w:tc>
          <w:tcPr>
            <w:tcW w:w="2256" w:type="dxa"/>
          </w:tcPr>
          <w:p w14:paraId="2D6EF88D" w14:textId="77777777" w:rsidR="00B61E64" w:rsidRDefault="00186C9F">
            <w:pPr>
              <w:spacing w:line="240" w:lineRule="auto"/>
            </w:pPr>
            <w:r>
              <w:t>Sampling repeatability/quality</w:t>
            </w:r>
          </w:p>
        </w:tc>
        <w:tc>
          <w:tcPr>
            <w:tcW w:w="2256" w:type="dxa"/>
          </w:tcPr>
          <w:p w14:paraId="15421683" w14:textId="77777777" w:rsidR="00B61E64" w:rsidRDefault="00186C9F">
            <w:pPr>
              <w:spacing w:line="240" w:lineRule="auto"/>
            </w:pPr>
            <w:r>
              <w:t>2</w:t>
            </w:r>
          </w:p>
        </w:tc>
        <w:tc>
          <w:tcPr>
            <w:tcW w:w="2256" w:type="dxa"/>
          </w:tcPr>
          <w:p w14:paraId="2366588A" w14:textId="77777777" w:rsidR="00B61E64" w:rsidRDefault="00186C9F">
            <w:pPr>
              <w:spacing w:line="240" w:lineRule="auto"/>
            </w:pPr>
            <w:r>
              <w:t>Operator judgement still controls depth, dwell time and timing; variability remains.</w:t>
            </w:r>
          </w:p>
        </w:tc>
      </w:tr>
      <w:tr w:rsidR="00B61E64" w14:paraId="7F552A11" w14:textId="77777777">
        <w:trPr>
          <w:jc w:val="center"/>
        </w:trPr>
        <w:tc>
          <w:tcPr>
            <w:tcW w:w="2256" w:type="dxa"/>
          </w:tcPr>
          <w:p w14:paraId="6D42843D" w14:textId="77777777" w:rsidR="00B61E64" w:rsidRDefault="00186C9F">
            <w:pPr>
              <w:spacing w:line="240" w:lineRule="auto"/>
            </w:pPr>
            <w:r>
              <w:t>Option 1: Manual steel and slag sampling</w:t>
            </w:r>
          </w:p>
        </w:tc>
        <w:tc>
          <w:tcPr>
            <w:tcW w:w="2256" w:type="dxa"/>
          </w:tcPr>
          <w:p w14:paraId="2BD801BC" w14:textId="77777777" w:rsidR="00B61E64" w:rsidRDefault="00186C9F">
            <w:pPr>
              <w:spacing w:line="240" w:lineRule="auto"/>
            </w:pPr>
            <w:r>
              <w:t>Technical maturity</w:t>
            </w:r>
          </w:p>
        </w:tc>
        <w:tc>
          <w:tcPr>
            <w:tcW w:w="2256" w:type="dxa"/>
          </w:tcPr>
          <w:p w14:paraId="18C76097" w14:textId="77777777" w:rsidR="00B61E64" w:rsidRDefault="00186C9F">
            <w:pPr>
              <w:spacing w:line="240" w:lineRule="auto"/>
            </w:pPr>
            <w:r>
              <w:t>5</w:t>
            </w:r>
          </w:p>
        </w:tc>
        <w:tc>
          <w:tcPr>
            <w:tcW w:w="2256" w:type="dxa"/>
          </w:tcPr>
          <w:p w14:paraId="33D14BC9" w14:textId="77777777" w:rsidR="00B61E64" w:rsidRDefault="00186C9F">
            <w:pPr>
              <w:spacing w:line="240" w:lineRule="auto"/>
            </w:pPr>
            <w:r>
              <w:t>Manual methods are familiar and achievable, but maturity does not equal best engineering outcome.</w:t>
            </w:r>
          </w:p>
        </w:tc>
      </w:tr>
      <w:tr w:rsidR="00B61E64" w14:paraId="2008D0FA" w14:textId="77777777">
        <w:trPr>
          <w:jc w:val="center"/>
        </w:trPr>
        <w:tc>
          <w:tcPr>
            <w:tcW w:w="2256" w:type="dxa"/>
          </w:tcPr>
          <w:p w14:paraId="013BDC65" w14:textId="77777777" w:rsidR="00B61E64" w:rsidRDefault="00186C9F">
            <w:pPr>
              <w:spacing w:line="240" w:lineRule="auto"/>
            </w:pPr>
            <w:r>
              <w:t>Option 1: Manual steel and slag sampling</w:t>
            </w:r>
          </w:p>
        </w:tc>
        <w:tc>
          <w:tcPr>
            <w:tcW w:w="2256" w:type="dxa"/>
          </w:tcPr>
          <w:p w14:paraId="7082B8B9" w14:textId="77777777" w:rsidR="00B61E64" w:rsidRDefault="00186C9F">
            <w:pPr>
              <w:spacing w:line="240" w:lineRule="auto"/>
            </w:pPr>
            <w:r>
              <w:t>Integration with Project Invictus</w:t>
            </w:r>
          </w:p>
        </w:tc>
        <w:tc>
          <w:tcPr>
            <w:tcW w:w="2256" w:type="dxa"/>
          </w:tcPr>
          <w:p w14:paraId="61F58D96" w14:textId="77777777" w:rsidR="00B61E64" w:rsidRDefault="00186C9F">
            <w:pPr>
              <w:spacing w:line="240" w:lineRule="auto"/>
            </w:pPr>
            <w:r>
              <w:t>3</w:t>
            </w:r>
          </w:p>
        </w:tc>
        <w:tc>
          <w:tcPr>
            <w:tcW w:w="2256" w:type="dxa"/>
          </w:tcPr>
          <w:p w14:paraId="2445ACF4" w14:textId="77777777" w:rsidR="00B61E64" w:rsidRDefault="00186C9F">
            <w:pPr>
              <w:spacing w:line="240" w:lineRule="auto"/>
            </w:pPr>
            <w:r>
              <w:t xml:space="preserve">Can be made to work as </w:t>
            </w:r>
            <w:proofErr w:type="gramStart"/>
            <w:r>
              <w:t>fallback, but</w:t>
            </w:r>
            <w:proofErr w:type="gramEnd"/>
            <w:r>
              <w:t xml:space="preserve"> weakly aligned with automated meltshop philosophy.</w:t>
            </w:r>
          </w:p>
        </w:tc>
      </w:tr>
      <w:tr w:rsidR="00B61E64" w14:paraId="46D0A6BA" w14:textId="77777777">
        <w:trPr>
          <w:jc w:val="center"/>
        </w:trPr>
        <w:tc>
          <w:tcPr>
            <w:tcW w:w="2256" w:type="dxa"/>
          </w:tcPr>
          <w:p w14:paraId="0D45D37A" w14:textId="77777777" w:rsidR="00B61E64" w:rsidRDefault="00186C9F">
            <w:pPr>
              <w:spacing w:line="240" w:lineRule="auto"/>
            </w:pPr>
            <w:r>
              <w:t>Option 1: Manual steel and slag sampling</w:t>
            </w:r>
          </w:p>
        </w:tc>
        <w:tc>
          <w:tcPr>
            <w:tcW w:w="2256" w:type="dxa"/>
          </w:tcPr>
          <w:p w14:paraId="4ACE9BD4" w14:textId="77777777" w:rsidR="00B61E64" w:rsidRDefault="00186C9F">
            <w:pPr>
              <w:spacing w:line="240" w:lineRule="auto"/>
            </w:pPr>
            <w:r>
              <w:t>Turnaround/process value</w:t>
            </w:r>
          </w:p>
        </w:tc>
        <w:tc>
          <w:tcPr>
            <w:tcW w:w="2256" w:type="dxa"/>
          </w:tcPr>
          <w:p w14:paraId="733CE9CE" w14:textId="77777777" w:rsidR="00B61E64" w:rsidRDefault="00186C9F">
            <w:pPr>
              <w:spacing w:line="240" w:lineRule="auto"/>
            </w:pPr>
            <w:r>
              <w:t>2</w:t>
            </w:r>
          </w:p>
        </w:tc>
        <w:tc>
          <w:tcPr>
            <w:tcW w:w="2256" w:type="dxa"/>
          </w:tcPr>
          <w:p w14:paraId="02E28338" w14:textId="77777777" w:rsidR="00B61E64" w:rsidRDefault="00186C9F">
            <w:pPr>
              <w:spacing w:line="240" w:lineRule="auto"/>
            </w:pPr>
            <w:r>
              <w:t>Manual transfer and repeat sampling can delay analytical feedback.</w:t>
            </w:r>
          </w:p>
        </w:tc>
      </w:tr>
      <w:tr w:rsidR="00B61E64" w14:paraId="3B0BF9C6" w14:textId="77777777">
        <w:trPr>
          <w:jc w:val="center"/>
        </w:trPr>
        <w:tc>
          <w:tcPr>
            <w:tcW w:w="2256" w:type="dxa"/>
          </w:tcPr>
          <w:p w14:paraId="4D990DEE" w14:textId="77777777" w:rsidR="00B61E64" w:rsidRDefault="00186C9F">
            <w:pPr>
              <w:spacing w:line="240" w:lineRule="auto"/>
            </w:pPr>
            <w:r>
              <w:t>Option 1: Manual steel and slag sampling</w:t>
            </w:r>
          </w:p>
        </w:tc>
        <w:tc>
          <w:tcPr>
            <w:tcW w:w="2256" w:type="dxa"/>
          </w:tcPr>
          <w:p w14:paraId="03B84492" w14:textId="77777777" w:rsidR="00B61E64" w:rsidRDefault="00186C9F">
            <w:pPr>
              <w:spacing w:line="240" w:lineRule="auto"/>
            </w:pPr>
            <w:r>
              <w:t>Maintainability/resilience</w:t>
            </w:r>
          </w:p>
        </w:tc>
        <w:tc>
          <w:tcPr>
            <w:tcW w:w="2256" w:type="dxa"/>
          </w:tcPr>
          <w:p w14:paraId="4F2B5819" w14:textId="77777777" w:rsidR="00B61E64" w:rsidRDefault="00186C9F">
            <w:pPr>
              <w:spacing w:line="240" w:lineRule="auto"/>
            </w:pPr>
            <w:r>
              <w:t>3</w:t>
            </w:r>
          </w:p>
        </w:tc>
        <w:tc>
          <w:tcPr>
            <w:tcW w:w="2256" w:type="dxa"/>
          </w:tcPr>
          <w:p w14:paraId="4CDFA6BA" w14:textId="77777777" w:rsidR="00B61E64" w:rsidRDefault="00186C9F">
            <w:pPr>
              <w:spacing w:line="240" w:lineRule="auto"/>
            </w:pPr>
            <w:r>
              <w:t>Simple equipment but high dependence on competent operators during abnormal conditions.</w:t>
            </w:r>
          </w:p>
        </w:tc>
      </w:tr>
      <w:tr w:rsidR="00B61E64" w14:paraId="169A5C3E" w14:textId="77777777">
        <w:trPr>
          <w:jc w:val="center"/>
        </w:trPr>
        <w:tc>
          <w:tcPr>
            <w:tcW w:w="2256" w:type="dxa"/>
          </w:tcPr>
          <w:p w14:paraId="5579F05A" w14:textId="77777777" w:rsidR="00B61E64" w:rsidRDefault="00186C9F">
            <w:pPr>
              <w:spacing w:line="240" w:lineRule="auto"/>
            </w:pPr>
            <w:r>
              <w:t>Option 1: Manual steel and slag sampling</w:t>
            </w:r>
          </w:p>
        </w:tc>
        <w:tc>
          <w:tcPr>
            <w:tcW w:w="2256" w:type="dxa"/>
          </w:tcPr>
          <w:p w14:paraId="42069B37" w14:textId="77777777" w:rsidR="00B61E64" w:rsidRDefault="00186C9F">
            <w:pPr>
              <w:spacing w:line="240" w:lineRule="auto"/>
            </w:pPr>
            <w:r>
              <w:t>Cost/programme certainty</w:t>
            </w:r>
          </w:p>
        </w:tc>
        <w:tc>
          <w:tcPr>
            <w:tcW w:w="2256" w:type="dxa"/>
          </w:tcPr>
          <w:p w14:paraId="127D63C0" w14:textId="77777777" w:rsidR="00B61E64" w:rsidRDefault="00186C9F">
            <w:pPr>
              <w:spacing w:line="240" w:lineRule="auto"/>
            </w:pPr>
            <w:r>
              <w:t>5</w:t>
            </w:r>
          </w:p>
        </w:tc>
        <w:tc>
          <w:tcPr>
            <w:tcW w:w="2256" w:type="dxa"/>
          </w:tcPr>
          <w:p w14:paraId="6F687D43" w14:textId="77777777" w:rsidR="00B61E64" w:rsidRDefault="00186C9F">
            <w:pPr>
              <w:spacing w:line="240" w:lineRule="auto"/>
            </w:pPr>
            <w:r>
              <w:t xml:space="preserve">Lowest capital </w:t>
            </w:r>
            <w:proofErr w:type="gramStart"/>
            <w:r>
              <w:t>complexity, but</w:t>
            </w:r>
            <w:proofErr w:type="gramEnd"/>
            <w:r>
              <w:t xml:space="preserve"> leaves safety/process-control benefits unrealised.</w:t>
            </w:r>
          </w:p>
        </w:tc>
      </w:tr>
      <w:tr w:rsidR="00B61E64" w14:paraId="1671B8CA" w14:textId="77777777">
        <w:trPr>
          <w:jc w:val="center"/>
        </w:trPr>
        <w:tc>
          <w:tcPr>
            <w:tcW w:w="2256" w:type="dxa"/>
          </w:tcPr>
          <w:p w14:paraId="3AD17564" w14:textId="77777777" w:rsidR="00B61E64" w:rsidRDefault="00186C9F">
            <w:pPr>
              <w:spacing w:line="240" w:lineRule="auto"/>
            </w:pPr>
            <w:r>
              <w:t>Option 2: PolySAMPLE EAF robotic steel sampling</w:t>
            </w:r>
          </w:p>
        </w:tc>
        <w:tc>
          <w:tcPr>
            <w:tcW w:w="2256" w:type="dxa"/>
          </w:tcPr>
          <w:p w14:paraId="10914004" w14:textId="77777777" w:rsidR="00B61E64" w:rsidRDefault="00186C9F">
            <w:pPr>
              <w:spacing w:line="240" w:lineRule="auto"/>
            </w:pPr>
            <w:r>
              <w:t>Safety risk reduction</w:t>
            </w:r>
          </w:p>
        </w:tc>
        <w:tc>
          <w:tcPr>
            <w:tcW w:w="2256" w:type="dxa"/>
          </w:tcPr>
          <w:p w14:paraId="2F51A642" w14:textId="77777777" w:rsidR="00B61E64" w:rsidRDefault="00186C9F">
            <w:pPr>
              <w:spacing w:line="240" w:lineRule="auto"/>
            </w:pPr>
            <w:r>
              <w:t>4</w:t>
            </w:r>
          </w:p>
        </w:tc>
        <w:tc>
          <w:tcPr>
            <w:tcW w:w="2256" w:type="dxa"/>
          </w:tcPr>
          <w:p w14:paraId="6A63EC6B" w14:textId="77777777" w:rsidR="00B61E64" w:rsidRDefault="00186C9F">
            <w:pPr>
              <w:spacing w:line="240" w:lineRule="auto"/>
            </w:pPr>
            <w:r>
              <w:t>Removes operator from normal furnace-front steel sampling, but sample transfer may remain manual or semi-manual.</w:t>
            </w:r>
          </w:p>
        </w:tc>
      </w:tr>
      <w:tr w:rsidR="00B61E64" w14:paraId="15D07EF1" w14:textId="77777777">
        <w:trPr>
          <w:jc w:val="center"/>
        </w:trPr>
        <w:tc>
          <w:tcPr>
            <w:tcW w:w="2256" w:type="dxa"/>
          </w:tcPr>
          <w:p w14:paraId="23CAD0C9" w14:textId="77777777" w:rsidR="00B61E64" w:rsidRDefault="00186C9F">
            <w:pPr>
              <w:spacing w:line="240" w:lineRule="auto"/>
            </w:pPr>
            <w:r>
              <w:t>Option 2: PolySAMPLE EAF robotic steel sampling</w:t>
            </w:r>
          </w:p>
        </w:tc>
        <w:tc>
          <w:tcPr>
            <w:tcW w:w="2256" w:type="dxa"/>
          </w:tcPr>
          <w:p w14:paraId="36B879B9" w14:textId="77777777" w:rsidR="00B61E64" w:rsidRDefault="00186C9F">
            <w:pPr>
              <w:spacing w:line="240" w:lineRule="auto"/>
            </w:pPr>
            <w:r>
              <w:t>Sampling repeatability/quality</w:t>
            </w:r>
          </w:p>
        </w:tc>
        <w:tc>
          <w:tcPr>
            <w:tcW w:w="2256" w:type="dxa"/>
          </w:tcPr>
          <w:p w14:paraId="5E228BB7" w14:textId="77777777" w:rsidR="00B61E64" w:rsidRDefault="00186C9F">
            <w:pPr>
              <w:spacing w:line="240" w:lineRule="auto"/>
            </w:pPr>
            <w:r>
              <w:t>4</w:t>
            </w:r>
          </w:p>
        </w:tc>
        <w:tc>
          <w:tcPr>
            <w:tcW w:w="2256" w:type="dxa"/>
          </w:tcPr>
          <w:p w14:paraId="6E56DFB1" w14:textId="77777777" w:rsidR="00B61E64" w:rsidRDefault="00186C9F">
            <w:pPr>
              <w:spacing w:line="240" w:lineRule="auto"/>
            </w:pPr>
            <w:r>
              <w:t>Programmed trajectory and tooling improve consistency for steel temperature/sampling.</w:t>
            </w:r>
          </w:p>
        </w:tc>
      </w:tr>
      <w:tr w:rsidR="00B61E64" w14:paraId="0AC123A0" w14:textId="77777777">
        <w:trPr>
          <w:jc w:val="center"/>
        </w:trPr>
        <w:tc>
          <w:tcPr>
            <w:tcW w:w="2256" w:type="dxa"/>
          </w:tcPr>
          <w:p w14:paraId="7AA29DC4" w14:textId="77777777" w:rsidR="00B61E64" w:rsidRDefault="00186C9F">
            <w:pPr>
              <w:spacing w:line="240" w:lineRule="auto"/>
            </w:pPr>
            <w:r>
              <w:t xml:space="preserve">Option 2: PolySAMPLE EAF </w:t>
            </w:r>
            <w:r>
              <w:lastRenderedPageBreak/>
              <w:t>robotic steel sampling</w:t>
            </w:r>
          </w:p>
        </w:tc>
        <w:tc>
          <w:tcPr>
            <w:tcW w:w="2256" w:type="dxa"/>
          </w:tcPr>
          <w:p w14:paraId="4B8B6D93" w14:textId="77777777" w:rsidR="00B61E64" w:rsidRDefault="00186C9F">
            <w:pPr>
              <w:spacing w:line="240" w:lineRule="auto"/>
            </w:pPr>
            <w:r>
              <w:lastRenderedPageBreak/>
              <w:t>Technical maturity</w:t>
            </w:r>
          </w:p>
        </w:tc>
        <w:tc>
          <w:tcPr>
            <w:tcW w:w="2256" w:type="dxa"/>
          </w:tcPr>
          <w:p w14:paraId="3EF78688" w14:textId="77777777" w:rsidR="00B61E64" w:rsidRDefault="00186C9F">
            <w:pPr>
              <w:spacing w:line="240" w:lineRule="auto"/>
            </w:pPr>
            <w:r>
              <w:t>5</w:t>
            </w:r>
          </w:p>
        </w:tc>
        <w:tc>
          <w:tcPr>
            <w:tcW w:w="2256" w:type="dxa"/>
          </w:tcPr>
          <w:p w14:paraId="38F0D8FD" w14:textId="77777777" w:rsidR="00B61E64" w:rsidRDefault="00186C9F">
            <w:pPr>
              <w:spacing w:line="240" w:lineRule="auto"/>
            </w:pPr>
            <w:r>
              <w:t xml:space="preserve">Supported by supplier product information, reference installations </w:t>
            </w:r>
            <w:r>
              <w:lastRenderedPageBreak/>
              <w:t>and Project Invictus robot layout.</w:t>
            </w:r>
          </w:p>
        </w:tc>
      </w:tr>
      <w:tr w:rsidR="00B61E64" w14:paraId="06011DE2" w14:textId="77777777">
        <w:trPr>
          <w:jc w:val="center"/>
        </w:trPr>
        <w:tc>
          <w:tcPr>
            <w:tcW w:w="2256" w:type="dxa"/>
          </w:tcPr>
          <w:p w14:paraId="2E807011" w14:textId="77777777" w:rsidR="00B61E64" w:rsidRDefault="00186C9F">
            <w:pPr>
              <w:spacing w:line="240" w:lineRule="auto"/>
            </w:pPr>
            <w:r>
              <w:t>Option 2: PolySAMPLE EAF robotic steel sampling</w:t>
            </w:r>
          </w:p>
        </w:tc>
        <w:tc>
          <w:tcPr>
            <w:tcW w:w="2256" w:type="dxa"/>
          </w:tcPr>
          <w:p w14:paraId="105805D5" w14:textId="77777777" w:rsidR="00B61E64" w:rsidRDefault="00186C9F">
            <w:pPr>
              <w:spacing w:line="240" w:lineRule="auto"/>
            </w:pPr>
            <w:r>
              <w:t>Integration with Project Invictus</w:t>
            </w:r>
          </w:p>
        </w:tc>
        <w:tc>
          <w:tcPr>
            <w:tcW w:w="2256" w:type="dxa"/>
          </w:tcPr>
          <w:p w14:paraId="1BE48510" w14:textId="77777777" w:rsidR="00B61E64" w:rsidRDefault="00186C9F">
            <w:pPr>
              <w:spacing w:line="240" w:lineRule="auto"/>
            </w:pPr>
            <w:r>
              <w:t>5</w:t>
            </w:r>
          </w:p>
        </w:tc>
        <w:tc>
          <w:tcPr>
            <w:tcW w:w="2256" w:type="dxa"/>
          </w:tcPr>
          <w:p w14:paraId="28D171A2" w14:textId="77777777" w:rsidR="00B61E64" w:rsidRDefault="00186C9F">
            <w:pPr>
              <w:spacing w:line="240" w:lineRule="auto"/>
            </w:pPr>
            <w:r>
              <w:t>Directly aligned with the planned robot cell and available project drawings.</w:t>
            </w:r>
          </w:p>
        </w:tc>
      </w:tr>
      <w:tr w:rsidR="00B61E64" w14:paraId="1D06189D" w14:textId="77777777">
        <w:trPr>
          <w:jc w:val="center"/>
        </w:trPr>
        <w:tc>
          <w:tcPr>
            <w:tcW w:w="2256" w:type="dxa"/>
          </w:tcPr>
          <w:p w14:paraId="73E42C42" w14:textId="77777777" w:rsidR="00B61E64" w:rsidRDefault="00186C9F">
            <w:pPr>
              <w:spacing w:line="240" w:lineRule="auto"/>
            </w:pPr>
            <w:r>
              <w:t>Option 2: PolySAMPLE EAF robotic steel sampling</w:t>
            </w:r>
          </w:p>
        </w:tc>
        <w:tc>
          <w:tcPr>
            <w:tcW w:w="2256" w:type="dxa"/>
          </w:tcPr>
          <w:p w14:paraId="1382D2EB" w14:textId="77777777" w:rsidR="00B61E64" w:rsidRDefault="00186C9F">
            <w:pPr>
              <w:spacing w:line="240" w:lineRule="auto"/>
            </w:pPr>
            <w:r>
              <w:t>Turnaround/process value</w:t>
            </w:r>
          </w:p>
        </w:tc>
        <w:tc>
          <w:tcPr>
            <w:tcW w:w="2256" w:type="dxa"/>
          </w:tcPr>
          <w:p w14:paraId="1CE24D47" w14:textId="77777777" w:rsidR="00B61E64" w:rsidRDefault="00186C9F">
            <w:pPr>
              <w:spacing w:line="240" w:lineRule="auto"/>
            </w:pPr>
            <w:r>
              <w:t>3</w:t>
            </w:r>
          </w:p>
        </w:tc>
        <w:tc>
          <w:tcPr>
            <w:tcW w:w="2256" w:type="dxa"/>
          </w:tcPr>
          <w:p w14:paraId="30BB5058" w14:textId="77777777" w:rsidR="00B61E64" w:rsidRDefault="00186C9F">
            <w:pPr>
              <w:spacing w:line="240" w:lineRule="auto"/>
            </w:pPr>
            <w:r>
              <w:t>Improves sampling but may not remove transport/laboratory bottleneck.</w:t>
            </w:r>
          </w:p>
        </w:tc>
      </w:tr>
      <w:tr w:rsidR="00B61E64" w14:paraId="4A43AF37" w14:textId="77777777">
        <w:trPr>
          <w:jc w:val="center"/>
        </w:trPr>
        <w:tc>
          <w:tcPr>
            <w:tcW w:w="2256" w:type="dxa"/>
          </w:tcPr>
          <w:p w14:paraId="0DEAEDF2" w14:textId="77777777" w:rsidR="00B61E64" w:rsidRDefault="00186C9F">
            <w:pPr>
              <w:spacing w:line="240" w:lineRule="auto"/>
            </w:pPr>
            <w:r>
              <w:t>Option 2: PolySAMPLE EAF robotic steel sampling</w:t>
            </w:r>
          </w:p>
        </w:tc>
        <w:tc>
          <w:tcPr>
            <w:tcW w:w="2256" w:type="dxa"/>
          </w:tcPr>
          <w:p w14:paraId="08B70527" w14:textId="77777777" w:rsidR="00B61E64" w:rsidRDefault="00186C9F">
            <w:pPr>
              <w:spacing w:line="240" w:lineRule="auto"/>
            </w:pPr>
            <w:r>
              <w:t>Maintainability/resilience</w:t>
            </w:r>
          </w:p>
        </w:tc>
        <w:tc>
          <w:tcPr>
            <w:tcW w:w="2256" w:type="dxa"/>
          </w:tcPr>
          <w:p w14:paraId="704D7165" w14:textId="77777777" w:rsidR="00B61E64" w:rsidRDefault="00186C9F">
            <w:pPr>
              <w:spacing w:line="240" w:lineRule="auto"/>
            </w:pPr>
            <w:r>
              <w:t>4</w:t>
            </w:r>
          </w:p>
        </w:tc>
        <w:tc>
          <w:tcPr>
            <w:tcW w:w="2256" w:type="dxa"/>
          </w:tcPr>
          <w:p w14:paraId="660433CA" w14:textId="77777777" w:rsidR="00B61E64" w:rsidRDefault="00186C9F">
            <w:pPr>
              <w:spacing w:line="240" w:lineRule="auto"/>
            </w:pPr>
            <w:r>
              <w:t>Industrial robot solution with known maintenance model; still requires safeguarding and recovery planning.</w:t>
            </w:r>
          </w:p>
        </w:tc>
      </w:tr>
      <w:tr w:rsidR="00B61E64" w14:paraId="2FBC108C" w14:textId="77777777">
        <w:trPr>
          <w:jc w:val="center"/>
        </w:trPr>
        <w:tc>
          <w:tcPr>
            <w:tcW w:w="2256" w:type="dxa"/>
          </w:tcPr>
          <w:p w14:paraId="21A59ADD" w14:textId="77777777" w:rsidR="00B61E64" w:rsidRDefault="00186C9F">
            <w:pPr>
              <w:spacing w:line="240" w:lineRule="auto"/>
            </w:pPr>
            <w:r>
              <w:t>Option 2: PolySAMPLE EAF robotic steel sampling</w:t>
            </w:r>
          </w:p>
        </w:tc>
        <w:tc>
          <w:tcPr>
            <w:tcW w:w="2256" w:type="dxa"/>
          </w:tcPr>
          <w:p w14:paraId="6932C781" w14:textId="77777777" w:rsidR="00B61E64" w:rsidRDefault="00186C9F">
            <w:pPr>
              <w:spacing w:line="240" w:lineRule="auto"/>
            </w:pPr>
            <w:r>
              <w:t>Cost/programme certainty</w:t>
            </w:r>
          </w:p>
        </w:tc>
        <w:tc>
          <w:tcPr>
            <w:tcW w:w="2256" w:type="dxa"/>
          </w:tcPr>
          <w:p w14:paraId="5C1C9B0B" w14:textId="77777777" w:rsidR="00B61E64" w:rsidRDefault="00186C9F">
            <w:pPr>
              <w:spacing w:line="240" w:lineRule="auto"/>
            </w:pPr>
            <w:r>
              <w:t>4</w:t>
            </w:r>
          </w:p>
        </w:tc>
        <w:tc>
          <w:tcPr>
            <w:tcW w:w="2256" w:type="dxa"/>
          </w:tcPr>
          <w:p w14:paraId="5074E683" w14:textId="77777777" w:rsidR="00B61E64" w:rsidRDefault="00186C9F">
            <w:pPr>
              <w:spacing w:line="240" w:lineRule="auto"/>
            </w:pPr>
            <w:r>
              <w:t>Already within project architecture; lower uncertainty than novel slag automation.</w:t>
            </w:r>
          </w:p>
        </w:tc>
      </w:tr>
      <w:tr w:rsidR="00B61E64" w14:paraId="5A144BF4" w14:textId="77777777">
        <w:trPr>
          <w:jc w:val="center"/>
        </w:trPr>
        <w:tc>
          <w:tcPr>
            <w:tcW w:w="2256" w:type="dxa"/>
          </w:tcPr>
          <w:p w14:paraId="5CD3A658" w14:textId="77777777" w:rsidR="00B61E64" w:rsidRDefault="00186C9F">
            <w:pPr>
              <w:spacing w:line="240" w:lineRule="auto"/>
            </w:pPr>
            <w:r>
              <w:t>Option 3: Robotic steel sampling plus protected automated transport</w:t>
            </w:r>
          </w:p>
        </w:tc>
        <w:tc>
          <w:tcPr>
            <w:tcW w:w="2256" w:type="dxa"/>
          </w:tcPr>
          <w:p w14:paraId="3EA175DB" w14:textId="77777777" w:rsidR="00B61E64" w:rsidRDefault="00186C9F">
            <w:pPr>
              <w:spacing w:line="240" w:lineRule="auto"/>
            </w:pPr>
            <w:r>
              <w:t>Safety risk reduction</w:t>
            </w:r>
          </w:p>
        </w:tc>
        <w:tc>
          <w:tcPr>
            <w:tcW w:w="2256" w:type="dxa"/>
          </w:tcPr>
          <w:p w14:paraId="53331E03" w14:textId="77777777" w:rsidR="00B61E64" w:rsidRDefault="00186C9F">
            <w:pPr>
              <w:spacing w:line="240" w:lineRule="auto"/>
            </w:pPr>
            <w:r>
              <w:t>5</w:t>
            </w:r>
          </w:p>
        </w:tc>
        <w:tc>
          <w:tcPr>
            <w:tcW w:w="2256" w:type="dxa"/>
          </w:tcPr>
          <w:p w14:paraId="6B132F8E" w14:textId="77777777" w:rsidR="00B61E64" w:rsidRDefault="00186C9F">
            <w:pPr>
              <w:spacing w:line="240" w:lineRule="auto"/>
            </w:pPr>
            <w:r>
              <w:t>Removes normal furnace-front exposure and reduces manual movement of hot probes.</w:t>
            </w:r>
          </w:p>
        </w:tc>
      </w:tr>
      <w:tr w:rsidR="00B61E64" w14:paraId="3BB851C7" w14:textId="77777777">
        <w:trPr>
          <w:jc w:val="center"/>
        </w:trPr>
        <w:tc>
          <w:tcPr>
            <w:tcW w:w="2256" w:type="dxa"/>
          </w:tcPr>
          <w:p w14:paraId="57B2A2BC" w14:textId="77777777" w:rsidR="00B61E64" w:rsidRDefault="00186C9F">
            <w:pPr>
              <w:spacing w:line="240" w:lineRule="auto"/>
            </w:pPr>
            <w:r>
              <w:t>Option 3: Robotic steel sampling plus protected automated transport</w:t>
            </w:r>
          </w:p>
        </w:tc>
        <w:tc>
          <w:tcPr>
            <w:tcW w:w="2256" w:type="dxa"/>
          </w:tcPr>
          <w:p w14:paraId="7B19F0FE" w14:textId="77777777" w:rsidR="00B61E64" w:rsidRDefault="00186C9F">
            <w:pPr>
              <w:spacing w:line="240" w:lineRule="auto"/>
            </w:pPr>
            <w:r>
              <w:t>Sampling repeatability/quality</w:t>
            </w:r>
          </w:p>
        </w:tc>
        <w:tc>
          <w:tcPr>
            <w:tcW w:w="2256" w:type="dxa"/>
          </w:tcPr>
          <w:p w14:paraId="2D3F334A" w14:textId="77777777" w:rsidR="00B61E64" w:rsidRDefault="00186C9F">
            <w:pPr>
              <w:spacing w:line="240" w:lineRule="auto"/>
            </w:pPr>
            <w:r>
              <w:t>4</w:t>
            </w:r>
          </w:p>
        </w:tc>
        <w:tc>
          <w:tcPr>
            <w:tcW w:w="2256" w:type="dxa"/>
          </w:tcPr>
          <w:p w14:paraId="6C9F70D3" w14:textId="77777777" w:rsidR="00B61E64" w:rsidRDefault="00186C9F">
            <w:pPr>
              <w:spacing w:line="240" w:lineRule="auto"/>
            </w:pPr>
            <w:r>
              <w:t>Maintains robotic steel sampling consistency and reduces handling variability; sample condition still needs validation.</w:t>
            </w:r>
          </w:p>
        </w:tc>
      </w:tr>
      <w:tr w:rsidR="00B61E64" w14:paraId="3C53FB1A" w14:textId="77777777">
        <w:trPr>
          <w:jc w:val="center"/>
        </w:trPr>
        <w:tc>
          <w:tcPr>
            <w:tcW w:w="2256" w:type="dxa"/>
          </w:tcPr>
          <w:p w14:paraId="29261430" w14:textId="77777777" w:rsidR="00B61E64" w:rsidRDefault="00186C9F">
            <w:pPr>
              <w:spacing w:line="240" w:lineRule="auto"/>
            </w:pPr>
            <w:r>
              <w:t>Option 3: Robotic steel sampling plus protected automated transport</w:t>
            </w:r>
          </w:p>
        </w:tc>
        <w:tc>
          <w:tcPr>
            <w:tcW w:w="2256" w:type="dxa"/>
          </w:tcPr>
          <w:p w14:paraId="34E1478F" w14:textId="77777777" w:rsidR="00B61E64" w:rsidRDefault="00186C9F">
            <w:pPr>
              <w:spacing w:line="240" w:lineRule="auto"/>
            </w:pPr>
            <w:r>
              <w:t>Technical maturity</w:t>
            </w:r>
          </w:p>
        </w:tc>
        <w:tc>
          <w:tcPr>
            <w:tcW w:w="2256" w:type="dxa"/>
          </w:tcPr>
          <w:p w14:paraId="418315C9" w14:textId="77777777" w:rsidR="00B61E64" w:rsidRDefault="00186C9F">
            <w:pPr>
              <w:spacing w:line="240" w:lineRule="auto"/>
            </w:pPr>
            <w:r>
              <w:t>3</w:t>
            </w:r>
          </w:p>
        </w:tc>
        <w:tc>
          <w:tcPr>
            <w:tcW w:w="2256" w:type="dxa"/>
          </w:tcPr>
          <w:p w14:paraId="5CE79BE1" w14:textId="77777777" w:rsidR="00B61E64" w:rsidRDefault="00186C9F">
            <w:pPr>
              <w:spacing w:line="240" w:lineRule="auto"/>
            </w:pPr>
            <w:r>
              <w:t>Transport technology is plausible, but heat, dust, load and lab interface require project-specific proof.</w:t>
            </w:r>
          </w:p>
        </w:tc>
      </w:tr>
      <w:tr w:rsidR="00B61E64" w14:paraId="14367CCB" w14:textId="77777777">
        <w:trPr>
          <w:jc w:val="center"/>
        </w:trPr>
        <w:tc>
          <w:tcPr>
            <w:tcW w:w="2256" w:type="dxa"/>
          </w:tcPr>
          <w:p w14:paraId="7CD4F1A7" w14:textId="77777777" w:rsidR="00B61E64" w:rsidRDefault="00186C9F">
            <w:pPr>
              <w:spacing w:line="240" w:lineRule="auto"/>
            </w:pPr>
            <w:r>
              <w:t>Option 3: Robotic steel sampling plus protected automated transport</w:t>
            </w:r>
          </w:p>
        </w:tc>
        <w:tc>
          <w:tcPr>
            <w:tcW w:w="2256" w:type="dxa"/>
          </w:tcPr>
          <w:p w14:paraId="10479260" w14:textId="77777777" w:rsidR="00B61E64" w:rsidRDefault="00186C9F">
            <w:pPr>
              <w:spacing w:line="240" w:lineRule="auto"/>
            </w:pPr>
            <w:r>
              <w:t>Integration with Project Invictus</w:t>
            </w:r>
          </w:p>
        </w:tc>
        <w:tc>
          <w:tcPr>
            <w:tcW w:w="2256" w:type="dxa"/>
          </w:tcPr>
          <w:p w14:paraId="24C72659" w14:textId="77777777" w:rsidR="00B61E64" w:rsidRDefault="00186C9F">
            <w:pPr>
              <w:spacing w:line="240" w:lineRule="auto"/>
            </w:pPr>
            <w:r>
              <w:t>3</w:t>
            </w:r>
          </w:p>
        </w:tc>
        <w:tc>
          <w:tcPr>
            <w:tcW w:w="2256" w:type="dxa"/>
          </w:tcPr>
          <w:p w14:paraId="0716E406" w14:textId="77777777" w:rsidR="00B61E64" w:rsidRDefault="00186C9F">
            <w:pPr>
              <w:spacing w:line="240" w:lineRule="auto"/>
            </w:pPr>
            <w:r>
              <w:t>Route, crane envelope, robot discharge and laboratory interface need design resolution.</w:t>
            </w:r>
          </w:p>
        </w:tc>
      </w:tr>
      <w:tr w:rsidR="00B61E64" w14:paraId="5D27A4A3" w14:textId="77777777">
        <w:trPr>
          <w:jc w:val="center"/>
        </w:trPr>
        <w:tc>
          <w:tcPr>
            <w:tcW w:w="2256" w:type="dxa"/>
          </w:tcPr>
          <w:p w14:paraId="095E3D95" w14:textId="77777777" w:rsidR="00B61E64" w:rsidRDefault="00186C9F">
            <w:pPr>
              <w:spacing w:line="240" w:lineRule="auto"/>
            </w:pPr>
            <w:r>
              <w:t>Option 3: Robotic steel sampling plus protected automated transport</w:t>
            </w:r>
          </w:p>
        </w:tc>
        <w:tc>
          <w:tcPr>
            <w:tcW w:w="2256" w:type="dxa"/>
          </w:tcPr>
          <w:p w14:paraId="7F6D3BB1" w14:textId="77777777" w:rsidR="00B61E64" w:rsidRDefault="00186C9F">
            <w:pPr>
              <w:spacing w:line="240" w:lineRule="auto"/>
            </w:pPr>
            <w:r>
              <w:t>Turnaround/process value</w:t>
            </w:r>
          </w:p>
        </w:tc>
        <w:tc>
          <w:tcPr>
            <w:tcW w:w="2256" w:type="dxa"/>
          </w:tcPr>
          <w:p w14:paraId="1C97E8D8" w14:textId="77777777" w:rsidR="00B61E64" w:rsidRDefault="00186C9F">
            <w:pPr>
              <w:spacing w:line="240" w:lineRule="auto"/>
            </w:pPr>
            <w:r>
              <w:t>5</w:t>
            </w:r>
          </w:p>
        </w:tc>
        <w:tc>
          <w:tcPr>
            <w:tcW w:w="2256" w:type="dxa"/>
          </w:tcPr>
          <w:p w14:paraId="0ACC5D65" w14:textId="77777777" w:rsidR="00B61E64" w:rsidRDefault="00186C9F">
            <w:pPr>
              <w:spacing w:line="240" w:lineRule="auto"/>
            </w:pPr>
            <w:r>
              <w:t>Strong potential to reduce sample-to-lab delay if loading/unloading is validated.</w:t>
            </w:r>
          </w:p>
        </w:tc>
      </w:tr>
      <w:tr w:rsidR="00B61E64" w14:paraId="7350F7FB" w14:textId="77777777">
        <w:trPr>
          <w:jc w:val="center"/>
        </w:trPr>
        <w:tc>
          <w:tcPr>
            <w:tcW w:w="2256" w:type="dxa"/>
          </w:tcPr>
          <w:p w14:paraId="54E3DCDA" w14:textId="77777777" w:rsidR="00B61E64" w:rsidRDefault="00186C9F">
            <w:pPr>
              <w:spacing w:line="240" w:lineRule="auto"/>
            </w:pPr>
            <w:r>
              <w:t>Option 3: Robotic steel sampling plus protected automated transport</w:t>
            </w:r>
          </w:p>
        </w:tc>
        <w:tc>
          <w:tcPr>
            <w:tcW w:w="2256" w:type="dxa"/>
          </w:tcPr>
          <w:p w14:paraId="449C76A7" w14:textId="77777777" w:rsidR="00B61E64" w:rsidRDefault="00186C9F">
            <w:pPr>
              <w:spacing w:line="240" w:lineRule="auto"/>
            </w:pPr>
            <w:r>
              <w:t>Maintainability/resilience</w:t>
            </w:r>
          </w:p>
        </w:tc>
        <w:tc>
          <w:tcPr>
            <w:tcW w:w="2256" w:type="dxa"/>
          </w:tcPr>
          <w:p w14:paraId="4180CE3E" w14:textId="77777777" w:rsidR="00B61E64" w:rsidRDefault="00186C9F">
            <w:pPr>
              <w:spacing w:line="240" w:lineRule="auto"/>
            </w:pPr>
            <w:r>
              <w:t>3</w:t>
            </w:r>
          </w:p>
        </w:tc>
        <w:tc>
          <w:tcPr>
            <w:tcW w:w="2256" w:type="dxa"/>
          </w:tcPr>
          <w:p w14:paraId="0574F7BE" w14:textId="77777777" w:rsidR="00B61E64" w:rsidRDefault="00186C9F">
            <w:pPr>
              <w:spacing w:line="240" w:lineRule="auto"/>
            </w:pPr>
            <w:r>
              <w:t>Adds vehicles/track/interfaces; reliability and mis-sample recovery must be tested.</w:t>
            </w:r>
          </w:p>
        </w:tc>
      </w:tr>
      <w:tr w:rsidR="00B61E64" w14:paraId="1A25C600" w14:textId="77777777">
        <w:trPr>
          <w:jc w:val="center"/>
        </w:trPr>
        <w:tc>
          <w:tcPr>
            <w:tcW w:w="2256" w:type="dxa"/>
          </w:tcPr>
          <w:p w14:paraId="04464EB9" w14:textId="77777777" w:rsidR="00B61E64" w:rsidRDefault="00186C9F">
            <w:pPr>
              <w:spacing w:line="240" w:lineRule="auto"/>
            </w:pPr>
            <w:r>
              <w:t xml:space="preserve">Option 3: Robotic steel sampling plus protected </w:t>
            </w:r>
            <w:r>
              <w:lastRenderedPageBreak/>
              <w:t>automated transport</w:t>
            </w:r>
          </w:p>
        </w:tc>
        <w:tc>
          <w:tcPr>
            <w:tcW w:w="2256" w:type="dxa"/>
          </w:tcPr>
          <w:p w14:paraId="1846D053" w14:textId="77777777" w:rsidR="00B61E64" w:rsidRDefault="00186C9F">
            <w:pPr>
              <w:spacing w:line="240" w:lineRule="auto"/>
            </w:pPr>
            <w:r>
              <w:lastRenderedPageBreak/>
              <w:t>Cost/programme certainty</w:t>
            </w:r>
          </w:p>
        </w:tc>
        <w:tc>
          <w:tcPr>
            <w:tcW w:w="2256" w:type="dxa"/>
          </w:tcPr>
          <w:p w14:paraId="6FB2ADB5" w14:textId="77777777" w:rsidR="00B61E64" w:rsidRDefault="00186C9F">
            <w:pPr>
              <w:spacing w:line="240" w:lineRule="auto"/>
            </w:pPr>
            <w:r>
              <w:t>3</w:t>
            </w:r>
          </w:p>
        </w:tc>
        <w:tc>
          <w:tcPr>
            <w:tcW w:w="2256" w:type="dxa"/>
          </w:tcPr>
          <w:p w14:paraId="34BEE361" w14:textId="77777777" w:rsidR="00B61E64" w:rsidRDefault="00186C9F">
            <w:pPr>
              <w:spacing w:line="240" w:lineRule="auto"/>
            </w:pPr>
            <w:r>
              <w:t xml:space="preserve">More complex than robot-only; uncertainty remains until mock-up </w:t>
            </w:r>
            <w:r>
              <w:lastRenderedPageBreak/>
              <w:t>and supplier design review.</w:t>
            </w:r>
          </w:p>
        </w:tc>
      </w:tr>
      <w:tr w:rsidR="00B61E64" w14:paraId="61177E98" w14:textId="77777777">
        <w:trPr>
          <w:jc w:val="center"/>
        </w:trPr>
        <w:tc>
          <w:tcPr>
            <w:tcW w:w="2256" w:type="dxa"/>
          </w:tcPr>
          <w:p w14:paraId="3629A599" w14:textId="77777777" w:rsidR="00B61E64" w:rsidRDefault="00186C9F">
            <w:pPr>
              <w:spacing w:line="240" w:lineRule="auto"/>
            </w:pPr>
            <w:r>
              <w:t>Option 4: Fully automated steel and EAF vertical slag sampling</w:t>
            </w:r>
          </w:p>
        </w:tc>
        <w:tc>
          <w:tcPr>
            <w:tcW w:w="2256" w:type="dxa"/>
          </w:tcPr>
          <w:p w14:paraId="76C2AFE0" w14:textId="77777777" w:rsidR="00B61E64" w:rsidRDefault="00186C9F">
            <w:pPr>
              <w:spacing w:line="240" w:lineRule="auto"/>
            </w:pPr>
            <w:r>
              <w:t>Safety risk reduction</w:t>
            </w:r>
          </w:p>
        </w:tc>
        <w:tc>
          <w:tcPr>
            <w:tcW w:w="2256" w:type="dxa"/>
          </w:tcPr>
          <w:p w14:paraId="25E227A7" w14:textId="77777777" w:rsidR="00B61E64" w:rsidRDefault="00186C9F">
            <w:pPr>
              <w:spacing w:line="240" w:lineRule="auto"/>
            </w:pPr>
            <w:r>
              <w:t>5</w:t>
            </w:r>
          </w:p>
        </w:tc>
        <w:tc>
          <w:tcPr>
            <w:tcW w:w="2256" w:type="dxa"/>
          </w:tcPr>
          <w:p w14:paraId="7017EE22" w14:textId="77777777" w:rsidR="00B61E64" w:rsidRDefault="00186C9F">
            <w:pPr>
              <w:spacing w:line="240" w:lineRule="auto"/>
            </w:pPr>
            <w:r>
              <w:t>Highest theoretical exposure reduction if proven and reliable.</w:t>
            </w:r>
          </w:p>
        </w:tc>
      </w:tr>
      <w:tr w:rsidR="00B61E64" w14:paraId="42498B65" w14:textId="77777777">
        <w:trPr>
          <w:jc w:val="center"/>
        </w:trPr>
        <w:tc>
          <w:tcPr>
            <w:tcW w:w="2256" w:type="dxa"/>
          </w:tcPr>
          <w:p w14:paraId="5D606ACD" w14:textId="77777777" w:rsidR="00B61E64" w:rsidRDefault="00186C9F">
            <w:pPr>
              <w:spacing w:line="240" w:lineRule="auto"/>
            </w:pPr>
            <w:r>
              <w:t>Option 4: Fully automated steel and EAF vertical slag sampling</w:t>
            </w:r>
          </w:p>
        </w:tc>
        <w:tc>
          <w:tcPr>
            <w:tcW w:w="2256" w:type="dxa"/>
          </w:tcPr>
          <w:p w14:paraId="56EE35A7" w14:textId="77777777" w:rsidR="00B61E64" w:rsidRDefault="00186C9F">
            <w:pPr>
              <w:spacing w:line="240" w:lineRule="auto"/>
            </w:pPr>
            <w:r>
              <w:t>Sampling repeatability/quality</w:t>
            </w:r>
          </w:p>
        </w:tc>
        <w:tc>
          <w:tcPr>
            <w:tcW w:w="2256" w:type="dxa"/>
          </w:tcPr>
          <w:p w14:paraId="0B8D3930" w14:textId="77777777" w:rsidR="00B61E64" w:rsidRDefault="00186C9F">
            <w:pPr>
              <w:spacing w:line="240" w:lineRule="auto"/>
            </w:pPr>
            <w:r>
              <w:t>5</w:t>
            </w:r>
          </w:p>
        </w:tc>
        <w:tc>
          <w:tcPr>
            <w:tcW w:w="2256" w:type="dxa"/>
          </w:tcPr>
          <w:p w14:paraId="43D7A108" w14:textId="77777777" w:rsidR="00B61E64" w:rsidRDefault="00186C9F">
            <w:pPr>
              <w:spacing w:line="240" w:lineRule="auto"/>
            </w:pPr>
            <w:r>
              <w:t>Potentially best repeatability if representative slag sampling can be achieved.</w:t>
            </w:r>
          </w:p>
        </w:tc>
      </w:tr>
      <w:tr w:rsidR="00B61E64" w14:paraId="14347EC6" w14:textId="77777777">
        <w:trPr>
          <w:jc w:val="center"/>
        </w:trPr>
        <w:tc>
          <w:tcPr>
            <w:tcW w:w="2256" w:type="dxa"/>
          </w:tcPr>
          <w:p w14:paraId="1A757337" w14:textId="77777777" w:rsidR="00B61E64" w:rsidRDefault="00186C9F">
            <w:pPr>
              <w:spacing w:line="240" w:lineRule="auto"/>
            </w:pPr>
            <w:r>
              <w:t>Option 4: Fully automated steel and EAF vertical slag sampling</w:t>
            </w:r>
          </w:p>
        </w:tc>
        <w:tc>
          <w:tcPr>
            <w:tcW w:w="2256" w:type="dxa"/>
          </w:tcPr>
          <w:p w14:paraId="26D1D06F" w14:textId="77777777" w:rsidR="00B61E64" w:rsidRDefault="00186C9F">
            <w:pPr>
              <w:spacing w:line="240" w:lineRule="auto"/>
            </w:pPr>
            <w:r>
              <w:t>Technical maturity</w:t>
            </w:r>
          </w:p>
        </w:tc>
        <w:tc>
          <w:tcPr>
            <w:tcW w:w="2256" w:type="dxa"/>
          </w:tcPr>
          <w:p w14:paraId="5A3608CA" w14:textId="77777777" w:rsidR="00B61E64" w:rsidRDefault="00186C9F">
            <w:pPr>
              <w:spacing w:line="240" w:lineRule="auto"/>
            </w:pPr>
            <w:r>
              <w:t>2</w:t>
            </w:r>
          </w:p>
        </w:tc>
        <w:tc>
          <w:tcPr>
            <w:tcW w:w="2256" w:type="dxa"/>
          </w:tcPr>
          <w:p w14:paraId="65FC1EBF" w14:textId="77777777" w:rsidR="00B61E64" w:rsidRDefault="00186C9F">
            <w:pPr>
              <w:spacing w:line="240" w:lineRule="auto"/>
            </w:pPr>
            <w:r>
              <w:t>Available evidence does not confirm production-ready automated vertical EAF slag sampling for this installation.</w:t>
            </w:r>
          </w:p>
        </w:tc>
      </w:tr>
      <w:tr w:rsidR="00B61E64" w14:paraId="0B5EBD51" w14:textId="77777777">
        <w:trPr>
          <w:jc w:val="center"/>
        </w:trPr>
        <w:tc>
          <w:tcPr>
            <w:tcW w:w="2256" w:type="dxa"/>
          </w:tcPr>
          <w:p w14:paraId="3CF02F4C" w14:textId="77777777" w:rsidR="00B61E64" w:rsidRDefault="00186C9F">
            <w:pPr>
              <w:spacing w:line="240" w:lineRule="auto"/>
            </w:pPr>
            <w:r>
              <w:t>Option 4: Fully automated steel and EAF vertical slag sampling</w:t>
            </w:r>
          </w:p>
        </w:tc>
        <w:tc>
          <w:tcPr>
            <w:tcW w:w="2256" w:type="dxa"/>
          </w:tcPr>
          <w:p w14:paraId="65534761" w14:textId="77777777" w:rsidR="00B61E64" w:rsidRDefault="00186C9F">
            <w:pPr>
              <w:spacing w:line="240" w:lineRule="auto"/>
            </w:pPr>
            <w:r>
              <w:t>Integration with Project Invictus</w:t>
            </w:r>
          </w:p>
        </w:tc>
        <w:tc>
          <w:tcPr>
            <w:tcW w:w="2256" w:type="dxa"/>
          </w:tcPr>
          <w:p w14:paraId="46E64D19" w14:textId="77777777" w:rsidR="00B61E64" w:rsidRDefault="00186C9F">
            <w:pPr>
              <w:spacing w:line="240" w:lineRule="auto"/>
            </w:pPr>
            <w:r>
              <w:t>2</w:t>
            </w:r>
          </w:p>
        </w:tc>
        <w:tc>
          <w:tcPr>
            <w:tcW w:w="2256" w:type="dxa"/>
          </w:tcPr>
          <w:p w14:paraId="0C289166" w14:textId="77777777" w:rsidR="00B61E64" w:rsidRDefault="00186C9F">
            <w:pPr>
              <w:spacing w:line="240" w:lineRule="auto"/>
            </w:pPr>
            <w:r>
              <w:t>New tool, reach, heat protection, slag-level logic and collision envelope would be major design issues.</w:t>
            </w:r>
          </w:p>
        </w:tc>
      </w:tr>
      <w:tr w:rsidR="00B61E64" w14:paraId="5463C736" w14:textId="77777777">
        <w:trPr>
          <w:jc w:val="center"/>
        </w:trPr>
        <w:tc>
          <w:tcPr>
            <w:tcW w:w="2256" w:type="dxa"/>
          </w:tcPr>
          <w:p w14:paraId="4C9175F0" w14:textId="77777777" w:rsidR="00B61E64" w:rsidRDefault="00186C9F">
            <w:pPr>
              <w:spacing w:line="240" w:lineRule="auto"/>
            </w:pPr>
            <w:r>
              <w:t>Option 4: Fully automated steel and EAF vertical slag sampling</w:t>
            </w:r>
          </w:p>
        </w:tc>
        <w:tc>
          <w:tcPr>
            <w:tcW w:w="2256" w:type="dxa"/>
          </w:tcPr>
          <w:p w14:paraId="036643CB" w14:textId="77777777" w:rsidR="00B61E64" w:rsidRDefault="00186C9F">
            <w:pPr>
              <w:spacing w:line="240" w:lineRule="auto"/>
            </w:pPr>
            <w:r>
              <w:t>Turnaround/process value</w:t>
            </w:r>
          </w:p>
        </w:tc>
        <w:tc>
          <w:tcPr>
            <w:tcW w:w="2256" w:type="dxa"/>
          </w:tcPr>
          <w:p w14:paraId="054380CA" w14:textId="77777777" w:rsidR="00B61E64" w:rsidRDefault="00186C9F">
            <w:pPr>
              <w:spacing w:line="240" w:lineRule="auto"/>
            </w:pPr>
            <w:r>
              <w:t>5</w:t>
            </w:r>
          </w:p>
        </w:tc>
        <w:tc>
          <w:tcPr>
            <w:tcW w:w="2256" w:type="dxa"/>
          </w:tcPr>
          <w:p w14:paraId="09B08826" w14:textId="77777777" w:rsidR="00B61E64" w:rsidRDefault="00186C9F">
            <w:pPr>
              <w:spacing w:line="240" w:lineRule="auto"/>
            </w:pPr>
            <w:r>
              <w:t>High process-control value if samples are representative and available quickly.</w:t>
            </w:r>
          </w:p>
        </w:tc>
      </w:tr>
      <w:tr w:rsidR="00B61E64" w14:paraId="2F199530" w14:textId="77777777">
        <w:trPr>
          <w:jc w:val="center"/>
        </w:trPr>
        <w:tc>
          <w:tcPr>
            <w:tcW w:w="2256" w:type="dxa"/>
          </w:tcPr>
          <w:p w14:paraId="12DE3F4E" w14:textId="77777777" w:rsidR="00B61E64" w:rsidRDefault="00186C9F">
            <w:pPr>
              <w:spacing w:line="240" w:lineRule="auto"/>
            </w:pPr>
            <w:r>
              <w:t>Option 4: Fully automated steel and EAF vertical slag sampling</w:t>
            </w:r>
          </w:p>
        </w:tc>
        <w:tc>
          <w:tcPr>
            <w:tcW w:w="2256" w:type="dxa"/>
          </w:tcPr>
          <w:p w14:paraId="732F6142" w14:textId="77777777" w:rsidR="00B61E64" w:rsidRDefault="00186C9F">
            <w:pPr>
              <w:spacing w:line="240" w:lineRule="auto"/>
            </w:pPr>
            <w:r>
              <w:t>Maintainability/resilience</w:t>
            </w:r>
          </w:p>
        </w:tc>
        <w:tc>
          <w:tcPr>
            <w:tcW w:w="2256" w:type="dxa"/>
          </w:tcPr>
          <w:p w14:paraId="7BB31D94" w14:textId="77777777" w:rsidR="00B61E64" w:rsidRDefault="00186C9F">
            <w:pPr>
              <w:spacing w:line="240" w:lineRule="auto"/>
            </w:pPr>
            <w:r>
              <w:t>2</w:t>
            </w:r>
          </w:p>
        </w:tc>
        <w:tc>
          <w:tcPr>
            <w:tcW w:w="2256" w:type="dxa"/>
          </w:tcPr>
          <w:p w14:paraId="2182B9AB" w14:textId="77777777" w:rsidR="00B61E64" w:rsidRDefault="00186C9F">
            <w:pPr>
              <w:spacing w:line="240" w:lineRule="auto"/>
            </w:pPr>
            <w:r>
              <w:t>High abnormal-operation complexity: failed slag probes, contamination, heat damage and recovery.</w:t>
            </w:r>
          </w:p>
        </w:tc>
      </w:tr>
      <w:tr w:rsidR="00B61E64" w14:paraId="6C69AEEE" w14:textId="77777777">
        <w:trPr>
          <w:jc w:val="center"/>
        </w:trPr>
        <w:tc>
          <w:tcPr>
            <w:tcW w:w="2256" w:type="dxa"/>
          </w:tcPr>
          <w:p w14:paraId="037D1188" w14:textId="77777777" w:rsidR="00B61E64" w:rsidRDefault="00186C9F">
            <w:pPr>
              <w:spacing w:line="240" w:lineRule="auto"/>
            </w:pPr>
            <w:r>
              <w:t>Option 4: Fully automated steel and EAF vertical slag sampling</w:t>
            </w:r>
          </w:p>
        </w:tc>
        <w:tc>
          <w:tcPr>
            <w:tcW w:w="2256" w:type="dxa"/>
          </w:tcPr>
          <w:p w14:paraId="70163FA2" w14:textId="77777777" w:rsidR="00B61E64" w:rsidRDefault="00186C9F">
            <w:pPr>
              <w:spacing w:line="240" w:lineRule="auto"/>
            </w:pPr>
            <w:r>
              <w:t>Cost/programme certainty</w:t>
            </w:r>
          </w:p>
        </w:tc>
        <w:tc>
          <w:tcPr>
            <w:tcW w:w="2256" w:type="dxa"/>
          </w:tcPr>
          <w:p w14:paraId="209410A8" w14:textId="77777777" w:rsidR="00B61E64" w:rsidRDefault="00186C9F">
            <w:pPr>
              <w:spacing w:line="240" w:lineRule="auto"/>
            </w:pPr>
            <w:r>
              <w:t>1</w:t>
            </w:r>
          </w:p>
        </w:tc>
        <w:tc>
          <w:tcPr>
            <w:tcW w:w="2256" w:type="dxa"/>
          </w:tcPr>
          <w:p w14:paraId="6B4FB899" w14:textId="77777777" w:rsidR="00B61E64" w:rsidRDefault="00186C9F">
            <w:pPr>
              <w:spacing w:line="240" w:lineRule="auto"/>
            </w:pPr>
            <w:r>
              <w:t>Highest uncertainty and highest risk of programme/design-freeze impact.</w:t>
            </w:r>
          </w:p>
        </w:tc>
      </w:tr>
      <w:tr w:rsidR="00B61E64" w14:paraId="219C45D4" w14:textId="77777777">
        <w:trPr>
          <w:jc w:val="center"/>
        </w:trPr>
        <w:tc>
          <w:tcPr>
            <w:tcW w:w="2256" w:type="dxa"/>
          </w:tcPr>
          <w:p w14:paraId="2D68C923" w14:textId="77777777" w:rsidR="00B61E64" w:rsidRDefault="00186C9F">
            <w:pPr>
              <w:spacing w:line="240" w:lineRule="auto"/>
            </w:pPr>
            <w:r>
              <w:t>Option 5: Staged slag strategy with proven steel sampling and future slag trials</w:t>
            </w:r>
          </w:p>
        </w:tc>
        <w:tc>
          <w:tcPr>
            <w:tcW w:w="2256" w:type="dxa"/>
          </w:tcPr>
          <w:p w14:paraId="27F9141D" w14:textId="77777777" w:rsidR="00B61E64" w:rsidRDefault="00186C9F">
            <w:pPr>
              <w:spacing w:line="240" w:lineRule="auto"/>
            </w:pPr>
            <w:r>
              <w:t>Safety risk reduction</w:t>
            </w:r>
          </w:p>
        </w:tc>
        <w:tc>
          <w:tcPr>
            <w:tcW w:w="2256" w:type="dxa"/>
          </w:tcPr>
          <w:p w14:paraId="1985728E" w14:textId="77777777" w:rsidR="00B61E64" w:rsidRDefault="00186C9F">
            <w:pPr>
              <w:spacing w:line="240" w:lineRule="auto"/>
            </w:pPr>
            <w:r>
              <w:t>5</w:t>
            </w:r>
          </w:p>
        </w:tc>
        <w:tc>
          <w:tcPr>
            <w:tcW w:w="2256" w:type="dxa"/>
          </w:tcPr>
          <w:p w14:paraId="2F887925" w14:textId="77777777" w:rsidR="00B61E64" w:rsidRDefault="00186C9F">
            <w:pPr>
              <w:spacing w:line="240" w:lineRule="auto"/>
            </w:pPr>
            <w:r>
              <w:t>Captures immediate robot steel sampling benefit while avoiding premature reliance on unproven EAF slag automation.</w:t>
            </w:r>
          </w:p>
        </w:tc>
      </w:tr>
      <w:tr w:rsidR="00B61E64" w14:paraId="40BD8880" w14:textId="77777777">
        <w:trPr>
          <w:jc w:val="center"/>
        </w:trPr>
        <w:tc>
          <w:tcPr>
            <w:tcW w:w="2256" w:type="dxa"/>
          </w:tcPr>
          <w:p w14:paraId="032F9123" w14:textId="77777777" w:rsidR="00B61E64" w:rsidRDefault="00186C9F">
            <w:pPr>
              <w:spacing w:line="240" w:lineRule="auto"/>
            </w:pPr>
            <w:r>
              <w:t>Option 5: Staged slag strategy with proven steel sampling and future slag trials</w:t>
            </w:r>
          </w:p>
        </w:tc>
        <w:tc>
          <w:tcPr>
            <w:tcW w:w="2256" w:type="dxa"/>
          </w:tcPr>
          <w:p w14:paraId="52DFAB41" w14:textId="77777777" w:rsidR="00B61E64" w:rsidRDefault="00186C9F">
            <w:pPr>
              <w:spacing w:line="240" w:lineRule="auto"/>
            </w:pPr>
            <w:r>
              <w:t>Sampling repeatability/quality</w:t>
            </w:r>
          </w:p>
        </w:tc>
        <w:tc>
          <w:tcPr>
            <w:tcW w:w="2256" w:type="dxa"/>
          </w:tcPr>
          <w:p w14:paraId="69B9B7A7" w14:textId="77777777" w:rsidR="00B61E64" w:rsidRDefault="00186C9F">
            <w:pPr>
              <w:spacing w:line="240" w:lineRule="auto"/>
            </w:pPr>
            <w:r>
              <w:t>4</w:t>
            </w:r>
          </w:p>
        </w:tc>
        <w:tc>
          <w:tcPr>
            <w:tcW w:w="2256" w:type="dxa"/>
          </w:tcPr>
          <w:p w14:paraId="14C766C0" w14:textId="77777777" w:rsidR="00B61E64" w:rsidRDefault="00186C9F">
            <w:pPr>
              <w:spacing w:line="240" w:lineRule="auto"/>
            </w:pPr>
            <w:r>
              <w:t>Improves steel sampling and creates a controlled development path for slag data quality.</w:t>
            </w:r>
          </w:p>
        </w:tc>
      </w:tr>
      <w:tr w:rsidR="00B61E64" w14:paraId="6E5A0EFA" w14:textId="77777777">
        <w:trPr>
          <w:jc w:val="center"/>
        </w:trPr>
        <w:tc>
          <w:tcPr>
            <w:tcW w:w="2256" w:type="dxa"/>
          </w:tcPr>
          <w:p w14:paraId="422A6B8B" w14:textId="77777777" w:rsidR="00B61E64" w:rsidRDefault="00186C9F">
            <w:pPr>
              <w:spacing w:line="240" w:lineRule="auto"/>
            </w:pPr>
            <w:r>
              <w:t>Option 5: Staged slag strategy with proven steel sampling and future slag trials</w:t>
            </w:r>
          </w:p>
        </w:tc>
        <w:tc>
          <w:tcPr>
            <w:tcW w:w="2256" w:type="dxa"/>
          </w:tcPr>
          <w:p w14:paraId="706C938D" w14:textId="77777777" w:rsidR="00B61E64" w:rsidRDefault="00186C9F">
            <w:pPr>
              <w:spacing w:line="240" w:lineRule="auto"/>
            </w:pPr>
            <w:r>
              <w:t>Technical maturity</w:t>
            </w:r>
          </w:p>
        </w:tc>
        <w:tc>
          <w:tcPr>
            <w:tcW w:w="2256" w:type="dxa"/>
          </w:tcPr>
          <w:p w14:paraId="1065832F" w14:textId="77777777" w:rsidR="00B61E64" w:rsidRDefault="00186C9F">
            <w:pPr>
              <w:spacing w:line="240" w:lineRule="auto"/>
            </w:pPr>
            <w:r>
              <w:t>4</w:t>
            </w:r>
          </w:p>
        </w:tc>
        <w:tc>
          <w:tcPr>
            <w:tcW w:w="2256" w:type="dxa"/>
          </w:tcPr>
          <w:p w14:paraId="21665866" w14:textId="77777777" w:rsidR="00B61E64" w:rsidRDefault="00186C9F">
            <w:pPr>
              <w:spacing w:line="240" w:lineRule="auto"/>
            </w:pPr>
            <w:r>
              <w:t>Uses mature elements first and defers immature EAF vertical slag automation to trials.</w:t>
            </w:r>
          </w:p>
        </w:tc>
      </w:tr>
      <w:tr w:rsidR="00B61E64" w14:paraId="2AF5C917" w14:textId="77777777">
        <w:trPr>
          <w:jc w:val="center"/>
        </w:trPr>
        <w:tc>
          <w:tcPr>
            <w:tcW w:w="2256" w:type="dxa"/>
          </w:tcPr>
          <w:p w14:paraId="0FFD896E" w14:textId="77777777" w:rsidR="00B61E64" w:rsidRDefault="00186C9F">
            <w:pPr>
              <w:spacing w:line="240" w:lineRule="auto"/>
            </w:pPr>
            <w:r>
              <w:t xml:space="preserve">Option 5: Staged slag strategy with proven steel </w:t>
            </w:r>
            <w:r>
              <w:lastRenderedPageBreak/>
              <w:t>sampling and future slag trials</w:t>
            </w:r>
          </w:p>
        </w:tc>
        <w:tc>
          <w:tcPr>
            <w:tcW w:w="2256" w:type="dxa"/>
          </w:tcPr>
          <w:p w14:paraId="0C8DF723" w14:textId="77777777" w:rsidR="00B61E64" w:rsidRDefault="00186C9F">
            <w:pPr>
              <w:spacing w:line="240" w:lineRule="auto"/>
            </w:pPr>
            <w:r>
              <w:lastRenderedPageBreak/>
              <w:t>Integration with Project Invictus</w:t>
            </w:r>
          </w:p>
        </w:tc>
        <w:tc>
          <w:tcPr>
            <w:tcW w:w="2256" w:type="dxa"/>
          </w:tcPr>
          <w:p w14:paraId="3D4EB9B4" w14:textId="77777777" w:rsidR="00B61E64" w:rsidRDefault="00186C9F">
            <w:pPr>
              <w:spacing w:line="240" w:lineRule="auto"/>
            </w:pPr>
            <w:r>
              <w:t>4</w:t>
            </w:r>
          </w:p>
        </w:tc>
        <w:tc>
          <w:tcPr>
            <w:tcW w:w="2256" w:type="dxa"/>
          </w:tcPr>
          <w:p w14:paraId="10370CE1" w14:textId="77777777" w:rsidR="00B61E64" w:rsidRDefault="00186C9F">
            <w:pPr>
              <w:spacing w:line="240" w:lineRule="auto"/>
            </w:pPr>
            <w:r>
              <w:t xml:space="preserve">Fits current project constraints while </w:t>
            </w:r>
            <w:r>
              <w:lastRenderedPageBreak/>
              <w:t>preserving future development options.</w:t>
            </w:r>
          </w:p>
        </w:tc>
      </w:tr>
      <w:tr w:rsidR="00B61E64" w14:paraId="11932F75" w14:textId="77777777">
        <w:trPr>
          <w:jc w:val="center"/>
        </w:trPr>
        <w:tc>
          <w:tcPr>
            <w:tcW w:w="2256" w:type="dxa"/>
          </w:tcPr>
          <w:p w14:paraId="3230376C" w14:textId="77777777" w:rsidR="00B61E64" w:rsidRDefault="00186C9F">
            <w:pPr>
              <w:spacing w:line="240" w:lineRule="auto"/>
            </w:pPr>
            <w:r>
              <w:t>Option 5: Staged slag strategy with proven steel sampling and future slag trials</w:t>
            </w:r>
          </w:p>
        </w:tc>
        <w:tc>
          <w:tcPr>
            <w:tcW w:w="2256" w:type="dxa"/>
          </w:tcPr>
          <w:p w14:paraId="7ECAE952" w14:textId="77777777" w:rsidR="00B61E64" w:rsidRDefault="00186C9F">
            <w:pPr>
              <w:spacing w:line="240" w:lineRule="auto"/>
            </w:pPr>
            <w:r>
              <w:t>Turnaround/process value</w:t>
            </w:r>
          </w:p>
        </w:tc>
        <w:tc>
          <w:tcPr>
            <w:tcW w:w="2256" w:type="dxa"/>
          </w:tcPr>
          <w:p w14:paraId="4965ECBE" w14:textId="77777777" w:rsidR="00B61E64" w:rsidRDefault="00186C9F">
            <w:pPr>
              <w:spacing w:line="240" w:lineRule="auto"/>
            </w:pPr>
            <w:r w:rsidRPr="00276EA3">
              <w:t>5</w:t>
            </w:r>
          </w:p>
        </w:tc>
        <w:tc>
          <w:tcPr>
            <w:tcW w:w="2256" w:type="dxa"/>
          </w:tcPr>
          <w:p w14:paraId="66381BE6" w14:textId="77777777" w:rsidR="00B61E64" w:rsidRDefault="00186C9F">
            <w:pPr>
              <w:spacing w:line="240" w:lineRule="auto"/>
            </w:pPr>
            <w:r>
              <w:t>Strong near-term value from steel sampling/transport and future value from slag development.</w:t>
            </w:r>
          </w:p>
        </w:tc>
      </w:tr>
      <w:tr w:rsidR="00B61E64" w14:paraId="304E8693" w14:textId="77777777">
        <w:trPr>
          <w:jc w:val="center"/>
        </w:trPr>
        <w:tc>
          <w:tcPr>
            <w:tcW w:w="2256" w:type="dxa"/>
          </w:tcPr>
          <w:p w14:paraId="56905A5E" w14:textId="77777777" w:rsidR="00B61E64" w:rsidRDefault="00186C9F">
            <w:pPr>
              <w:spacing w:line="240" w:lineRule="auto"/>
            </w:pPr>
            <w:r>
              <w:t>Option 5: Staged slag strategy with proven steel sampling and future slag trials</w:t>
            </w:r>
          </w:p>
        </w:tc>
        <w:tc>
          <w:tcPr>
            <w:tcW w:w="2256" w:type="dxa"/>
          </w:tcPr>
          <w:p w14:paraId="7AE7B132" w14:textId="77777777" w:rsidR="00B61E64" w:rsidRDefault="00186C9F">
            <w:pPr>
              <w:spacing w:line="240" w:lineRule="auto"/>
            </w:pPr>
            <w:r>
              <w:t>Maintainability/resilience</w:t>
            </w:r>
          </w:p>
        </w:tc>
        <w:tc>
          <w:tcPr>
            <w:tcW w:w="2256" w:type="dxa"/>
          </w:tcPr>
          <w:p w14:paraId="2585BE55" w14:textId="77777777" w:rsidR="00B61E64" w:rsidRDefault="00186C9F">
            <w:pPr>
              <w:spacing w:line="240" w:lineRule="auto"/>
            </w:pPr>
            <w:r>
              <w:t>4</w:t>
            </w:r>
          </w:p>
        </w:tc>
        <w:tc>
          <w:tcPr>
            <w:tcW w:w="2256" w:type="dxa"/>
          </w:tcPr>
          <w:p w14:paraId="16E37D67" w14:textId="77777777" w:rsidR="00B61E64" w:rsidRDefault="00186C9F">
            <w:pPr>
              <w:spacing w:line="240" w:lineRule="auto"/>
            </w:pPr>
            <w:r>
              <w:t>More resilient because fallback and development routes are explicit.</w:t>
            </w:r>
          </w:p>
        </w:tc>
      </w:tr>
      <w:tr w:rsidR="00B61E64" w14:paraId="6B1915A6" w14:textId="77777777">
        <w:trPr>
          <w:jc w:val="center"/>
        </w:trPr>
        <w:tc>
          <w:tcPr>
            <w:tcW w:w="2256" w:type="dxa"/>
          </w:tcPr>
          <w:p w14:paraId="4F8D8B0B" w14:textId="77777777" w:rsidR="00B61E64" w:rsidRDefault="00186C9F">
            <w:pPr>
              <w:spacing w:line="240" w:lineRule="auto"/>
            </w:pPr>
            <w:r>
              <w:t>Option 5: Staged slag strategy with proven steel sampling and future slag trials</w:t>
            </w:r>
          </w:p>
        </w:tc>
        <w:tc>
          <w:tcPr>
            <w:tcW w:w="2256" w:type="dxa"/>
          </w:tcPr>
          <w:p w14:paraId="041C1671" w14:textId="77777777" w:rsidR="00B61E64" w:rsidRDefault="00186C9F">
            <w:pPr>
              <w:spacing w:line="240" w:lineRule="auto"/>
            </w:pPr>
            <w:r>
              <w:t>Cost/programme certainty</w:t>
            </w:r>
          </w:p>
        </w:tc>
        <w:tc>
          <w:tcPr>
            <w:tcW w:w="2256" w:type="dxa"/>
          </w:tcPr>
          <w:p w14:paraId="4495A0AD" w14:textId="77777777" w:rsidR="00B61E64" w:rsidRDefault="00186C9F">
            <w:pPr>
              <w:spacing w:line="240" w:lineRule="auto"/>
            </w:pPr>
            <w:r>
              <w:t>3</w:t>
            </w:r>
          </w:p>
        </w:tc>
        <w:tc>
          <w:tcPr>
            <w:tcW w:w="2256" w:type="dxa"/>
          </w:tcPr>
          <w:p w14:paraId="3B41EC75" w14:textId="77777777" w:rsidR="00B61E64" w:rsidRDefault="00186C9F">
            <w:pPr>
              <w:spacing w:line="240" w:lineRule="auto"/>
            </w:pPr>
            <w:r>
              <w:t xml:space="preserve">Moderate </w:t>
            </w:r>
            <w:proofErr w:type="gramStart"/>
            <w:r>
              <w:t>uncertainty, but</w:t>
            </w:r>
            <w:proofErr w:type="gramEnd"/>
            <w:r>
              <w:t xml:space="preserve"> avoids committing to a high-risk day-one slag solution.</w:t>
            </w:r>
          </w:p>
        </w:tc>
      </w:tr>
      <w:tr w:rsidR="00B61E64" w14:paraId="1F5F5B54" w14:textId="77777777">
        <w:trPr>
          <w:jc w:val="center"/>
        </w:trPr>
        <w:tc>
          <w:tcPr>
            <w:tcW w:w="2256" w:type="dxa"/>
          </w:tcPr>
          <w:p w14:paraId="3C6076A5" w14:textId="77777777" w:rsidR="00B61E64" w:rsidRDefault="00186C9F">
            <w:pPr>
              <w:spacing w:line="240" w:lineRule="auto"/>
            </w:pPr>
            <w:r>
              <w:t>Option 6: Dedicated fixed/telescopic vertical slag sampler</w:t>
            </w:r>
          </w:p>
        </w:tc>
        <w:tc>
          <w:tcPr>
            <w:tcW w:w="2256" w:type="dxa"/>
          </w:tcPr>
          <w:p w14:paraId="5BB45CA6" w14:textId="77777777" w:rsidR="00B61E64" w:rsidRDefault="00186C9F">
            <w:pPr>
              <w:spacing w:line="240" w:lineRule="auto"/>
            </w:pPr>
            <w:r>
              <w:t>Safety risk reduction</w:t>
            </w:r>
          </w:p>
        </w:tc>
        <w:tc>
          <w:tcPr>
            <w:tcW w:w="2256" w:type="dxa"/>
          </w:tcPr>
          <w:p w14:paraId="31533BCD" w14:textId="77777777" w:rsidR="00B61E64" w:rsidRDefault="00186C9F">
            <w:pPr>
              <w:spacing w:line="240" w:lineRule="auto"/>
            </w:pPr>
            <w:r>
              <w:t>4</w:t>
            </w:r>
          </w:p>
        </w:tc>
        <w:tc>
          <w:tcPr>
            <w:tcW w:w="2256" w:type="dxa"/>
          </w:tcPr>
          <w:p w14:paraId="6129E5BD" w14:textId="77777777" w:rsidR="00B61E64" w:rsidRDefault="00186C9F">
            <w:pPr>
              <w:spacing w:line="240" w:lineRule="auto"/>
            </w:pPr>
            <w:r>
              <w:t>Could reduce manual slag exposure if it works, but maintenance and access risks remain.</w:t>
            </w:r>
          </w:p>
        </w:tc>
      </w:tr>
      <w:tr w:rsidR="00B61E64" w14:paraId="4AB9F038" w14:textId="77777777">
        <w:trPr>
          <w:jc w:val="center"/>
        </w:trPr>
        <w:tc>
          <w:tcPr>
            <w:tcW w:w="2256" w:type="dxa"/>
          </w:tcPr>
          <w:p w14:paraId="283F6CED" w14:textId="77777777" w:rsidR="00B61E64" w:rsidRDefault="00186C9F">
            <w:pPr>
              <w:spacing w:line="240" w:lineRule="auto"/>
            </w:pPr>
            <w:r>
              <w:t>Option 6: Dedicated fixed/telescopic vertical slag sampler</w:t>
            </w:r>
          </w:p>
        </w:tc>
        <w:tc>
          <w:tcPr>
            <w:tcW w:w="2256" w:type="dxa"/>
          </w:tcPr>
          <w:p w14:paraId="2442778C" w14:textId="77777777" w:rsidR="00B61E64" w:rsidRDefault="00186C9F">
            <w:pPr>
              <w:spacing w:line="240" w:lineRule="auto"/>
            </w:pPr>
            <w:r>
              <w:t>Sampling repeatability/quality</w:t>
            </w:r>
          </w:p>
        </w:tc>
        <w:tc>
          <w:tcPr>
            <w:tcW w:w="2256" w:type="dxa"/>
          </w:tcPr>
          <w:p w14:paraId="24F0F939" w14:textId="77777777" w:rsidR="00B61E64" w:rsidRDefault="00186C9F">
            <w:pPr>
              <w:spacing w:line="240" w:lineRule="auto"/>
            </w:pPr>
            <w:r>
              <w:t>3</w:t>
            </w:r>
          </w:p>
        </w:tc>
        <w:tc>
          <w:tcPr>
            <w:tcW w:w="2256" w:type="dxa"/>
          </w:tcPr>
          <w:p w14:paraId="4B95BE7F" w14:textId="77777777" w:rsidR="00B61E64" w:rsidRDefault="00186C9F">
            <w:pPr>
              <w:spacing w:line="240" w:lineRule="auto"/>
            </w:pPr>
            <w:r>
              <w:t>Potentially repeatable, but representative slag collection is not proven in the available evidence.</w:t>
            </w:r>
          </w:p>
        </w:tc>
      </w:tr>
      <w:tr w:rsidR="00B61E64" w14:paraId="53B00F28" w14:textId="77777777">
        <w:trPr>
          <w:jc w:val="center"/>
        </w:trPr>
        <w:tc>
          <w:tcPr>
            <w:tcW w:w="2256" w:type="dxa"/>
          </w:tcPr>
          <w:p w14:paraId="5A416544" w14:textId="77777777" w:rsidR="00B61E64" w:rsidRDefault="00186C9F">
            <w:pPr>
              <w:spacing w:line="240" w:lineRule="auto"/>
            </w:pPr>
            <w:r>
              <w:t>Option 6: Dedicated fixed/telescopic vertical slag sampler</w:t>
            </w:r>
          </w:p>
        </w:tc>
        <w:tc>
          <w:tcPr>
            <w:tcW w:w="2256" w:type="dxa"/>
          </w:tcPr>
          <w:p w14:paraId="19D6C223" w14:textId="77777777" w:rsidR="00B61E64" w:rsidRDefault="00186C9F">
            <w:pPr>
              <w:spacing w:line="240" w:lineRule="auto"/>
            </w:pPr>
            <w:r>
              <w:t>Technical maturity</w:t>
            </w:r>
          </w:p>
        </w:tc>
        <w:tc>
          <w:tcPr>
            <w:tcW w:w="2256" w:type="dxa"/>
          </w:tcPr>
          <w:p w14:paraId="5EE289C9" w14:textId="77777777" w:rsidR="00B61E64" w:rsidRDefault="00186C9F">
            <w:pPr>
              <w:spacing w:line="240" w:lineRule="auto"/>
            </w:pPr>
            <w:r>
              <w:t>2</w:t>
            </w:r>
          </w:p>
        </w:tc>
        <w:tc>
          <w:tcPr>
            <w:tcW w:w="2256" w:type="dxa"/>
          </w:tcPr>
          <w:p w14:paraId="33CCD264" w14:textId="77777777" w:rsidR="00B61E64" w:rsidRDefault="00186C9F">
            <w:pPr>
              <w:spacing w:line="240" w:lineRule="auto"/>
            </w:pPr>
            <w:r>
              <w:t>No strong project evidence of a proven, integrated fixed slag sampler for this application.</w:t>
            </w:r>
          </w:p>
        </w:tc>
      </w:tr>
      <w:tr w:rsidR="00B61E64" w14:paraId="4495FD0D" w14:textId="77777777">
        <w:trPr>
          <w:jc w:val="center"/>
        </w:trPr>
        <w:tc>
          <w:tcPr>
            <w:tcW w:w="2256" w:type="dxa"/>
          </w:tcPr>
          <w:p w14:paraId="244260A7" w14:textId="77777777" w:rsidR="00B61E64" w:rsidRDefault="00186C9F">
            <w:pPr>
              <w:spacing w:line="240" w:lineRule="auto"/>
            </w:pPr>
            <w:r>
              <w:t>Option 6: Dedicated fixed/telescopic vertical slag sampler</w:t>
            </w:r>
          </w:p>
        </w:tc>
        <w:tc>
          <w:tcPr>
            <w:tcW w:w="2256" w:type="dxa"/>
          </w:tcPr>
          <w:p w14:paraId="2182A875" w14:textId="77777777" w:rsidR="00B61E64" w:rsidRDefault="00186C9F">
            <w:pPr>
              <w:spacing w:line="240" w:lineRule="auto"/>
            </w:pPr>
            <w:r>
              <w:t>Integration with Project Invictus</w:t>
            </w:r>
          </w:p>
        </w:tc>
        <w:tc>
          <w:tcPr>
            <w:tcW w:w="2256" w:type="dxa"/>
          </w:tcPr>
          <w:p w14:paraId="2C85566A" w14:textId="77777777" w:rsidR="00B61E64" w:rsidRDefault="00186C9F">
            <w:pPr>
              <w:spacing w:line="240" w:lineRule="auto"/>
            </w:pPr>
            <w:r>
              <w:t>2</w:t>
            </w:r>
          </w:p>
        </w:tc>
        <w:tc>
          <w:tcPr>
            <w:tcW w:w="2256" w:type="dxa"/>
          </w:tcPr>
          <w:p w14:paraId="1250E60B" w14:textId="77777777" w:rsidR="00B61E64" w:rsidRDefault="00186C9F">
            <w:pPr>
              <w:spacing w:line="240" w:lineRule="auto"/>
            </w:pPr>
            <w:r>
              <w:t>Independent equipment would require new structure, controls, safeguarding and furnace interface.</w:t>
            </w:r>
          </w:p>
        </w:tc>
      </w:tr>
      <w:tr w:rsidR="00B61E64" w14:paraId="72696127" w14:textId="77777777">
        <w:trPr>
          <w:jc w:val="center"/>
        </w:trPr>
        <w:tc>
          <w:tcPr>
            <w:tcW w:w="2256" w:type="dxa"/>
          </w:tcPr>
          <w:p w14:paraId="4919B962" w14:textId="77777777" w:rsidR="00B61E64" w:rsidRDefault="00186C9F">
            <w:pPr>
              <w:spacing w:line="240" w:lineRule="auto"/>
            </w:pPr>
            <w:r>
              <w:t>Option 6: Dedicated fixed/telescopic vertical slag sampler</w:t>
            </w:r>
          </w:p>
        </w:tc>
        <w:tc>
          <w:tcPr>
            <w:tcW w:w="2256" w:type="dxa"/>
          </w:tcPr>
          <w:p w14:paraId="7AE9C063" w14:textId="77777777" w:rsidR="00B61E64" w:rsidRDefault="00186C9F">
            <w:pPr>
              <w:spacing w:line="240" w:lineRule="auto"/>
            </w:pPr>
            <w:r>
              <w:t>Turnaround/process value</w:t>
            </w:r>
          </w:p>
        </w:tc>
        <w:tc>
          <w:tcPr>
            <w:tcW w:w="2256" w:type="dxa"/>
          </w:tcPr>
          <w:p w14:paraId="7486835B" w14:textId="77777777" w:rsidR="00B61E64" w:rsidRDefault="00186C9F">
            <w:pPr>
              <w:spacing w:line="240" w:lineRule="auto"/>
            </w:pPr>
            <w:r>
              <w:t>3</w:t>
            </w:r>
          </w:p>
        </w:tc>
        <w:tc>
          <w:tcPr>
            <w:tcW w:w="2256" w:type="dxa"/>
          </w:tcPr>
          <w:p w14:paraId="676A41C0" w14:textId="77777777" w:rsidR="00B61E64" w:rsidRDefault="00186C9F">
            <w:pPr>
              <w:spacing w:line="240" w:lineRule="auto"/>
            </w:pPr>
            <w:r>
              <w:t>Could provide slag data, but only if sample success and laboratory process are validated.</w:t>
            </w:r>
          </w:p>
        </w:tc>
      </w:tr>
      <w:tr w:rsidR="00B61E64" w14:paraId="19D97B25" w14:textId="77777777">
        <w:trPr>
          <w:jc w:val="center"/>
        </w:trPr>
        <w:tc>
          <w:tcPr>
            <w:tcW w:w="2256" w:type="dxa"/>
          </w:tcPr>
          <w:p w14:paraId="4FC0FF6A" w14:textId="77777777" w:rsidR="00B61E64" w:rsidRDefault="00186C9F">
            <w:pPr>
              <w:spacing w:line="240" w:lineRule="auto"/>
            </w:pPr>
            <w:r>
              <w:t>Option 6: Dedicated fixed/telescopic vertical slag sampler</w:t>
            </w:r>
          </w:p>
        </w:tc>
        <w:tc>
          <w:tcPr>
            <w:tcW w:w="2256" w:type="dxa"/>
          </w:tcPr>
          <w:p w14:paraId="3A137514" w14:textId="77777777" w:rsidR="00B61E64" w:rsidRDefault="00186C9F">
            <w:pPr>
              <w:spacing w:line="240" w:lineRule="auto"/>
            </w:pPr>
            <w:r>
              <w:t>Maintainability/resilience</w:t>
            </w:r>
          </w:p>
        </w:tc>
        <w:tc>
          <w:tcPr>
            <w:tcW w:w="2256" w:type="dxa"/>
          </w:tcPr>
          <w:p w14:paraId="177F4581" w14:textId="77777777" w:rsidR="00B61E64" w:rsidRDefault="00186C9F">
            <w:pPr>
              <w:spacing w:line="240" w:lineRule="auto"/>
            </w:pPr>
            <w:r>
              <w:t>2</w:t>
            </w:r>
          </w:p>
        </w:tc>
        <w:tc>
          <w:tcPr>
            <w:tcW w:w="2256" w:type="dxa"/>
          </w:tcPr>
          <w:p w14:paraId="089A130C" w14:textId="77777777" w:rsidR="00B61E64" w:rsidRDefault="00186C9F">
            <w:pPr>
              <w:spacing w:line="240" w:lineRule="auto"/>
            </w:pPr>
            <w:r>
              <w:t>Likely exposed to heat, dust and slag build-up; recovery/cleaning could be difficult.</w:t>
            </w:r>
          </w:p>
        </w:tc>
      </w:tr>
      <w:tr w:rsidR="00B61E64" w14:paraId="52DA24C4" w14:textId="77777777">
        <w:trPr>
          <w:jc w:val="center"/>
        </w:trPr>
        <w:tc>
          <w:tcPr>
            <w:tcW w:w="2256" w:type="dxa"/>
          </w:tcPr>
          <w:p w14:paraId="4755EE5E" w14:textId="77777777" w:rsidR="00B61E64" w:rsidRDefault="00186C9F">
            <w:pPr>
              <w:spacing w:line="240" w:lineRule="auto"/>
            </w:pPr>
            <w:r>
              <w:t>Option 6: Dedicated fixed/telescopic vertical slag sampler</w:t>
            </w:r>
          </w:p>
        </w:tc>
        <w:tc>
          <w:tcPr>
            <w:tcW w:w="2256" w:type="dxa"/>
          </w:tcPr>
          <w:p w14:paraId="46A66144" w14:textId="77777777" w:rsidR="00B61E64" w:rsidRDefault="00186C9F">
            <w:pPr>
              <w:spacing w:line="240" w:lineRule="auto"/>
            </w:pPr>
            <w:r>
              <w:t>Cost/programme certainty</w:t>
            </w:r>
          </w:p>
        </w:tc>
        <w:tc>
          <w:tcPr>
            <w:tcW w:w="2256" w:type="dxa"/>
          </w:tcPr>
          <w:p w14:paraId="77EE54BA" w14:textId="77777777" w:rsidR="00B61E64" w:rsidRDefault="00186C9F">
            <w:pPr>
              <w:spacing w:line="240" w:lineRule="auto"/>
            </w:pPr>
            <w:r>
              <w:t>2</w:t>
            </w:r>
          </w:p>
        </w:tc>
        <w:tc>
          <w:tcPr>
            <w:tcW w:w="2256" w:type="dxa"/>
          </w:tcPr>
          <w:p w14:paraId="0D355A69" w14:textId="77777777" w:rsidR="00B61E64" w:rsidRDefault="00186C9F">
            <w:pPr>
              <w:spacing w:line="240" w:lineRule="auto"/>
            </w:pPr>
            <w:r>
              <w:t>Additional equipment and unclear maturity create programme and cost uncertainty.</w:t>
            </w:r>
          </w:p>
        </w:tc>
      </w:tr>
    </w:tbl>
    <w:p w14:paraId="15C15D01" w14:textId="77777777" w:rsidR="00B61E64" w:rsidRDefault="00B61E64"/>
    <w:p w14:paraId="3619B51F" w14:textId="77777777" w:rsidR="00B61E64" w:rsidRDefault="00186C9F">
      <w:pPr>
        <w:pStyle w:val="Heading2"/>
      </w:pPr>
      <w:bookmarkStart w:id="180" w:name="_Toc234060445"/>
      <w:bookmarkStart w:id="181" w:name="_Toc234699566"/>
      <w:r>
        <w:lastRenderedPageBreak/>
        <w:t>Appendix H: Preliminary Validation Plan</w:t>
      </w:r>
      <w:bookmarkEnd w:id="180"/>
      <w:bookmarkEnd w:id="181"/>
    </w:p>
    <w:p w14:paraId="1346443A" w14:textId="77777777" w:rsidR="00B61E64" w:rsidRDefault="00186C9F">
      <w:pPr>
        <w:jc w:val="both"/>
      </w:pPr>
      <w:r>
        <w:t>The preliminary validation plan identifies the tests and checks required before the recommended strategy could be relied upon in production. These activities are further work and should not be represented as completed project trials.</w:t>
      </w:r>
    </w:p>
    <w:p w14:paraId="09B41002" w14:textId="77777777" w:rsidR="00CE3E6A" w:rsidRDefault="00CE3E6A" w:rsidP="00CE3E6A">
      <w:pPr>
        <w:pStyle w:val="Caption"/>
        <w:keepNext/>
        <w:jc w:val="center"/>
      </w:pPr>
      <w:bookmarkStart w:id="182" w:name="_Toc234530043"/>
      <w:r>
        <w:t xml:space="preserve">Table </w:t>
      </w:r>
      <w:fldSimple w:instr=" SEQ Table \* ARABIC ">
        <w:r>
          <w:rPr>
            <w:noProof/>
          </w:rPr>
          <w:t>15</w:t>
        </w:r>
      </w:fldSimple>
      <w:r>
        <w:t>: Preliminary validation plan</w:t>
      </w:r>
      <w:bookmarkEnd w:id="182"/>
    </w:p>
    <w:tbl>
      <w:tblPr>
        <w:tblStyle w:val="TableGrid"/>
        <w:tblW w:w="0" w:type="auto"/>
        <w:jc w:val="center"/>
        <w:tblLook w:val="04A0" w:firstRow="1" w:lastRow="0" w:firstColumn="1" w:lastColumn="0" w:noHBand="0" w:noVBand="1"/>
      </w:tblPr>
      <w:tblGrid>
        <w:gridCol w:w="1898"/>
        <w:gridCol w:w="2822"/>
        <w:gridCol w:w="2381"/>
        <w:gridCol w:w="1915"/>
      </w:tblGrid>
      <w:tr w:rsidR="00B61E64" w14:paraId="18BBB348" w14:textId="77777777" w:rsidTr="00567108">
        <w:trPr>
          <w:jc w:val="center"/>
        </w:trPr>
        <w:tc>
          <w:tcPr>
            <w:tcW w:w="2256" w:type="dxa"/>
            <w:shd w:val="clear" w:color="auto" w:fill="D9D9D9" w:themeFill="background1" w:themeFillShade="D9"/>
          </w:tcPr>
          <w:p w14:paraId="5BD6D346" w14:textId="77777777" w:rsidR="00B61E64" w:rsidRPr="00567108" w:rsidRDefault="00186C9F" w:rsidP="00567108">
            <w:pPr>
              <w:spacing w:line="240" w:lineRule="auto"/>
              <w:jc w:val="center"/>
              <w:rPr>
                <w:b/>
                <w:bCs/>
              </w:rPr>
            </w:pPr>
            <w:r>
              <w:rPr>
                <w:b/>
                <w:bCs/>
              </w:rPr>
              <w:t>Validation activity</w:t>
            </w:r>
          </w:p>
        </w:tc>
        <w:tc>
          <w:tcPr>
            <w:tcW w:w="2256" w:type="dxa"/>
            <w:shd w:val="clear" w:color="auto" w:fill="D9D9D9" w:themeFill="background1" w:themeFillShade="D9"/>
          </w:tcPr>
          <w:p w14:paraId="5B740742" w14:textId="77777777" w:rsidR="00B61E64" w:rsidRPr="00567108" w:rsidRDefault="00186C9F" w:rsidP="00567108">
            <w:pPr>
              <w:spacing w:line="240" w:lineRule="auto"/>
              <w:jc w:val="center"/>
              <w:rPr>
                <w:b/>
                <w:bCs/>
              </w:rPr>
            </w:pPr>
            <w:r>
              <w:rPr>
                <w:b/>
                <w:bCs/>
              </w:rPr>
              <w:t>Purpose</w:t>
            </w:r>
          </w:p>
        </w:tc>
        <w:tc>
          <w:tcPr>
            <w:tcW w:w="2256" w:type="dxa"/>
            <w:shd w:val="clear" w:color="auto" w:fill="D9D9D9" w:themeFill="background1" w:themeFillShade="D9"/>
          </w:tcPr>
          <w:p w14:paraId="0D475F39" w14:textId="77777777" w:rsidR="00B61E64" w:rsidRPr="00567108" w:rsidRDefault="00186C9F" w:rsidP="00567108">
            <w:pPr>
              <w:spacing w:line="240" w:lineRule="auto"/>
              <w:jc w:val="center"/>
              <w:rPr>
                <w:b/>
                <w:bCs/>
              </w:rPr>
            </w:pPr>
            <w:r>
              <w:rPr>
                <w:b/>
                <w:bCs/>
              </w:rPr>
              <w:t>Indicative success criteria</w:t>
            </w:r>
          </w:p>
        </w:tc>
        <w:tc>
          <w:tcPr>
            <w:tcW w:w="2256" w:type="dxa"/>
            <w:shd w:val="clear" w:color="auto" w:fill="D9D9D9" w:themeFill="background1" w:themeFillShade="D9"/>
          </w:tcPr>
          <w:p w14:paraId="061CC4EF" w14:textId="77777777" w:rsidR="00B61E64" w:rsidRPr="00567108" w:rsidRDefault="00186C9F" w:rsidP="00567108">
            <w:pPr>
              <w:spacing w:line="240" w:lineRule="auto"/>
              <w:jc w:val="center"/>
              <w:rPr>
                <w:b/>
                <w:bCs/>
              </w:rPr>
            </w:pPr>
            <w:r>
              <w:rPr>
                <w:b/>
                <w:bCs/>
              </w:rPr>
              <w:t>Suggested timing</w:t>
            </w:r>
          </w:p>
        </w:tc>
      </w:tr>
      <w:tr w:rsidR="00B61E64" w14:paraId="7D137D6D" w14:textId="77777777">
        <w:trPr>
          <w:jc w:val="center"/>
        </w:trPr>
        <w:tc>
          <w:tcPr>
            <w:tcW w:w="2256" w:type="dxa"/>
          </w:tcPr>
          <w:p w14:paraId="73D99C4E" w14:textId="77777777" w:rsidR="00B61E64" w:rsidRDefault="00186C9F">
            <w:pPr>
              <w:spacing w:line="240" w:lineRule="auto"/>
            </w:pPr>
            <w:r>
              <w:t>End-to-end sample transport mock-up</w:t>
            </w:r>
          </w:p>
        </w:tc>
        <w:tc>
          <w:tcPr>
            <w:tcW w:w="2256" w:type="dxa"/>
          </w:tcPr>
          <w:p w14:paraId="7E4E63A7" w14:textId="77777777" w:rsidR="00B61E64" w:rsidRDefault="00186C9F">
            <w:pPr>
              <w:spacing w:line="240" w:lineRule="auto"/>
            </w:pPr>
            <w:r>
              <w:t>Confirm total time from robot discharge to laboratory receipt, including docking/loading/unloading.</w:t>
            </w:r>
          </w:p>
        </w:tc>
        <w:tc>
          <w:tcPr>
            <w:tcW w:w="2256" w:type="dxa"/>
          </w:tcPr>
          <w:p w14:paraId="2051FF85" w14:textId="77777777" w:rsidR="00B61E64" w:rsidRDefault="00186C9F">
            <w:pPr>
              <w:spacing w:line="240" w:lineRule="auto"/>
            </w:pPr>
            <w:r>
              <w:t>Cycle time supports furnace decision-making and remains robust at peak demand.</w:t>
            </w:r>
          </w:p>
        </w:tc>
        <w:tc>
          <w:tcPr>
            <w:tcW w:w="2256" w:type="dxa"/>
          </w:tcPr>
          <w:p w14:paraId="04C462EB" w14:textId="77777777" w:rsidR="00B61E64" w:rsidRDefault="00186C9F">
            <w:pPr>
              <w:spacing w:line="240" w:lineRule="auto"/>
            </w:pPr>
            <w:r>
              <w:t>Before detailed design freeze for transport.</w:t>
            </w:r>
          </w:p>
        </w:tc>
      </w:tr>
      <w:tr w:rsidR="00B61E64" w14:paraId="54822841" w14:textId="77777777">
        <w:trPr>
          <w:jc w:val="center"/>
        </w:trPr>
        <w:tc>
          <w:tcPr>
            <w:tcW w:w="2256" w:type="dxa"/>
          </w:tcPr>
          <w:p w14:paraId="6FBFB74E" w14:textId="77777777" w:rsidR="00B61E64" w:rsidRDefault="00186C9F">
            <w:pPr>
              <w:spacing w:line="240" w:lineRule="auto"/>
            </w:pPr>
            <w:r>
              <w:t>Thermal protection/soak test</w:t>
            </w:r>
          </w:p>
        </w:tc>
        <w:tc>
          <w:tcPr>
            <w:tcW w:w="2256" w:type="dxa"/>
          </w:tcPr>
          <w:p w14:paraId="28E81D27" w14:textId="77777777" w:rsidR="00B61E64" w:rsidRDefault="00186C9F">
            <w:pPr>
              <w:spacing w:line="240" w:lineRule="auto"/>
            </w:pPr>
            <w:r>
              <w:t>Demonstrate that hot probes can be moved without exceeding vehicle, drive or electrical temperature limits.</w:t>
            </w:r>
          </w:p>
        </w:tc>
        <w:tc>
          <w:tcPr>
            <w:tcW w:w="2256" w:type="dxa"/>
          </w:tcPr>
          <w:p w14:paraId="6BB337B5" w14:textId="77777777" w:rsidR="00B61E64" w:rsidRDefault="00186C9F">
            <w:pPr>
              <w:spacing w:line="240" w:lineRule="auto"/>
            </w:pPr>
            <w:r>
              <w:t>Transport vehicle remains within supplier temperature limits under worst-case dwell conditions.</w:t>
            </w:r>
          </w:p>
        </w:tc>
        <w:tc>
          <w:tcPr>
            <w:tcW w:w="2256" w:type="dxa"/>
          </w:tcPr>
          <w:p w14:paraId="556D1316" w14:textId="77777777" w:rsidR="00B61E64" w:rsidRDefault="00186C9F">
            <w:pPr>
              <w:spacing w:line="240" w:lineRule="auto"/>
            </w:pPr>
            <w:r>
              <w:t>Before procurement of transport carrier.</w:t>
            </w:r>
          </w:p>
        </w:tc>
      </w:tr>
      <w:tr w:rsidR="00B61E64" w14:paraId="6B27E9F3" w14:textId="77777777">
        <w:trPr>
          <w:jc w:val="center"/>
        </w:trPr>
        <w:tc>
          <w:tcPr>
            <w:tcW w:w="2256" w:type="dxa"/>
          </w:tcPr>
          <w:p w14:paraId="204F29B8" w14:textId="77777777" w:rsidR="00B61E64" w:rsidRDefault="00186C9F">
            <w:pPr>
              <w:spacing w:line="240" w:lineRule="auto"/>
            </w:pPr>
            <w:r>
              <w:t>Dust reliability trial</w:t>
            </w:r>
          </w:p>
        </w:tc>
        <w:tc>
          <w:tcPr>
            <w:tcW w:w="2256" w:type="dxa"/>
          </w:tcPr>
          <w:p w14:paraId="18004519" w14:textId="77777777" w:rsidR="00B61E64" w:rsidRDefault="00186C9F">
            <w:pPr>
              <w:spacing w:line="240" w:lineRule="auto"/>
            </w:pPr>
            <w:r>
              <w:t>Assess rail/contact and vehicle reliability under representative dry EAF dust exposure.</w:t>
            </w:r>
          </w:p>
        </w:tc>
        <w:tc>
          <w:tcPr>
            <w:tcW w:w="2256" w:type="dxa"/>
          </w:tcPr>
          <w:p w14:paraId="5D678DF9" w14:textId="77777777" w:rsidR="00B61E64" w:rsidRDefault="00186C9F">
            <w:pPr>
              <w:spacing w:line="240" w:lineRule="auto"/>
            </w:pPr>
            <w:r>
              <w:t>No unacceptable communication, contact or drive faults during defined exposure period.</w:t>
            </w:r>
          </w:p>
        </w:tc>
        <w:tc>
          <w:tcPr>
            <w:tcW w:w="2256" w:type="dxa"/>
          </w:tcPr>
          <w:p w14:paraId="68BE64A5" w14:textId="77777777" w:rsidR="00B61E64" w:rsidRDefault="00186C9F">
            <w:pPr>
              <w:spacing w:line="240" w:lineRule="auto"/>
            </w:pPr>
            <w:r>
              <w:t>Before final route acceptance.</w:t>
            </w:r>
          </w:p>
        </w:tc>
      </w:tr>
      <w:tr w:rsidR="00B61E64" w14:paraId="569CB78A" w14:textId="77777777">
        <w:trPr>
          <w:jc w:val="center"/>
        </w:trPr>
        <w:tc>
          <w:tcPr>
            <w:tcW w:w="2256" w:type="dxa"/>
          </w:tcPr>
          <w:p w14:paraId="75471193" w14:textId="77777777" w:rsidR="00B61E64" w:rsidRDefault="00186C9F">
            <w:pPr>
              <w:spacing w:line="240" w:lineRule="auto"/>
            </w:pPr>
            <w:r>
              <w:t>Load and carrier stability trial</w:t>
            </w:r>
          </w:p>
        </w:tc>
        <w:tc>
          <w:tcPr>
            <w:tcW w:w="2256" w:type="dxa"/>
          </w:tcPr>
          <w:p w14:paraId="427A2FCF" w14:textId="77777777" w:rsidR="00B61E64" w:rsidRDefault="00186C9F">
            <w:pPr>
              <w:spacing w:line="240" w:lineRule="auto"/>
            </w:pPr>
            <w:r>
              <w:t>Confirm steel, slag and hydrogen probe families can be held securely without damage or overload.</w:t>
            </w:r>
          </w:p>
        </w:tc>
        <w:tc>
          <w:tcPr>
            <w:tcW w:w="2256" w:type="dxa"/>
          </w:tcPr>
          <w:p w14:paraId="6488F855" w14:textId="77777777" w:rsidR="00B61E64" w:rsidRDefault="00186C9F">
            <w:pPr>
              <w:spacing w:line="240" w:lineRule="auto"/>
            </w:pPr>
            <w:r>
              <w:t>All representative probes remain secure; carrier load remains within supplier limits.</w:t>
            </w:r>
          </w:p>
        </w:tc>
        <w:tc>
          <w:tcPr>
            <w:tcW w:w="2256" w:type="dxa"/>
          </w:tcPr>
          <w:p w14:paraId="75ABB070" w14:textId="77777777" w:rsidR="00B61E64" w:rsidRDefault="00186C9F">
            <w:pPr>
              <w:spacing w:line="240" w:lineRule="auto"/>
            </w:pPr>
            <w:r>
              <w:t>Before transport system design approval.</w:t>
            </w:r>
          </w:p>
        </w:tc>
      </w:tr>
      <w:tr w:rsidR="00B61E64" w14:paraId="22A2B323" w14:textId="77777777">
        <w:trPr>
          <w:jc w:val="center"/>
        </w:trPr>
        <w:tc>
          <w:tcPr>
            <w:tcW w:w="2256" w:type="dxa"/>
          </w:tcPr>
          <w:p w14:paraId="553A16E7" w14:textId="77777777" w:rsidR="00B61E64" w:rsidRDefault="00186C9F">
            <w:pPr>
              <w:spacing w:line="240" w:lineRule="auto"/>
            </w:pPr>
            <w:r>
              <w:t>Robot/lance collision envelope review</w:t>
            </w:r>
          </w:p>
        </w:tc>
        <w:tc>
          <w:tcPr>
            <w:tcW w:w="2256" w:type="dxa"/>
          </w:tcPr>
          <w:p w14:paraId="308D79BB" w14:textId="77777777" w:rsidR="00B61E64" w:rsidRDefault="00186C9F">
            <w:pPr>
              <w:spacing w:line="240" w:lineRule="auto"/>
            </w:pPr>
            <w:r>
              <w:t>Confirm tool movement, furnace position and structures do not clash.</w:t>
            </w:r>
          </w:p>
        </w:tc>
        <w:tc>
          <w:tcPr>
            <w:tcW w:w="2256" w:type="dxa"/>
          </w:tcPr>
          <w:p w14:paraId="3E83BE4B" w14:textId="77777777" w:rsidR="00B61E64" w:rsidRDefault="00186C9F">
            <w:pPr>
              <w:spacing w:line="240" w:lineRule="auto"/>
            </w:pPr>
            <w:r>
              <w:t>No clash under normal trajectory, recovery trajectory or maintenance position.</w:t>
            </w:r>
          </w:p>
        </w:tc>
        <w:tc>
          <w:tcPr>
            <w:tcW w:w="2256" w:type="dxa"/>
          </w:tcPr>
          <w:p w14:paraId="5F282866" w14:textId="77777777" w:rsidR="00B61E64" w:rsidRDefault="00186C9F">
            <w:pPr>
              <w:spacing w:line="240" w:lineRule="auto"/>
            </w:pPr>
            <w:r>
              <w:t>During robot offline simulation and commissioning.</w:t>
            </w:r>
          </w:p>
        </w:tc>
      </w:tr>
      <w:tr w:rsidR="00B61E64" w14:paraId="4C0B16B7" w14:textId="77777777">
        <w:trPr>
          <w:jc w:val="center"/>
        </w:trPr>
        <w:tc>
          <w:tcPr>
            <w:tcW w:w="2256" w:type="dxa"/>
          </w:tcPr>
          <w:p w14:paraId="56BF16A3" w14:textId="77777777" w:rsidR="00B61E64" w:rsidRDefault="00186C9F">
            <w:pPr>
              <w:spacing w:line="240" w:lineRule="auto"/>
            </w:pPr>
            <w:r>
              <w:t>Sampling success-rate trial</w:t>
            </w:r>
          </w:p>
        </w:tc>
        <w:tc>
          <w:tcPr>
            <w:tcW w:w="2256" w:type="dxa"/>
          </w:tcPr>
          <w:p w14:paraId="7BD44BA5" w14:textId="77777777" w:rsidR="00B61E64" w:rsidRDefault="00186C9F">
            <w:pPr>
              <w:spacing w:line="240" w:lineRule="auto"/>
            </w:pPr>
            <w:r>
              <w:t>Measure whether robotic sampling produces usable samples consistently.</w:t>
            </w:r>
          </w:p>
        </w:tc>
        <w:tc>
          <w:tcPr>
            <w:tcW w:w="2256" w:type="dxa"/>
          </w:tcPr>
          <w:p w14:paraId="1A66F061" w14:textId="77777777" w:rsidR="00B61E64" w:rsidRDefault="00186C9F">
            <w:pPr>
              <w:spacing w:line="240" w:lineRule="auto"/>
            </w:pPr>
            <w:r>
              <w:t>Defined target success rate met over representative heats; failure causes understood.</w:t>
            </w:r>
          </w:p>
        </w:tc>
        <w:tc>
          <w:tcPr>
            <w:tcW w:w="2256" w:type="dxa"/>
          </w:tcPr>
          <w:p w14:paraId="7A20813E" w14:textId="77777777" w:rsidR="00B61E64" w:rsidRDefault="00186C9F">
            <w:pPr>
              <w:spacing w:line="240" w:lineRule="auto"/>
            </w:pPr>
            <w:r>
              <w:t>During hot commissioning.</w:t>
            </w:r>
          </w:p>
        </w:tc>
      </w:tr>
      <w:tr w:rsidR="00B61E64" w14:paraId="7C9B006F" w14:textId="77777777">
        <w:trPr>
          <w:jc w:val="center"/>
        </w:trPr>
        <w:tc>
          <w:tcPr>
            <w:tcW w:w="2256" w:type="dxa"/>
          </w:tcPr>
          <w:p w14:paraId="60735999" w14:textId="77777777" w:rsidR="00B61E64" w:rsidRDefault="00186C9F">
            <w:pPr>
              <w:spacing w:line="240" w:lineRule="auto"/>
            </w:pPr>
            <w:r>
              <w:t>Mis-sample recovery drill</w:t>
            </w:r>
          </w:p>
        </w:tc>
        <w:tc>
          <w:tcPr>
            <w:tcW w:w="2256" w:type="dxa"/>
          </w:tcPr>
          <w:p w14:paraId="44412ABB" w14:textId="77777777" w:rsidR="00B61E64" w:rsidRDefault="00186C9F">
            <w:pPr>
              <w:spacing w:line="240" w:lineRule="auto"/>
            </w:pPr>
            <w:r>
              <w:t>Test response to failed, missing, broken or unsuitable sample.</w:t>
            </w:r>
          </w:p>
        </w:tc>
        <w:tc>
          <w:tcPr>
            <w:tcW w:w="2256" w:type="dxa"/>
          </w:tcPr>
          <w:p w14:paraId="13113435" w14:textId="77777777" w:rsidR="00B61E64" w:rsidRDefault="00186C9F">
            <w:pPr>
              <w:spacing w:line="240" w:lineRule="auto"/>
            </w:pPr>
            <w:r>
              <w:t>Recovery can be completed without uncontrolled furnace-front exposure or production confusion.</w:t>
            </w:r>
          </w:p>
        </w:tc>
        <w:tc>
          <w:tcPr>
            <w:tcW w:w="2256" w:type="dxa"/>
          </w:tcPr>
          <w:p w14:paraId="160C9ACA" w14:textId="77777777" w:rsidR="00B61E64" w:rsidRDefault="00186C9F">
            <w:pPr>
              <w:spacing w:line="240" w:lineRule="auto"/>
            </w:pPr>
            <w:r>
              <w:t>Before operational handover.</w:t>
            </w:r>
          </w:p>
        </w:tc>
      </w:tr>
      <w:tr w:rsidR="00B61E64" w14:paraId="6DD437BB" w14:textId="77777777">
        <w:trPr>
          <w:jc w:val="center"/>
        </w:trPr>
        <w:tc>
          <w:tcPr>
            <w:tcW w:w="2256" w:type="dxa"/>
          </w:tcPr>
          <w:p w14:paraId="616CA659" w14:textId="77777777" w:rsidR="00B61E64" w:rsidRDefault="00186C9F">
            <w:pPr>
              <w:spacing w:line="240" w:lineRule="auto"/>
            </w:pPr>
            <w:r>
              <w:t>Laboratory interface trial</w:t>
            </w:r>
          </w:p>
        </w:tc>
        <w:tc>
          <w:tcPr>
            <w:tcW w:w="2256" w:type="dxa"/>
          </w:tcPr>
          <w:p w14:paraId="2036801F" w14:textId="77777777" w:rsidR="00B61E64" w:rsidRDefault="00186C9F">
            <w:pPr>
              <w:spacing w:line="240" w:lineRule="auto"/>
            </w:pPr>
            <w:r>
              <w:t>Confirm sample receipt, identification, preparation and analysis workflow.</w:t>
            </w:r>
          </w:p>
        </w:tc>
        <w:tc>
          <w:tcPr>
            <w:tcW w:w="2256" w:type="dxa"/>
          </w:tcPr>
          <w:p w14:paraId="65DDEC4B" w14:textId="77777777" w:rsidR="00B61E64" w:rsidRDefault="00186C9F">
            <w:pPr>
              <w:spacing w:line="240" w:lineRule="auto"/>
            </w:pPr>
            <w:r>
              <w:t>Laboratory can receive and process automated samples without creating a bottleneck.</w:t>
            </w:r>
          </w:p>
        </w:tc>
        <w:tc>
          <w:tcPr>
            <w:tcW w:w="2256" w:type="dxa"/>
          </w:tcPr>
          <w:p w14:paraId="0DBEDA95" w14:textId="77777777" w:rsidR="00B61E64" w:rsidRDefault="00186C9F">
            <w:pPr>
              <w:spacing w:line="240" w:lineRule="auto"/>
            </w:pPr>
            <w:r>
              <w:t>Before go-live.</w:t>
            </w:r>
          </w:p>
        </w:tc>
      </w:tr>
      <w:tr w:rsidR="00B61E64" w14:paraId="5A879120" w14:textId="77777777">
        <w:trPr>
          <w:jc w:val="center"/>
        </w:trPr>
        <w:tc>
          <w:tcPr>
            <w:tcW w:w="2256" w:type="dxa"/>
          </w:tcPr>
          <w:p w14:paraId="016AE438" w14:textId="77777777" w:rsidR="00B61E64" w:rsidRDefault="00186C9F">
            <w:pPr>
              <w:spacing w:line="240" w:lineRule="auto"/>
            </w:pPr>
            <w:r>
              <w:t>Manual fallback validation</w:t>
            </w:r>
          </w:p>
        </w:tc>
        <w:tc>
          <w:tcPr>
            <w:tcW w:w="2256" w:type="dxa"/>
          </w:tcPr>
          <w:p w14:paraId="7CC1DF61" w14:textId="77777777" w:rsidR="00B61E64" w:rsidRDefault="00186C9F">
            <w:pPr>
              <w:spacing w:line="240" w:lineRule="auto"/>
            </w:pPr>
            <w:r>
              <w:t>Ensure contingency sampling remains controlled and authorised.</w:t>
            </w:r>
          </w:p>
        </w:tc>
        <w:tc>
          <w:tcPr>
            <w:tcW w:w="2256" w:type="dxa"/>
          </w:tcPr>
          <w:p w14:paraId="34A37E6E" w14:textId="77777777" w:rsidR="00B61E64" w:rsidRDefault="00186C9F">
            <w:pPr>
              <w:spacing w:line="240" w:lineRule="auto"/>
            </w:pPr>
            <w:r>
              <w:t xml:space="preserve">Fallback method has defined trigger, authorisation, communication and </w:t>
            </w:r>
            <w:r>
              <w:lastRenderedPageBreak/>
              <w:t>PPE/permit arrangements.</w:t>
            </w:r>
          </w:p>
        </w:tc>
        <w:tc>
          <w:tcPr>
            <w:tcW w:w="2256" w:type="dxa"/>
          </w:tcPr>
          <w:p w14:paraId="7F362071" w14:textId="77777777" w:rsidR="00B61E64" w:rsidRDefault="00186C9F">
            <w:pPr>
              <w:spacing w:line="240" w:lineRule="auto"/>
            </w:pPr>
            <w:r>
              <w:lastRenderedPageBreak/>
              <w:t>Before operational handover.</w:t>
            </w:r>
          </w:p>
        </w:tc>
      </w:tr>
      <w:tr w:rsidR="00B61E64" w14:paraId="2B39D8D8" w14:textId="77777777">
        <w:trPr>
          <w:jc w:val="center"/>
        </w:trPr>
        <w:tc>
          <w:tcPr>
            <w:tcW w:w="2256" w:type="dxa"/>
          </w:tcPr>
          <w:p w14:paraId="1DD75F0E" w14:textId="77777777" w:rsidR="00B61E64" w:rsidRDefault="00186C9F">
            <w:pPr>
              <w:spacing w:line="240" w:lineRule="auto"/>
            </w:pPr>
            <w:r>
              <w:t>Slag sampling development trial</w:t>
            </w:r>
          </w:p>
        </w:tc>
        <w:tc>
          <w:tcPr>
            <w:tcW w:w="2256" w:type="dxa"/>
          </w:tcPr>
          <w:p w14:paraId="6A665B2C" w14:textId="77777777" w:rsidR="00B61E64" w:rsidRDefault="00186C9F">
            <w:pPr>
              <w:spacing w:line="240" w:lineRule="auto"/>
            </w:pPr>
            <w:r>
              <w:t>Establish whether an automated EAF slag sampler can collect representative, repeatable samples.</w:t>
            </w:r>
          </w:p>
        </w:tc>
        <w:tc>
          <w:tcPr>
            <w:tcW w:w="2256" w:type="dxa"/>
          </w:tcPr>
          <w:p w14:paraId="73C4A4F0" w14:textId="77777777" w:rsidR="00B61E64" w:rsidRDefault="00186C9F">
            <w:pPr>
              <w:spacing w:line="240" w:lineRule="auto"/>
            </w:pPr>
            <w:r>
              <w:t>Sample chemistry repeatability and representativeness accepted by operations/metallurgy.</w:t>
            </w:r>
          </w:p>
        </w:tc>
        <w:tc>
          <w:tcPr>
            <w:tcW w:w="2256" w:type="dxa"/>
          </w:tcPr>
          <w:p w14:paraId="59F871FD" w14:textId="77777777" w:rsidR="00B61E64" w:rsidRDefault="00186C9F">
            <w:pPr>
              <w:spacing w:line="240" w:lineRule="auto"/>
            </w:pPr>
            <w:r>
              <w:t>Post day-one implementation / follow-on development.</w:t>
            </w:r>
          </w:p>
        </w:tc>
      </w:tr>
    </w:tbl>
    <w:p w14:paraId="65409974" w14:textId="77777777" w:rsidR="00B61E64" w:rsidRDefault="00186C9F">
      <w:r>
        <w:br w:type="page"/>
      </w:r>
    </w:p>
    <w:p w14:paraId="7A4BDFD0" w14:textId="74A9AA0E" w:rsidR="00650DE6" w:rsidRDefault="00650DE6">
      <w:pPr>
        <w:pStyle w:val="Heading2"/>
      </w:pPr>
      <w:bookmarkStart w:id="183" w:name="_Toc234060446"/>
      <w:bookmarkStart w:id="184" w:name="_Toc234699567"/>
      <w:r>
        <w:lastRenderedPageBreak/>
        <w:t>Appendix I: OEM Correspond</w:t>
      </w:r>
      <w:r w:rsidR="00250820">
        <w:t>e</w:t>
      </w:r>
      <w:r>
        <w:t>nce</w:t>
      </w:r>
      <w:bookmarkEnd w:id="184"/>
      <w:r>
        <w:t xml:space="preserve"> </w:t>
      </w:r>
    </w:p>
    <w:p w14:paraId="4BD62540" w14:textId="77777777" w:rsidR="00650DE6" w:rsidRDefault="00650DE6" w:rsidP="00650DE6">
      <w:r>
        <w:rPr>
          <w:noProof/>
        </w:rPr>
        <w:drawing>
          <wp:inline distT="0" distB="0" distL="0" distR="0" wp14:anchorId="4BDF756F" wp14:editId="56A90DB9">
            <wp:extent cx="5937177" cy="1943100"/>
            <wp:effectExtent l="0" t="0" r="6985" b="0"/>
            <wp:docPr id="1559652108" name="Picture 1" descr="A yellow line with black tex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52108" name="Picture 1" descr="A yellow line with black text  AI-generated content may be incorrect."/>
                    <pic:cNvPicPr/>
                  </pic:nvPicPr>
                  <pic:blipFill>
                    <a:blip r:embed="rId25"/>
                    <a:stretch>
                      <a:fillRect/>
                    </a:stretch>
                  </pic:blipFill>
                  <pic:spPr>
                    <a:xfrm>
                      <a:off x="0" y="0"/>
                      <a:ext cx="5946879" cy="1946275"/>
                    </a:xfrm>
                    <a:prstGeom prst="rect">
                      <a:avLst/>
                    </a:prstGeom>
                  </pic:spPr>
                </pic:pic>
              </a:graphicData>
            </a:graphic>
          </wp:inline>
        </w:drawing>
      </w:r>
    </w:p>
    <w:p w14:paraId="715FD74C" w14:textId="77777777" w:rsidR="005C2F9E" w:rsidRDefault="002F2D0B" w:rsidP="00650DE6">
      <w:r>
        <w:rPr>
          <w:noProof/>
        </w:rPr>
        <w:drawing>
          <wp:inline distT="0" distB="0" distL="0" distR="0" wp14:anchorId="2E80495A" wp14:editId="0A8ABEB1">
            <wp:extent cx="5731510" cy="1927860"/>
            <wp:effectExtent l="0" t="0" r="2540" b="0"/>
            <wp:docPr id="420273897" name="Picture 1" descr="A drawing of a machine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73897" name="Picture 1" descr="A drawing of a machine  AI-generated content may be incorrect."/>
                    <pic:cNvPicPr/>
                  </pic:nvPicPr>
                  <pic:blipFill>
                    <a:blip r:embed="rId26"/>
                    <a:stretch>
                      <a:fillRect/>
                    </a:stretch>
                  </pic:blipFill>
                  <pic:spPr>
                    <a:xfrm>
                      <a:off x="0" y="0"/>
                      <a:ext cx="5731510" cy="1927860"/>
                    </a:xfrm>
                    <a:prstGeom prst="rect">
                      <a:avLst/>
                    </a:prstGeom>
                  </pic:spPr>
                </pic:pic>
              </a:graphicData>
            </a:graphic>
          </wp:inline>
        </w:drawing>
      </w:r>
    </w:p>
    <w:p w14:paraId="04D370A7" w14:textId="77777777" w:rsidR="005C2F9E" w:rsidRDefault="003C5B90" w:rsidP="00650DE6">
      <w:r>
        <w:rPr>
          <w:noProof/>
        </w:rPr>
        <w:drawing>
          <wp:inline distT="0" distB="0" distL="0" distR="0" wp14:anchorId="07C23A3C" wp14:editId="4140D089">
            <wp:extent cx="5731510" cy="1927860"/>
            <wp:effectExtent l="0" t="0" r="2540" b="0"/>
            <wp:docPr id="1178234463"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234463" name="Picture 1" descr="A screenshot of a computer  AI-generated content may be incorrect."/>
                    <pic:cNvPicPr/>
                  </pic:nvPicPr>
                  <pic:blipFill>
                    <a:blip r:embed="rId27"/>
                    <a:stretch>
                      <a:fillRect/>
                    </a:stretch>
                  </pic:blipFill>
                  <pic:spPr>
                    <a:xfrm>
                      <a:off x="0" y="0"/>
                      <a:ext cx="5731510" cy="1927860"/>
                    </a:xfrm>
                    <a:prstGeom prst="rect">
                      <a:avLst/>
                    </a:prstGeom>
                  </pic:spPr>
                </pic:pic>
              </a:graphicData>
            </a:graphic>
          </wp:inline>
        </w:drawing>
      </w:r>
    </w:p>
    <w:p w14:paraId="3E957BAD" w14:textId="77777777" w:rsidR="005C2F9E" w:rsidRDefault="00534A2B" w:rsidP="00650DE6">
      <w:r>
        <w:rPr>
          <w:noProof/>
        </w:rPr>
        <w:drawing>
          <wp:inline distT="0" distB="0" distL="0" distR="0" wp14:anchorId="6E8CEF35" wp14:editId="2FC1C37C">
            <wp:extent cx="5731510" cy="1910715"/>
            <wp:effectExtent l="0" t="0" r="2540" b="0"/>
            <wp:docPr id="1826134795" name="Picture 1" descr="A white rectangular object with black tex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134795" name="Picture 1" descr="A white rectangular object with black text  AI-generated content may be incorrect."/>
                    <pic:cNvPicPr/>
                  </pic:nvPicPr>
                  <pic:blipFill>
                    <a:blip r:embed="rId28"/>
                    <a:stretch>
                      <a:fillRect/>
                    </a:stretch>
                  </pic:blipFill>
                  <pic:spPr>
                    <a:xfrm>
                      <a:off x="0" y="0"/>
                      <a:ext cx="5731510" cy="1910715"/>
                    </a:xfrm>
                    <a:prstGeom prst="rect">
                      <a:avLst/>
                    </a:prstGeom>
                  </pic:spPr>
                </pic:pic>
              </a:graphicData>
            </a:graphic>
          </wp:inline>
        </w:drawing>
      </w:r>
    </w:p>
    <w:p w14:paraId="07B680DB" w14:textId="77777777" w:rsidR="00934FD9" w:rsidRDefault="00934FD9" w:rsidP="00650DE6">
      <w:r>
        <w:rPr>
          <w:noProof/>
        </w:rPr>
        <w:lastRenderedPageBreak/>
        <w:drawing>
          <wp:inline distT="0" distB="0" distL="0" distR="0" wp14:anchorId="37752FDC" wp14:editId="25B9CD29">
            <wp:extent cx="5731510" cy="1885315"/>
            <wp:effectExtent l="0" t="0" r="2540" b="635"/>
            <wp:docPr id="1948536076"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536076" name="Picture 1" descr="A screenshot of a computer  AI-generated content may be incorrect."/>
                    <pic:cNvPicPr/>
                  </pic:nvPicPr>
                  <pic:blipFill>
                    <a:blip r:embed="rId29"/>
                    <a:stretch>
                      <a:fillRect/>
                    </a:stretch>
                  </pic:blipFill>
                  <pic:spPr>
                    <a:xfrm>
                      <a:off x="0" y="0"/>
                      <a:ext cx="5731510" cy="1885315"/>
                    </a:xfrm>
                    <a:prstGeom prst="rect">
                      <a:avLst/>
                    </a:prstGeom>
                  </pic:spPr>
                </pic:pic>
              </a:graphicData>
            </a:graphic>
          </wp:inline>
        </w:drawing>
      </w:r>
    </w:p>
    <w:p w14:paraId="7F79FF56" w14:textId="77777777" w:rsidR="005C2F9E" w:rsidRPr="00650DE6" w:rsidRDefault="005C2F9E" w:rsidP="00650DE6"/>
    <w:p w14:paraId="064585C6" w14:textId="7AE5F8E7" w:rsidR="00B61E64" w:rsidRPr="00650DE6" w:rsidRDefault="00186C9F">
      <w:pPr>
        <w:pStyle w:val="Heading2"/>
        <w:rPr>
          <w:lang w:val="fr-FR"/>
        </w:rPr>
      </w:pPr>
      <w:bookmarkStart w:id="185" w:name="_Toc234699568"/>
      <w:r>
        <w:rPr>
          <w:lang w:val="fr-FR"/>
        </w:rPr>
        <w:t xml:space="preserve">Appendix </w:t>
      </w:r>
      <w:proofErr w:type="gramStart"/>
      <w:r w:rsidR="00250820">
        <w:rPr>
          <w:lang w:val="fr-FR"/>
        </w:rPr>
        <w:t>J</w:t>
      </w:r>
      <w:r>
        <w:rPr>
          <w:lang w:val="fr-FR"/>
        </w:rPr>
        <w:t>:</w:t>
      </w:r>
      <w:proofErr w:type="gramEnd"/>
      <w:r>
        <w:rPr>
          <w:lang w:val="fr-FR"/>
        </w:rPr>
        <w:t xml:space="preserve"> Source Documentation Figures</w:t>
      </w:r>
      <w:bookmarkEnd w:id="183"/>
      <w:bookmarkEnd w:id="185"/>
    </w:p>
    <w:p w14:paraId="3429B640" w14:textId="77777777" w:rsidR="00B61E64" w:rsidRDefault="00186C9F">
      <w:pPr>
        <w:jc w:val="both"/>
      </w:pPr>
      <w:r>
        <w:t>This appendix provides selected screenshots and source-document images used to support the evidence pack. The images are included for traceability and to show the nature of the underlying industrial source material. They do not replace the full controlled drawings, supplier documents or correspondence, and the relevant limitations remain those recorded in the source review log and assumptions register.</w:t>
      </w:r>
    </w:p>
    <w:p w14:paraId="3F418D5E" w14:textId="77777777" w:rsidR="00FF1726" w:rsidRDefault="00186C9F" w:rsidP="00FF1726">
      <w:pPr>
        <w:keepNext/>
        <w:jc w:val="center"/>
      </w:pPr>
      <w:r>
        <w:rPr>
          <w:noProof/>
        </w:rPr>
        <w:drawing>
          <wp:inline distT="0" distB="0" distL="0" distR="0" wp14:anchorId="6400673F" wp14:editId="7E85D56B">
            <wp:extent cx="5852160" cy="4328095"/>
            <wp:effectExtent l="0" t="0" r="0" b="0"/>
            <wp:docPr id="898276318" name="Picture 898276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I_1_robot_general_layout.png"/>
                    <pic:cNvPicPr/>
                  </pic:nvPicPr>
                  <pic:blipFill>
                    <a:blip r:embed="rId18"/>
                    <a:stretch>
                      <a:fillRect/>
                    </a:stretch>
                  </pic:blipFill>
                  <pic:spPr>
                    <a:xfrm>
                      <a:off x="0" y="0"/>
                      <a:ext cx="5852160" cy="4328095"/>
                    </a:xfrm>
                    <a:prstGeom prst="rect">
                      <a:avLst/>
                    </a:prstGeom>
                  </pic:spPr>
                </pic:pic>
              </a:graphicData>
            </a:graphic>
          </wp:inline>
        </w:drawing>
      </w:r>
    </w:p>
    <w:p w14:paraId="50D91A00" w14:textId="77777777" w:rsidR="00B61E64" w:rsidRDefault="00FF1726" w:rsidP="00FF1726">
      <w:pPr>
        <w:pStyle w:val="Caption"/>
        <w:jc w:val="center"/>
      </w:pPr>
      <w:bookmarkStart w:id="186" w:name="_Toc234530019"/>
      <w:r>
        <w:t xml:space="preserve">Figure </w:t>
      </w:r>
      <w:fldSimple w:instr=" SEQ Figure \* ARABIC ">
        <w:r>
          <w:rPr>
            <w:noProof/>
          </w:rPr>
          <w:t>12</w:t>
        </w:r>
      </w:fldSimple>
      <w:r>
        <w:t>: PolySAMPLE EAF robot general layout showing robot cell equipment, equipment masses and the robot/furnace relationship (Tenova, 2025a).</w:t>
      </w:r>
      <w:bookmarkEnd w:id="186"/>
      <w:r>
        <w:t xml:space="preserve"> </w:t>
      </w:r>
    </w:p>
    <w:p w14:paraId="33C75D73" w14:textId="77777777" w:rsidR="00B61E64" w:rsidRPr="008521E0" w:rsidRDefault="00186C9F">
      <w:pPr>
        <w:jc w:val="both"/>
        <w:rPr>
          <w:sz w:val="24"/>
          <w:szCs w:val="24"/>
        </w:rPr>
      </w:pPr>
      <w:r>
        <w:rPr>
          <w:szCs w:val="24"/>
        </w:rPr>
        <w:lastRenderedPageBreak/>
        <w:t>Supports the technical baseline for the existing robotic sampling architecture, especially Sections 4.1 and 4.2 and Appendix E.</w:t>
      </w:r>
    </w:p>
    <w:p w14:paraId="0258CA64" w14:textId="77777777" w:rsidR="00B61E64" w:rsidRDefault="00186C9F">
      <w:r>
        <w:br w:type="page"/>
      </w:r>
    </w:p>
    <w:p w14:paraId="235907FE" w14:textId="77777777" w:rsidR="00FF1726" w:rsidRDefault="00186C9F" w:rsidP="00FF1726">
      <w:pPr>
        <w:keepNext/>
        <w:jc w:val="center"/>
      </w:pPr>
      <w:r>
        <w:rPr>
          <w:noProof/>
        </w:rPr>
        <w:lastRenderedPageBreak/>
        <w:drawing>
          <wp:inline distT="0" distB="0" distL="0" distR="0" wp14:anchorId="6F595B89" wp14:editId="521985BD">
            <wp:extent cx="5852160" cy="4328095"/>
            <wp:effectExtent l="0" t="0" r="0" b="0"/>
            <wp:docPr id="898276319" name="Picture 898276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I_2_utility_top.png"/>
                    <pic:cNvPicPr/>
                  </pic:nvPicPr>
                  <pic:blipFill>
                    <a:blip r:embed="rId19"/>
                    <a:stretch>
                      <a:fillRect/>
                    </a:stretch>
                  </pic:blipFill>
                  <pic:spPr>
                    <a:xfrm>
                      <a:off x="0" y="0"/>
                      <a:ext cx="5852160" cy="4328095"/>
                    </a:xfrm>
                    <a:prstGeom prst="rect">
                      <a:avLst/>
                    </a:prstGeom>
                  </pic:spPr>
                </pic:pic>
              </a:graphicData>
            </a:graphic>
          </wp:inline>
        </w:drawing>
      </w:r>
    </w:p>
    <w:p w14:paraId="29944E74" w14:textId="77777777" w:rsidR="00B61E64" w:rsidRDefault="00FF1726" w:rsidP="00FF1726">
      <w:pPr>
        <w:pStyle w:val="Caption"/>
        <w:jc w:val="center"/>
      </w:pPr>
      <w:bookmarkStart w:id="187" w:name="_Toc234530020"/>
      <w:r>
        <w:t xml:space="preserve">Figure </w:t>
      </w:r>
      <w:fldSimple w:instr=" SEQ Figure \* ARABIC ">
        <w:r>
          <w:rPr>
            <w:noProof/>
          </w:rPr>
          <w:t>13</w:t>
        </w:r>
      </w:fldSimple>
      <w:r>
        <w:t>:Robot utility/TOP drawing showing electrical, pneumatic and cooling-water requirements, controller distance and robot loads (Tenova, 2025c).</w:t>
      </w:r>
      <w:bookmarkEnd w:id="187"/>
    </w:p>
    <w:p w14:paraId="399284F1" w14:textId="77777777" w:rsidR="00B61E64" w:rsidRPr="008521E0" w:rsidRDefault="00186C9F">
      <w:pPr>
        <w:jc w:val="both"/>
        <w:rPr>
          <w:sz w:val="24"/>
          <w:szCs w:val="24"/>
        </w:rPr>
      </w:pPr>
      <w:r>
        <w:rPr>
          <w:szCs w:val="24"/>
        </w:rPr>
        <w:t>Supports the integration, utility and mechanical-load assumptions used in Sections 4.1, 4.2 and Appendix F.</w:t>
      </w:r>
    </w:p>
    <w:p w14:paraId="4502F25C" w14:textId="77777777" w:rsidR="00B61E64" w:rsidRDefault="00186C9F">
      <w:r>
        <w:br w:type="page"/>
      </w:r>
    </w:p>
    <w:p w14:paraId="1D1880FA" w14:textId="77777777" w:rsidR="00FF1726" w:rsidRDefault="00186C9F" w:rsidP="00FF1726">
      <w:pPr>
        <w:keepNext/>
        <w:jc w:val="center"/>
      </w:pPr>
      <w:r>
        <w:rPr>
          <w:noProof/>
        </w:rPr>
        <w:lastRenderedPageBreak/>
        <w:drawing>
          <wp:inline distT="0" distB="0" distL="0" distR="0" wp14:anchorId="382C7DF3" wp14:editId="1DE8A866">
            <wp:extent cx="5852160" cy="4133627"/>
            <wp:effectExtent l="0" t="0" r="0" b="0"/>
            <wp:docPr id="898276320" name="Picture 898276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I_3_network_layout.png"/>
                    <pic:cNvPicPr/>
                  </pic:nvPicPr>
                  <pic:blipFill>
                    <a:blip r:embed="rId30"/>
                    <a:stretch>
                      <a:fillRect/>
                    </a:stretch>
                  </pic:blipFill>
                  <pic:spPr>
                    <a:xfrm>
                      <a:off x="0" y="0"/>
                      <a:ext cx="5852160" cy="4133627"/>
                    </a:xfrm>
                    <a:prstGeom prst="rect">
                      <a:avLst/>
                    </a:prstGeom>
                  </pic:spPr>
                </pic:pic>
              </a:graphicData>
            </a:graphic>
          </wp:inline>
        </w:drawing>
      </w:r>
    </w:p>
    <w:p w14:paraId="5018AA38" w14:textId="77777777" w:rsidR="00B61E64" w:rsidRDefault="00FF1726" w:rsidP="00FF1726">
      <w:pPr>
        <w:pStyle w:val="Caption"/>
        <w:jc w:val="center"/>
      </w:pPr>
      <w:bookmarkStart w:id="188" w:name="_Toc234530021"/>
      <w:r>
        <w:t xml:space="preserve">Figure </w:t>
      </w:r>
      <w:fldSimple w:instr=" SEQ Figure \* ARABIC ">
        <w:r>
          <w:rPr>
            <w:noProof/>
          </w:rPr>
          <w:t>14</w:t>
        </w:r>
      </w:fldSimple>
      <w:r>
        <w:t>: EAF sampling robot network layout showing PLC, remote I/O, PROFIsafe interface, robot controller, HMI, CCTV and sensor-lab links (Tenova, 2025b).</w:t>
      </w:r>
      <w:bookmarkEnd w:id="188"/>
    </w:p>
    <w:p w14:paraId="5D471769" w14:textId="77777777" w:rsidR="00B61E64" w:rsidRPr="008521E0" w:rsidRDefault="00186C9F">
      <w:pPr>
        <w:jc w:val="both"/>
        <w:rPr>
          <w:sz w:val="24"/>
          <w:szCs w:val="24"/>
        </w:rPr>
      </w:pPr>
      <w:r>
        <w:rPr>
          <w:szCs w:val="24"/>
        </w:rPr>
        <w:t>Supports the discussion on control-system integration and safety interface complexity in Sections 2.6, 4.1 and Appendix E.</w:t>
      </w:r>
    </w:p>
    <w:p w14:paraId="0B59F4A9" w14:textId="77777777" w:rsidR="00B61E64" w:rsidRDefault="00186C9F">
      <w:r>
        <w:br w:type="page"/>
      </w:r>
    </w:p>
    <w:p w14:paraId="150B9EE2" w14:textId="77777777" w:rsidR="00FF1726" w:rsidRDefault="00186C9F" w:rsidP="00FF1726">
      <w:pPr>
        <w:keepNext/>
        <w:jc w:val="center"/>
      </w:pPr>
      <w:r>
        <w:rPr>
          <w:noProof/>
        </w:rPr>
        <w:lastRenderedPageBreak/>
        <w:drawing>
          <wp:inline distT="0" distB="0" distL="0" distR="0" wp14:anchorId="019111B9" wp14:editId="35619051">
            <wp:extent cx="5852160" cy="4328095"/>
            <wp:effectExtent l="0" t="0" r="0" b="0"/>
            <wp:docPr id="898276321" name="Picture 898276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I_4_sampling_configuration.png"/>
                    <pic:cNvPicPr/>
                  </pic:nvPicPr>
                  <pic:blipFill>
                    <a:blip r:embed="rId20"/>
                    <a:stretch>
                      <a:fillRect/>
                    </a:stretch>
                  </pic:blipFill>
                  <pic:spPr>
                    <a:xfrm>
                      <a:off x="0" y="0"/>
                      <a:ext cx="5852160" cy="4328095"/>
                    </a:xfrm>
                    <a:prstGeom prst="rect">
                      <a:avLst/>
                    </a:prstGeom>
                  </pic:spPr>
                </pic:pic>
              </a:graphicData>
            </a:graphic>
          </wp:inline>
        </w:drawing>
      </w:r>
    </w:p>
    <w:p w14:paraId="79DB135F" w14:textId="77777777" w:rsidR="00B61E64" w:rsidRDefault="00FF1726" w:rsidP="00FF1726">
      <w:pPr>
        <w:pStyle w:val="Caption"/>
        <w:jc w:val="center"/>
      </w:pPr>
      <w:bookmarkStart w:id="189" w:name="_Toc234530022"/>
      <w:r>
        <w:t xml:space="preserve">Figure </w:t>
      </w:r>
      <w:fldSimple w:instr=" SEQ Figure \* ARABIC ">
        <w:r>
          <w:rPr>
            <w:noProof/>
          </w:rPr>
          <w:t>15</w:t>
        </w:r>
      </w:fldSimple>
      <w:r>
        <w:t>:Sampling configuration drawing showing bath levels, hot heel, furnace positions and picking-point geometry (Tenova, 2025d).</w:t>
      </w:r>
      <w:bookmarkEnd w:id="189"/>
    </w:p>
    <w:p w14:paraId="64832A75" w14:textId="77777777" w:rsidR="00B61E64" w:rsidRPr="008521E0" w:rsidRDefault="00186C9F">
      <w:pPr>
        <w:jc w:val="both"/>
        <w:rPr>
          <w:sz w:val="24"/>
          <w:szCs w:val="24"/>
        </w:rPr>
      </w:pPr>
      <w:r>
        <w:rPr>
          <w:szCs w:val="24"/>
        </w:rPr>
        <w:t>Supports the geometric feasibility discussion and the higher uncertainty associated with automated vertical slag sampling in Sections 4.3 and 6.7.</w:t>
      </w:r>
    </w:p>
    <w:p w14:paraId="1700A997" w14:textId="77777777" w:rsidR="00B61E64" w:rsidRDefault="00186C9F">
      <w:r>
        <w:br w:type="page"/>
      </w:r>
    </w:p>
    <w:p w14:paraId="0F76CC97" w14:textId="77777777" w:rsidR="00FF1726" w:rsidRDefault="00186C9F" w:rsidP="00FF1726">
      <w:pPr>
        <w:keepNext/>
        <w:jc w:val="center"/>
      </w:pPr>
      <w:r>
        <w:rPr>
          <w:noProof/>
        </w:rPr>
        <w:lastRenderedPageBreak/>
        <w:drawing>
          <wp:inline distT="0" distB="0" distL="0" distR="0" wp14:anchorId="7AEA5069" wp14:editId="0A1BC173">
            <wp:extent cx="5852160" cy="4133879"/>
            <wp:effectExtent l="0" t="0" r="0" b="0"/>
            <wp:docPr id="898276322" name="Picture 898276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I_5_slac_probe.png"/>
                    <pic:cNvPicPr/>
                  </pic:nvPicPr>
                  <pic:blipFill>
                    <a:blip r:embed="rId21"/>
                    <a:stretch>
                      <a:fillRect/>
                    </a:stretch>
                  </pic:blipFill>
                  <pic:spPr>
                    <a:xfrm>
                      <a:off x="0" y="0"/>
                      <a:ext cx="5852160" cy="4133879"/>
                    </a:xfrm>
                    <a:prstGeom prst="rect">
                      <a:avLst/>
                    </a:prstGeom>
                  </pic:spPr>
                </pic:pic>
              </a:graphicData>
            </a:graphic>
          </wp:inline>
        </w:drawing>
      </w:r>
    </w:p>
    <w:p w14:paraId="5B938250" w14:textId="77777777" w:rsidR="00B61E64" w:rsidRDefault="00FF1726" w:rsidP="00FF1726">
      <w:pPr>
        <w:pStyle w:val="Caption"/>
        <w:jc w:val="center"/>
      </w:pPr>
      <w:bookmarkStart w:id="190" w:name="_Toc234530023"/>
      <w:r>
        <w:t xml:space="preserve">Figure </w:t>
      </w:r>
      <w:fldSimple w:instr=" SEQ Figure \* ARABIC ">
        <w:r>
          <w:rPr>
            <w:noProof/>
          </w:rPr>
          <w:t>16</w:t>
        </w:r>
      </w:fldSimple>
      <w:r>
        <w:t>:CELOX SLAC probe drawing showing probe geometry, diameters and minimum pop-out force (Heraeus Electro-Nite, 2023).</w:t>
      </w:r>
      <w:bookmarkEnd w:id="190"/>
    </w:p>
    <w:p w14:paraId="44FB1F83" w14:textId="77777777" w:rsidR="00B61E64" w:rsidRPr="008521E0" w:rsidRDefault="00186C9F">
      <w:pPr>
        <w:jc w:val="both"/>
        <w:rPr>
          <w:sz w:val="24"/>
          <w:szCs w:val="24"/>
        </w:rPr>
      </w:pPr>
      <w:r>
        <w:rPr>
          <w:szCs w:val="24"/>
        </w:rPr>
        <w:t>Supports probe-handling and transport assumptions in Section 4.4 and Appendix F.</w:t>
      </w:r>
    </w:p>
    <w:p w14:paraId="70F4C65E" w14:textId="77777777" w:rsidR="00B61E64" w:rsidRDefault="00186C9F">
      <w:r>
        <w:br w:type="page"/>
      </w:r>
    </w:p>
    <w:p w14:paraId="796B05EC" w14:textId="77777777" w:rsidR="00FF1726" w:rsidRDefault="00186C9F" w:rsidP="00FF1726">
      <w:pPr>
        <w:keepNext/>
        <w:jc w:val="center"/>
      </w:pPr>
      <w:r>
        <w:rPr>
          <w:noProof/>
        </w:rPr>
        <w:lastRenderedPageBreak/>
        <w:drawing>
          <wp:inline distT="0" distB="0" distL="0" distR="0" wp14:anchorId="65D906DB" wp14:editId="51E8F499">
            <wp:extent cx="5852160" cy="3893187"/>
            <wp:effectExtent l="0" t="0" r="0" b="0"/>
            <wp:docPr id="898276323" name="Picture 898276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I_6_standard_probes.png"/>
                    <pic:cNvPicPr/>
                  </pic:nvPicPr>
                  <pic:blipFill>
                    <a:blip r:embed="rId31"/>
                    <a:stretch>
                      <a:fillRect/>
                    </a:stretch>
                  </pic:blipFill>
                  <pic:spPr>
                    <a:xfrm>
                      <a:off x="0" y="0"/>
                      <a:ext cx="5852160" cy="3893187"/>
                    </a:xfrm>
                    <a:prstGeom prst="rect">
                      <a:avLst/>
                    </a:prstGeom>
                  </pic:spPr>
                </pic:pic>
              </a:graphicData>
            </a:graphic>
          </wp:inline>
        </w:drawing>
      </w:r>
    </w:p>
    <w:p w14:paraId="19CF1FA7" w14:textId="77777777" w:rsidR="00B61E64" w:rsidRDefault="00FF1726" w:rsidP="00FF1726">
      <w:pPr>
        <w:pStyle w:val="Caption"/>
        <w:jc w:val="center"/>
      </w:pPr>
      <w:bookmarkStart w:id="191" w:name="_Toc234530024"/>
      <w:r>
        <w:t xml:space="preserve">Figure </w:t>
      </w:r>
      <w:fldSimple w:instr=" SEQ Figure \* ARABIC ">
        <w:r>
          <w:rPr>
            <w:noProof/>
          </w:rPr>
          <w:t>17</w:t>
        </w:r>
      </w:fldSimple>
      <w:r>
        <w:t>:Standard probe arrangements used for temperature, Celox and sample probe comparison (Heraeus Electro-Nite, 2005).</w:t>
      </w:r>
      <w:bookmarkEnd w:id="191"/>
    </w:p>
    <w:p w14:paraId="39FE1951" w14:textId="77777777" w:rsidR="00B61E64" w:rsidRPr="008521E0" w:rsidRDefault="00186C9F">
      <w:pPr>
        <w:jc w:val="both"/>
        <w:rPr>
          <w:sz w:val="24"/>
          <w:szCs w:val="24"/>
        </w:rPr>
      </w:pPr>
      <w:r>
        <w:rPr>
          <w:szCs w:val="24"/>
        </w:rPr>
        <w:t>Supports the conclusion that the transport and handling strategy must accommodate a family of probe types, not a single abstract sample.</w:t>
      </w:r>
    </w:p>
    <w:p w14:paraId="641E157C" w14:textId="77777777" w:rsidR="00B61E64" w:rsidRDefault="00186C9F">
      <w:r>
        <w:br w:type="page"/>
      </w:r>
    </w:p>
    <w:p w14:paraId="712B26D0" w14:textId="77777777" w:rsidR="00FF1726" w:rsidRDefault="00186C9F" w:rsidP="00FF1726">
      <w:pPr>
        <w:keepNext/>
        <w:jc w:val="center"/>
      </w:pPr>
      <w:r>
        <w:rPr>
          <w:noProof/>
        </w:rPr>
        <w:lastRenderedPageBreak/>
        <w:drawing>
          <wp:inline distT="0" distB="0" distL="0" distR="0" wp14:anchorId="70FC60C7" wp14:editId="1D19B246">
            <wp:extent cx="5852160" cy="4316174"/>
            <wp:effectExtent l="0" t="0" r="0" b="0"/>
            <wp:docPr id="898276324" name="Picture 898276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I_7_eaf_slag_probe.png"/>
                    <pic:cNvPicPr/>
                  </pic:nvPicPr>
                  <pic:blipFill>
                    <a:blip r:embed="rId32"/>
                    <a:stretch>
                      <a:fillRect/>
                    </a:stretch>
                  </pic:blipFill>
                  <pic:spPr>
                    <a:xfrm>
                      <a:off x="0" y="0"/>
                      <a:ext cx="5852160" cy="4316174"/>
                    </a:xfrm>
                    <a:prstGeom prst="rect">
                      <a:avLst/>
                    </a:prstGeom>
                  </pic:spPr>
                </pic:pic>
              </a:graphicData>
            </a:graphic>
          </wp:inline>
        </w:drawing>
      </w:r>
    </w:p>
    <w:p w14:paraId="1F7CE191" w14:textId="77777777" w:rsidR="00B61E64" w:rsidRDefault="00FF1726" w:rsidP="00FF1726">
      <w:pPr>
        <w:pStyle w:val="Caption"/>
        <w:jc w:val="center"/>
      </w:pPr>
      <w:bookmarkStart w:id="192" w:name="_Toc234530025"/>
      <w:r>
        <w:t xml:space="preserve">Figure </w:t>
      </w:r>
      <w:fldSimple w:instr=" SEQ Figure \* ARABIC ">
        <w:r>
          <w:rPr>
            <w:noProof/>
          </w:rPr>
          <w:t>18</w:t>
        </w:r>
      </w:fldSimple>
      <w:r>
        <w:t>:EAF 3-in-1 slag probe with drip rings, showing overall geometry and central ringed section (Heraeus Electro-Nite, 2025a).</w:t>
      </w:r>
      <w:bookmarkEnd w:id="192"/>
    </w:p>
    <w:p w14:paraId="14E62FA6" w14:textId="77777777" w:rsidR="00B61E64" w:rsidRDefault="00186C9F">
      <w:pPr>
        <w:jc w:val="both"/>
      </w:pPr>
      <w:r>
        <w:rPr>
          <w:szCs w:val="24"/>
        </w:rPr>
        <w:t>Supports the slag-probe handling, gripping, heat and transport-complexity assessment in Sections 4.4, 4.6 and Appendix F</w:t>
      </w:r>
      <w:r>
        <w:rPr>
          <w:sz w:val="20"/>
        </w:rPr>
        <w:t>.</w:t>
      </w:r>
    </w:p>
    <w:p w14:paraId="5DBEC114" w14:textId="77777777" w:rsidR="00B61E64" w:rsidRDefault="00186C9F">
      <w:r>
        <w:br w:type="page"/>
      </w:r>
    </w:p>
    <w:p w14:paraId="7A020AEE" w14:textId="77777777" w:rsidR="00FF1726" w:rsidRDefault="00186C9F" w:rsidP="00FF1726">
      <w:pPr>
        <w:keepNext/>
        <w:jc w:val="center"/>
      </w:pPr>
      <w:r>
        <w:rPr>
          <w:noProof/>
        </w:rPr>
        <w:lastRenderedPageBreak/>
        <w:drawing>
          <wp:inline distT="0" distB="0" distL="0" distR="0" wp14:anchorId="7DD8E431" wp14:editId="04B737EC">
            <wp:extent cx="1720488" cy="5120640"/>
            <wp:effectExtent l="0" t="0" r="0" b="0"/>
            <wp:docPr id="898276325" name="Picture 898276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I_8_hydris_probe.png"/>
                    <pic:cNvPicPr/>
                  </pic:nvPicPr>
                  <pic:blipFill>
                    <a:blip r:embed="rId33"/>
                    <a:stretch>
                      <a:fillRect/>
                    </a:stretch>
                  </pic:blipFill>
                  <pic:spPr>
                    <a:xfrm>
                      <a:off x="0" y="0"/>
                      <a:ext cx="1720488" cy="5120640"/>
                    </a:xfrm>
                    <a:prstGeom prst="rect">
                      <a:avLst/>
                    </a:prstGeom>
                  </pic:spPr>
                </pic:pic>
              </a:graphicData>
            </a:graphic>
          </wp:inline>
        </w:drawing>
      </w:r>
    </w:p>
    <w:p w14:paraId="3B6A5787" w14:textId="77777777" w:rsidR="00B61E64" w:rsidRDefault="00FF1726" w:rsidP="00FF1726">
      <w:pPr>
        <w:pStyle w:val="Caption"/>
        <w:jc w:val="center"/>
      </w:pPr>
      <w:bookmarkStart w:id="193" w:name="_Toc234530026"/>
      <w:r>
        <w:t xml:space="preserve">Figure </w:t>
      </w:r>
      <w:fldSimple w:instr=" SEQ Figure \* ARABIC ">
        <w:r>
          <w:rPr>
            <w:noProof/>
          </w:rPr>
          <w:t>19</w:t>
        </w:r>
      </w:fldSimple>
      <w:r>
        <w:t>:Hydris probe showing annotated dimensional features relevant to probe-family transport constraints (Heraeus Electro-Nite, 2025b).</w:t>
      </w:r>
      <w:bookmarkEnd w:id="193"/>
    </w:p>
    <w:p w14:paraId="79ACB4AD" w14:textId="77777777" w:rsidR="00B61E64" w:rsidRPr="008521E0" w:rsidRDefault="00186C9F">
      <w:pPr>
        <w:jc w:val="both"/>
        <w:rPr>
          <w:sz w:val="24"/>
          <w:szCs w:val="24"/>
        </w:rPr>
      </w:pPr>
      <w:r>
        <w:rPr>
          <w:szCs w:val="24"/>
        </w:rPr>
        <w:t>Supports the observation that future sample transport must account for different probe families and dimensional envelopes.</w:t>
      </w:r>
    </w:p>
    <w:p w14:paraId="719C3A7E" w14:textId="77777777" w:rsidR="00B61E64" w:rsidRDefault="00186C9F">
      <w:r>
        <w:br w:type="page"/>
      </w:r>
    </w:p>
    <w:p w14:paraId="117CF853" w14:textId="77777777" w:rsidR="00FF1726" w:rsidRDefault="00186C9F" w:rsidP="00FF1726">
      <w:pPr>
        <w:keepNext/>
        <w:jc w:val="center"/>
      </w:pPr>
      <w:r>
        <w:rPr>
          <w:noProof/>
        </w:rPr>
        <w:lastRenderedPageBreak/>
        <w:drawing>
          <wp:inline distT="0" distB="0" distL="0" distR="0" wp14:anchorId="03E8FF7A" wp14:editId="1C9D9B47">
            <wp:extent cx="1697716" cy="5120640"/>
            <wp:effectExtent l="0" t="0" r="0" b="0"/>
            <wp:docPr id="898276326" name="Picture 898276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I_9_lf_slag_probe.png"/>
                    <pic:cNvPicPr/>
                  </pic:nvPicPr>
                  <pic:blipFill>
                    <a:blip r:embed="rId34"/>
                    <a:stretch>
                      <a:fillRect/>
                    </a:stretch>
                  </pic:blipFill>
                  <pic:spPr>
                    <a:xfrm>
                      <a:off x="0" y="0"/>
                      <a:ext cx="1697716" cy="5120640"/>
                    </a:xfrm>
                    <a:prstGeom prst="rect">
                      <a:avLst/>
                    </a:prstGeom>
                  </pic:spPr>
                </pic:pic>
              </a:graphicData>
            </a:graphic>
          </wp:inline>
        </w:drawing>
      </w:r>
    </w:p>
    <w:p w14:paraId="024F4812" w14:textId="77777777" w:rsidR="00B61E64" w:rsidRDefault="00FF1726" w:rsidP="00FF1726">
      <w:pPr>
        <w:pStyle w:val="Caption"/>
        <w:jc w:val="center"/>
      </w:pPr>
      <w:bookmarkStart w:id="194" w:name="_Toc234530027"/>
      <w:r>
        <w:t xml:space="preserve">Figure </w:t>
      </w:r>
      <w:fldSimple w:instr=" SEQ Figure \* ARABIC ">
        <w:r>
          <w:rPr>
            <w:noProof/>
          </w:rPr>
          <w:t>20</w:t>
        </w:r>
      </w:fldSimple>
      <w:r>
        <w:t>: LF slag sampler image showing alternative slag-sampling geometry and sample form for downstream/later-stage development comparison (Heraeus Electro-Nite, 2025c).</w:t>
      </w:r>
      <w:bookmarkEnd w:id="194"/>
    </w:p>
    <w:p w14:paraId="368C8BB1" w14:textId="77777777" w:rsidR="00B61E64" w:rsidRPr="008521E0" w:rsidRDefault="00186C9F">
      <w:pPr>
        <w:jc w:val="both"/>
        <w:rPr>
          <w:sz w:val="24"/>
          <w:szCs w:val="24"/>
        </w:rPr>
      </w:pPr>
      <w:r>
        <w:rPr>
          <w:szCs w:val="24"/>
        </w:rPr>
        <w:t>Supports the staged slag strategy by showing that slag sampling arrangements vary by process location and should be validated before EAF day-one reliance.</w:t>
      </w:r>
    </w:p>
    <w:p w14:paraId="48D7E523" w14:textId="77777777" w:rsidR="00B61E64" w:rsidRDefault="00186C9F">
      <w:r>
        <w:br w:type="page"/>
      </w:r>
    </w:p>
    <w:p w14:paraId="1D7E4669" w14:textId="77777777" w:rsidR="00FF1726" w:rsidRDefault="00186C9F" w:rsidP="00FF1726">
      <w:pPr>
        <w:keepNext/>
        <w:jc w:val="center"/>
      </w:pPr>
      <w:r>
        <w:rPr>
          <w:noProof/>
        </w:rPr>
        <w:lastRenderedPageBreak/>
        <w:drawing>
          <wp:inline distT="0" distB="0" distL="0" distR="0" wp14:anchorId="655AAFDC" wp14:editId="6319662F">
            <wp:extent cx="3609074" cy="5120640"/>
            <wp:effectExtent l="0" t="0" r="0" b="0"/>
            <wp:docPr id="898276327" name="Picture 898276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I_10_bom_components.png"/>
                    <pic:cNvPicPr/>
                  </pic:nvPicPr>
                  <pic:blipFill>
                    <a:blip r:embed="rId35"/>
                    <a:stretch>
                      <a:fillRect/>
                    </a:stretch>
                  </pic:blipFill>
                  <pic:spPr>
                    <a:xfrm>
                      <a:off x="0" y="0"/>
                      <a:ext cx="3609074" cy="5120640"/>
                    </a:xfrm>
                    <a:prstGeom prst="rect">
                      <a:avLst/>
                    </a:prstGeom>
                  </pic:spPr>
                </pic:pic>
              </a:graphicData>
            </a:graphic>
          </wp:inline>
        </w:drawing>
      </w:r>
    </w:p>
    <w:p w14:paraId="105FE3B1" w14:textId="77777777" w:rsidR="00B61E64" w:rsidRDefault="00FF1726" w:rsidP="00FF1726">
      <w:pPr>
        <w:pStyle w:val="Caption"/>
        <w:jc w:val="center"/>
      </w:pPr>
      <w:bookmarkStart w:id="195" w:name="_Toc234530028"/>
      <w:r>
        <w:t xml:space="preserve">Figure </w:t>
      </w:r>
      <w:fldSimple w:instr=" SEQ Figure \* ARABIC ">
        <w:r>
          <w:rPr>
            <w:noProof/>
          </w:rPr>
          <w:t>21</w:t>
        </w:r>
      </w:fldSimple>
      <w:r>
        <w:t>:PolySAMPLE LF1 component/spares source document showing the project, customer, revision and component list context (Tenova, 2026).</w:t>
      </w:r>
      <w:bookmarkEnd w:id="195"/>
    </w:p>
    <w:p w14:paraId="49AEC3F5" w14:textId="77777777" w:rsidR="00B61E64" w:rsidRPr="008521E0" w:rsidRDefault="00186C9F">
      <w:pPr>
        <w:jc w:val="both"/>
        <w:rPr>
          <w:sz w:val="24"/>
          <w:szCs w:val="24"/>
        </w:rPr>
      </w:pPr>
      <w:r>
        <w:rPr>
          <w:szCs w:val="24"/>
        </w:rPr>
        <w:t>Supports the source review log by evidencing supplier/project documentation used to understand component and integration context.</w:t>
      </w:r>
    </w:p>
    <w:sectPr w:rsidR="00B61E64" w:rsidRPr="008521E0" w:rsidSect="001572C3">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D60E8" w14:textId="77777777" w:rsidR="00BF2768" w:rsidRDefault="00BF2768">
      <w:pPr>
        <w:spacing w:after="0" w:line="240" w:lineRule="auto"/>
      </w:pPr>
      <w:r>
        <w:separator/>
      </w:r>
    </w:p>
  </w:endnote>
  <w:endnote w:type="continuationSeparator" w:id="0">
    <w:p w14:paraId="7D1E32A4" w14:textId="77777777" w:rsidR="00BF2768" w:rsidRDefault="00BF2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EE0A2C" w14:textId="77777777" w:rsidR="00A50900" w:rsidRDefault="00DB0D74">
    <w:pPr>
      <w:pStyle w:val="Footer"/>
    </w:pPr>
    <w:r>
      <w:rPr>
        <w:noProof/>
      </w:rPr>
      <mc:AlternateContent>
        <mc:Choice Requires="wps">
          <w:drawing>
            <wp:anchor distT="0" distB="0" distL="0" distR="0" simplePos="0" relativeHeight="251658240" behindDoc="0" locked="0" layoutInCell="1" allowOverlap="1" wp14:anchorId="5F3B68E7" wp14:editId="05343EF0">
              <wp:simplePos x="0" y="0"/>
              <wp:positionH relativeFrom="leftMargin">
                <wp:align>left</wp:align>
              </wp:positionH>
              <wp:positionV relativeFrom="paragraph">
                <wp:posOffset>635</wp:posOffset>
              </wp:positionV>
              <wp:extent cx="443865" cy="443865"/>
              <wp:effectExtent l="0" t="635" r="3810" b="3175"/>
              <wp:wrapSquare wrapText="bothSides"/>
              <wp:docPr id="8" name="Text Box 2" descr="Sensitivity: general"/>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865" cy="443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E0DD2C" w14:textId="77777777" w:rsidR="00A50900" w:rsidRPr="00A50900" w:rsidRDefault="00DB0D74">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vert="horz" wrap="none" lIns="19050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5F3B68E7" id="_x0000_t202" coordsize="21600,21600" o:spt="202" path="m,l,21600r21600,l21600,xe">
              <v:stroke joinstyle="miter"/>
              <v:path gradientshapeok="t" o:connecttype="rect"/>
            </v:shapetype>
            <v:shape id="Text Box 2" o:spid="_x0000_s1029" type="#_x0000_t202" alt="Sensitivity: general" style="position:absolute;margin-left:0;margin-top:.05pt;width:34.95pt;height:34.95pt;z-index:251658240;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" filled="f" stroked="f">
              <v:textbox style="mso-fit-shape-to-text:t" inset="15pt,0,0,0">
                <w:txbxContent>
                  <w:p w14:paraId="74E0DD2C" w14:textId="77777777" w:rsidR="00A50900" w:rsidRPr="00A50900" w:rsidRDefault="00DB0D74">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922565"/>
      <w:docPartObj>
        <w:docPartGallery w:val="Page Numbers (Bottom of Page)"/>
        <w:docPartUnique/>
      </w:docPartObj>
    </w:sdtPr>
    <w:sdtEndPr>
      <w:rPr>
        <w:noProof/>
      </w:rPr>
    </w:sdtEndPr>
    <w:sdtContent>
      <w:p w14:paraId="2877FE3D" w14:textId="77777777" w:rsidR="00433677" w:rsidRDefault="00DB0D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612355" w14:textId="77777777"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A988B" w14:textId="77777777" w:rsidR="00CA5152" w:rsidRDefault="00CA5152">
    <w:pPr>
      <w:pStyle w:val="Footer"/>
      <w:jc w:val="center"/>
    </w:pPr>
  </w:p>
  <w:p w14:paraId="593AF731" w14:textId="77777777" w:rsidR="004F0CDE" w:rsidRDefault="004F0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19257" w14:textId="77777777" w:rsidR="00BF2768" w:rsidRDefault="00BF2768">
      <w:pPr>
        <w:spacing w:after="0" w:line="240" w:lineRule="auto"/>
      </w:pPr>
      <w:r>
        <w:separator/>
      </w:r>
    </w:p>
  </w:footnote>
  <w:footnote w:type="continuationSeparator" w:id="0">
    <w:p w14:paraId="12D3F066" w14:textId="77777777" w:rsidR="00BF2768" w:rsidRDefault="00BF27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D0010"/>
    <w:multiLevelType w:val="hybridMultilevel"/>
    <w:tmpl w:val="0E96E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B4F62"/>
    <w:multiLevelType w:val="multilevel"/>
    <w:tmpl w:val="70D4F82E"/>
    <w:lvl w:ilvl="0">
      <w:start w:val="1"/>
      <w:numFmt w:val="decimal"/>
      <w:pStyle w:val="Heading1"/>
      <w:lvlText w:val="%1"/>
      <w:lvlJc w:val="left"/>
      <w:pPr>
        <w:ind w:left="432" w:hanging="432"/>
      </w:pPr>
      <w:rPr>
        <w:rFonts w:hint="default"/>
        <w:b/>
        <w:bCs/>
        <w:color w:val="0070C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 w15:restartNumberingAfterBreak="0">
    <w:nsid w:val="0BE805A8"/>
    <w:multiLevelType w:val="hybridMultilevel"/>
    <w:tmpl w:val="7F5C8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811A9"/>
    <w:multiLevelType w:val="hybridMultilevel"/>
    <w:tmpl w:val="79D8E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897130"/>
    <w:multiLevelType w:val="hybridMultilevel"/>
    <w:tmpl w:val="2FA2A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E26198"/>
    <w:multiLevelType w:val="hybridMultilevel"/>
    <w:tmpl w:val="A5984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718907">
    <w:abstractNumId w:val="1"/>
  </w:num>
  <w:num w:numId="2" w16cid:durableId="745150328">
    <w:abstractNumId w:val="3"/>
  </w:num>
  <w:num w:numId="3" w16cid:durableId="2107529593">
    <w:abstractNumId w:val="4"/>
  </w:num>
  <w:num w:numId="4" w16cid:durableId="1666929626">
    <w:abstractNumId w:val="2"/>
  </w:num>
  <w:num w:numId="5" w16cid:durableId="414934182">
    <w:abstractNumId w:val="0"/>
  </w:num>
  <w:num w:numId="6" w16cid:durableId="1781026029">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0152"/>
    <w:rsid w:val="0000028C"/>
    <w:rsid w:val="00000B29"/>
    <w:rsid w:val="0000102B"/>
    <w:rsid w:val="00001371"/>
    <w:rsid w:val="00002CBC"/>
    <w:rsid w:val="000037F2"/>
    <w:rsid w:val="000038F9"/>
    <w:rsid w:val="00004760"/>
    <w:rsid w:val="0000486B"/>
    <w:rsid w:val="00004977"/>
    <w:rsid w:val="00006BDB"/>
    <w:rsid w:val="0000794A"/>
    <w:rsid w:val="00010AF4"/>
    <w:rsid w:val="00012081"/>
    <w:rsid w:val="00012337"/>
    <w:rsid w:val="00012A6D"/>
    <w:rsid w:val="00012D47"/>
    <w:rsid w:val="000137F5"/>
    <w:rsid w:val="00014566"/>
    <w:rsid w:val="00015079"/>
    <w:rsid w:val="00015897"/>
    <w:rsid w:val="00015E6B"/>
    <w:rsid w:val="00015F34"/>
    <w:rsid w:val="000170FB"/>
    <w:rsid w:val="00020923"/>
    <w:rsid w:val="00020D96"/>
    <w:rsid w:val="00021DF3"/>
    <w:rsid w:val="00022033"/>
    <w:rsid w:val="000229F3"/>
    <w:rsid w:val="00022DC9"/>
    <w:rsid w:val="00022E96"/>
    <w:rsid w:val="00023C7C"/>
    <w:rsid w:val="0002426B"/>
    <w:rsid w:val="000243EA"/>
    <w:rsid w:val="00024605"/>
    <w:rsid w:val="00025531"/>
    <w:rsid w:val="000259D4"/>
    <w:rsid w:val="000265E7"/>
    <w:rsid w:val="00030717"/>
    <w:rsid w:val="000316C9"/>
    <w:rsid w:val="00032C6E"/>
    <w:rsid w:val="00032E9B"/>
    <w:rsid w:val="0003336F"/>
    <w:rsid w:val="00033F44"/>
    <w:rsid w:val="00034937"/>
    <w:rsid w:val="000357E5"/>
    <w:rsid w:val="00035805"/>
    <w:rsid w:val="00035AA3"/>
    <w:rsid w:val="00036879"/>
    <w:rsid w:val="00037673"/>
    <w:rsid w:val="00037FF3"/>
    <w:rsid w:val="000401D8"/>
    <w:rsid w:val="0004279A"/>
    <w:rsid w:val="00042B28"/>
    <w:rsid w:val="000437D9"/>
    <w:rsid w:val="00043DEC"/>
    <w:rsid w:val="000441D7"/>
    <w:rsid w:val="0004473C"/>
    <w:rsid w:val="00045935"/>
    <w:rsid w:val="000466BD"/>
    <w:rsid w:val="00051519"/>
    <w:rsid w:val="000516E0"/>
    <w:rsid w:val="00051E35"/>
    <w:rsid w:val="0005250E"/>
    <w:rsid w:val="0005346C"/>
    <w:rsid w:val="00053765"/>
    <w:rsid w:val="00054777"/>
    <w:rsid w:val="00054806"/>
    <w:rsid w:val="000553E1"/>
    <w:rsid w:val="00055E08"/>
    <w:rsid w:val="00055E99"/>
    <w:rsid w:val="00056E5D"/>
    <w:rsid w:val="00057454"/>
    <w:rsid w:val="0006000F"/>
    <w:rsid w:val="000610E7"/>
    <w:rsid w:val="00061281"/>
    <w:rsid w:val="000613D9"/>
    <w:rsid w:val="0006186E"/>
    <w:rsid w:val="0006235F"/>
    <w:rsid w:val="00062CC8"/>
    <w:rsid w:val="00063387"/>
    <w:rsid w:val="00063E4B"/>
    <w:rsid w:val="00065064"/>
    <w:rsid w:val="00066E3B"/>
    <w:rsid w:val="000675A0"/>
    <w:rsid w:val="000675D6"/>
    <w:rsid w:val="00070027"/>
    <w:rsid w:val="00070412"/>
    <w:rsid w:val="0007064C"/>
    <w:rsid w:val="00070B81"/>
    <w:rsid w:val="00070FA0"/>
    <w:rsid w:val="000711A6"/>
    <w:rsid w:val="000711F5"/>
    <w:rsid w:val="0007144C"/>
    <w:rsid w:val="00071BC5"/>
    <w:rsid w:val="0007316B"/>
    <w:rsid w:val="000743A3"/>
    <w:rsid w:val="00074F73"/>
    <w:rsid w:val="0007694A"/>
    <w:rsid w:val="000771D3"/>
    <w:rsid w:val="00077EEC"/>
    <w:rsid w:val="00077FE2"/>
    <w:rsid w:val="00080BE2"/>
    <w:rsid w:val="00081187"/>
    <w:rsid w:val="00081364"/>
    <w:rsid w:val="000813B1"/>
    <w:rsid w:val="00082877"/>
    <w:rsid w:val="00083320"/>
    <w:rsid w:val="00083DA7"/>
    <w:rsid w:val="00084ABB"/>
    <w:rsid w:val="00084B33"/>
    <w:rsid w:val="00084CF5"/>
    <w:rsid w:val="000854FD"/>
    <w:rsid w:val="00085C1B"/>
    <w:rsid w:val="00086739"/>
    <w:rsid w:val="00086F3B"/>
    <w:rsid w:val="00086F59"/>
    <w:rsid w:val="000872E7"/>
    <w:rsid w:val="00087712"/>
    <w:rsid w:val="00087A44"/>
    <w:rsid w:val="000901DD"/>
    <w:rsid w:val="00090B9A"/>
    <w:rsid w:val="00091872"/>
    <w:rsid w:val="00093CC4"/>
    <w:rsid w:val="00094440"/>
    <w:rsid w:val="00094847"/>
    <w:rsid w:val="00094F4F"/>
    <w:rsid w:val="0009605E"/>
    <w:rsid w:val="000969FB"/>
    <w:rsid w:val="00096FAE"/>
    <w:rsid w:val="00097E62"/>
    <w:rsid w:val="000A01C2"/>
    <w:rsid w:val="000A04BD"/>
    <w:rsid w:val="000A058F"/>
    <w:rsid w:val="000A1436"/>
    <w:rsid w:val="000A229F"/>
    <w:rsid w:val="000A344D"/>
    <w:rsid w:val="000A40D2"/>
    <w:rsid w:val="000A594C"/>
    <w:rsid w:val="000A5BDA"/>
    <w:rsid w:val="000A5F3C"/>
    <w:rsid w:val="000A62C1"/>
    <w:rsid w:val="000A64BC"/>
    <w:rsid w:val="000A6B62"/>
    <w:rsid w:val="000A7760"/>
    <w:rsid w:val="000B1609"/>
    <w:rsid w:val="000B19E9"/>
    <w:rsid w:val="000B1B2C"/>
    <w:rsid w:val="000B1CAC"/>
    <w:rsid w:val="000B38AE"/>
    <w:rsid w:val="000B45FD"/>
    <w:rsid w:val="000B4C27"/>
    <w:rsid w:val="000B58BF"/>
    <w:rsid w:val="000B608C"/>
    <w:rsid w:val="000C0C75"/>
    <w:rsid w:val="000C1644"/>
    <w:rsid w:val="000C1A85"/>
    <w:rsid w:val="000C2B8D"/>
    <w:rsid w:val="000C2E18"/>
    <w:rsid w:val="000C3BB8"/>
    <w:rsid w:val="000C3F8E"/>
    <w:rsid w:val="000C479A"/>
    <w:rsid w:val="000C4994"/>
    <w:rsid w:val="000C4D3D"/>
    <w:rsid w:val="000C552C"/>
    <w:rsid w:val="000C6966"/>
    <w:rsid w:val="000C7E7D"/>
    <w:rsid w:val="000C7F1F"/>
    <w:rsid w:val="000D0E8C"/>
    <w:rsid w:val="000D173F"/>
    <w:rsid w:val="000D2640"/>
    <w:rsid w:val="000D4622"/>
    <w:rsid w:val="000D5758"/>
    <w:rsid w:val="000D5C1B"/>
    <w:rsid w:val="000D5F61"/>
    <w:rsid w:val="000D763F"/>
    <w:rsid w:val="000D78CA"/>
    <w:rsid w:val="000E00C2"/>
    <w:rsid w:val="000E162B"/>
    <w:rsid w:val="000E2894"/>
    <w:rsid w:val="000E2BAB"/>
    <w:rsid w:val="000E31E5"/>
    <w:rsid w:val="000E4114"/>
    <w:rsid w:val="000E4BFB"/>
    <w:rsid w:val="000E568F"/>
    <w:rsid w:val="000E596E"/>
    <w:rsid w:val="000E6808"/>
    <w:rsid w:val="000E78C6"/>
    <w:rsid w:val="000E7912"/>
    <w:rsid w:val="000F0B98"/>
    <w:rsid w:val="000F0DB0"/>
    <w:rsid w:val="000F0F58"/>
    <w:rsid w:val="000F102F"/>
    <w:rsid w:val="000F2332"/>
    <w:rsid w:val="000F27DA"/>
    <w:rsid w:val="000F2856"/>
    <w:rsid w:val="000F28A1"/>
    <w:rsid w:val="000F3515"/>
    <w:rsid w:val="000F461F"/>
    <w:rsid w:val="000F4CAA"/>
    <w:rsid w:val="000F576D"/>
    <w:rsid w:val="000F787D"/>
    <w:rsid w:val="00101D8A"/>
    <w:rsid w:val="001023E6"/>
    <w:rsid w:val="00102717"/>
    <w:rsid w:val="0010453C"/>
    <w:rsid w:val="00104667"/>
    <w:rsid w:val="00104FEC"/>
    <w:rsid w:val="00105149"/>
    <w:rsid w:val="00106552"/>
    <w:rsid w:val="001066E4"/>
    <w:rsid w:val="00106B0C"/>
    <w:rsid w:val="00107507"/>
    <w:rsid w:val="0010764F"/>
    <w:rsid w:val="001101E3"/>
    <w:rsid w:val="00110D07"/>
    <w:rsid w:val="00110E51"/>
    <w:rsid w:val="00113061"/>
    <w:rsid w:val="00113970"/>
    <w:rsid w:val="0011399C"/>
    <w:rsid w:val="00113CA1"/>
    <w:rsid w:val="00113D41"/>
    <w:rsid w:val="0011514E"/>
    <w:rsid w:val="00115A99"/>
    <w:rsid w:val="00117151"/>
    <w:rsid w:val="001179EA"/>
    <w:rsid w:val="00121DB3"/>
    <w:rsid w:val="00121E53"/>
    <w:rsid w:val="001220FE"/>
    <w:rsid w:val="0012231B"/>
    <w:rsid w:val="00123F91"/>
    <w:rsid w:val="001247E4"/>
    <w:rsid w:val="00125F27"/>
    <w:rsid w:val="00126B28"/>
    <w:rsid w:val="00126DF5"/>
    <w:rsid w:val="00127E7D"/>
    <w:rsid w:val="00130080"/>
    <w:rsid w:val="0013052B"/>
    <w:rsid w:val="001313EF"/>
    <w:rsid w:val="00131550"/>
    <w:rsid w:val="00132B0C"/>
    <w:rsid w:val="00132C63"/>
    <w:rsid w:val="00133875"/>
    <w:rsid w:val="00133CBE"/>
    <w:rsid w:val="00134809"/>
    <w:rsid w:val="001354E8"/>
    <w:rsid w:val="00136C63"/>
    <w:rsid w:val="00136CA6"/>
    <w:rsid w:val="0013716F"/>
    <w:rsid w:val="00140090"/>
    <w:rsid w:val="0014079E"/>
    <w:rsid w:val="00140813"/>
    <w:rsid w:val="00143733"/>
    <w:rsid w:val="001440DC"/>
    <w:rsid w:val="00144357"/>
    <w:rsid w:val="00144B70"/>
    <w:rsid w:val="00145DA4"/>
    <w:rsid w:val="00147977"/>
    <w:rsid w:val="00147C6A"/>
    <w:rsid w:val="00150134"/>
    <w:rsid w:val="0015027F"/>
    <w:rsid w:val="001504DA"/>
    <w:rsid w:val="001514C5"/>
    <w:rsid w:val="00151DE5"/>
    <w:rsid w:val="001528DD"/>
    <w:rsid w:val="00152D7D"/>
    <w:rsid w:val="00153F1D"/>
    <w:rsid w:val="001558D0"/>
    <w:rsid w:val="00155D45"/>
    <w:rsid w:val="001560E4"/>
    <w:rsid w:val="00156F12"/>
    <w:rsid w:val="001572C3"/>
    <w:rsid w:val="001605AD"/>
    <w:rsid w:val="00161433"/>
    <w:rsid w:val="00161B58"/>
    <w:rsid w:val="00163774"/>
    <w:rsid w:val="0016441A"/>
    <w:rsid w:val="00164714"/>
    <w:rsid w:val="001654FC"/>
    <w:rsid w:val="001659C2"/>
    <w:rsid w:val="001662A4"/>
    <w:rsid w:val="00166DF9"/>
    <w:rsid w:val="00166EC7"/>
    <w:rsid w:val="00171651"/>
    <w:rsid w:val="00172F63"/>
    <w:rsid w:val="00173C24"/>
    <w:rsid w:val="00174DE5"/>
    <w:rsid w:val="00176602"/>
    <w:rsid w:val="0018163C"/>
    <w:rsid w:val="0018171F"/>
    <w:rsid w:val="00181C0C"/>
    <w:rsid w:val="0018389C"/>
    <w:rsid w:val="00183E45"/>
    <w:rsid w:val="00183F75"/>
    <w:rsid w:val="00185642"/>
    <w:rsid w:val="0018628C"/>
    <w:rsid w:val="00186C9F"/>
    <w:rsid w:val="00190D19"/>
    <w:rsid w:val="00192B72"/>
    <w:rsid w:val="00192C60"/>
    <w:rsid w:val="001935AB"/>
    <w:rsid w:val="00193871"/>
    <w:rsid w:val="001938AD"/>
    <w:rsid w:val="00193B52"/>
    <w:rsid w:val="001960A3"/>
    <w:rsid w:val="0019618A"/>
    <w:rsid w:val="00196468"/>
    <w:rsid w:val="0019651B"/>
    <w:rsid w:val="001A057C"/>
    <w:rsid w:val="001A14E6"/>
    <w:rsid w:val="001A2826"/>
    <w:rsid w:val="001A29A8"/>
    <w:rsid w:val="001A3277"/>
    <w:rsid w:val="001A36F6"/>
    <w:rsid w:val="001A3ACF"/>
    <w:rsid w:val="001A3C6A"/>
    <w:rsid w:val="001A62BF"/>
    <w:rsid w:val="001A634F"/>
    <w:rsid w:val="001A6A88"/>
    <w:rsid w:val="001A7D76"/>
    <w:rsid w:val="001B2D78"/>
    <w:rsid w:val="001B3437"/>
    <w:rsid w:val="001B3BFD"/>
    <w:rsid w:val="001B3CAB"/>
    <w:rsid w:val="001B4E58"/>
    <w:rsid w:val="001B5657"/>
    <w:rsid w:val="001B5C19"/>
    <w:rsid w:val="001B5FE7"/>
    <w:rsid w:val="001B6E14"/>
    <w:rsid w:val="001B7682"/>
    <w:rsid w:val="001B77AC"/>
    <w:rsid w:val="001B7CC5"/>
    <w:rsid w:val="001C00E5"/>
    <w:rsid w:val="001C03D6"/>
    <w:rsid w:val="001C0CFA"/>
    <w:rsid w:val="001C1906"/>
    <w:rsid w:val="001C2028"/>
    <w:rsid w:val="001C31B8"/>
    <w:rsid w:val="001C33D3"/>
    <w:rsid w:val="001C34EB"/>
    <w:rsid w:val="001C3CDF"/>
    <w:rsid w:val="001C40F5"/>
    <w:rsid w:val="001C4BE3"/>
    <w:rsid w:val="001C4C96"/>
    <w:rsid w:val="001C517D"/>
    <w:rsid w:val="001C596A"/>
    <w:rsid w:val="001C5A0C"/>
    <w:rsid w:val="001C67E3"/>
    <w:rsid w:val="001C7162"/>
    <w:rsid w:val="001C7276"/>
    <w:rsid w:val="001D076E"/>
    <w:rsid w:val="001D1418"/>
    <w:rsid w:val="001D222B"/>
    <w:rsid w:val="001D2817"/>
    <w:rsid w:val="001D2B94"/>
    <w:rsid w:val="001D2FE6"/>
    <w:rsid w:val="001D339D"/>
    <w:rsid w:val="001D47B0"/>
    <w:rsid w:val="001D481F"/>
    <w:rsid w:val="001D4852"/>
    <w:rsid w:val="001D5D53"/>
    <w:rsid w:val="001D5D67"/>
    <w:rsid w:val="001D5F49"/>
    <w:rsid w:val="001D7A3B"/>
    <w:rsid w:val="001D7CA5"/>
    <w:rsid w:val="001E0230"/>
    <w:rsid w:val="001E245A"/>
    <w:rsid w:val="001E27F0"/>
    <w:rsid w:val="001E3109"/>
    <w:rsid w:val="001E3AE0"/>
    <w:rsid w:val="001E4859"/>
    <w:rsid w:val="001E57C2"/>
    <w:rsid w:val="001E5F16"/>
    <w:rsid w:val="001E7129"/>
    <w:rsid w:val="001E718C"/>
    <w:rsid w:val="001E7255"/>
    <w:rsid w:val="001F1FBA"/>
    <w:rsid w:val="001F2C8F"/>
    <w:rsid w:val="001F309D"/>
    <w:rsid w:val="001F36C3"/>
    <w:rsid w:val="001F5695"/>
    <w:rsid w:val="001F5CF4"/>
    <w:rsid w:val="001F5F5D"/>
    <w:rsid w:val="00200349"/>
    <w:rsid w:val="002011E5"/>
    <w:rsid w:val="002012B0"/>
    <w:rsid w:val="00203185"/>
    <w:rsid w:val="0020339D"/>
    <w:rsid w:val="0020353C"/>
    <w:rsid w:val="00203845"/>
    <w:rsid w:val="00203CBD"/>
    <w:rsid w:val="002062F9"/>
    <w:rsid w:val="00207129"/>
    <w:rsid w:val="00207C10"/>
    <w:rsid w:val="002102FD"/>
    <w:rsid w:val="002106A1"/>
    <w:rsid w:val="00210A39"/>
    <w:rsid w:val="0021182D"/>
    <w:rsid w:val="00211D72"/>
    <w:rsid w:val="002124DB"/>
    <w:rsid w:val="00213196"/>
    <w:rsid w:val="0021364B"/>
    <w:rsid w:val="00214638"/>
    <w:rsid w:val="002157F7"/>
    <w:rsid w:val="002165A1"/>
    <w:rsid w:val="0021664A"/>
    <w:rsid w:val="00217CE9"/>
    <w:rsid w:val="0022117F"/>
    <w:rsid w:val="0022129E"/>
    <w:rsid w:val="00221DCF"/>
    <w:rsid w:val="002236FF"/>
    <w:rsid w:val="0022565D"/>
    <w:rsid w:val="0022567F"/>
    <w:rsid w:val="00225761"/>
    <w:rsid w:val="00226314"/>
    <w:rsid w:val="0022659C"/>
    <w:rsid w:val="00226F45"/>
    <w:rsid w:val="002320ED"/>
    <w:rsid w:val="00232995"/>
    <w:rsid w:val="0023346A"/>
    <w:rsid w:val="00233DCB"/>
    <w:rsid w:val="00234050"/>
    <w:rsid w:val="00234697"/>
    <w:rsid w:val="00235A16"/>
    <w:rsid w:val="00235CAB"/>
    <w:rsid w:val="00236248"/>
    <w:rsid w:val="00236600"/>
    <w:rsid w:val="00236954"/>
    <w:rsid w:val="002425DF"/>
    <w:rsid w:val="00242C60"/>
    <w:rsid w:val="002433B8"/>
    <w:rsid w:val="00245F95"/>
    <w:rsid w:val="00246249"/>
    <w:rsid w:val="0024646A"/>
    <w:rsid w:val="00250820"/>
    <w:rsid w:val="002508E0"/>
    <w:rsid w:val="00251E32"/>
    <w:rsid w:val="00252583"/>
    <w:rsid w:val="00252C9C"/>
    <w:rsid w:val="002537CF"/>
    <w:rsid w:val="00253864"/>
    <w:rsid w:val="002548EF"/>
    <w:rsid w:val="00254C41"/>
    <w:rsid w:val="00255682"/>
    <w:rsid w:val="00257FB7"/>
    <w:rsid w:val="00260284"/>
    <w:rsid w:val="00260654"/>
    <w:rsid w:val="00260D97"/>
    <w:rsid w:val="002619D5"/>
    <w:rsid w:val="00262BF2"/>
    <w:rsid w:val="002644DE"/>
    <w:rsid w:val="002650BD"/>
    <w:rsid w:val="00266959"/>
    <w:rsid w:val="00266E31"/>
    <w:rsid w:val="00266EB9"/>
    <w:rsid w:val="00267106"/>
    <w:rsid w:val="002676C8"/>
    <w:rsid w:val="00267969"/>
    <w:rsid w:val="00267B4E"/>
    <w:rsid w:val="00267C11"/>
    <w:rsid w:val="00267E69"/>
    <w:rsid w:val="00270A65"/>
    <w:rsid w:val="00270C82"/>
    <w:rsid w:val="0027228C"/>
    <w:rsid w:val="00273435"/>
    <w:rsid w:val="00273D77"/>
    <w:rsid w:val="00274E75"/>
    <w:rsid w:val="002750F9"/>
    <w:rsid w:val="0027561F"/>
    <w:rsid w:val="002757EB"/>
    <w:rsid w:val="00276EA3"/>
    <w:rsid w:val="00277426"/>
    <w:rsid w:val="0027754C"/>
    <w:rsid w:val="00277795"/>
    <w:rsid w:val="00280DA8"/>
    <w:rsid w:val="00281195"/>
    <w:rsid w:val="002815B3"/>
    <w:rsid w:val="00282541"/>
    <w:rsid w:val="00282778"/>
    <w:rsid w:val="00282B71"/>
    <w:rsid w:val="00283F5B"/>
    <w:rsid w:val="002851FC"/>
    <w:rsid w:val="002854F5"/>
    <w:rsid w:val="00285CC8"/>
    <w:rsid w:val="0028750B"/>
    <w:rsid w:val="002922F1"/>
    <w:rsid w:val="00292BD8"/>
    <w:rsid w:val="00292C6E"/>
    <w:rsid w:val="00292D56"/>
    <w:rsid w:val="002930F6"/>
    <w:rsid w:val="00293480"/>
    <w:rsid w:val="00293A04"/>
    <w:rsid w:val="00293ACA"/>
    <w:rsid w:val="00294B5B"/>
    <w:rsid w:val="00294DA3"/>
    <w:rsid w:val="00296D23"/>
    <w:rsid w:val="00296E29"/>
    <w:rsid w:val="00297188"/>
    <w:rsid w:val="0029752E"/>
    <w:rsid w:val="00297A5E"/>
    <w:rsid w:val="00297F65"/>
    <w:rsid w:val="002A05FA"/>
    <w:rsid w:val="002A1A50"/>
    <w:rsid w:val="002A2326"/>
    <w:rsid w:val="002A3FC3"/>
    <w:rsid w:val="002A47C5"/>
    <w:rsid w:val="002A4FD7"/>
    <w:rsid w:val="002A53DE"/>
    <w:rsid w:val="002A5A87"/>
    <w:rsid w:val="002A5E91"/>
    <w:rsid w:val="002A74D1"/>
    <w:rsid w:val="002A7CED"/>
    <w:rsid w:val="002B0D79"/>
    <w:rsid w:val="002B1D97"/>
    <w:rsid w:val="002B1FE4"/>
    <w:rsid w:val="002B25C5"/>
    <w:rsid w:val="002B302C"/>
    <w:rsid w:val="002B3ABA"/>
    <w:rsid w:val="002B4BA3"/>
    <w:rsid w:val="002B60C9"/>
    <w:rsid w:val="002B69D8"/>
    <w:rsid w:val="002B6DBC"/>
    <w:rsid w:val="002B7E14"/>
    <w:rsid w:val="002B7F22"/>
    <w:rsid w:val="002C0F81"/>
    <w:rsid w:val="002C1141"/>
    <w:rsid w:val="002C1FCA"/>
    <w:rsid w:val="002C207E"/>
    <w:rsid w:val="002C2331"/>
    <w:rsid w:val="002C2453"/>
    <w:rsid w:val="002C24D1"/>
    <w:rsid w:val="002C2C42"/>
    <w:rsid w:val="002C3BD5"/>
    <w:rsid w:val="002C447D"/>
    <w:rsid w:val="002C4FE6"/>
    <w:rsid w:val="002C5911"/>
    <w:rsid w:val="002C670E"/>
    <w:rsid w:val="002C6775"/>
    <w:rsid w:val="002C77E0"/>
    <w:rsid w:val="002C7DE1"/>
    <w:rsid w:val="002D1115"/>
    <w:rsid w:val="002D322C"/>
    <w:rsid w:val="002D582F"/>
    <w:rsid w:val="002D5831"/>
    <w:rsid w:val="002D6FE2"/>
    <w:rsid w:val="002D7959"/>
    <w:rsid w:val="002D7A95"/>
    <w:rsid w:val="002E309E"/>
    <w:rsid w:val="002E32A6"/>
    <w:rsid w:val="002E4E0D"/>
    <w:rsid w:val="002E4F64"/>
    <w:rsid w:val="002E5172"/>
    <w:rsid w:val="002E55E2"/>
    <w:rsid w:val="002E6306"/>
    <w:rsid w:val="002E7891"/>
    <w:rsid w:val="002E7967"/>
    <w:rsid w:val="002F08E2"/>
    <w:rsid w:val="002F0A7B"/>
    <w:rsid w:val="002F1427"/>
    <w:rsid w:val="002F1616"/>
    <w:rsid w:val="002F213C"/>
    <w:rsid w:val="002F2660"/>
    <w:rsid w:val="002F2CD8"/>
    <w:rsid w:val="002F2D0B"/>
    <w:rsid w:val="002F3110"/>
    <w:rsid w:val="002F37BF"/>
    <w:rsid w:val="002F3F2F"/>
    <w:rsid w:val="002F4F34"/>
    <w:rsid w:val="002F59FC"/>
    <w:rsid w:val="002F6114"/>
    <w:rsid w:val="002F6266"/>
    <w:rsid w:val="002F6408"/>
    <w:rsid w:val="002F6F65"/>
    <w:rsid w:val="002F77E0"/>
    <w:rsid w:val="002F7ABE"/>
    <w:rsid w:val="002F7DFB"/>
    <w:rsid w:val="0030049F"/>
    <w:rsid w:val="00300727"/>
    <w:rsid w:val="00301A4B"/>
    <w:rsid w:val="003027DB"/>
    <w:rsid w:val="003033B3"/>
    <w:rsid w:val="00303930"/>
    <w:rsid w:val="00303F81"/>
    <w:rsid w:val="00304834"/>
    <w:rsid w:val="003048A4"/>
    <w:rsid w:val="0030533A"/>
    <w:rsid w:val="00305AFE"/>
    <w:rsid w:val="00305F9D"/>
    <w:rsid w:val="00310CE5"/>
    <w:rsid w:val="00310FEC"/>
    <w:rsid w:val="00311574"/>
    <w:rsid w:val="00311BCB"/>
    <w:rsid w:val="00311BF2"/>
    <w:rsid w:val="003126AC"/>
    <w:rsid w:val="003140EB"/>
    <w:rsid w:val="0031458E"/>
    <w:rsid w:val="00314A1B"/>
    <w:rsid w:val="00314ACE"/>
    <w:rsid w:val="00316D3A"/>
    <w:rsid w:val="003201CF"/>
    <w:rsid w:val="0032077F"/>
    <w:rsid w:val="003214E0"/>
    <w:rsid w:val="0032285C"/>
    <w:rsid w:val="0032655A"/>
    <w:rsid w:val="00326D72"/>
    <w:rsid w:val="003271E9"/>
    <w:rsid w:val="00330936"/>
    <w:rsid w:val="00330D65"/>
    <w:rsid w:val="00331751"/>
    <w:rsid w:val="00331C44"/>
    <w:rsid w:val="00331CC9"/>
    <w:rsid w:val="0033234A"/>
    <w:rsid w:val="00332666"/>
    <w:rsid w:val="0033297A"/>
    <w:rsid w:val="00332C61"/>
    <w:rsid w:val="00332CDC"/>
    <w:rsid w:val="00332F3B"/>
    <w:rsid w:val="00333AF5"/>
    <w:rsid w:val="00333CEA"/>
    <w:rsid w:val="0033455B"/>
    <w:rsid w:val="00334725"/>
    <w:rsid w:val="00341D82"/>
    <w:rsid w:val="003420E1"/>
    <w:rsid w:val="00342A10"/>
    <w:rsid w:val="00342AB8"/>
    <w:rsid w:val="00342F18"/>
    <w:rsid w:val="00344988"/>
    <w:rsid w:val="0034565B"/>
    <w:rsid w:val="003459A6"/>
    <w:rsid w:val="00346068"/>
    <w:rsid w:val="00346CFA"/>
    <w:rsid w:val="0034726B"/>
    <w:rsid w:val="00347C1C"/>
    <w:rsid w:val="00347E62"/>
    <w:rsid w:val="00347FC9"/>
    <w:rsid w:val="00351157"/>
    <w:rsid w:val="00351A86"/>
    <w:rsid w:val="00352BDB"/>
    <w:rsid w:val="003547BC"/>
    <w:rsid w:val="003553C3"/>
    <w:rsid w:val="0035570A"/>
    <w:rsid w:val="003558FC"/>
    <w:rsid w:val="00355A8F"/>
    <w:rsid w:val="003569DA"/>
    <w:rsid w:val="003569E9"/>
    <w:rsid w:val="003569ED"/>
    <w:rsid w:val="0035744A"/>
    <w:rsid w:val="0035758E"/>
    <w:rsid w:val="00361631"/>
    <w:rsid w:val="00361C49"/>
    <w:rsid w:val="0036279C"/>
    <w:rsid w:val="003632A3"/>
    <w:rsid w:val="0036392C"/>
    <w:rsid w:val="00363F04"/>
    <w:rsid w:val="003654FF"/>
    <w:rsid w:val="00365C73"/>
    <w:rsid w:val="00365D2C"/>
    <w:rsid w:val="00367D80"/>
    <w:rsid w:val="003701BE"/>
    <w:rsid w:val="003728B1"/>
    <w:rsid w:val="003728D3"/>
    <w:rsid w:val="00373307"/>
    <w:rsid w:val="00374A5A"/>
    <w:rsid w:val="0037563F"/>
    <w:rsid w:val="003761EE"/>
    <w:rsid w:val="003767F6"/>
    <w:rsid w:val="00376C41"/>
    <w:rsid w:val="00383771"/>
    <w:rsid w:val="00383FC4"/>
    <w:rsid w:val="00384A6F"/>
    <w:rsid w:val="003859F1"/>
    <w:rsid w:val="00387095"/>
    <w:rsid w:val="003904C9"/>
    <w:rsid w:val="003908E0"/>
    <w:rsid w:val="0039139E"/>
    <w:rsid w:val="00391708"/>
    <w:rsid w:val="0039240B"/>
    <w:rsid w:val="00393D55"/>
    <w:rsid w:val="00394269"/>
    <w:rsid w:val="00394420"/>
    <w:rsid w:val="003948E5"/>
    <w:rsid w:val="003950FD"/>
    <w:rsid w:val="003956A1"/>
    <w:rsid w:val="003962BD"/>
    <w:rsid w:val="00397D6A"/>
    <w:rsid w:val="003A1AB7"/>
    <w:rsid w:val="003A1ACB"/>
    <w:rsid w:val="003A43B1"/>
    <w:rsid w:val="003A43CA"/>
    <w:rsid w:val="003A4D2C"/>
    <w:rsid w:val="003A4F31"/>
    <w:rsid w:val="003A57EB"/>
    <w:rsid w:val="003A702C"/>
    <w:rsid w:val="003A72AF"/>
    <w:rsid w:val="003A7725"/>
    <w:rsid w:val="003B02BE"/>
    <w:rsid w:val="003B0E80"/>
    <w:rsid w:val="003B187D"/>
    <w:rsid w:val="003B2FFB"/>
    <w:rsid w:val="003B309B"/>
    <w:rsid w:val="003B33CA"/>
    <w:rsid w:val="003B3499"/>
    <w:rsid w:val="003B3839"/>
    <w:rsid w:val="003B3C8C"/>
    <w:rsid w:val="003B3EA7"/>
    <w:rsid w:val="003B457C"/>
    <w:rsid w:val="003B4BA1"/>
    <w:rsid w:val="003B4C7C"/>
    <w:rsid w:val="003B5D89"/>
    <w:rsid w:val="003B70CF"/>
    <w:rsid w:val="003C0831"/>
    <w:rsid w:val="003C157B"/>
    <w:rsid w:val="003C1FC2"/>
    <w:rsid w:val="003C31A7"/>
    <w:rsid w:val="003C3379"/>
    <w:rsid w:val="003C36CA"/>
    <w:rsid w:val="003C476B"/>
    <w:rsid w:val="003C4889"/>
    <w:rsid w:val="003C5B83"/>
    <w:rsid w:val="003C5B90"/>
    <w:rsid w:val="003C5F26"/>
    <w:rsid w:val="003C6437"/>
    <w:rsid w:val="003C67C7"/>
    <w:rsid w:val="003C7172"/>
    <w:rsid w:val="003C730B"/>
    <w:rsid w:val="003D08A4"/>
    <w:rsid w:val="003D0A64"/>
    <w:rsid w:val="003D0DAF"/>
    <w:rsid w:val="003D2352"/>
    <w:rsid w:val="003D2C1F"/>
    <w:rsid w:val="003D345A"/>
    <w:rsid w:val="003D3662"/>
    <w:rsid w:val="003D3A81"/>
    <w:rsid w:val="003D41AE"/>
    <w:rsid w:val="003D46BE"/>
    <w:rsid w:val="003D4ABE"/>
    <w:rsid w:val="003D53FC"/>
    <w:rsid w:val="003D6E54"/>
    <w:rsid w:val="003E0D0C"/>
    <w:rsid w:val="003E1084"/>
    <w:rsid w:val="003E10EE"/>
    <w:rsid w:val="003E1252"/>
    <w:rsid w:val="003E12B0"/>
    <w:rsid w:val="003E20E1"/>
    <w:rsid w:val="003E2DF0"/>
    <w:rsid w:val="003E2EB4"/>
    <w:rsid w:val="003E2F17"/>
    <w:rsid w:val="003E362A"/>
    <w:rsid w:val="003E36EF"/>
    <w:rsid w:val="003E39DB"/>
    <w:rsid w:val="003E4D71"/>
    <w:rsid w:val="003E4F00"/>
    <w:rsid w:val="003E5D14"/>
    <w:rsid w:val="003E5EE8"/>
    <w:rsid w:val="003E74FB"/>
    <w:rsid w:val="003F1FBA"/>
    <w:rsid w:val="003F2003"/>
    <w:rsid w:val="003F2B9C"/>
    <w:rsid w:val="003F2DDB"/>
    <w:rsid w:val="003F2E52"/>
    <w:rsid w:val="003F324F"/>
    <w:rsid w:val="003F3DD3"/>
    <w:rsid w:val="003F472F"/>
    <w:rsid w:val="003F5701"/>
    <w:rsid w:val="003F58B1"/>
    <w:rsid w:val="003F5A84"/>
    <w:rsid w:val="003F5C50"/>
    <w:rsid w:val="003F5C66"/>
    <w:rsid w:val="003F6B9F"/>
    <w:rsid w:val="004001E9"/>
    <w:rsid w:val="00401E5D"/>
    <w:rsid w:val="00402D0E"/>
    <w:rsid w:val="00403A03"/>
    <w:rsid w:val="00404A2D"/>
    <w:rsid w:val="0040553A"/>
    <w:rsid w:val="0040579F"/>
    <w:rsid w:val="00407593"/>
    <w:rsid w:val="00407732"/>
    <w:rsid w:val="004109B4"/>
    <w:rsid w:val="0041233F"/>
    <w:rsid w:val="004126FE"/>
    <w:rsid w:val="00414B4C"/>
    <w:rsid w:val="00414BBE"/>
    <w:rsid w:val="004154E2"/>
    <w:rsid w:val="00415D9E"/>
    <w:rsid w:val="004162D6"/>
    <w:rsid w:val="0041668D"/>
    <w:rsid w:val="00417E11"/>
    <w:rsid w:val="004217B4"/>
    <w:rsid w:val="0042211C"/>
    <w:rsid w:val="004223EB"/>
    <w:rsid w:val="0042263A"/>
    <w:rsid w:val="00422826"/>
    <w:rsid w:val="00422E09"/>
    <w:rsid w:val="0042445D"/>
    <w:rsid w:val="00424530"/>
    <w:rsid w:val="00424CF7"/>
    <w:rsid w:val="0042565F"/>
    <w:rsid w:val="00426586"/>
    <w:rsid w:val="00430190"/>
    <w:rsid w:val="00430CF6"/>
    <w:rsid w:val="00432707"/>
    <w:rsid w:val="00433677"/>
    <w:rsid w:val="00433A5D"/>
    <w:rsid w:val="00433B37"/>
    <w:rsid w:val="00433F09"/>
    <w:rsid w:val="004346A1"/>
    <w:rsid w:val="004359FF"/>
    <w:rsid w:val="00435AD2"/>
    <w:rsid w:val="00435EE5"/>
    <w:rsid w:val="00435FB4"/>
    <w:rsid w:val="00436242"/>
    <w:rsid w:val="00436F3A"/>
    <w:rsid w:val="00437349"/>
    <w:rsid w:val="00443385"/>
    <w:rsid w:val="00443C9F"/>
    <w:rsid w:val="004442B8"/>
    <w:rsid w:val="00444300"/>
    <w:rsid w:val="00445167"/>
    <w:rsid w:val="0044574A"/>
    <w:rsid w:val="004462D2"/>
    <w:rsid w:val="004471F5"/>
    <w:rsid w:val="00447258"/>
    <w:rsid w:val="00447903"/>
    <w:rsid w:val="00447BED"/>
    <w:rsid w:val="00447F55"/>
    <w:rsid w:val="00450021"/>
    <w:rsid w:val="004500A7"/>
    <w:rsid w:val="0045048A"/>
    <w:rsid w:val="00450A88"/>
    <w:rsid w:val="00450FCB"/>
    <w:rsid w:val="00451123"/>
    <w:rsid w:val="004514ED"/>
    <w:rsid w:val="00451887"/>
    <w:rsid w:val="00452AC4"/>
    <w:rsid w:val="004537FB"/>
    <w:rsid w:val="00455891"/>
    <w:rsid w:val="00456540"/>
    <w:rsid w:val="00456A1A"/>
    <w:rsid w:val="0045729A"/>
    <w:rsid w:val="00457672"/>
    <w:rsid w:val="00460678"/>
    <w:rsid w:val="00461353"/>
    <w:rsid w:val="00462299"/>
    <w:rsid w:val="00463395"/>
    <w:rsid w:val="00463E67"/>
    <w:rsid w:val="004640D3"/>
    <w:rsid w:val="00464175"/>
    <w:rsid w:val="0046618D"/>
    <w:rsid w:val="0046638B"/>
    <w:rsid w:val="00466EC6"/>
    <w:rsid w:val="00467063"/>
    <w:rsid w:val="00467DB1"/>
    <w:rsid w:val="00470321"/>
    <w:rsid w:val="00470F46"/>
    <w:rsid w:val="004714DD"/>
    <w:rsid w:val="004719BE"/>
    <w:rsid w:val="004721AB"/>
    <w:rsid w:val="004729E7"/>
    <w:rsid w:val="00473C65"/>
    <w:rsid w:val="00473F8F"/>
    <w:rsid w:val="004740FD"/>
    <w:rsid w:val="00474A9C"/>
    <w:rsid w:val="0047566D"/>
    <w:rsid w:val="00475E67"/>
    <w:rsid w:val="0048039D"/>
    <w:rsid w:val="00480935"/>
    <w:rsid w:val="00480961"/>
    <w:rsid w:val="004819B7"/>
    <w:rsid w:val="00483293"/>
    <w:rsid w:val="00483478"/>
    <w:rsid w:val="0048394F"/>
    <w:rsid w:val="004842E6"/>
    <w:rsid w:val="00485C66"/>
    <w:rsid w:val="0048613E"/>
    <w:rsid w:val="00486168"/>
    <w:rsid w:val="00486BCA"/>
    <w:rsid w:val="004872D4"/>
    <w:rsid w:val="0048752A"/>
    <w:rsid w:val="00487EE5"/>
    <w:rsid w:val="0049064F"/>
    <w:rsid w:val="00490708"/>
    <w:rsid w:val="00490C74"/>
    <w:rsid w:val="00490FAE"/>
    <w:rsid w:val="00491509"/>
    <w:rsid w:val="00492BC9"/>
    <w:rsid w:val="00492C1B"/>
    <w:rsid w:val="00494E95"/>
    <w:rsid w:val="004951F3"/>
    <w:rsid w:val="0049626E"/>
    <w:rsid w:val="00496330"/>
    <w:rsid w:val="00496D27"/>
    <w:rsid w:val="004979BF"/>
    <w:rsid w:val="004A006E"/>
    <w:rsid w:val="004A0222"/>
    <w:rsid w:val="004A12FE"/>
    <w:rsid w:val="004A3E99"/>
    <w:rsid w:val="004A4EE4"/>
    <w:rsid w:val="004A5D86"/>
    <w:rsid w:val="004A6AA0"/>
    <w:rsid w:val="004A6BDD"/>
    <w:rsid w:val="004A6F7B"/>
    <w:rsid w:val="004A7771"/>
    <w:rsid w:val="004A7860"/>
    <w:rsid w:val="004B0041"/>
    <w:rsid w:val="004B0296"/>
    <w:rsid w:val="004B0AE5"/>
    <w:rsid w:val="004B158B"/>
    <w:rsid w:val="004B1BC2"/>
    <w:rsid w:val="004B2DE8"/>
    <w:rsid w:val="004B2EE4"/>
    <w:rsid w:val="004B3C09"/>
    <w:rsid w:val="004B44B2"/>
    <w:rsid w:val="004B6080"/>
    <w:rsid w:val="004B637C"/>
    <w:rsid w:val="004B7E22"/>
    <w:rsid w:val="004B7FD6"/>
    <w:rsid w:val="004C0258"/>
    <w:rsid w:val="004C08BB"/>
    <w:rsid w:val="004C1B1F"/>
    <w:rsid w:val="004C1D49"/>
    <w:rsid w:val="004C22A7"/>
    <w:rsid w:val="004C354E"/>
    <w:rsid w:val="004C365A"/>
    <w:rsid w:val="004C4256"/>
    <w:rsid w:val="004C7DD3"/>
    <w:rsid w:val="004D0274"/>
    <w:rsid w:val="004D030B"/>
    <w:rsid w:val="004D0C59"/>
    <w:rsid w:val="004D1C9B"/>
    <w:rsid w:val="004D207E"/>
    <w:rsid w:val="004D2183"/>
    <w:rsid w:val="004D2FF0"/>
    <w:rsid w:val="004D31BC"/>
    <w:rsid w:val="004D3E68"/>
    <w:rsid w:val="004D46B7"/>
    <w:rsid w:val="004D4A06"/>
    <w:rsid w:val="004D505B"/>
    <w:rsid w:val="004D5825"/>
    <w:rsid w:val="004D5A85"/>
    <w:rsid w:val="004D7A1E"/>
    <w:rsid w:val="004D7EC2"/>
    <w:rsid w:val="004E13B4"/>
    <w:rsid w:val="004E1659"/>
    <w:rsid w:val="004E1BAA"/>
    <w:rsid w:val="004E2044"/>
    <w:rsid w:val="004E2E3A"/>
    <w:rsid w:val="004E3158"/>
    <w:rsid w:val="004E4EDF"/>
    <w:rsid w:val="004E6A38"/>
    <w:rsid w:val="004E6BA9"/>
    <w:rsid w:val="004E76BE"/>
    <w:rsid w:val="004F0CDE"/>
    <w:rsid w:val="004F159A"/>
    <w:rsid w:val="004F2F17"/>
    <w:rsid w:val="004F41D1"/>
    <w:rsid w:val="004F4D80"/>
    <w:rsid w:val="004F55F8"/>
    <w:rsid w:val="004F5AFE"/>
    <w:rsid w:val="00501B65"/>
    <w:rsid w:val="00501C11"/>
    <w:rsid w:val="0050289B"/>
    <w:rsid w:val="00502E2B"/>
    <w:rsid w:val="005036CB"/>
    <w:rsid w:val="00503ECE"/>
    <w:rsid w:val="00504AD4"/>
    <w:rsid w:val="005050AE"/>
    <w:rsid w:val="00505D53"/>
    <w:rsid w:val="005060F7"/>
    <w:rsid w:val="005061A0"/>
    <w:rsid w:val="00510CE8"/>
    <w:rsid w:val="00512AAC"/>
    <w:rsid w:val="00513D96"/>
    <w:rsid w:val="005147BA"/>
    <w:rsid w:val="00514917"/>
    <w:rsid w:val="005150FF"/>
    <w:rsid w:val="005151AC"/>
    <w:rsid w:val="0051612C"/>
    <w:rsid w:val="00517F1D"/>
    <w:rsid w:val="00520DFD"/>
    <w:rsid w:val="00521CC5"/>
    <w:rsid w:val="00521CEF"/>
    <w:rsid w:val="00522430"/>
    <w:rsid w:val="0052362E"/>
    <w:rsid w:val="00523653"/>
    <w:rsid w:val="00523FCB"/>
    <w:rsid w:val="00524EE7"/>
    <w:rsid w:val="00525223"/>
    <w:rsid w:val="00525587"/>
    <w:rsid w:val="00525939"/>
    <w:rsid w:val="00525A8C"/>
    <w:rsid w:val="00526BD1"/>
    <w:rsid w:val="0053008B"/>
    <w:rsid w:val="0053050E"/>
    <w:rsid w:val="0053068E"/>
    <w:rsid w:val="00532A5A"/>
    <w:rsid w:val="00532EB0"/>
    <w:rsid w:val="0053337B"/>
    <w:rsid w:val="00533A8E"/>
    <w:rsid w:val="005341B6"/>
    <w:rsid w:val="00534A2B"/>
    <w:rsid w:val="00534A6E"/>
    <w:rsid w:val="005355A9"/>
    <w:rsid w:val="00535C4B"/>
    <w:rsid w:val="00537044"/>
    <w:rsid w:val="00541C09"/>
    <w:rsid w:val="00541C2C"/>
    <w:rsid w:val="005433AE"/>
    <w:rsid w:val="00544488"/>
    <w:rsid w:val="00544D83"/>
    <w:rsid w:val="00545309"/>
    <w:rsid w:val="00545C6B"/>
    <w:rsid w:val="00547227"/>
    <w:rsid w:val="00547408"/>
    <w:rsid w:val="00547FED"/>
    <w:rsid w:val="0055093C"/>
    <w:rsid w:val="00552460"/>
    <w:rsid w:val="00552C7B"/>
    <w:rsid w:val="00553164"/>
    <w:rsid w:val="005549A1"/>
    <w:rsid w:val="0055558D"/>
    <w:rsid w:val="005555CD"/>
    <w:rsid w:val="00556021"/>
    <w:rsid w:val="00556209"/>
    <w:rsid w:val="005565DC"/>
    <w:rsid w:val="00557A65"/>
    <w:rsid w:val="00557CEC"/>
    <w:rsid w:val="00560C3A"/>
    <w:rsid w:val="005628E5"/>
    <w:rsid w:val="00563BDF"/>
    <w:rsid w:val="00565CE7"/>
    <w:rsid w:val="005667FB"/>
    <w:rsid w:val="00566EB3"/>
    <w:rsid w:val="00567108"/>
    <w:rsid w:val="0056722B"/>
    <w:rsid w:val="005675E3"/>
    <w:rsid w:val="00570036"/>
    <w:rsid w:val="00570D4E"/>
    <w:rsid w:val="00570FFF"/>
    <w:rsid w:val="00571043"/>
    <w:rsid w:val="00571B23"/>
    <w:rsid w:val="00571EA0"/>
    <w:rsid w:val="005730FF"/>
    <w:rsid w:val="0057475E"/>
    <w:rsid w:val="005759CB"/>
    <w:rsid w:val="0057671F"/>
    <w:rsid w:val="00577336"/>
    <w:rsid w:val="005778E4"/>
    <w:rsid w:val="005800A3"/>
    <w:rsid w:val="00580449"/>
    <w:rsid w:val="005805C9"/>
    <w:rsid w:val="0058146F"/>
    <w:rsid w:val="005823CF"/>
    <w:rsid w:val="005823F5"/>
    <w:rsid w:val="00583566"/>
    <w:rsid w:val="00584165"/>
    <w:rsid w:val="0058483B"/>
    <w:rsid w:val="00585826"/>
    <w:rsid w:val="005878CB"/>
    <w:rsid w:val="0059167D"/>
    <w:rsid w:val="00591906"/>
    <w:rsid w:val="005920CA"/>
    <w:rsid w:val="00592CBC"/>
    <w:rsid w:val="005936D8"/>
    <w:rsid w:val="00594446"/>
    <w:rsid w:val="00594F98"/>
    <w:rsid w:val="00596C47"/>
    <w:rsid w:val="00596C9C"/>
    <w:rsid w:val="00596F3C"/>
    <w:rsid w:val="00597617"/>
    <w:rsid w:val="005A1148"/>
    <w:rsid w:val="005A33DD"/>
    <w:rsid w:val="005A3ACF"/>
    <w:rsid w:val="005A4202"/>
    <w:rsid w:val="005A572F"/>
    <w:rsid w:val="005A59F3"/>
    <w:rsid w:val="005A6B8E"/>
    <w:rsid w:val="005A71F4"/>
    <w:rsid w:val="005B1713"/>
    <w:rsid w:val="005B1D51"/>
    <w:rsid w:val="005B2D62"/>
    <w:rsid w:val="005B3F79"/>
    <w:rsid w:val="005B59B4"/>
    <w:rsid w:val="005B5A9E"/>
    <w:rsid w:val="005C0BB7"/>
    <w:rsid w:val="005C2AA5"/>
    <w:rsid w:val="005C2BB4"/>
    <w:rsid w:val="005C2D6B"/>
    <w:rsid w:val="005C2F9E"/>
    <w:rsid w:val="005C44E5"/>
    <w:rsid w:val="005C5CE9"/>
    <w:rsid w:val="005D0075"/>
    <w:rsid w:val="005D2055"/>
    <w:rsid w:val="005D251E"/>
    <w:rsid w:val="005D257E"/>
    <w:rsid w:val="005D3687"/>
    <w:rsid w:val="005D3E6B"/>
    <w:rsid w:val="005D4A1E"/>
    <w:rsid w:val="005D68FC"/>
    <w:rsid w:val="005D6B01"/>
    <w:rsid w:val="005D6DFD"/>
    <w:rsid w:val="005D74D3"/>
    <w:rsid w:val="005D7946"/>
    <w:rsid w:val="005D7A30"/>
    <w:rsid w:val="005E042A"/>
    <w:rsid w:val="005E0907"/>
    <w:rsid w:val="005E2DD9"/>
    <w:rsid w:val="005E4D44"/>
    <w:rsid w:val="005E534D"/>
    <w:rsid w:val="005E613E"/>
    <w:rsid w:val="005E6594"/>
    <w:rsid w:val="005E65A7"/>
    <w:rsid w:val="005E6C16"/>
    <w:rsid w:val="005E6D76"/>
    <w:rsid w:val="005E71C3"/>
    <w:rsid w:val="005E7D19"/>
    <w:rsid w:val="005E7D4C"/>
    <w:rsid w:val="005F0263"/>
    <w:rsid w:val="005F02A4"/>
    <w:rsid w:val="005F0548"/>
    <w:rsid w:val="005F1B29"/>
    <w:rsid w:val="005F2C87"/>
    <w:rsid w:val="005F3A3D"/>
    <w:rsid w:val="005F3BCA"/>
    <w:rsid w:val="005F3DB1"/>
    <w:rsid w:val="005F4A4E"/>
    <w:rsid w:val="005F5067"/>
    <w:rsid w:val="005F5264"/>
    <w:rsid w:val="005F6B04"/>
    <w:rsid w:val="00602225"/>
    <w:rsid w:val="006033EA"/>
    <w:rsid w:val="00603F52"/>
    <w:rsid w:val="00604ED9"/>
    <w:rsid w:val="00607A35"/>
    <w:rsid w:val="00607B67"/>
    <w:rsid w:val="00607C75"/>
    <w:rsid w:val="00607D25"/>
    <w:rsid w:val="00611D8B"/>
    <w:rsid w:val="0061245D"/>
    <w:rsid w:val="006146C9"/>
    <w:rsid w:val="00614F12"/>
    <w:rsid w:val="006156DB"/>
    <w:rsid w:val="00615C31"/>
    <w:rsid w:val="00616350"/>
    <w:rsid w:val="00621D4B"/>
    <w:rsid w:val="0062380B"/>
    <w:rsid w:val="00623A27"/>
    <w:rsid w:val="00624383"/>
    <w:rsid w:val="00624B15"/>
    <w:rsid w:val="00624BB9"/>
    <w:rsid w:val="006252C6"/>
    <w:rsid w:val="00625E90"/>
    <w:rsid w:val="0062683E"/>
    <w:rsid w:val="00626D09"/>
    <w:rsid w:val="00627A48"/>
    <w:rsid w:val="00630A82"/>
    <w:rsid w:val="00631DE2"/>
    <w:rsid w:val="00631FF4"/>
    <w:rsid w:val="0063258A"/>
    <w:rsid w:val="0063268D"/>
    <w:rsid w:val="00632DB4"/>
    <w:rsid w:val="00633084"/>
    <w:rsid w:val="00634338"/>
    <w:rsid w:val="00635276"/>
    <w:rsid w:val="006358BB"/>
    <w:rsid w:val="00636B47"/>
    <w:rsid w:val="006403CB"/>
    <w:rsid w:val="00641D4D"/>
    <w:rsid w:val="00642DF1"/>
    <w:rsid w:val="00643D2B"/>
    <w:rsid w:val="00644CDD"/>
    <w:rsid w:val="00644FFC"/>
    <w:rsid w:val="00645EF6"/>
    <w:rsid w:val="00646706"/>
    <w:rsid w:val="006468C2"/>
    <w:rsid w:val="00647B89"/>
    <w:rsid w:val="0065006B"/>
    <w:rsid w:val="00650601"/>
    <w:rsid w:val="00650DE6"/>
    <w:rsid w:val="00651006"/>
    <w:rsid w:val="00651E51"/>
    <w:rsid w:val="00652674"/>
    <w:rsid w:val="006534A8"/>
    <w:rsid w:val="00653A50"/>
    <w:rsid w:val="00654238"/>
    <w:rsid w:val="00654DDF"/>
    <w:rsid w:val="00655A72"/>
    <w:rsid w:val="00655D52"/>
    <w:rsid w:val="00655E97"/>
    <w:rsid w:val="006561F6"/>
    <w:rsid w:val="00656674"/>
    <w:rsid w:val="00657BB7"/>
    <w:rsid w:val="00657F2F"/>
    <w:rsid w:val="00660960"/>
    <w:rsid w:val="00660B84"/>
    <w:rsid w:val="006616B5"/>
    <w:rsid w:val="00661D9E"/>
    <w:rsid w:val="00662250"/>
    <w:rsid w:val="00662586"/>
    <w:rsid w:val="006632EA"/>
    <w:rsid w:val="00663F46"/>
    <w:rsid w:val="0066443F"/>
    <w:rsid w:val="0066512C"/>
    <w:rsid w:val="00666776"/>
    <w:rsid w:val="006676BC"/>
    <w:rsid w:val="00667F20"/>
    <w:rsid w:val="0067009D"/>
    <w:rsid w:val="00670971"/>
    <w:rsid w:val="00670DFF"/>
    <w:rsid w:val="0067119B"/>
    <w:rsid w:val="0067175A"/>
    <w:rsid w:val="00674E08"/>
    <w:rsid w:val="006762D5"/>
    <w:rsid w:val="006803ED"/>
    <w:rsid w:val="00680945"/>
    <w:rsid w:val="0068110A"/>
    <w:rsid w:val="0068245F"/>
    <w:rsid w:val="006838A4"/>
    <w:rsid w:val="006839FF"/>
    <w:rsid w:val="00683CAA"/>
    <w:rsid w:val="006855F2"/>
    <w:rsid w:val="006860EE"/>
    <w:rsid w:val="006861BB"/>
    <w:rsid w:val="00687400"/>
    <w:rsid w:val="00687448"/>
    <w:rsid w:val="00690248"/>
    <w:rsid w:val="00690609"/>
    <w:rsid w:val="00690F98"/>
    <w:rsid w:val="006913E0"/>
    <w:rsid w:val="00691587"/>
    <w:rsid w:val="006917FB"/>
    <w:rsid w:val="00692910"/>
    <w:rsid w:val="00693CD5"/>
    <w:rsid w:val="00693FB0"/>
    <w:rsid w:val="00694276"/>
    <w:rsid w:val="00694751"/>
    <w:rsid w:val="006949AD"/>
    <w:rsid w:val="00695630"/>
    <w:rsid w:val="00695FA9"/>
    <w:rsid w:val="00696019"/>
    <w:rsid w:val="006975D6"/>
    <w:rsid w:val="006979B9"/>
    <w:rsid w:val="006A1760"/>
    <w:rsid w:val="006A211D"/>
    <w:rsid w:val="006A26FF"/>
    <w:rsid w:val="006A346C"/>
    <w:rsid w:val="006A3507"/>
    <w:rsid w:val="006A3746"/>
    <w:rsid w:val="006A3CC4"/>
    <w:rsid w:val="006A3F81"/>
    <w:rsid w:val="006A448A"/>
    <w:rsid w:val="006A467B"/>
    <w:rsid w:val="006A4D98"/>
    <w:rsid w:val="006A516A"/>
    <w:rsid w:val="006A53FB"/>
    <w:rsid w:val="006A55D6"/>
    <w:rsid w:val="006A600E"/>
    <w:rsid w:val="006A65A7"/>
    <w:rsid w:val="006A6C78"/>
    <w:rsid w:val="006A761E"/>
    <w:rsid w:val="006A7656"/>
    <w:rsid w:val="006A7ED1"/>
    <w:rsid w:val="006B1BEB"/>
    <w:rsid w:val="006B2758"/>
    <w:rsid w:val="006B29CD"/>
    <w:rsid w:val="006B2BA1"/>
    <w:rsid w:val="006B4794"/>
    <w:rsid w:val="006B5275"/>
    <w:rsid w:val="006B5C1F"/>
    <w:rsid w:val="006C2C8F"/>
    <w:rsid w:val="006C2CA2"/>
    <w:rsid w:val="006C2E64"/>
    <w:rsid w:val="006C4EE6"/>
    <w:rsid w:val="006C5F9C"/>
    <w:rsid w:val="006D0808"/>
    <w:rsid w:val="006D0A15"/>
    <w:rsid w:val="006D2AF9"/>
    <w:rsid w:val="006D36D4"/>
    <w:rsid w:val="006D3FE8"/>
    <w:rsid w:val="006D6654"/>
    <w:rsid w:val="006E137C"/>
    <w:rsid w:val="006E1470"/>
    <w:rsid w:val="006E2F60"/>
    <w:rsid w:val="006E31DB"/>
    <w:rsid w:val="006E340C"/>
    <w:rsid w:val="006E355D"/>
    <w:rsid w:val="006E6003"/>
    <w:rsid w:val="006E773F"/>
    <w:rsid w:val="006F030C"/>
    <w:rsid w:val="006F0EB2"/>
    <w:rsid w:val="006F130B"/>
    <w:rsid w:val="006F247D"/>
    <w:rsid w:val="006F3D72"/>
    <w:rsid w:val="006F3E51"/>
    <w:rsid w:val="006F403B"/>
    <w:rsid w:val="006F4090"/>
    <w:rsid w:val="006F466C"/>
    <w:rsid w:val="006F509A"/>
    <w:rsid w:val="006F568B"/>
    <w:rsid w:val="006F6512"/>
    <w:rsid w:val="006F74F9"/>
    <w:rsid w:val="00701140"/>
    <w:rsid w:val="007011E5"/>
    <w:rsid w:val="0070247E"/>
    <w:rsid w:val="00703E98"/>
    <w:rsid w:val="0070530F"/>
    <w:rsid w:val="0070652E"/>
    <w:rsid w:val="00706552"/>
    <w:rsid w:val="00706989"/>
    <w:rsid w:val="00707729"/>
    <w:rsid w:val="007104EE"/>
    <w:rsid w:val="00710A61"/>
    <w:rsid w:val="00711490"/>
    <w:rsid w:val="00711498"/>
    <w:rsid w:val="00712327"/>
    <w:rsid w:val="007129CB"/>
    <w:rsid w:val="007129ED"/>
    <w:rsid w:val="007133FA"/>
    <w:rsid w:val="007135B8"/>
    <w:rsid w:val="00713B1D"/>
    <w:rsid w:val="00715ACE"/>
    <w:rsid w:val="00715EB6"/>
    <w:rsid w:val="007169B1"/>
    <w:rsid w:val="00717AA7"/>
    <w:rsid w:val="00717B20"/>
    <w:rsid w:val="00717D5E"/>
    <w:rsid w:val="0072443D"/>
    <w:rsid w:val="00724E43"/>
    <w:rsid w:val="00725AD4"/>
    <w:rsid w:val="00725F16"/>
    <w:rsid w:val="00726234"/>
    <w:rsid w:val="00726498"/>
    <w:rsid w:val="0072680D"/>
    <w:rsid w:val="007268DF"/>
    <w:rsid w:val="00726F52"/>
    <w:rsid w:val="0072794F"/>
    <w:rsid w:val="00727A90"/>
    <w:rsid w:val="00731816"/>
    <w:rsid w:val="007322BE"/>
    <w:rsid w:val="007336AA"/>
    <w:rsid w:val="00733E63"/>
    <w:rsid w:val="00736533"/>
    <w:rsid w:val="00737824"/>
    <w:rsid w:val="00737F01"/>
    <w:rsid w:val="00740E2F"/>
    <w:rsid w:val="00740E49"/>
    <w:rsid w:val="00741415"/>
    <w:rsid w:val="00741B14"/>
    <w:rsid w:val="007429B1"/>
    <w:rsid w:val="00743D1A"/>
    <w:rsid w:val="00743E77"/>
    <w:rsid w:val="00744FCA"/>
    <w:rsid w:val="007454C8"/>
    <w:rsid w:val="00745A06"/>
    <w:rsid w:val="00745BC4"/>
    <w:rsid w:val="00746466"/>
    <w:rsid w:val="007470CA"/>
    <w:rsid w:val="0074721A"/>
    <w:rsid w:val="00747B4A"/>
    <w:rsid w:val="00747D8C"/>
    <w:rsid w:val="00747FAC"/>
    <w:rsid w:val="00750ED1"/>
    <w:rsid w:val="00750FA9"/>
    <w:rsid w:val="007510AA"/>
    <w:rsid w:val="00751510"/>
    <w:rsid w:val="00751A78"/>
    <w:rsid w:val="0075202B"/>
    <w:rsid w:val="00752BAA"/>
    <w:rsid w:val="007532A4"/>
    <w:rsid w:val="0075389D"/>
    <w:rsid w:val="00754860"/>
    <w:rsid w:val="0075488D"/>
    <w:rsid w:val="007552E3"/>
    <w:rsid w:val="0075747E"/>
    <w:rsid w:val="00757B6E"/>
    <w:rsid w:val="00757D88"/>
    <w:rsid w:val="00760FC2"/>
    <w:rsid w:val="0076106B"/>
    <w:rsid w:val="007613A7"/>
    <w:rsid w:val="00762002"/>
    <w:rsid w:val="00762836"/>
    <w:rsid w:val="00762CD8"/>
    <w:rsid w:val="00763302"/>
    <w:rsid w:val="007633F0"/>
    <w:rsid w:val="00765530"/>
    <w:rsid w:val="0076621D"/>
    <w:rsid w:val="007670E3"/>
    <w:rsid w:val="00767768"/>
    <w:rsid w:val="007678B0"/>
    <w:rsid w:val="00770217"/>
    <w:rsid w:val="007708A7"/>
    <w:rsid w:val="00770AB7"/>
    <w:rsid w:val="00770B5C"/>
    <w:rsid w:val="00771664"/>
    <w:rsid w:val="00772FEB"/>
    <w:rsid w:val="0077458D"/>
    <w:rsid w:val="00776679"/>
    <w:rsid w:val="007766FF"/>
    <w:rsid w:val="00776A45"/>
    <w:rsid w:val="00777614"/>
    <w:rsid w:val="007776C3"/>
    <w:rsid w:val="007776E7"/>
    <w:rsid w:val="007800B7"/>
    <w:rsid w:val="0078025A"/>
    <w:rsid w:val="00780435"/>
    <w:rsid w:val="00780D09"/>
    <w:rsid w:val="00780D83"/>
    <w:rsid w:val="00781270"/>
    <w:rsid w:val="00782555"/>
    <w:rsid w:val="007831EF"/>
    <w:rsid w:val="00783273"/>
    <w:rsid w:val="00784642"/>
    <w:rsid w:val="00785421"/>
    <w:rsid w:val="00785C13"/>
    <w:rsid w:val="00785F5B"/>
    <w:rsid w:val="007871E3"/>
    <w:rsid w:val="007878C3"/>
    <w:rsid w:val="00790377"/>
    <w:rsid w:val="00790992"/>
    <w:rsid w:val="00791538"/>
    <w:rsid w:val="007931C2"/>
    <w:rsid w:val="0079326C"/>
    <w:rsid w:val="007937BE"/>
    <w:rsid w:val="00794B2B"/>
    <w:rsid w:val="0079555F"/>
    <w:rsid w:val="00795820"/>
    <w:rsid w:val="0079706C"/>
    <w:rsid w:val="007A02E0"/>
    <w:rsid w:val="007A14BD"/>
    <w:rsid w:val="007A1502"/>
    <w:rsid w:val="007A1547"/>
    <w:rsid w:val="007A1AB7"/>
    <w:rsid w:val="007A1F4A"/>
    <w:rsid w:val="007A4AFB"/>
    <w:rsid w:val="007A55E3"/>
    <w:rsid w:val="007A58E8"/>
    <w:rsid w:val="007A6156"/>
    <w:rsid w:val="007A620A"/>
    <w:rsid w:val="007A63F5"/>
    <w:rsid w:val="007A733D"/>
    <w:rsid w:val="007A757A"/>
    <w:rsid w:val="007B13B0"/>
    <w:rsid w:val="007B1F10"/>
    <w:rsid w:val="007B2650"/>
    <w:rsid w:val="007B2B42"/>
    <w:rsid w:val="007B3544"/>
    <w:rsid w:val="007B4477"/>
    <w:rsid w:val="007B4BDC"/>
    <w:rsid w:val="007B5180"/>
    <w:rsid w:val="007B5B27"/>
    <w:rsid w:val="007B5F1B"/>
    <w:rsid w:val="007B69E0"/>
    <w:rsid w:val="007B6D63"/>
    <w:rsid w:val="007B7086"/>
    <w:rsid w:val="007B7BA2"/>
    <w:rsid w:val="007B7C27"/>
    <w:rsid w:val="007C00EA"/>
    <w:rsid w:val="007C0664"/>
    <w:rsid w:val="007C0757"/>
    <w:rsid w:val="007C0FDC"/>
    <w:rsid w:val="007C0FFB"/>
    <w:rsid w:val="007C1EE9"/>
    <w:rsid w:val="007C28F4"/>
    <w:rsid w:val="007C31F1"/>
    <w:rsid w:val="007C3A6F"/>
    <w:rsid w:val="007C53E1"/>
    <w:rsid w:val="007C59D4"/>
    <w:rsid w:val="007C69F6"/>
    <w:rsid w:val="007C73D2"/>
    <w:rsid w:val="007C7B99"/>
    <w:rsid w:val="007D0ADB"/>
    <w:rsid w:val="007D15B9"/>
    <w:rsid w:val="007D1686"/>
    <w:rsid w:val="007D2BC4"/>
    <w:rsid w:val="007D3611"/>
    <w:rsid w:val="007D39A5"/>
    <w:rsid w:val="007D3D04"/>
    <w:rsid w:val="007D4602"/>
    <w:rsid w:val="007D5139"/>
    <w:rsid w:val="007D6A4F"/>
    <w:rsid w:val="007D6F6A"/>
    <w:rsid w:val="007E0D7B"/>
    <w:rsid w:val="007E0E9B"/>
    <w:rsid w:val="007E1C67"/>
    <w:rsid w:val="007E1FFE"/>
    <w:rsid w:val="007E2486"/>
    <w:rsid w:val="007E4A1D"/>
    <w:rsid w:val="007E5461"/>
    <w:rsid w:val="007E6D7A"/>
    <w:rsid w:val="007F0EFE"/>
    <w:rsid w:val="007F0F43"/>
    <w:rsid w:val="007F39BC"/>
    <w:rsid w:val="007F4101"/>
    <w:rsid w:val="007F4B06"/>
    <w:rsid w:val="007F54BC"/>
    <w:rsid w:val="007F646D"/>
    <w:rsid w:val="007F6918"/>
    <w:rsid w:val="007F6D7B"/>
    <w:rsid w:val="00801526"/>
    <w:rsid w:val="00802061"/>
    <w:rsid w:val="008026F0"/>
    <w:rsid w:val="0080356C"/>
    <w:rsid w:val="008039FD"/>
    <w:rsid w:val="00804488"/>
    <w:rsid w:val="0080450B"/>
    <w:rsid w:val="0080454D"/>
    <w:rsid w:val="008047D7"/>
    <w:rsid w:val="00804F8C"/>
    <w:rsid w:val="00805370"/>
    <w:rsid w:val="00810BCE"/>
    <w:rsid w:val="00811E2F"/>
    <w:rsid w:val="00812443"/>
    <w:rsid w:val="00812D31"/>
    <w:rsid w:val="0081418B"/>
    <w:rsid w:val="008157A6"/>
    <w:rsid w:val="00815A94"/>
    <w:rsid w:val="00815CCB"/>
    <w:rsid w:val="008160B3"/>
    <w:rsid w:val="008163A6"/>
    <w:rsid w:val="008167D6"/>
    <w:rsid w:val="00816B2F"/>
    <w:rsid w:val="008176F9"/>
    <w:rsid w:val="00817873"/>
    <w:rsid w:val="00817DB4"/>
    <w:rsid w:val="0082026C"/>
    <w:rsid w:val="00820AEC"/>
    <w:rsid w:val="00821D18"/>
    <w:rsid w:val="00822302"/>
    <w:rsid w:val="008226B7"/>
    <w:rsid w:val="00823316"/>
    <w:rsid w:val="00824C40"/>
    <w:rsid w:val="00825979"/>
    <w:rsid w:val="0082648E"/>
    <w:rsid w:val="0082659B"/>
    <w:rsid w:val="00826E53"/>
    <w:rsid w:val="00827C27"/>
    <w:rsid w:val="00827EF1"/>
    <w:rsid w:val="00827F6F"/>
    <w:rsid w:val="0083006A"/>
    <w:rsid w:val="00832216"/>
    <w:rsid w:val="00833E31"/>
    <w:rsid w:val="00835825"/>
    <w:rsid w:val="008363B5"/>
    <w:rsid w:val="0083797D"/>
    <w:rsid w:val="00837E9B"/>
    <w:rsid w:val="00840581"/>
    <w:rsid w:val="008406D0"/>
    <w:rsid w:val="00841926"/>
    <w:rsid w:val="00842EA8"/>
    <w:rsid w:val="00844080"/>
    <w:rsid w:val="00844240"/>
    <w:rsid w:val="00844941"/>
    <w:rsid w:val="00844DE3"/>
    <w:rsid w:val="00845F27"/>
    <w:rsid w:val="00846134"/>
    <w:rsid w:val="0084652B"/>
    <w:rsid w:val="008473BB"/>
    <w:rsid w:val="00847745"/>
    <w:rsid w:val="00850CC6"/>
    <w:rsid w:val="008521E0"/>
    <w:rsid w:val="008523BD"/>
    <w:rsid w:val="008527EF"/>
    <w:rsid w:val="00852BB0"/>
    <w:rsid w:val="00852D68"/>
    <w:rsid w:val="0085428F"/>
    <w:rsid w:val="008548B9"/>
    <w:rsid w:val="00854CC4"/>
    <w:rsid w:val="00856265"/>
    <w:rsid w:val="008562A6"/>
    <w:rsid w:val="0085769E"/>
    <w:rsid w:val="00857903"/>
    <w:rsid w:val="00860737"/>
    <w:rsid w:val="0086087A"/>
    <w:rsid w:val="0086116D"/>
    <w:rsid w:val="008619ED"/>
    <w:rsid w:val="00862943"/>
    <w:rsid w:val="00862F0D"/>
    <w:rsid w:val="00863B44"/>
    <w:rsid w:val="0086469F"/>
    <w:rsid w:val="00866550"/>
    <w:rsid w:val="00866D43"/>
    <w:rsid w:val="0086753B"/>
    <w:rsid w:val="0086787C"/>
    <w:rsid w:val="008709FD"/>
    <w:rsid w:val="00871761"/>
    <w:rsid w:val="00872B09"/>
    <w:rsid w:val="00872DDF"/>
    <w:rsid w:val="008745B5"/>
    <w:rsid w:val="00874E68"/>
    <w:rsid w:val="00875741"/>
    <w:rsid w:val="00875A61"/>
    <w:rsid w:val="008760BD"/>
    <w:rsid w:val="00876176"/>
    <w:rsid w:val="008761A2"/>
    <w:rsid w:val="008768E1"/>
    <w:rsid w:val="00877450"/>
    <w:rsid w:val="00877A3E"/>
    <w:rsid w:val="00880AB7"/>
    <w:rsid w:val="00881384"/>
    <w:rsid w:val="00881E46"/>
    <w:rsid w:val="00882574"/>
    <w:rsid w:val="008833F3"/>
    <w:rsid w:val="00883E6A"/>
    <w:rsid w:val="0088416D"/>
    <w:rsid w:val="008847E8"/>
    <w:rsid w:val="00884E3C"/>
    <w:rsid w:val="00885494"/>
    <w:rsid w:val="0088629D"/>
    <w:rsid w:val="00887E57"/>
    <w:rsid w:val="008907DB"/>
    <w:rsid w:val="00890E0D"/>
    <w:rsid w:val="00890E85"/>
    <w:rsid w:val="00891665"/>
    <w:rsid w:val="0089169C"/>
    <w:rsid w:val="00892BE3"/>
    <w:rsid w:val="00893D47"/>
    <w:rsid w:val="0089414D"/>
    <w:rsid w:val="00895A9D"/>
    <w:rsid w:val="00895EDF"/>
    <w:rsid w:val="00896098"/>
    <w:rsid w:val="00897DF9"/>
    <w:rsid w:val="00897ED6"/>
    <w:rsid w:val="008A0376"/>
    <w:rsid w:val="008A0BC8"/>
    <w:rsid w:val="008A16DC"/>
    <w:rsid w:val="008A16F6"/>
    <w:rsid w:val="008A416C"/>
    <w:rsid w:val="008A429F"/>
    <w:rsid w:val="008A44E0"/>
    <w:rsid w:val="008A4A73"/>
    <w:rsid w:val="008A53B5"/>
    <w:rsid w:val="008A5756"/>
    <w:rsid w:val="008A5DE9"/>
    <w:rsid w:val="008A5FE0"/>
    <w:rsid w:val="008A742A"/>
    <w:rsid w:val="008B19F6"/>
    <w:rsid w:val="008B38A1"/>
    <w:rsid w:val="008B3BBB"/>
    <w:rsid w:val="008B3C56"/>
    <w:rsid w:val="008B4A98"/>
    <w:rsid w:val="008B53F0"/>
    <w:rsid w:val="008B596B"/>
    <w:rsid w:val="008B6093"/>
    <w:rsid w:val="008B68A6"/>
    <w:rsid w:val="008B6E33"/>
    <w:rsid w:val="008C08FE"/>
    <w:rsid w:val="008C33F7"/>
    <w:rsid w:val="008C3CC6"/>
    <w:rsid w:val="008C3CF4"/>
    <w:rsid w:val="008C3DE9"/>
    <w:rsid w:val="008C4AB5"/>
    <w:rsid w:val="008C4FFA"/>
    <w:rsid w:val="008C54B9"/>
    <w:rsid w:val="008C666F"/>
    <w:rsid w:val="008D07A6"/>
    <w:rsid w:val="008D09D9"/>
    <w:rsid w:val="008D0A9D"/>
    <w:rsid w:val="008D1C14"/>
    <w:rsid w:val="008D1D57"/>
    <w:rsid w:val="008D30D1"/>
    <w:rsid w:val="008D3579"/>
    <w:rsid w:val="008D414F"/>
    <w:rsid w:val="008D42C6"/>
    <w:rsid w:val="008D5E74"/>
    <w:rsid w:val="008D6DB9"/>
    <w:rsid w:val="008D7AA5"/>
    <w:rsid w:val="008E022E"/>
    <w:rsid w:val="008E03A4"/>
    <w:rsid w:val="008E07EC"/>
    <w:rsid w:val="008E085A"/>
    <w:rsid w:val="008E1DC7"/>
    <w:rsid w:val="008E332B"/>
    <w:rsid w:val="008E5D05"/>
    <w:rsid w:val="008E695F"/>
    <w:rsid w:val="008E6D79"/>
    <w:rsid w:val="008F0FF3"/>
    <w:rsid w:val="008F20C0"/>
    <w:rsid w:val="008F2569"/>
    <w:rsid w:val="008F32F6"/>
    <w:rsid w:val="008F47DB"/>
    <w:rsid w:val="008F48B2"/>
    <w:rsid w:val="008F49F7"/>
    <w:rsid w:val="008F618A"/>
    <w:rsid w:val="008F65EA"/>
    <w:rsid w:val="009014FE"/>
    <w:rsid w:val="009026AE"/>
    <w:rsid w:val="0090345A"/>
    <w:rsid w:val="0090398C"/>
    <w:rsid w:val="00904714"/>
    <w:rsid w:val="00904EBD"/>
    <w:rsid w:val="00905BA3"/>
    <w:rsid w:val="0090604A"/>
    <w:rsid w:val="00907211"/>
    <w:rsid w:val="009072C6"/>
    <w:rsid w:val="00910A64"/>
    <w:rsid w:val="00910B9C"/>
    <w:rsid w:val="00910D23"/>
    <w:rsid w:val="00911EA0"/>
    <w:rsid w:val="009120BA"/>
    <w:rsid w:val="009126CB"/>
    <w:rsid w:val="00912DE0"/>
    <w:rsid w:val="00913B67"/>
    <w:rsid w:val="0091443E"/>
    <w:rsid w:val="00915532"/>
    <w:rsid w:val="009158CA"/>
    <w:rsid w:val="00916931"/>
    <w:rsid w:val="00916DC4"/>
    <w:rsid w:val="00917FE5"/>
    <w:rsid w:val="00920F0A"/>
    <w:rsid w:val="009218EB"/>
    <w:rsid w:val="00922B73"/>
    <w:rsid w:val="00923278"/>
    <w:rsid w:val="00924987"/>
    <w:rsid w:val="00924A84"/>
    <w:rsid w:val="00927DF6"/>
    <w:rsid w:val="00930024"/>
    <w:rsid w:val="00931083"/>
    <w:rsid w:val="00931163"/>
    <w:rsid w:val="009316EF"/>
    <w:rsid w:val="009325FC"/>
    <w:rsid w:val="00933C93"/>
    <w:rsid w:val="00934627"/>
    <w:rsid w:val="00934FD9"/>
    <w:rsid w:val="009353D7"/>
    <w:rsid w:val="00935A8D"/>
    <w:rsid w:val="00935CD9"/>
    <w:rsid w:val="00936109"/>
    <w:rsid w:val="00936256"/>
    <w:rsid w:val="00936534"/>
    <w:rsid w:val="00936CE1"/>
    <w:rsid w:val="0093721B"/>
    <w:rsid w:val="00937541"/>
    <w:rsid w:val="00937C99"/>
    <w:rsid w:val="00941F5C"/>
    <w:rsid w:val="00942766"/>
    <w:rsid w:val="00942987"/>
    <w:rsid w:val="009437BC"/>
    <w:rsid w:val="0094638E"/>
    <w:rsid w:val="00952CA5"/>
    <w:rsid w:val="00952DB5"/>
    <w:rsid w:val="009534BA"/>
    <w:rsid w:val="00954E18"/>
    <w:rsid w:val="00960093"/>
    <w:rsid w:val="009603E1"/>
    <w:rsid w:val="00961263"/>
    <w:rsid w:val="00961762"/>
    <w:rsid w:val="00961886"/>
    <w:rsid w:val="00961D06"/>
    <w:rsid w:val="00962934"/>
    <w:rsid w:val="00962FBF"/>
    <w:rsid w:val="00964FC9"/>
    <w:rsid w:val="009673FC"/>
    <w:rsid w:val="00967526"/>
    <w:rsid w:val="00967D33"/>
    <w:rsid w:val="00970370"/>
    <w:rsid w:val="009711C2"/>
    <w:rsid w:val="00972618"/>
    <w:rsid w:val="009731A0"/>
    <w:rsid w:val="00973883"/>
    <w:rsid w:val="00973A42"/>
    <w:rsid w:val="009740B7"/>
    <w:rsid w:val="00974711"/>
    <w:rsid w:val="00974926"/>
    <w:rsid w:val="0097534D"/>
    <w:rsid w:val="0097546D"/>
    <w:rsid w:val="00980816"/>
    <w:rsid w:val="00980852"/>
    <w:rsid w:val="009810B2"/>
    <w:rsid w:val="0098254A"/>
    <w:rsid w:val="009827BD"/>
    <w:rsid w:val="00982E5F"/>
    <w:rsid w:val="0098441D"/>
    <w:rsid w:val="00985A9E"/>
    <w:rsid w:val="009860FE"/>
    <w:rsid w:val="00986436"/>
    <w:rsid w:val="00986B4F"/>
    <w:rsid w:val="00986C4F"/>
    <w:rsid w:val="00986E12"/>
    <w:rsid w:val="00987093"/>
    <w:rsid w:val="00987C8E"/>
    <w:rsid w:val="00990037"/>
    <w:rsid w:val="009900E5"/>
    <w:rsid w:val="00991DE2"/>
    <w:rsid w:val="009921B1"/>
    <w:rsid w:val="009929E2"/>
    <w:rsid w:val="009944C2"/>
    <w:rsid w:val="009946F5"/>
    <w:rsid w:val="00996A7B"/>
    <w:rsid w:val="00997C23"/>
    <w:rsid w:val="009A0535"/>
    <w:rsid w:val="009A0DB8"/>
    <w:rsid w:val="009A1302"/>
    <w:rsid w:val="009A1424"/>
    <w:rsid w:val="009A29A5"/>
    <w:rsid w:val="009A392F"/>
    <w:rsid w:val="009A3CB3"/>
    <w:rsid w:val="009A4363"/>
    <w:rsid w:val="009A5223"/>
    <w:rsid w:val="009A6568"/>
    <w:rsid w:val="009A69EE"/>
    <w:rsid w:val="009A6B3E"/>
    <w:rsid w:val="009A70B9"/>
    <w:rsid w:val="009A717F"/>
    <w:rsid w:val="009B2701"/>
    <w:rsid w:val="009B2923"/>
    <w:rsid w:val="009B46F2"/>
    <w:rsid w:val="009B4AD1"/>
    <w:rsid w:val="009B5796"/>
    <w:rsid w:val="009B5841"/>
    <w:rsid w:val="009B5BC4"/>
    <w:rsid w:val="009B7892"/>
    <w:rsid w:val="009C0542"/>
    <w:rsid w:val="009C0BDE"/>
    <w:rsid w:val="009C0F31"/>
    <w:rsid w:val="009C17F7"/>
    <w:rsid w:val="009C255C"/>
    <w:rsid w:val="009C2D9E"/>
    <w:rsid w:val="009C2E6B"/>
    <w:rsid w:val="009C5EE3"/>
    <w:rsid w:val="009C65D7"/>
    <w:rsid w:val="009C7254"/>
    <w:rsid w:val="009C7924"/>
    <w:rsid w:val="009C7CB5"/>
    <w:rsid w:val="009D02EA"/>
    <w:rsid w:val="009D04B9"/>
    <w:rsid w:val="009D0B4B"/>
    <w:rsid w:val="009D0C9A"/>
    <w:rsid w:val="009D0DA7"/>
    <w:rsid w:val="009D0EAF"/>
    <w:rsid w:val="009D23F1"/>
    <w:rsid w:val="009D253B"/>
    <w:rsid w:val="009D36FF"/>
    <w:rsid w:val="009D398E"/>
    <w:rsid w:val="009D4B6F"/>
    <w:rsid w:val="009D5161"/>
    <w:rsid w:val="009D5235"/>
    <w:rsid w:val="009D56AB"/>
    <w:rsid w:val="009D7D31"/>
    <w:rsid w:val="009E14BB"/>
    <w:rsid w:val="009E2A17"/>
    <w:rsid w:val="009E4019"/>
    <w:rsid w:val="009E46AD"/>
    <w:rsid w:val="009E4ED2"/>
    <w:rsid w:val="009E51B9"/>
    <w:rsid w:val="009E5837"/>
    <w:rsid w:val="009E588B"/>
    <w:rsid w:val="009E67BD"/>
    <w:rsid w:val="009E721E"/>
    <w:rsid w:val="009E7338"/>
    <w:rsid w:val="009E7913"/>
    <w:rsid w:val="009F1E8E"/>
    <w:rsid w:val="009F46F6"/>
    <w:rsid w:val="009F499D"/>
    <w:rsid w:val="009F60E2"/>
    <w:rsid w:val="009F7E6E"/>
    <w:rsid w:val="009F7F30"/>
    <w:rsid w:val="00A0033E"/>
    <w:rsid w:val="00A012FB"/>
    <w:rsid w:val="00A01514"/>
    <w:rsid w:val="00A01586"/>
    <w:rsid w:val="00A01FB6"/>
    <w:rsid w:val="00A023D4"/>
    <w:rsid w:val="00A04390"/>
    <w:rsid w:val="00A047F8"/>
    <w:rsid w:val="00A04BAC"/>
    <w:rsid w:val="00A04C7F"/>
    <w:rsid w:val="00A062DD"/>
    <w:rsid w:val="00A10615"/>
    <w:rsid w:val="00A10717"/>
    <w:rsid w:val="00A11406"/>
    <w:rsid w:val="00A11C71"/>
    <w:rsid w:val="00A127CB"/>
    <w:rsid w:val="00A128C1"/>
    <w:rsid w:val="00A1372B"/>
    <w:rsid w:val="00A13F47"/>
    <w:rsid w:val="00A13F58"/>
    <w:rsid w:val="00A14152"/>
    <w:rsid w:val="00A151CA"/>
    <w:rsid w:val="00A1575E"/>
    <w:rsid w:val="00A15793"/>
    <w:rsid w:val="00A15F1A"/>
    <w:rsid w:val="00A167D8"/>
    <w:rsid w:val="00A16ABD"/>
    <w:rsid w:val="00A16D85"/>
    <w:rsid w:val="00A16D9C"/>
    <w:rsid w:val="00A17684"/>
    <w:rsid w:val="00A21045"/>
    <w:rsid w:val="00A215C6"/>
    <w:rsid w:val="00A23A99"/>
    <w:rsid w:val="00A25953"/>
    <w:rsid w:val="00A25BD0"/>
    <w:rsid w:val="00A266E9"/>
    <w:rsid w:val="00A26E59"/>
    <w:rsid w:val="00A27258"/>
    <w:rsid w:val="00A3020D"/>
    <w:rsid w:val="00A32B33"/>
    <w:rsid w:val="00A330A6"/>
    <w:rsid w:val="00A339AD"/>
    <w:rsid w:val="00A33D98"/>
    <w:rsid w:val="00A34907"/>
    <w:rsid w:val="00A3574B"/>
    <w:rsid w:val="00A36722"/>
    <w:rsid w:val="00A36B9B"/>
    <w:rsid w:val="00A378ED"/>
    <w:rsid w:val="00A40089"/>
    <w:rsid w:val="00A427B8"/>
    <w:rsid w:val="00A42827"/>
    <w:rsid w:val="00A42BCB"/>
    <w:rsid w:val="00A4303D"/>
    <w:rsid w:val="00A43E2A"/>
    <w:rsid w:val="00A44497"/>
    <w:rsid w:val="00A4459E"/>
    <w:rsid w:val="00A45282"/>
    <w:rsid w:val="00A4571F"/>
    <w:rsid w:val="00A46DF3"/>
    <w:rsid w:val="00A4787C"/>
    <w:rsid w:val="00A507FE"/>
    <w:rsid w:val="00A50900"/>
    <w:rsid w:val="00A5147E"/>
    <w:rsid w:val="00A51524"/>
    <w:rsid w:val="00A51880"/>
    <w:rsid w:val="00A520A2"/>
    <w:rsid w:val="00A52F69"/>
    <w:rsid w:val="00A5349B"/>
    <w:rsid w:val="00A53BCD"/>
    <w:rsid w:val="00A543DD"/>
    <w:rsid w:val="00A54DC6"/>
    <w:rsid w:val="00A55BED"/>
    <w:rsid w:val="00A55E23"/>
    <w:rsid w:val="00A5773A"/>
    <w:rsid w:val="00A60A31"/>
    <w:rsid w:val="00A61671"/>
    <w:rsid w:val="00A6260D"/>
    <w:rsid w:val="00A62EA4"/>
    <w:rsid w:val="00A6435E"/>
    <w:rsid w:val="00A64908"/>
    <w:rsid w:val="00A656DC"/>
    <w:rsid w:val="00A663E7"/>
    <w:rsid w:val="00A669C7"/>
    <w:rsid w:val="00A67A7D"/>
    <w:rsid w:val="00A67F71"/>
    <w:rsid w:val="00A704D3"/>
    <w:rsid w:val="00A70920"/>
    <w:rsid w:val="00A70D5C"/>
    <w:rsid w:val="00A71E6D"/>
    <w:rsid w:val="00A73086"/>
    <w:rsid w:val="00A73283"/>
    <w:rsid w:val="00A74BE1"/>
    <w:rsid w:val="00A75458"/>
    <w:rsid w:val="00A77036"/>
    <w:rsid w:val="00A774C2"/>
    <w:rsid w:val="00A8070F"/>
    <w:rsid w:val="00A8108D"/>
    <w:rsid w:val="00A810AA"/>
    <w:rsid w:val="00A8133A"/>
    <w:rsid w:val="00A81580"/>
    <w:rsid w:val="00A81C55"/>
    <w:rsid w:val="00A82E2C"/>
    <w:rsid w:val="00A82F74"/>
    <w:rsid w:val="00A8326D"/>
    <w:rsid w:val="00A83C87"/>
    <w:rsid w:val="00A8431E"/>
    <w:rsid w:val="00A84DD3"/>
    <w:rsid w:val="00A85640"/>
    <w:rsid w:val="00A85973"/>
    <w:rsid w:val="00A85C6F"/>
    <w:rsid w:val="00A85F14"/>
    <w:rsid w:val="00A85F57"/>
    <w:rsid w:val="00A863C6"/>
    <w:rsid w:val="00A868E3"/>
    <w:rsid w:val="00A868E5"/>
    <w:rsid w:val="00A86C30"/>
    <w:rsid w:val="00A873D2"/>
    <w:rsid w:val="00A87EC4"/>
    <w:rsid w:val="00A90959"/>
    <w:rsid w:val="00A90A74"/>
    <w:rsid w:val="00A90AE7"/>
    <w:rsid w:val="00A92C11"/>
    <w:rsid w:val="00A933D7"/>
    <w:rsid w:val="00A9405B"/>
    <w:rsid w:val="00A94079"/>
    <w:rsid w:val="00A94D5B"/>
    <w:rsid w:val="00A95377"/>
    <w:rsid w:val="00A95E0D"/>
    <w:rsid w:val="00A96027"/>
    <w:rsid w:val="00A963B8"/>
    <w:rsid w:val="00A9726C"/>
    <w:rsid w:val="00A97F53"/>
    <w:rsid w:val="00AA0D52"/>
    <w:rsid w:val="00AA1060"/>
    <w:rsid w:val="00AA112F"/>
    <w:rsid w:val="00AA288F"/>
    <w:rsid w:val="00AA2A33"/>
    <w:rsid w:val="00AA2CF2"/>
    <w:rsid w:val="00AA32CC"/>
    <w:rsid w:val="00AA363A"/>
    <w:rsid w:val="00AA3D08"/>
    <w:rsid w:val="00AA3F84"/>
    <w:rsid w:val="00AA48A3"/>
    <w:rsid w:val="00AA5066"/>
    <w:rsid w:val="00AA57F3"/>
    <w:rsid w:val="00AA7BDE"/>
    <w:rsid w:val="00AA7E1F"/>
    <w:rsid w:val="00AB12F8"/>
    <w:rsid w:val="00AB1336"/>
    <w:rsid w:val="00AB1376"/>
    <w:rsid w:val="00AB13EE"/>
    <w:rsid w:val="00AB1530"/>
    <w:rsid w:val="00AB1A24"/>
    <w:rsid w:val="00AB2733"/>
    <w:rsid w:val="00AB2B65"/>
    <w:rsid w:val="00AB3F04"/>
    <w:rsid w:val="00AB4A2A"/>
    <w:rsid w:val="00AB5A8B"/>
    <w:rsid w:val="00AB5ACB"/>
    <w:rsid w:val="00AB690A"/>
    <w:rsid w:val="00AB7511"/>
    <w:rsid w:val="00AB7843"/>
    <w:rsid w:val="00AC0D17"/>
    <w:rsid w:val="00AC1C65"/>
    <w:rsid w:val="00AC25A3"/>
    <w:rsid w:val="00AC2D81"/>
    <w:rsid w:val="00AC2FEB"/>
    <w:rsid w:val="00AC3284"/>
    <w:rsid w:val="00AC3762"/>
    <w:rsid w:val="00AC6C63"/>
    <w:rsid w:val="00AC6F74"/>
    <w:rsid w:val="00AC71F3"/>
    <w:rsid w:val="00AD280F"/>
    <w:rsid w:val="00AD2D11"/>
    <w:rsid w:val="00AD310E"/>
    <w:rsid w:val="00AD36CF"/>
    <w:rsid w:val="00AD44DC"/>
    <w:rsid w:val="00AD4883"/>
    <w:rsid w:val="00AD51A2"/>
    <w:rsid w:val="00AD58C1"/>
    <w:rsid w:val="00AD5AB1"/>
    <w:rsid w:val="00AD5CFE"/>
    <w:rsid w:val="00AD71F5"/>
    <w:rsid w:val="00AE03A1"/>
    <w:rsid w:val="00AE0609"/>
    <w:rsid w:val="00AE108A"/>
    <w:rsid w:val="00AE14E7"/>
    <w:rsid w:val="00AE2B68"/>
    <w:rsid w:val="00AE6055"/>
    <w:rsid w:val="00AE6479"/>
    <w:rsid w:val="00AE72F4"/>
    <w:rsid w:val="00AE7AA6"/>
    <w:rsid w:val="00AF067B"/>
    <w:rsid w:val="00AF0711"/>
    <w:rsid w:val="00AF0D6A"/>
    <w:rsid w:val="00AF14A2"/>
    <w:rsid w:val="00AF3242"/>
    <w:rsid w:val="00AF3B30"/>
    <w:rsid w:val="00AF3E77"/>
    <w:rsid w:val="00AF4710"/>
    <w:rsid w:val="00AF51D8"/>
    <w:rsid w:val="00AF5C6F"/>
    <w:rsid w:val="00AF614C"/>
    <w:rsid w:val="00AF6A35"/>
    <w:rsid w:val="00B007C2"/>
    <w:rsid w:val="00B03E85"/>
    <w:rsid w:val="00B0553F"/>
    <w:rsid w:val="00B1053F"/>
    <w:rsid w:val="00B10EA4"/>
    <w:rsid w:val="00B110DF"/>
    <w:rsid w:val="00B1129D"/>
    <w:rsid w:val="00B1169D"/>
    <w:rsid w:val="00B12516"/>
    <w:rsid w:val="00B14786"/>
    <w:rsid w:val="00B14EF1"/>
    <w:rsid w:val="00B17387"/>
    <w:rsid w:val="00B174F3"/>
    <w:rsid w:val="00B209A2"/>
    <w:rsid w:val="00B20C60"/>
    <w:rsid w:val="00B20E90"/>
    <w:rsid w:val="00B215D5"/>
    <w:rsid w:val="00B22BD0"/>
    <w:rsid w:val="00B23159"/>
    <w:rsid w:val="00B23CD9"/>
    <w:rsid w:val="00B24D32"/>
    <w:rsid w:val="00B26CAF"/>
    <w:rsid w:val="00B26D60"/>
    <w:rsid w:val="00B2722C"/>
    <w:rsid w:val="00B27E2B"/>
    <w:rsid w:val="00B27F9A"/>
    <w:rsid w:val="00B31715"/>
    <w:rsid w:val="00B31FA8"/>
    <w:rsid w:val="00B31FE7"/>
    <w:rsid w:val="00B32EFF"/>
    <w:rsid w:val="00B330FE"/>
    <w:rsid w:val="00B33C0C"/>
    <w:rsid w:val="00B33C0E"/>
    <w:rsid w:val="00B34383"/>
    <w:rsid w:val="00B34E99"/>
    <w:rsid w:val="00B351F4"/>
    <w:rsid w:val="00B353D6"/>
    <w:rsid w:val="00B35CEE"/>
    <w:rsid w:val="00B35D9F"/>
    <w:rsid w:val="00B35E94"/>
    <w:rsid w:val="00B3616D"/>
    <w:rsid w:val="00B36EA0"/>
    <w:rsid w:val="00B405FF"/>
    <w:rsid w:val="00B408A8"/>
    <w:rsid w:val="00B41741"/>
    <w:rsid w:val="00B42D1C"/>
    <w:rsid w:val="00B4312E"/>
    <w:rsid w:val="00B431CD"/>
    <w:rsid w:val="00B43CC5"/>
    <w:rsid w:val="00B45850"/>
    <w:rsid w:val="00B51F9B"/>
    <w:rsid w:val="00B53DB5"/>
    <w:rsid w:val="00B54033"/>
    <w:rsid w:val="00B548A3"/>
    <w:rsid w:val="00B5516E"/>
    <w:rsid w:val="00B551BC"/>
    <w:rsid w:val="00B563BF"/>
    <w:rsid w:val="00B5664C"/>
    <w:rsid w:val="00B56AB2"/>
    <w:rsid w:val="00B5772B"/>
    <w:rsid w:val="00B607B8"/>
    <w:rsid w:val="00B60C7C"/>
    <w:rsid w:val="00B61DD1"/>
    <w:rsid w:val="00B61E64"/>
    <w:rsid w:val="00B622EB"/>
    <w:rsid w:val="00B63031"/>
    <w:rsid w:val="00B6317D"/>
    <w:rsid w:val="00B634FC"/>
    <w:rsid w:val="00B63E7E"/>
    <w:rsid w:val="00B64977"/>
    <w:rsid w:val="00B64F28"/>
    <w:rsid w:val="00B65597"/>
    <w:rsid w:val="00B667CA"/>
    <w:rsid w:val="00B706EC"/>
    <w:rsid w:val="00B70A49"/>
    <w:rsid w:val="00B70C8A"/>
    <w:rsid w:val="00B71B93"/>
    <w:rsid w:val="00B723D7"/>
    <w:rsid w:val="00B736A4"/>
    <w:rsid w:val="00B7476B"/>
    <w:rsid w:val="00B747AF"/>
    <w:rsid w:val="00B747ED"/>
    <w:rsid w:val="00B75133"/>
    <w:rsid w:val="00B760BC"/>
    <w:rsid w:val="00B770BA"/>
    <w:rsid w:val="00B77BA4"/>
    <w:rsid w:val="00B77D55"/>
    <w:rsid w:val="00B77F5A"/>
    <w:rsid w:val="00B82051"/>
    <w:rsid w:val="00B828DE"/>
    <w:rsid w:val="00B8357B"/>
    <w:rsid w:val="00B83CDD"/>
    <w:rsid w:val="00B85973"/>
    <w:rsid w:val="00B85D98"/>
    <w:rsid w:val="00B873D6"/>
    <w:rsid w:val="00B90DFF"/>
    <w:rsid w:val="00B90EE4"/>
    <w:rsid w:val="00B91BFE"/>
    <w:rsid w:val="00B9214B"/>
    <w:rsid w:val="00B92404"/>
    <w:rsid w:val="00B9378A"/>
    <w:rsid w:val="00B93DD5"/>
    <w:rsid w:val="00B93F19"/>
    <w:rsid w:val="00B9641B"/>
    <w:rsid w:val="00B964E9"/>
    <w:rsid w:val="00B96C92"/>
    <w:rsid w:val="00B97154"/>
    <w:rsid w:val="00B978F5"/>
    <w:rsid w:val="00BA13D4"/>
    <w:rsid w:val="00BA150D"/>
    <w:rsid w:val="00BA1F15"/>
    <w:rsid w:val="00BA2D27"/>
    <w:rsid w:val="00BA3007"/>
    <w:rsid w:val="00BA3117"/>
    <w:rsid w:val="00BA3674"/>
    <w:rsid w:val="00BA4094"/>
    <w:rsid w:val="00BA43A5"/>
    <w:rsid w:val="00BA5D43"/>
    <w:rsid w:val="00BA67E6"/>
    <w:rsid w:val="00BA69B9"/>
    <w:rsid w:val="00BA72B2"/>
    <w:rsid w:val="00BA7D54"/>
    <w:rsid w:val="00BB1065"/>
    <w:rsid w:val="00BB1968"/>
    <w:rsid w:val="00BB19F2"/>
    <w:rsid w:val="00BB1D24"/>
    <w:rsid w:val="00BB2086"/>
    <w:rsid w:val="00BB223E"/>
    <w:rsid w:val="00BB26E8"/>
    <w:rsid w:val="00BB2865"/>
    <w:rsid w:val="00BB2AA6"/>
    <w:rsid w:val="00BB3E58"/>
    <w:rsid w:val="00BB42F7"/>
    <w:rsid w:val="00BB5565"/>
    <w:rsid w:val="00BB690A"/>
    <w:rsid w:val="00BB7005"/>
    <w:rsid w:val="00BC0B8C"/>
    <w:rsid w:val="00BC0E4B"/>
    <w:rsid w:val="00BC3134"/>
    <w:rsid w:val="00BC3230"/>
    <w:rsid w:val="00BC3470"/>
    <w:rsid w:val="00BC4E7C"/>
    <w:rsid w:val="00BC50AF"/>
    <w:rsid w:val="00BC539A"/>
    <w:rsid w:val="00BC5680"/>
    <w:rsid w:val="00BC5EBF"/>
    <w:rsid w:val="00BC6184"/>
    <w:rsid w:val="00BC6265"/>
    <w:rsid w:val="00BC7BEF"/>
    <w:rsid w:val="00BD04B9"/>
    <w:rsid w:val="00BD0521"/>
    <w:rsid w:val="00BD0551"/>
    <w:rsid w:val="00BD0D49"/>
    <w:rsid w:val="00BD1363"/>
    <w:rsid w:val="00BD1782"/>
    <w:rsid w:val="00BD220C"/>
    <w:rsid w:val="00BD2487"/>
    <w:rsid w:val="00BD35BF"/>
    <w:rsid w:val="00BD4A13"/>
    <w:rsid w:val="00BD5CD4"/>
    <w:rsid w:val="00BD6AE7"/>
    <w:rsid w:val="00BD6EE5"/>
    <w:rsid w:val="00BD77B1"/>
    <w:rsid w:val="00BD7CF3"/>
    <w:rsid w:val="00BE1642"/>
    <w:rsid w:val="00BE17BB"/>
    <w:rsid w:val="00BE3518"/>
    <w:rsid w:val="00BE3826"/>
    <w:rsid w:val="00BE63D3"/>
    <w:rsid w:val="00BE7133"/>
    <w:rsid w:val="00BF0F17"/>
    <w:rsid w:val="00BF11D8"/>
    <w:rsid w:val="00BF2768"/>
    <w:rsid w:val="00BF2B8E"/>
    <w:rsid w:val="00BF336E"/>
    <w:rsid w:val="00BF33D6"/>
    <w:rsid w:val="00BF34D0"/>
    <w:rsid w:val="00BF3B07"/>
    <w:rsid w:val="00BF4779"/>
    <w:rsid w:val="00BF586F"/>
    <w:rsid w:val="00BF5ACF"/>
    <w:rsid w:val="00BF607F"/>
    <w:rsid w:val="00BF7758"/>
    <w:rsid w:val="00BF7A5F"/>
    <w:rsid w:val="00C00943"/>
    <w:rsid w:val="00C00C1F"/>
    <w:rsid w:val="00C0135A"/>
    <w:rsid w:val="00C01BF2"/>
    <w:rsid w:val="00C024B0"/>
    <w:rsid w:val="00C03218"/>
    <w:rsid w:val="00C03B86"/>
    <w:rsid w:val="00C047E0"/>
    <w:rsid w:val="00C0483E"/>
    <w:rsid w:val="00C04B86"/>
    <w:rsid w:val="00C05860"/>
    <w:rsid w:val="00C06946"/>
    <w:rsid w:val="00C06FC8"/>
    <w:rsid w:val="00C0754B"/>
    <w:rsid w:val="00C07C87"/>
    <w:rsid w:val="00C10AB2"/>
    <w:rsid w:val="00C10AE9"/>
    <w:rsid w:val="00C11A5E"/>
    <w:rsid w:val="00C11FD3"/>
    <w:rsid w:val="00C12238"/>
    <w:rsid w:val="00C12667"/>
    <w:rsid w:val="00C128B5"/>
    <w:rsid w:val="00C13148"/>
    <w:rsid w:val="00C14556"/>
    <w:rsid w:val="00C14AAA"/>
    <w:rsid w:val="00C215FB"/>
    <w:rsid w:val="00C2331E"/>
    <w:rsid w:val="00C235D1"/>
    <w:rsid w:val="00C23F74"/>
    <w:rsid w:val="00C24097"/>
    <w:rsid w:val="00C244AD"/>
    <w:rsid w:val="00C24A95"/>
    <w:rsid w:val="00C25C56"/>
    <w:rsid w:val="00C25F66"/>
    <w:rsid w:val="00C2624A"/>
    <w:rsid w:val="00C267E0"/>
    <w:rsid w:val="00C26E22"/>
    <w:rsid w:val="00C30470"/>
    <w:rsid w:val="00C30DB1"/>
    <w:rsid w:val="00C30E54"/>
    <w:rsid w:val="00C31B81"/>
    <w:rsid w:val="00C31EEE"/>
    <w:rsid w:val="00C32852"/>
    <w:rsid w:val="00C32B53"/>
    <w:rsid w:val="00C34AC8"/>
    <w:rsid w:val="00C34AE9"/>
    <w:rsid w:val="00C35BA7"/>
    <w:rsid w:val="00C42564"/>
    <w:rsid w:val="00C42A04"/>
    <w:rsid w:val="00C42E4D"/>
    <w:rsid w:val="00C43233"/>
    <w:rsid w:val="00C45B3E"/>
    <w:rsid w:val="00C46693"/>
    <w:rsid w:val="00C47D96"/>
    <w:rsid w:val="00C503C0"/>
    <w:rsid w:val="00C51628"/>
    <w:rsid w:val="00C54B84"/>
    <w:rsid w:val="00C55031"/>
    <w:rsid w:val="00C55181"/>
    <w:rsid w:val="00C56690"/>
    <w:rsid w:val="00C57A42"/>
    <w:rsid w:val="00C57B3E"/>
    <w:rsid w:val="00C623C8"/>
    <w:rsid w:val="00C62D59"/>
    <w:rsid w:val="00C62EBE"/>
    <w:rsid w:val="00C63F30"/>
    <w:rsid w:val="00C64F04"/>
    <w:rsid w:val="00C67E2F"/>
    <w:rsid w:val="00C7048A"/>
    <w:rsid w:val="00C7093E"/>
    <w:rsid w:val="00C72468"/>
    <w:rsid w:val="00C7297F"/>
    <w:rsid w:val="00C731CC"/>
    <w:rsid w:val="00C7425B"/>
    <w:rsid w:val="00C75367"/>
    <w:rsid w:val="00C75ADF"/>
    <w:rsid w:val="00C76762"/>
    <w:rsid w:val="00C77CA2"/>
    <w:rsid w:val="00C805FB"/>
    <w:rsid w:val="00C81702"/>
    <w:rsid w:val="00C8172B"/>
    <w:rsid w:val="00C81B82"/>
    <w:rsid w:val="00C82511"/>
    <w:rsid w:val="00C826BB"/>
    <w:rsid w:val="00C82816"/>
    <w:rsid w:val="00C82DE1"/>
    <w:rsid w:val="00C834C9"/>
    <w:rsid w:val="00C8465B"/>
    <w:rsid w:val="00C84EC5"/>
    <w:rsid w:val="00C84FC8"/>
    <w:rsid w:val="00C85DBC"/>
    <w:rsid w:val="00C87B9B"/>
    <w:rsid w:val="00C910CE"/>
    <w:rsid w:val="00C910EF"/>
    <w:rsid w:val="00C93F52"/>
    <w:rsid w:val="00C95319"/>
    <w:rsid w:val="00C96167"/>
    <w:rsid w:val="00C9655C"/>
    <w:rsid w:val="00C96C2B"/>
    <w:rsid w:val="00C97501"/>
    <w:rsid w:val="00C97A47"/>
    <w:rsid w:val="00CA216A"/>
    <w:rsid w:val="00CA2704"/>
    <w:rsid w:val="00CA2B61"/>
    <w:rsid w:val="00CA2C19"/>
    <w:rsid w:val="00CA4420"/>
    <w:rsid w:val="00CA466D"/>
    <w:rsid w:val="00CA5152"/>
    <w:rsid w:val="00CA537E"/>
    <w:rsid w:val="00CA5AF2"/>
    <w:rsid w:val="00CA622E"/>
    <w:rsid w:val="00CA627C"/>
    <w:rsid w:val="00CA7C5E"/>
    <w:rsid w:val="00CA7D31"/>
    <w:rsid w:val="00CB0059"/>
    <w:rsid w:val="00CB03DD"/>
    <w:rsid w:val="00CB0943"/>
    <w:rsid w:val="00CB0ADC"/>
    <w:rsid w:val="00CB14D6"/>
    <w:rsid w:val="00CB193F"/>
    <w:rsid w:val="00CB2660"/>
    <w:rsid w:val="00CB31D3"/>
    <w:rsid w:val="00CB470E"/>
    <w:rsid w:val="00CB4EBC"/>
    <w:rsid w:val="00CB4F18"/>
    <w:rsid w:val="00CB5A93"/>
    <w:rsid w:val="00CB6506"/>
    <w:rsid w:val="00CB6BAD"/>
    <w:rsid w:val="00CB764E"/>
    <w:rsid w:val="00CC0334"/>
    <w:rsid w:val="00CC0F5E"/>
    <w:rsid w:val="00CC1809"/>
    <w:rsid w:val="00CC3918"/>
    <w:rsid w:val="00CC3A79"/>
    <w:rsid w:val="00CC3F2F"/>
    <w:rsid w:val="00CC55EF"/>
    <w:rsid w:val="00CC69C1"/>
    <w:rsid w:val="00CD070E"/>
    <w:rsid w:val="00CD1DB2"/>
    <w:rsid w:val="00CD23E6"/>
    <w:rsid w:val="00CD36CF"/>
    <w:rsid w:val="00CD5D90"/>
    <w:rsid w:val="00CD75DF"/>
    <w:rsid w:val="00CE0BDE"/>
    <w:rsid w:val="00CE0EC7"/>
    <w:rsid w:val="00CE16D0"/>
    <w:rsid w:val="00CE1B1E"/>
    <w:rsid w:val="00CE1D50"/>
    <w:rsid w:val="00CE2406"/>
    <w:rsid w:val="00CE2449"/>
    <w:rsid w:val="00CE36E1"/>
    <w:rsid w:val="00CE3E6A"/>
    <w:rsid w:val="00CE418B"/>
    <w:rsid w:val="00CE4702"/>
    <w:rsid w:val="00CE64B9"/>
    <w:rsid w:val="00CF0103"/>
    <w:rsid w:val="00CF123F"/>
    <w:rsid w:val="00CF2601"/>
    <w:rsid w:val="00CF2978"/>
    <w:rsid w:val="00CF2E77"/>
    <w:rsid w:val="00CF31DF"/>
    <w:rsid w:val="00CF325F"/>
    <w:rsid w:val="00CF3EB0"/>
    <w:rsid w:val="00CF439F"/>
    <w:rsid w:val="00CF5A18"/>
    <w:rsid w:val="00CF72E7"/>
    <w:rsid w:val="00CF77CC"/>
    <w:rsid w:val="00CF7D7A"/>
    <w:rsid w:val="00D0051E"/>
    <w:rsid w:val="00D01C1E"/>
    <w:rsid w:val="00D0280C"/>
    <w:rsid w:val="00D02933"/>
    <w:rsid w:val="00D02D34"/>
    <w:rsid w:val="00D03103"/>
    <w:rsid w:val="00D031D8"/>
    <w:rsid w:val="00D03A64"/>
    <w:rsid w:val="00D0406A"/>
    <w:rsid w:val="00D046EC"/>
    <w:rsid w:val="00D04B54"/>
    <w:rsid w:val="00D04F3A"/>
    <w:rsid w:val="00D050FD"/>
    <w:rsid w:val="00D05F24"/>
    <w:rsid w:val="00D06CB3"/>
    <w:rsid w:val="00D07126"/>
    <w:rsid w:val="00D0735B"/>
    <w:rsid w:val="00D077AD"/>
    <w:rsid w:val="00D102CA"/>
    <w:rsid w:val="00D10A33"/>
    <w:rsid w:val="00D10FDC"/>
    <w:rsid w:val="00D112A6"/>
    <w:rsid w:val="00D113BD"/>
    <w:rsid w:val="00D1146A"/>
    <w:rsid w:val="00D1196C"/>
    <w:rsid w:val="00D11FBF"/>
    <w:rsid w:val="00D124BD"/>
    <w:rsid w:val="00D125F4"/>
    <w:rsid w:val="00D1349E"/>
    <w:rsid w:val="00D13A89"/>
    <w:rsid w:val="00D1413F"/>
    <w:rsid w:val="00D144EE"/>
    <w:rsid w:val="00D14C76"/>
    <w:rsid w:val="00D15278"/>
    <w:rsid w:val="00D160CA"/>
    <w:rsid w:val="00D17179"/>
    <w:rsid w:val="00D17565"/>
    <w:rsid w:val="00D17FBC"/>
    <w:rsid w:val="00D20358"/>
    <w:rsid w:val="00D213A5"/>
    <w:rsid w:val="00D21591"/>
    <w:rsid w:val="00D218C1"/>
    <w:rsid w:val="00D22156"/>
    <w:rsid w:val="00D237BB"/>
    <w:rsid w:val="00D244A3"/>
    <w:rsid w:val="00D24AE6"/>
    <w:rsid w:val="00D25BE1"/>
    <w:rsid w:val="00D263AE"/>
    <w:rsid w:val="00D27211"/>
    <w:rsid w:val="00D274EF"/>
    <w:rsid w:val="00D27749"/>
    <w:rsid w:val="00D279BC"/>
    <w:rsid w:val="00D31004"/>
    <w:rsid w:val="00D33D5C"/>
    <w:rsid w:val="00D345A7"/>
    <w:rsid w:val="00D34DD9"/>
    <w:rsid w:val="00D358DF"/>
    <w:rsid w:val="00D35D1C"/>
    <w:rsid w:val="00D366A3"/>
    <w:rsid w:val="00D3793F"/>
    <w:rsid w:val="00D4013E"/>
    <w:rsid w:val="00D41BEA"/>
    <w:rsid w:val="00D42066"/>
    <w:rsid w:val="00D42E0F"/>
    <w:rsid w:val="00D4303F"/>
    <w:rsid w:val="00D4362B"/>
    <w:rsid w:val="00D43AE5"/>
    <w:rsid w:val="00D44017"/>
    <w:rsid w:val="00D45B23"/>
    <w:rsid w:val="00D45C3E"/>
    <w:rsid w:val="00D45E04"/>
    <w:rsid w:val="00D46218"/>
    <w:rsid w:val="00D4621B"/>
    <w:rsid w:val="00D47277"/>
    <w:rsid w:val="00D4780F"/>
    <w:rsid w:val="00D504A1"/>
    <w:rsid w:val="00D50790"/>
    <w:rsid w:val="00D50971"/>
    <w:rsid w:val="00D50D7B"/>
    <w:rsid w:val="00D516AB"/>
    <w:rsid w:val="00D51885"/>
    <w:rsid w:val="00D51EF7"/>
    <w:rsid w:val="00D52097"/>
    <w:rsid w:val="00D529AB"/>
    <w:rsid w:val="00D549F7"/>
    <w:rsid w:val="00D55AD6"/>
    <w:rsid w:val="00D564B2"/>
    <w:rsid w:val="00D56E95"/>
    <w:rsid w:val="00D57621"/>
    <w:rsid w:val="00D61080"/>
    <w:rsid w:val="00D61809"/>
    <w:rsid w:val="00D61B4F"/>
    <w:rsid w:val="00D63A31"/>
    <w:rsid w:val="00D6450C"/>
    <w:rsid w:val="00D647A6"/>
    <w:rsid w:val="00D65305"/>
    <w:rsid w:val="00D656D5"/>
    <w:rsid w:val="00D66615"/>
    <w:rsid w:val="00D717F0"/>
    <w:rsid w:val="00D71F30"/>
    <w:rsid w:val="00D72308"/>
    <w:rsid w:val="00D731B9"/>
    <w:rsid w:val="00D74061"/>
    <w:rsid w:val="00D7510F"/>
    <w:rsid w:val="00D75695"/>
    <w:rsid w:val="00D7570E"/>
    <w:rsid w:val="00D76696"/>
    <w:rsid w:val="00D76DA0"/>
    <w:rsid w:val="00D76E7F"/>
    <w:rsid w:val="00D773B4"/>
    <w:rsid w:val="00D77EC2"/>
    <w:rsid w:val="00D80792"/>
    <w:rsid w:val="00D80A15"/>
    <w:rsid w:val="00D80D62"/>
    <w:rsid w:val="00D81FEB"/>
    <w:rsid w:val="00D8254A"/>
    <w:rsid w:val="00D8281B"/>
    <w:rsid w:val="00D831F2"/>
    <w:rsid w:val="00D83C7A"/>
    <w:rsid w:val="00D8406F"/>
    <w:rsid w:val="00D84ECC"/>
    <w:rsid w:val="00D866D8"/>
    <w:rsid w:val="00D87638"/>
    <w:rsid w:val="00D909F8"/>
    <w:rsid w:val="00D91883"/>
    <w:rsid w:val="00D927EB"/>
    <w:rsid w:val="00D92B55"/>
    <w:rsid w:val="00D92DBB"/>
    <w:rsid w:val="00D930F7"/>
    <w:rsid w:val="00D9354F"/>
    <w:rsid w:val="00D93853"/>
    <w:rsid w:val="00D95747"/>
    <w:rsid w:val="00D9585E"/>
    <w:rsid w:val="00D96048"/>
    <w:rsid w:val="00D979D0"/>
    <w:rsid w:val="00D97BC7"/>
    <w:rsid w:val="00DA0A7C"/>
    <w:rsid w:val="00DA11BB"/>
    <w:rsid w:val="00DA1AF6"/>
    <w:rsid w:val="00DA2270"/>
    <w:rsid w:val="00DA2CC1"/>
    <w:rsid w:val="00DA3A93"/>
    <w:rsid w:val="00DA4050"/>
    <w:rsid w:val="00DA411F"/>
    <w:rsid w:val="00DA41D9"/>
    <w:rsid w:val="00DA443B"/>
    <w:rsid w:val="00DA44C1"/>
    <w:rsid w:val="00DA477A"/>
    <w:rsid w:val="00DA53E4"/>
    <w:rsid w:val="00DA5F09"/>
    <w:rsid w:val="00DA669F"/>
    <w:rsid w:val="00DB0CCA"/>
    <w:rsid w:val="00DB0D74"/>
    <w:rsid w:val="00DB1EA5"/>
    <w:rsid w:val="00DB2113"/>
    <w:rsid w:val="00DB28C0"/>
    <w:rsid w:val="00DB2E46"/>
    <w:rsid w:val="00DB4CC2"/>
    <w:rsid w:val="00DB5C31"/>
    <w:rsid w:val="00DB7B49"/>
    <w:rsid w:val="00DC08F0"/>
    <w:rsid w:val="00DC1867"/>
    <w:rsid w:val="00DC220E"/>
    <w:rsid w:val="00DC2C48"/>
    <w:rsid w:val="00DC4642"/>
    <w:rsid w:val="00DC5D3F"/>
    <w:rsid w:val="00DC5DF9"/>
    <w:rsid w:val="00DC682C"/>
    <w:rsid w:val="00DC6CC5"/>
    <w:rsid w:val="00DC71CD"/>
    <w:rsid w:val="00DC7F43"/>
    <w:rsid w:val="00DD0027"/>
    <w:rsid w:val="00DD0734"/>
    <w:rsid w:val="00DD082A"/>
    <w:rsid w:val="00DD0B29"/>
    <w:rsid w:val="00DD0BBC"/>
    <w:rsid w:val="00DD0DE2"/>
    <w:rsid w:val="00DD1839"/>
    <w:rsid w:val="00DD1A6E"/>
    <w:rsid w:val="00DD2036"/>
    <w:rsid w:val="00DD2804"/>
    <w:rsid w:val="00DD2A02"/>
    <w:rsid w:val="00DD36D6"/>
    <w:rsid w:val="00DD3A17"/>
    <w:rsid w:val="00DD5287"/>
    <w:rsid w:val="00DD544B"/>
    <w:rsid w:val="00DD678E"/>
    <w:rsid w:val="00DD70B7"/>
    <w:rsid w:val="00DD7500"/>
    <w:rsid w:val="00DD7C2E"/>
    <w:rsid w:val="00DE0161"/>
    <w:rsid w:val="00DE161D"/>
    <w:rsid w:val="00DE17A6"/>
    <w:rsid w:val="00DE2DCB"/>
    <w:rsid w:val="00DE3676"/>
    <w:rsid w:val="00DE3B60"/>
    <w:rsid w:val="00DE4450"/>
    <w:rsid w:val="00DE488C"/>
    <w:rsid w:val="00DE4B81"/>
    <w:rsid w:val="00DE5301"/>
    <w:rsid w:val="00DE7C9F"/>
    <w:rsid w:val="00DE7DB8"/>
    <w:rsid w:val="00DF02FB"/>
    <w:rsid w:val="00DF073C"/>
    <w:rsid w:val="00DF2F2B"/>
    <w:rsid w:val="00DF2FCA"/>
    <w:rsid w:val="00DF376F"/>
    <w:rsid w:val="00DF37F0"/>
    <w:rsid w:val="00DF3F06"/>
    <w:rsid w:val="00DF6B8A"/>
    <w:rsid w:val="00DF6D90"/>
    <w:rsid w:val="00E01C84"/>
    <w:rsid w:val="00E02402"/>
    <w:rsid w:val="00E02818"/>
    <w:rsid w:val="00E033C5"/>
    <w:rsid w:val="00E04491"/>
    <w:rsid w:val="00E04FD6"/>
    <w:rsid w:val="00E05136"/>
    <w:rsid w:val="00E06927"/>
    <w:rsid w:val="00E06986"/>
    <w:rsid w:val="00E06F9C"/>
    <w:rsid w:val="00E07720"/>
    <w:rsid w:val="00E0795B"/>
    <w:rsid w:val="00E07994"/>
    <w:rsid w:val="00E1036C"/>
    <w:rsid w:val="00E1078F"/>
    <w:rsid w:val="00E11B39"/>
    <w:rsid w:val="00E13351"/>
    <w:rsid w:val="00E134A3"/>
    <w:rsid w:val="00E134CD"/>
    <w:rsid w:val="00E14397"/>
    <w:rsid w:val="00E149DF"/>
    <w:rsid w:val="00E15425"/>
    <w:rsid w:val="00E160B0"/>
    <w:rsid w:val="00E2001F"/>
    <w:rsid w:val="00E21163"/>
    <w:rsid w:val="00E2251A"/>
    <w:rsid w:val="00E22C83"/>
    <w:rsid w:val="00E23DA3"/>
    <w:rsid w:val="00E241B1"/>
    <w:rsid w:val="00E24BC0"/>
    <w:rsid w:val="00E25639"/>
    <w:rsid w:val="00E260D7"/>
    <w:rsid w:val="00E27427"/>
    <w:rsid w:val="00E277E3"/>
    <w:rsid w:val="00E27ECE"/>
    <w:rsid w:val="00E30001"/>
    <w:rsid w:val="00E31EB2"/>
    <w:rsid w:val="00E3209E"/>
    <w:rsid w:val="00E320C6"/>
    <w:rsid w:val="00E323F1"/>
    <w:rsid w:val="00E338EE"/>
    <w:rsid w:val="00E343C8"/>
    <w:rsid w:val="00E36E54"/>
    <w:rsid w:val="00E41C21"/>
    <w:rsid w:val="00E424C8"/>
    <w:rsid w:val="00E43947"/>
    <w:rsid w:val="00E44368"/>
    <w:rsid w:val="00E44409"/>
    <w:rsid w:val="00E44C15"/>
    <w:rsid w:val="00E45841"/>
    <w:rsid w:val="00E46CE7"/>
    <w:rsid w:val="00E47012"/>
    <w:rsid w:val="00E47B85"/>
    <w:rsid w:val="00E47F31"/>
    <w:rsid w:val="00E500A3"/>
    <w:rsid w:val="00E51420"/>
    <w:rsid w:val="00E5163A"/>
    <w:rsid w:val="00E524EB"/>
    <w:rsid w:val="00E5254C"/>
    <w:rsid w:val="00E52CAA"/>
    <w:rsid w:val="00E53141"/>
    <w:rsid w:val="00E539AE"/>
    <w:rsid w:val="00E540B9"/>
    <w:rsid w:val="00E54D4C"/>
    <w:rsid w:val="00E553A9"/>
    <w:rsid w:val="00E558D4"/>
    <w:rsid w:val="00E55C89"/>
    <w:rsid w:val="00E56055"/>
    <w:rsid w:val="00E567A6"/>
    <w:rsid w:val="00E56F6F"/>
    <w:rsid w:val="00E57D12"/>
    <w:rsid w:val="00E57D1B"/>
    <w:rsid w:val="00E6094C"/>
    <w:rsid w:val="00E60D8E"/>
    <w:rsid w:val="00E61A37"/>
    <w:rsid w:val="00E632E5"/>
    <w:rsid w:val="00E63AB2"/>
    <w:rsid w:val="00E64180"/>
    <w:rsid w:val="00E64C8E"/>
    <w:rsid w:val="00E651B1"/>
    <w:rsid w:val="00E65916"/>
    <w:rsid w:val="00E66FCB"/>
    <w:rsid w:val="00E670FF"/>
    <w:rsid w:val="00E70A8D"/>
    <w:rsid w:val="00E70AE2"/>
    <w:rsid w:val="00E7137F"/>
    <w:rsid w:val="00E715BB"/>
    <w:rsid w:val="00E71C16"/>
    <w:rsid w:val="00E723B1"/>
    <w:rsid w:val="00E7493E"/>
    <w:rsid w:val="00E74D0A"/>
    <w:rsid w:val="00E7548C"/>
    <w:rsid w:val="00E758BF"/>
    <w:rsid w:val="00E7603D"/>
    <w:rsid w:val="00E82669"/>
    <w:rsid w:val="00E83253"/>
    <w:rsid w:val="00E83D85"/>
    <w:rsid w:val="00E85013"/>
    <w:rsid w:val="00E86253"/>
    <w:rsid w:val="00E86E29"/>
    <w:rsid w:val="00E87852"/>
    <w:rsid w:val="00E87FEB"/>
    <w:rsid w:val="00E902D8"/>
    <w:rsid w:val="00E90A3F"/>
    <w:rsid w:val="00E90AC1"/>
    <w:rsid w:val="00E91047"/>
    <w:rsid w:val="00E91DB3"/>
    <w:rsid w:val="00E91FF7"/>
    <w:rsid w:val="00E92E86"/>
    <w:rsid w:val="00E937F8"/>
    <w:rsid w:val="00E938A4"/>
    <w:rsid w:val="00E95C4E"/>
    <w:rsid w:val="00E96981"/>
    <w:rsid w:val="00E96CED"/>
    <w:rsid w:val="00E9709E"/>
    <w:rsid w:val="00E97AC0"/>
    <w:rsid w:val="00E97BEF"/>
    <w:rsid w:val="00E97C36"/>
    <w:rsid w:val="00EA0074"/>
    <w:rsid w:val="00EA0183"/>
    <w:rsid w:val="00EA10C5"/>
    <w:rsid w:val="00EA1392"/>
    <w:rsid w:val="00EA33D8"/>
    <w:rsid w:val="00EA345A"/>
    <w:rsid w:val="00EA3C93"/>
    <w:rsid w:val="00EA542A"/>
    <w:rsid w:val="00EA57FC"/>
    <w:rsid w:val="00EA5D64"/>
    <w:rsid w:val="00EA5E7E"/>
    <w:rsid w:val="00EA6072"/>
    <w:rsid w:val="00EA63F1"/>
    <w:rsid w:val="00EA6929"/>
    <w:rsid w:val="00EA7920"/>
    <w:rsid w:val="00EB048D"/>
    <w:rsid w:val="00EB0E6C"/>
    <w:rsid w:val="00EB13CD"/>
    <w:rsid w:val="00EB14EA"/>
    <w:rsid w:val="00EB296D"/>
    <w:rsid w:val="00EB2C9B"/>
    <w:rsid w:val="00EB3387"/>
    <w:rsid w:val="00EB3CEF"/>
    <w:rsid w:val="00EB4D7E"/>
    <w:rsid w:val="00EB53B8"/>
    <w:rsid w:val="00EB5952"/>
    <w:rsid w:val="00EB6741"/>
    <w:rsid w:val="00EB6DDF"/>
    <w:rsid w:val="00EB7747"/>
    <w:rsid w:val="00EC0991"/>
    <w:rsid w:val="00EC135A"/>
    <w:rsid w:val="00EC1E9A"/>
    <w:rsid w:val="00EC3357"/>
    <w:rsid w:val="00EC4E0F"/>
    <w:rsid w:val="00EC54BA"/>
    <w:rsid w:val="00EC7100"/>
    <w:rsid w:val="00EC79B4"/>
    <w:rsid w:val="00ED0828"/>
    <w:rsid w:val="00ED0AA0"/>
    <w:rsid w:val="00ED0D92"/>
    <w:rsid w:val="00ED0EA6"/>
    <w:rsid w:val="00ED23C8"/>
    <w:rsid w:val="00ED3DB5"/>
    <w:rsid w:val="00ED5B57"/>
    <w:rsid w:val="00ED630E"/>
    <w:rsid w:val="00ED7BF7"/>
    <w:rsid w:val="00ED7DA9"/>
    <w:rsid w:val="00EE1D68"/>
    <w:rsid w:val="00EE2D00"/>
    <w:rsid w:val="00EE32B0"/>
    <w:rsid w:val="00EE3D06"/>
    <w:rsid w:val="00EE411A"/>
    <w:rsid w:val="00EE4C8B"/>
    <w:rsid w:val="00EE50A8"/>
    <w:rsid w:val="00EE5A8E"/>
    <w:rsid w:val="00EE6097"/>
    <w:rsid w:val="00EE6CC8"/>
    <w:rsid w:val="00EE6F31"/>
    <w:rsid w:val="00EE6FE0"/>
    <w:rsid w:val="00EE7621"/>
    <w:rsid w:val="00EF051D"/>
    <w:rsid w:val="00EF102E"/>
    <w:rsid w:val="00EF1056"/>
    <w:rsid w:val="00EF10A0"/>
    <w:rsid w:val="00EF10E9"/>
    <w:rsid w:val="00EF130B"/>
    <w:rsid w:val="00EF15A8"/>
    <w:rsid w:val="00EF1787"/>
    <w:rsid w:val="00EF2529"/>
    <w:rsid w:val="00EF26E9"/>
    <w:rsid w:val="00EF38DC"/>
    <w:rsid w:val="00EF45A0"/>
    <w:rsid w:val="00EF4D0E"/>
    <w:rsid w:val="00EF4DEE"/>
    <w:rsid w:val="00EF50EA"/>
    <w:rsid w:val="00EF57A3"/>
    <w:rsid w:val="00EF5C9E"/>
    <w:rsid w:val="00EF6148"/>
    <w:rsid w:val="00EF7463"/>
    <w:rsid w:val="00EF7494"/>
    <w:rsid w:val="00F007C1"/>
    <w:rsid w:val="00F00F83"/>
    <w:rsid w:val="00F016F4"/>
    <w:rsid w:val="00F02035"/>
    <w:rsid w:val="00F02939"/>
    <w:rsid w:val="00F0382F"/>
    <w:rsid w:val="00F056BB"/>
    <w:rsid w:val="00F05D1A"/>
    <w:rsid w:val="00F06264"/>
    <w:rsid w:val="00F06749"/>
    <w:rsid w:val="00F06A45"/>
    <w:rsid w:val="00F06E4B"/>
    <w:rsid w:val="00F12D23"/>
    <w:rsid w:val="00F130B4"/>
    <w:rsid w:val="00F133E6"/>
    <w:rsid w:val="00F1420A"/>
    <w:rsid w:val="00F14347"/>
    <w:rsid w:val="00F15682"/>
    <w:rsid w:val="00F15E29"/>
    <w:rsid w:val="00F1652A"/>
    <w:rsid w:val="00F17428"/>
    <w:rsid w:val="00F2016A"/>
    <w:rsid w:val="00F21BA2"/>
    <w:rsid w:val="00F23DD9"/>
    <w:rsid w:val="00F24877"/>
    <w:rsid w:val="00F26979"/>
    <w:rsid w:val="00F27CCD"/>
    <w:rsid w:val="00F30359"/>
    <w:rsid w:val="00F304FD"/>
    <w:rsid w:val="00F30F9E"/>
    <w:rsid w:val="00F31B44"/>
    <w:rsid w:val="00F32D70"/>
    <w:rsid w:val="00F33D5E"/>
    <w:rsid w:val="00F344AC"/>
    <w:rsid w:val="00F35C65"/>
    <w:rsid w:val="00F36AE1"/>
    <w:rsid w:val="00F37042"/>
    <w:rsid w:val="00F37E12"/>
    <w:rsid w:val="00F408D3"/>
    <w:rsid w:val="00F40CB4"/>
    <w:rsid w:val="00F4161E"/>
    <w:rsid w:val="00F41A59"/>
    <w:rsid w:val="00F43009"/>
    <w:rsid w:val="00F431FE"/>
    <w:rsid w:val="00F4463E"/>
    <w:rsid w:val="00F44C74"/>
    <w:rsid w:val="00F4524C"/>
    <w:rsid w:val="00F47FA1"/>
    <w:rsid w:val="00F50784"/>
    <w:rsid w:val="00F507E6"/>
    <w:rsid w:val="00F50E4A"/>
    <w:rsid w:val="00F51696"/>
    <w:rsid w:val="00F522B4"/>
    <w:rsid w:val="00F5377D"/>
    <w:rsid w:val="00F5517F"/>
    <w:rsid w:val="00F55DEF"/>
    <w:rsid w:val="00F569EA"/>
    <w:rsid w:val="00F56AA5"/>
    <w:rsid w:val="00F57B17"/>
    <w:rsid w:val="00F57E54"/>
    <w:rsid w:val="00F6105D"/>
    <w:rsid w:val="00F618B2"/>
    <w:rsid w:val="00F61B91"/>
    <w:rsid w:val="00F61CBB"/>
    <w:rsid w:val="00F629AB"/>
    <w:rsid w:val="00F641E1"/>
    <w:rsid w:val="00F64B54"/>
    <w:rsid w:val="00F65554"/>
    <w:rsid w:val="00F66574"/>
    <w:rsid w:val="00F67651"/>
    <w:rsid w:val="00F6796B"/>
    <w:rsid w:val="00F70386"/>
    <w:rsid w:val="00F7049C"/>
    <w:rsid w:val="00F7095F"/>
    <w:rsid w:val="00F7147D"/>
    <w:rsid w:val="00F723DF"/>
    <w:rsid w:val="00F729B5"/>
    <w:rsid w:val="00F731FD"/>
    <w:rsid w:val="00F73A90"/>
    <w:rsid w:val="00F73E23"/>
    <w:rsid w:val="00F74800"/>
    <w:rsid w:val="00F75520"/>
    <w:rsid w:val="00F7591C"/>
    <w:rsid w:val="00F7653E"/>
    <w:rsid w:val="00F77086"/>
    <w:rsid w:val="00F7729E"/>
    <w:rsid w:val="00F77FB2"/>
    <w:rsid w:val="00F80043"/>
    <w:rsid w:val="00F81DF9"/>
    <w:rsid w:val="00F81E30"/>
    <w:rsid w:val="00F81E58"/>
    <w:rsid w:val="00F81E8A"/>
    <w:rsid w:val="00F81FD0"/>
    <w:rsid w:val="00F82128"/>
    <w:rsid w:val="00F821AD"/>
    <w:rsid w:val="00F82AB6"/>
    <w:rsid w:val="00F82C38"/>
    <w:rsid w:val="00F835DC"/>
    <w:rsid w:val="00F837DC"/>
    <w:rsid w:val="00F84239"/>
    <w:rsid w:val="00F843D0"/>
    <w:rsid w:val="00F857B1"/>
    <w:rsid w:val="00F86069"/>
    <w:rsid w:val="00F873F3"/>
    <w:rsid w:val="00F90508"/>
    <w:rsid w:val="00F90944"/>
    <w:rsid w:val="00F92381"/>
    <w:rsid w:val="00F92F1C"/>
    <w:rsid w:val="00F95416"/>
    <w:rsid w:val="00F9621B"/>
    <w:rsid w:val="00F96586"/>
    <w:rsid w:val="00F96642"/>
    <w:rsid w:val="00F977DB"/>
    <w:rsid w:val="00F97EFD"/>
    <w:rsid w:val="00FA01BC"/>
    <w:rsid w:val="00FA0897"/>
    <w:rsid w:val="00FA11EF"/>
    <w:rsid w:val="00FA13F3"/>
    <w:rsid w:val="00FA1B88"/>
    <w:rsid w:val="00FA3A51"/>
    <w:rsid w:val="00FA4CAA"/>
    <w:rsid w:val="00FA54F5"/>
    <w:rsid w:val="00FA566C"/>
    <w:rsid w:val="00FA5A8B"/>
    <w:rsid w:val="00FA6D92"/>
    <w:rsid w:val="00FB1A31"/>
    <w:rsid w:val="00FB1A3A"/>
    <w:rsid w:val="00FB1C66"/>
    <w:rsid w:val="00FB3BC4"/>
    <w:rsid w:val="00FB4A8A"/>
    <w:rsid w:val="00FB56F2"/>
    <w:rsid w:val="00FB5C43"/>
    <w:rsid w:val="00FB5FE2"/>
    <w:rsid w:val="00FB6156"/>
    <w:rsid w:val="00FB6221"/>
    <w:rsid w:val="00FB7580"/>
    <w:rsid w:val="00FB75F5"/>
    <w:rsid w:val="00FB7914"/>
    <w:rsid w:val="00FC0868"/>
    <w:rsid w:val="00FC1CA2"/>
    <w:rsid w:val="00FC1E1C"/>
    <w:rsid w:val="00FC36D5"/>
    <w:rsid w:val="00FC3FAB"/>
    <w:rsid w:val="00FC4D0D"/>
    <w:rsid w:val="00FC5ABB"/>
    <w:rsid w:val="00FC638F"/>
    <w:rsid w:val="00FC6452"/>
    <w:rsid w:val="00FC73A2"/>
    <w:rsid w:val="00FC7816"/>
    <w:rsid w:val="00FD0073"/>
    <w:rsid w:val="00FD08E5"/>
    <w:rsid w:val="00FD11EE"/>
    <w:rsid w:val="00FD1756"/>
    <w:rsid w:val="00FD1D4B"/>
    <w:rsid w:val="00FD2503"/>
    <w:rsid w:val="00FD284F"/>
    <w:rsid w:val="00FD2987"/>
    <w:rsid w:val="00FD39E1"/>
    <w:rsid w:val="00FD441B"/>
    <w:rsid w:val="00FD4D09"/>
    <w:rsid w:val="00FD582B"/>
    <w:rsid w:val="00FD5D2D"/>
    <w:rsid w:val="00FD63D5"/>
    <w:rsid w:val="00FD65D0"/>
    <w:rsid w:val="00FD6E4D"/>
    <w:rsid w:val="00FD7636"/>
    <w:rsid w:val="00FD7744"/>
    <w:rsid w:val="00FD7B2E"/>
    <w:rsid w:val="00FD7CD2"/>
    <w:rsid w:val="00FE0033"/>
    <w:rsid w:val="00FE0076"/>
    <w:rsid w:val="00FE055B"/>
    <w:rsid w:val="00FE0A96"/>
    <w:rsid w:val="00FE1107"/>
    <w:rsid w:val="00FE1233"/>
    <w:rsid w:val="00FE1F15"/>
    <w:rsid w:val="00FE1F78"/>
    <w:rsid w:val="00FE2FED"/>
    <w:rsid w:val="00FE41A7"/>
    <w:rsid w:val="00FE426D"/>
    <w:rsid w:val="00FE4E1F"/>
    <w:rsid w:val="00FE64FB"/>
    <w:rsid w:val="00FE6672"/>
    <w:rsid w:val="00FE69C5"/>
    <w:rsid w:val="00FE6B4A"/>
    <w:rsid w:val="00FE7101"/>
    <w:rsid w:val="00FE7694"/>
    <w:rsid w:val="00FF0F94"/>
    <w:rsid w:val="00FF14BF"/>
    <w:rsid w:val="00FF1726"/>
    <w:rsid w:val="00FF243A"/>
    <w:rsid w:val="00FF27CF"/>
    <w:rsid w:val="00FF2BB6"/>
    <w:rsid w:val="00FF35C8"/>
    <w:rsid w:val="00FF397F"/>
    <w:rsid w:val="00FF3D93"/>
    <w:rsid w:val="00FF4272"/>
    <w:rsid w:val="00FF4705"/>
    <w:rsid w:val="00FF4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C26358"/>
  <w15:docId w15:val="{BBDEA686-4D99-4A7A-AE23-8DEA0FAB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5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B26CAF"/>
  </w:style>
  <w:style w:type="character" w:customStyle="1" w:styleId="fontsizexlarge">
    <w:name w:val="fontsizexlarge"/>
    <w:basedOn w:val="DefaultParagraphFont"/>
    <w:rsid w:val="00451887"/>
  </w:style>
  <w:style w:type="table" w:customStyle="1" w:styleId="TableGrid0">
    <w:name w:val="TableGrid"/>
    <w:rsid w:val="009C7CB5"/>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650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69C7"/>
    <w:rPr>
      <w:i/>
      <w:iCs/>
    </w:rPr>
  </w:style>
  <w:style w:type="character" w:styleId="UnresolvedMention">
    <w:name w:val="Unresolved Mention"/>
    <w:basedOn w:val="DefaultParagraphFont"/>
    <w:uiPriority w:val="99"/>
    <w:semiHidden/>
    <w:unhideWhenUsed/>
    <w:rsid w:val="001A7D76"/>
    <w:rPr>
      <w:color w:val="605E5C"/>
      <w:shd w:val="clear" w:color="auto" w:fill="E1DFDD"/>
    </w:rPr>
  </w:style>
  <w:style w:type="character" w:customStyle="1" w:styleId="truncate">
    <w:name w:val="truncate"/>
    <w:basedOn w:val="DefaultParagraphFont"/>
    <w:rsid w:val="00F81E30"/>
  </w:style>
  <w:style w:type="paragraph" w:customStyle="1" w:styleId="pdq2pgselectionanchorcontainer">
    <w:name w:val="pdq2pg_selectionanchorcontainer"/>
    <w:basedOn w:val="Normal"/>
    <w:rsid w:val="001572C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666700">
      <w:bodyDiv w:val="1"/>
      <w:marLeft w:val="0"/>
      <w:marRight w:val="0"/>
      <w:marTop w:val="0"/>
      <w:marBottom w:val="0"/>
      <w:divBdr>
        <w:top w:val="none" w:sz="0" w:space="0" w:color="auto"/>
        <w:left w:val="none" w:sz="0" w:space="0" w:color="auto"/>
        <w:bottom w:val="none" w:sz="0" w:space="0" w:color="auto"/>
        <w:right w:val="none" w:sz="0" w:space="0" w:color="auto"/>
      </w:divBdr>
    </w:div>
    <w:div w:id="144201926">
      <w:bodyDiv w:val="1"/>
      <w:marLeft w:val="0"/>
      <w:marRight w:val="0"/>
      <w:marTop w:val="0"/>
      <w:marBottom w:val="0"/>
      <w:divBdr>
        <w:top w:val="none" w:sz="0" w:space="0" w:color="auto"/>
        <w:left w:val="none" w:sz="0" w:space="0" w:color="auto"/>
        <w:bottom w:val="none" w:sz="0" w:space="0" w:color="auto"/>
        <w:right w:val="none" w:sz="0" w:space="0" w:color="auto"/>
      </w:divBdr>
    </w:div>
    <w:div w:id="183984469">
      <w:bodyDiv w:val="1"/>
      <w:marLeft w:val="0"/>
      <w:marRight w:val="0"/>
      <w:marTop w:val="0"/>
      <w:marBottom w:val="0"/>
      <w:divBdr>
        <w:top w:val="none" w:sz="0" w:space="0" w:color="auto"/>
        <w:left w:val="none" w:sz="0" w:space="0" w:color="auto"/>
        <w:bottom w:val="none" w:sz="0" w:space="0" w:color="auto"/>
        <w:right w:val="none" w:sz="0" w:space="0" w:color="auto"/>
      </w:divBdr>
    </w:div>
    <w:div w:id="456291761">
      <w:bodyDiv w:val="1"/>
      <w:marLeft w:val="0"/>
      <w:marRight w:val="0"/>
      <w:marTop w:val="0"/>
      <w:marBottom w:val="0"/>
      <w:divBdr>
        <w:top w:val="none" w:sz="0" w:space="0" w:color="auto"/>
        <w:left w:val="none" w:sz="0" w:space="0" w:color="auto"/>
        <w:bottom w:val="none" w:sz="0" w:space="0" w:color="auto"/>
        <w:right w:val="none" w:sz="0" w:space="0" w:color="auto"/>
      </w:divBdr>
    </w:div>
    <w:div w:id="458501677">
      <w:bodyDiv w:val="1"/>
      <w:marLeft w:val="0"/>
      <w:marRight w:val="0"/>
      <w:marTop w:val="0"/>
      <w:marBottom w:val="0"/>
      <w:divBdr>
        <w:top w:val="none" w:sz="0" w:space="0" w:color="auto"/>
        <w:left w:val="none" w:sz="0" w:space="0" w:color="auto"/>
        <w:bottom w:val="none" w:sz="0" w:space="0" w:color="auto"/>
        <w:right w:val="none" w:sz="0" w:space="0" w:color="auto"/>
      </w:divBdr>
    </w:div>
    <w:div w:id="461506015">
      <w:bodyDiv w:val="1"/>
      <w:marLeft w:val="0"/>
      <w:marRight w:val="0"/>
      <w:marTop w:val="0"/>
      <w:marBottom w:val="0"/>
      <w:divBdr>
        <w:top w:val="none" w:sz="0" w:space="0" w:color="auto"/>
        <w:left w:val="none" w:sz="0" w:space="0" w:color="auto"/>
        <w:bottom w:val="none" w:sz="0" w:space="0" w:color="auto"/>
        <w:right w:val="none" w:sz="0" w:space="0" w:color="auto"/>
      </w:divBdr>
    </w:div>
    <w:div w:id="529076587">
      <w:bodyDiv w:val="1"/>
      <w:marLeft w:val="0"/>
      <w:marRight w:val="0"/>
      <w:marTop w:val="0"/>
      <w:marBottom w:val="0"/>
      <w:divBdr>
        <w:top w:val="none" w:sz="0" w:space="0" w:color="auto"/>
        <w:left w:val="none" w:sz="0" w:space="0" w:color="auto"/>
        <w:bottom w:val="none" w:sz="0" w:space="0" w:color="auto"/>
        <w:right w:val="none" w:sz="0" w:space="0" w:color="auto"/>
      </w:divBdr>
    </w:div>
    <w:div w:id="885871732">
      <w:bodyDiv w:val="1"/>
      <w:marLeft w:val="0"/>
      <w:marRight w:val="0"/>
      <w:marTop w:val="0"/>
      <w:marBottom w:val="0"/>
      <w:divBdr>
        <w:top w:val="none" w:sz="0" w:space="0" w:color="auto"/>
        <w:left w:val="none" w:sz="0" w:space="0" w:color="auto"/>
        <w:bottom w:val="none" w:sz="0" w:space="0" w:color="auto"/>
        <w:right w:val="none" w:sz="0" w:space="0" w:color="auto"/>
      </w:divBdr>
    </w:div>
    <w:div w:id="1075518270">
      <w:bodyDiv w:val="1"/>
      <w:marLeft w:val="0"/>
      <w:marRight w:val="0"/>
      <w:marTop w:val="0"/>
      <w:marBottom w:val="0"/>
      <w:divBdr>
        <w:top w:val="none" w:sz="0" w:space="0" w:color="auto"/>
        <w:left w:val="none" w:sz="0" w:space="0" w:color="auto"/>
        <w:bottom w:val="none" w:sz="0" w:space="0" w:color="auto"/>
        <w:right w:val="none" w:sz="0" w:space="0" w:color="auto"/>
      </w:divBdr>
    </w:div>
    <w:div w:id="1123109981">
      <w:bodyDiv w:val="1"/>
      <w:marLeft w:val="0"/>
      <w:marRight w:val="0"/>
      <w:marTop w:val="0"/>
      <w:marBottom w:val="0"/>
      <w:divBdr>
        <w:top w:val="none" w:sz="0" w:space="0" w:color="auto"/>
        <w:left w:val="none" w:sz="0" w:space="0" w:color="auto"/>
        <w:bottom w:val="none" w:sz="0" w:space="0" w:color="auto"/>
        <w:right w:val="none" w:sz="0" w:space="0" w:color="auto"/>
      </w:divBdr>
    </w:div>
    <w:div w:id="1216090020">
      <w:bodyDiv w:val="1"/>
      <w:marLeft w:val="0"/>
      <w:marRight w:val="0"/>
      <w:marTop w:val="0"/>
      <w:marBottom w:val="0"/>
      <w:divBdr>
        <w:top w:val="none" w:sz="0" w:space="0" w:color="auto"/>
        <w:left w:val="none" w:sz="0" w:space="0" w:color="auto"/>
        <w:bottom w:val="none" w:sz="0" w:space="0" w:color="auto"/>
        <w:right w:val="none" w:sz="0" w:space="0" w:color="auto"/>
      </w:divBdr>
    </w:div>
    <w:div w:id="1502352286">
      <w:bodyDiv w:val="1"/>
      <w:marLeft w:val="0"/>
      <w:marRight w:val="0"/>
      <w:marTop w:val="0"/>
      <w:marBottom w:val="0"/>
      <w:divBdr>
        <w:top w:val="none" w:sz="0" w:space="0" w:color="auto"/>
        <w:left w:val="none" w:sz="0" w:space="0" w:color="auto"/>
        <w:bottom w:val="none" w:sz="0" w:space="0" w:color="auto"/>
        <w:right w:val="none" w:sz="0" w:space="0" w:color="auto"/>
      </w:divBdr>
    </w:div>
    <w:div w:id="1807425965">
      <w:bodyDiv w:val="1"/>
      <w:marLeft w:val="0"/>
      <w:marRight w:val="0"/>
      <w:marTop w:val="0"/>
      <w:marBottom w:val="0"/>
      <w:divBdr>
        <w:top w:val="none" w:sz="0" w:space="0" w:color="auto"/>
        <w:left w:val="none" w:sz="0" w:space="0" w:color="auto"/>
        <w:bottom w:val="none" w:sz="0" w:space="0" w:color="auto"/>
        <w:right w:val="none" w:sz="0" w:space="0" w:color="auto"/>
      </w:divBdr>
    </w:div>
    <w:div w:id="1940943417">
      <w:bodyDiv w:val="1"/>
      <w:marLeft w:val="0"/>
      <w:marRight w:val="0"/>
      <w:marTop w:val="0"/>
      <w:marBottom w:val="0"/>
      <w:divBdr>
        <w:top w:val="none" w:sz="0" w:space="0" w:color="auto"/>
        <w:left w:val="none" w:sz="0" w:space="0" w:color="auto"/>
        <w:bottom w:val="none" w:sz="0" w:space="0" w:color="auto"/>
        <w:right w:val="none" w:sz="0" w:space="0" w:color="auto"/>
      </w:divBdr>
    </w:div>
    <w:div w:id="1951936504">
      <w:bodyDiv w:val="1"/>
      <w:marLeft w:val="0"/>
      <w:marRight w:val="0"/>
      <w:marTop w:val="0"/>
      <w:marBottom w:val="0"/>
      <w:divBdr>
        <w:top w:val="none" w:sz="0" w:space="0" w:color="auto"/>
        <w:left w:val="none" w:sz="0" w:space="0" w:color="auto"/>
        <w:bottom w:val="none" w:sz="0" w:space="0" w:color="auto"/>
        <w:right w:val="none" w:sz="0" w:space="0" w:color="auto"/>
      </w:divBdr>
    </w:div>
    <w:div w:id="2042122819">
      <w:bodyDiv w:val="1"/>
      <w:marLeft w:val="0"/>
      <w:marRight w:val="0"/>
      <w:marTop w:val="0"/>
      <w:marBottom w:val="0"/>
      <w:divBdr>
        <w:top w:val="none" w:sz="0" w:space="0" w:color="auto"/>
        <w:left w:val="none" w:sz="0" w:space="0" w:color="auto"/>
        <w:bottom w:val="none" w:sz="0" w:space="0" w:color="auto"/>
        <w:right w:val="none" w:sz="0" w:space="0" w:color="auto"/>
      </w:divBdr>
    </w:div>
    <w:div w:id="2062943268">
      <w:bodyDiv w:val="1"/>
      <w:marLeft w:val="0"/>
      <w:marRight w:val="0"/>
      <w:marTop w:val="0"/>
      <w:marBottom w:val="0"/>
      <w:divBdr>
        <w:top w:val="none" w:sz="0" w:space="0" w:color="auto"/>
        <w:left w:val="none" w:sz="0" w:space="0" w:color="auto"/>
        <w:bottom w:val="none" w:sz="0" w:space="0" w:color="auto"/>
        <w:right w:val="none" w:sz="0" w:space="0" w:color="auto"/>
      </w:divBdr>
    </w:div>
    <w:div w:id="2065836153">
      <w:bodyDiv w:val="1"/>
      <w:marLeft w:val="0"/>
      <w:marRight w:val="0"/>
      <w:marTop w:val="0"/>
      <w:marBottom w:val="0"/>
      <w:divBdr>
        <w:top w:val="none" w:sz="0" w:space="0" w:color="auto"/>
        <w:left w:val="none" w:sz="0" w:space="0" w:color="auto"/>
        <w:bottom w:val="none" w:sz="0" w:space="0" w:color="auto"/>
        <w:right w:val="none" w:sz="0" w:space="0" w:color="auto"/>
      </w:divBdr>
    </w:div>
    <w:div w:id="2098749846">
      <w:bodyDiv w:val="1"/>
      <w:marLeft w:val="0"/>
      <w:marRight w:val="0"/>
      <w:marTop w:val="0"/>
      <w:marBottom w:val="0"/>
      <w:divBdr>
        <w:top w:val="none" w:sz="0" w:space="0" w:color="auto"/>
        <w:left w:val="none" w:sz="0" w:space="0" w:color="auto"/>
        <w:bottom w:val="none" w:sz="0" w:space="0" w:color="auto"/>
        <w:right w:val="none" w:sz="0" w:space="0" w:color="auto"/>
      </w:divBdr>
    </w:div>
    <w:div w:id="20991366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hyperlink" Target="https://doi.org/10.3390/met13081332" TargetMode="External"/><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Pri12</b:Tag>
    <b:SourceType>Misc</b:SourceType>
    <b:Guid>{2A67EDA7-EBBC-423A-8826-C181919B66B9}</b:Guid>
    <b:Title>MCO-Ammonia Liquor Washers- Effluent Tank</b:Title>
    <b:Year>2012</b:Year>
    <b:Month>Feburary</b:Month>
    <b:Day>01</b:Day>
    <b:Author>
      <b:Author>
        <b:NameList>
          <b:Person>
            <b:Last>Price</b:Last>
            <b:First>C</b:First>
          </b:Person>
        </b:NameList>
      </b:Author>
    </b:Author>
    <b:Publisher>Tata Steel UK Limited</b:Publisher>
    <b:RefOrder>2</b:RefOrder>
  </b:Source>
  <b:Source>
    <b:Tag>Wil06</b:Tag>
    <b:SourceType>JournalArticle</b:SourceType>
    <b:Guid>{7D80C73C-3A83-4958-AD74-41B5DC7E0AC3}</b:Guid>
    <b:Title>Corus Coke Oven Effleunt Treatment Processes</b:Title>
    <b:Year>2006</b:Year>
    <b:JournalName>The Year-Book of the Coke Oven Manager's Association</b:JournalName>
    <b:Pages>101-110</b:Pages>
    <b:Author>
      <b:Author>
        <b:NameList>
          <b:Person>
            <b:Last>Willerton</b:Last>
            <b:First>Nick</b:First>
          </b:Person>
        </b:NameList>
      </b:Author>
    </b:Author>
    <b:RefOrder>5</b:RefOrder>
  </b:Source>
  <b:Source>
    <b:Tag>Rea20</b:Tag>
    <b:SourceType>InternetSite</b:SourceType>
    <b:Guid>{E837071A-1DF7-4530-9863-7961E3A3D7E7}</b:Guid>
    <b:Title>How to read a P&amp;ID</b:Title>
    <b:Year>2020</b:Year>
    <b:Author>
      <b:Author>
        <b:NameList>
          <b:Person>
            <b:Last>Crimmins</b:Last>
            <b:First>Daniel</b:First>
          </b:Person>
        </b:NameList>
      </b:Author>
    </b:Author>
    <b:InternetSiteTitle>Realpars</b:InternetSiteTitle>
    <b:Month>Jan</b:Month>
    <b:Day>27</b:Day>
    <b:URL>https://realpars.com/p-id/</b:URL>
    <b:YearAccessed>2023</b:YearAccessed>
    <b:MonthAccessed>April</b:MonthAccessed>
    <b:DayAccessed>21</b:DayAccessed>
    <b:RefOrder>6</b:RefOrder>
  </b:Source>
  <b:Source>
    <b:Tag>Ins22</b:Tag>
    <b:SourceType>InternetSite</b:SourceType>
    <b:Guid>{74208F80-6C75-4C49-9CCF-C16A0331F97F}</b:Guid>
    <b:Author>
      <b:Author>
        <b:Corporate>Instrumentation Tools</b:Corporate>
      </b:Author>
    </b:Author>
    <b:Title>What is a piping and instrumentation diagram</b:Title>
    <b:InternetSiteTitle>Inst Tools</b:InternetSiteTitle>
    <b:Year>2022</b:Year>
    <b:Month>June</b:Month>
    <b:Day>22</b:Day>
    <b:URL>https://instrumentationtools.com/piping-instrumentation-diagram-pid/</b:URL>
    <b:RefOrder>1</b:RefOrder>
  </b:Source>
  <b:Source>
    <b:Tag>The15</b:Tag>
    <b:SourceType>Misc</b:SourceType>
    <b:Guid>{9A46F30F-C090-4804-BECC-13DD73391BFE}</b:Guid>
    <b:Author>
      <b:Author>
        <b:Corporate>The Health and Safety Executive</b:Corporate>
      </b:Author>
    </b:Author>
    <b:Title>The Control of Major Accident Hazards Guidance and Regulations</b:Title>
    <b:Year>2015</b:Year>
    <b:PublicationTitle>The Control of Major Accident Hazards</b:PublicationTitle>
    <b:RefOrder>3</b:RefOrder>
  </b:Source>
  <b:Source>
    <b:Tag>The01</b:Tag>
    <b:SourceType>InternetSite</b:SourceType>
    <b:Guid>{28F09BD2-92BA-4F43-B55D-8F48C10AC3A8}</b:Guid>
    <b:Title>COSHH Basics</b:Title>
    <b:Year>2001</b:Year>
    <b:Author>
      <b:Author>
        <b:Corporate>The Health and Safety Executive</b:Corporate>
      </b:Author>
    </b:Author>
    <b:InternetSiteTitle>Health and Safety Executive</b:InternetSiteTitle>
    <b:URL>https://www.hse.gov.uk/coshh/basics/index.htm</b:URL>
    <b:YearAccessed>2023</b:YearAccessed>
    <b:MonthAccessed>April</b:MonthAccessed>
    <b:DayAccessed>15</b:DayAccessed>
    <b:RefOrder>4</b:RefOrder>
  </b:Source>
</b:Sources>
</file>

<file path=customXml/itemProps1.xml><?xml version="1.0" encoding="utf-8"?>
<ds:datastoreItem xmlns:ds="http://schemas.openxmlformats.org/officeDocument/2006/customXml" ds:itemID="{132F2CCA-312D-4B9A-AEAB-828BA04A4BC5}">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Normal.dotm</Template>
  <TotalTime>6</TotalTime>
  <Pages>80</Pages>
  <Words>19735</Words>
  <Characters>112492</Characters>
  <Application>Microsoft Office Word</Application>
  <DocSecurity>0</DocSecurity>
  <Lines>937</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Cori</dc:creator>
  <cp:lastModifiedBy>Matthew Frey (1302960)</cp:lastModifiedBy>
  <cp:revision>3</cp:revision>
  <cp:lastPrinted>2026-07-06T10:38:00Z</cp:lastPrinted>
  <dcterms:created xsi:type="dcterms:W3CDTF">2026-07-11T21:05:00Z</dcterms:created>
  <dcterms:modified xsi:type="dcterms:W3CDTF">2026-07-11T21:23:00Z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FontProps">
    <vt:lpwstr>#000000,8,Calibri</vt:lpwstr>
  </property>
  <property fmtid="{D5CDD505-2E9C-101B-9397-08002B2CF9AE}" pid="3" name="ClassificationContentMarkingFooterShapeIds">
    <vt:lpwstr>1,2,3</vt:lpwstr>
  </property>
  <property fmtid="{D5CDD505-2E9C-101B-9397-08002B2CF9AE}" pid="4" name="ClassificationContentMarkingFooterText">
    <vt:lpwstr>Sensitivity: general</vt:lpwstr>
  </property>
  <property fmtid="{D5CDD505-2E9C-101B-9397-08002B2CF9AE}" pid="5" name="GrammarlyDocumentId">
    <vt:lpwstr>1c8ae4f20f377ac50f565bd482b783df796b521f39b95c6593d23d3766df4ad2</vt:lpwstr>
  </property>
  <property fmtid="{D5CDD505-2E9C-101B-9397-08002B2CF9AE}" pid="6" name="MSIP_Label_73aa366c-74b9-492b-a1b9-5472c41e7d31_ActionId">
    <vt:lpwstr>e44ea6dc-f75d-42c3-95d3-fb32a4097d37</vt:lpwstr>
  </property>
  <property fmtid="{D5CDD505-2E9C-101B-9397-08002B2CF9AE}" pid="7" name="MSIP_Label_73aa366c-74b9-492b-a1b9-5472c41e7d31_ContentBits">
    <vt:lpwstr>2</vt:lpwstr>
  </property>
  <property fmtid="{D5CDD505-2E9C-101B-9397-08002B2CF9AE}" pid="8" name="MSIP_Label_73aa366c-74b9-492b-a1b9-5472c41e7d31_Enabled">
    <vt:lpwstr>true</vt:lpwstr>
  </property>
  <property fmtid="{D5CDD505-2E9C-101B-9397-08002B2CF9AE}" pid="9" name="MSIP_Label_73aa366c-74b9-492b-a1b9-5472c41e7d31_Method">
    <vt:lpwstr>Standard</vt:lpwstr>
  </property>
  <property fmtid="{D5CDD505-2E9C-101B-9397-08002B2CF9AE}" pid="10" name="MSIP_Label_73aa366c-74b9-492b-a1b9-5472c41e7d31_Name">
    <vt:lpwstr>73aa366c-74b9-492b-a1b9-5472c41e7d31</vt:lpwstr>
  </property>
  <property fmtid="{D5CDD505-2E9C-101B-9397-08002B2CF9AE}" pid="11" name="MSIP_Label_73aa366c-74b9-492b-a1b9-5472c41e7d31_SetDate">
    <vt:lpwstr>2023-01-05T09:02:09Z</vt:lpwstr>
  </property>
  <property fmtid="{D5CDD505-2E9C-101B-9397-08002B2CF9AE}" pid="12" name="MSIP_Label_73aa366c-74b9-492b-a1b9-5472c41e7d31_SiteId">
    <vt:lpwstr>44bbd632-fe04-42d7-933e-2649dcd22649</vt:lpwstr>
  </property>
</Properties>
</file>