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FECB4" w14:textId="01218D34" w:rsidR="004C264E" w:rsidRDefault="004C264E" w:rsidP="004C264E">
      <w:pPr>
        <w:spacing w:line="360" w:lineRule="auto"/>
        <w:jc w:val="center"/>
        <w:rPr>
          <w:rFonts w:cs="Arial"/>
          <w:b/>
          <w:bCs/>
          <w:sz w:val="48"/>
          <w:szCs w:val="48"/>
        </w:rPr>
      </w:pPr>
      <w:r w:rsidRPr="00C44F21">
        <w:rPr>
          <w:rFonts w:cs="Arial"/>
          <w:b/>
          <w:bCs/>
          <w:sz w:val="48"/>
          <w:szCs w:val="48"/>
        </w:rPr>
        <w:t>Module Title:</w:t>
      </w:r>
    </w:p>
    <w:p w14:paraId="74E441DE" w14:textId="447F8432" w:rsidR="004C264E" w:rsidRDefault="004C264E" w:rsidP="004C264E">
      <w:pPr>
        <w:spacing w:line="360" w:lineRule="auto"/>
        <w:jc w:val="center"/>
        <w:rPr>
          <w:rFonts w:cs="Arial"/>
          <w:b/>
          <w:bCs/>
          <w:sz w:val="48"/>
          <w:szCs w:val="48"/>
        </w:rPr>
      </w:pPr>
      <w:proofErr w:type="spellStart"/>
      <w:r>
        <w:rPr>
          <w:rFonts w:cs="Arial"/>
          <w:b/>
          <w:bCs/>
          <w:sz w:val="48"/>
          <w:szCs w:val="48"/>
        </w:rPr>
        <w:t>Organisational</w:t>
      </w:r>
      <w:proofErr w:type="spellEnd"/>
      <w:r>
        <w:rPr>
          <w:rFonts w:cs="Arial"/>
          <w:b/>
          <w:bCs/>
          <w:sz w:val="48"/>
          <w:szCs w:val="48"/>
        </w:rPr>
        <w:t xml:space="preserve"> Culture</w:t>
      </w:r>
    </w:p>
    <w:p w14:paraId="73BFC91F" w14:textId="73209144" w:rsidR="004C264E" w:rsidRDefault="004C264E" w:rsidP="004C264E">
      <w:pPr>
        <w:spacing w:line="360" w:lineRule="auto"/>
        <w:rPr>
          <w:rFonts w:cs="Arial"/>
          <w:b/>
          <w:bCs/>
          <w:sz w:val="48"/>
          <w:szCs w:val="48"/>
        </w:rPr>
      </w:pPr>
      <w:r>
        <w:rPr>
          <w:rFonts w:cs="Arial"/>
          <w:b/>
          <w:bCs/>
          <w:sz w:val="48"/>
          <w:szCs w:val="48"/>
        </w:rPr>
        <w:t xml:space="preserve">          Module Code: LCLM 5005</w:t>
      </w:r>
    </w:p>
    <w:p w14:paraId="0F92937E" w14:textId="77777777" w:rsidR="004C264E" w:rsidRDefault="004C264E" w:rsidP="004C264E">
      <w:pPr>
        <w:jc w:val="center"/>
        <w:rPr>
          <w:rFonts w:cs="Arial"/>
          <w:b/>
          <w:bCs/>
          <w:sz w:val="48"/>
          <w:szCs w:val="48"/>
        </w:rPr>
      </w:pPr>
      <w:r w:rsidRPr="004C264E">
        <w:rPr>
          <w:rFonts w:cs="Arial"/>
          <w:b/>
          <w:bCs/>
          <w:sz w:val="48"/>
          <w:szCs w:val="48"/>
        </w:rPr>
        <w:t xml:space="preserve">Assignment: </w:t>
      </w:r>
    </w:p>
    <w:p w14:paraId="0AC47070" w14:textId="709B4428" w:rsidR="004C264E" w:rsidRPr="004C264E" w:rsidRDefault="004C264E" w:rsidP="004C264E">
      <w:pPr>
        <w:jc w:val="center"/>
        <w:rPr>
          <w:rFonts w:cs="Arial"/>
          <w:b/>
          <w:bCs/>
          <w:sz w:val="48"/>
          <w:szCs w:val="48"/>
        </w:rPr>
      </w:pPr>
      <w:r w:rsidRPr="004C264E">
        <w:rPr>
          <w:rFonts w:cs="Arial"/>
          <w:b/>
          <w:bCs/>
          <w:sz w:val="48"/>
          <w:szCs w:val="48"/>
        </w:rPr>
        <w:t>Individual report on Toyota Motor Corporation</w:t>
      </w:r>
    </w:p>
    <w:p w14:paraId="1F93A49F" w14:textId="2D1A2F9D" w:rsidR="004C264E" w:rsidRDefault="004C264E" w:rsidP="004C264E">
      <w:pPr>
        <w:spacing w:line="360" w:lineRule="auto"/>
        <w:rPr>
          <w:rFonts w:cs="Arial"/>
          <w:b/>
          <w:bCs/>
          <w:sz w:val="48"/>
          <w:szCs w:val="48"/>
        </w:rPr>
      </w:pPr>
    </w:p>
    <w:p w14:paraId="7E1F3310" w14:textId="77777777" w:rsidR="004C264E" w:rsidRDefault="004C264E" w:rsidP="004C264E">
      <w:pPr>
        <w:spacing w:line="360" w:lineRule="auto"/>
        <w:rPr>
          <w:rFonts w:cs="Arial"/>
          <w:b/>
          <w:bCs/>
          <w:sz w:val="48"/>
          <w:szCs w:val="48"/>
        </w:rPr>
      </w:pPr>
    </w:p>
    <w:p w14:paraId="0DF6DBB6" w14:textId="77777777" w:rsidR="004C264E" w:rsidRDefault="004C264E" w:rsidP="004C264E">
      <w:pPr>
        <w:spacing w:line="360" w:lineRule="auto"/>
        <w:rPr>
          <w:rFonts w:cs="Arial"/>
          <w:b/>
          <w:bCs/>
          <w:sz w:val="48"/>
          <w:szCs w:val="48"/>
        </w:rPr>
      </w:pPr>
      <w:r>
        <w:rPr>
          <w:rFonts w:cs="Arial"/>
          <w:b/>
          <w:bCs/>
          <w:sz w:val="48"/>
          <w:szCs w:val="48"/>
        </w:rPr>
        <w:t xml:space="preserve">    Student Name: Daniel Amisculesei</w:t>
      </w:r>
    </w:p>
    <w:p w14:paraId="52578200" w14:textId="77777777" w:rsidR="004C264E" w:rsidRDefault="004C264E" w:rsidP="004C264E">
      <w:pPr>
        <w:spacing w:line="360" w:lineRule="auto"/>
        <w:rPr>
          <w:rFonts w:cs="Arial"/>
          <w:b/>
          <w:bCs/>
          <w:sz w:val="48"/>
          <w:szCs w:val="48"/>
        </w:rPr>
      </w:pPr>
      <w:r>
        <w:rPr>
          <w:rFonts w:cs="Arial"/>
          <w:b/>
          <w:bCs/>
          <w:sz w:val="48"/>
          <w:szCs w:val="48"/>
        </w:rPr>
        <w:t xml:space="preserve">            Student Number: 2411947</w:t>
      </w:r>
    </w:p>
    <w:p w14:paraId="02230C46" w14:textId="77777777" w:rsidR="004C264E" w:rsidRDefault="004C264E" w:rsidP="004C264E">
      <w:pPr>
        <w:spacing w:line="360" w:lineRule="auto"/>
        <w:rPr>
          <w:rFonts w:cs="Arial"/>
          <w:b/>
          <w:bCs/>
          <w:sz w:val="48"/>
          <w:szCs w:val="48"/>
        </w:rPr>
      </w:pPr>
      <w:r>
        <w:rPr>
          <w:rFonts w:cs="Arial"/>
          <w:b/>
          <w:bCs/>
          <w:sz w:val="48"/>
          <w:szCs w:val="48"/>
        </w:rPr>
        <w:t xml:space="preserve">            Lecture’s Name: Eric Osei</w:t>
      </w:r>
    </w:p>
    <w:p w14:paraId="0B354337" w14:textId="77777777" w:rsidR="004424B8" w:rsidRDefault="004424B8"/>
    <w:p w14:paraId="29CCAE78" w14:textId="77777777" w:rsidR="004424B8" w:rsidRDefault="004424B8"/>
    <w:p w14:paraId="2C4DEA64" w14:textId="77777777" w:rsidR="004424B8" w:rsidRDefault="004424B8"/>
    <w:p w14:paraId="56EEC5DF" w14:textId="77777777" w:rsidR="004424B8" w:rsidRDefault="004424B8"/>
    <w:sdt>
      <w:sdtPr>
        <w:rPr>
          <w:rFonts w:ascii="Arial" w:eastAsia="Arial" w:hAnsi="Arial" w:cstheme="minorBidi"/>
          <w:b w:val="0"/>
          <w:bCs w:val="0"/>
          <w:color w:val="auto"/>
          <w:sz w:val="20"/>
          <w:szCs w:val="22"/>
          <w:lang w:val="en-GB"/>
        </w:rPr>
        <w:id w:val="1545557290"/>
        <w:docPartObj>
          <w:docPartGallery w:val="Table of Contents"/>
          <w:docPartUnique/>
        </w:docPartObj>
      </w:sdtPr>
      <w:sdtEndPr>
        <w:rPr>
          <w:lang w:val="en-US"/>
        </w:rPr>
      </w:sdtEndPr>
      <w:sdtContent>
        <w:p w14:paraId="2256FF81" w14:textId="40A0BB60" w:rsidR="00EC33DB" w:rsidRPr="00C826AD" w:rsidRDefault="00EC33DB">
          <w:pPr>
            <w:pStyle w:val="TOCHeading"/>
            <w:rPr>
              <w:sz w:val="36"/>
              <w:szCs w:val="36"/>
            </w:rPr>
          </w:pPr>
          <w:r w:rsidRPr="00C826AD">
            <w:rPr>
              <w:sz w:val="36"/>
              <w:szCs w:val="36"/>
              <w:lang w:val="en-GB"/>
            </w:rPr>
            <w:t>Table of Contents</w:t>
          </w:r>
        </w:p>
        <w:p w14:paraId="59F5938A" w14:textId="01DF7054" w:rsidR="00B67FD5" w:rsidRDefault="00EC33DB">
          <w:pPr>
            <w:pStyle w:val="TOC1"/>
            <w:tabs>
              <w:tab w:val="right" w:leader="dot" w:pos="8630"/>
            </w:tabs>
            <w:rPr>
              <w:rFonts w:asciiTheme="minorHAnsi" w:eastAsiaTheme="minorEastAsia" w:hAnsiTheme="minorHAnsi"/>
              <w:noProof/>
              <w:kern w:val="2"/>
              <w:sz w:val="24"/>
              <w:szCs w:val="24"/>
              <w:lang w:val="en-GB" w:eastAsia="en-GB"/>
              <w14:ligatures w14:val="standardContextual"/>
            </w:rPr>
          </w:pPr>
          <w:r>
            <w:fldChar w:fldCharType="begin"/>
          </w:r>
          <w:r>
            <w:instrText xml:space="preserve"> TOC \o "1-3" \h \z \u </w:instrText>
          </w:r>
          <w:r>
            <w:fldChar w:fldCharType="separate"/>
          </w:r>
          <w:hyperlink w:anchor="_Toc243504847" w:history="1">
            <w:r w:rsidR="00B67FD5" w:rsidRPr="008F0FE1">
              <w:rPr>
                <w:rStyle w:val="Hyperlink"/>
                <w:noProof/>
              </w:rPr>
              <w:t>1. Introduction</w:t>
            </w:r>
            <w:r w:rsidR="00B67FD5">
              <w:rPr>
                <w:noProof/>
                <w:webHidden/>
              </w:rPr>
              <w:tab/>
            </w:r>
            <w:r w:rsidR="00B67FD5">
              <w:rPr>
                <w:noProof/>
                <w:webHidden/>
              </w:rPr>
              <w:fldChar w:fldCharType="begin"/>
            </w:r>
            <w:r w:rsidR="00B67FD5">
              <w:rPr>
                <w:noProof/>
                <w:webHidden/>
              </w:rPr>
              <w:instrText xml:space="preserve"> PAGEREF _Toc243504847 \h </w:instrText>
            </w:r>
            <w:r w:rsidR="00B67FD5">
              <w:rPr>
                <w:noProof/>
                <w:webHidden/>
              </w:rPr>
            </w:r>
            <w:r w:rsidR="00B67FD5">
              <w:rPr>
                <w:noProof/>
                <w:webHidden/>
              </w:rPr>
              <w:fldChar w:fldCharType="separate"/>
            </w:r>
            <w:r w:rsidR="00B67FD5">
              <w:rPr>
                <w:noProof/>
                <w:webHidden/>
              </w:rPr>
              <w:t>3</w:t>
            </w:r>
            <w:r w:rsidR="00B67FD5">
              <w:rPr>
                <w:noProof/>
                <w:webHidden/>
              </w:rPr>
              <w:fldChar w:fldCharType="end"/>
            </w:r>
          </w:hyperlink>
        </w:p>
        <w:p w14:paraId="3D29FB69" w14:textId="34655F48" w:rsidR="00B67FD5" w:rsidRDefault="00B67FD5">
          <w:pPr>
            <w:pStyle w:val="TOC1"/>
            <w:tabs>
              <w:tab w:val="right" w:leader="dot" w:pos="8630"/>
            </w:tabs>
            <w:rPr>
              <w:rFonts w:asciiTheme="minorHAnsi" w:eastAsiaTheme="minorEastAsia" w:hAnsiTheme="minorHAnsi"/>
              <w:noProof/>
              <w:kern w:val="2"/>
              <w:sz w:val="24"/>
              <w:szCs w:val="24"/>
              <w:lang w:val="en-GB" w:eastAsia="en-GB"/>
              <w14:ligatures w14:val="standardContextual"/>
            </w:rPr>
          </w:pPr>
          <w:hyperlink w:anchor="_Toc243504848" w:history="1">
            <w:r w:rsidRPr="008F0FE1">
              <w:rPr>
                <w:rStyle w:val="Hyperlink"/>
                <w:noProof/>
              </w:rPr>
              <w:t>2. Organisational Culture of Toyota</w:t>
            </w:r>
            <w:r>
              <w:rPr>
                <w:noProof/>
                <w:webHidden/>
              </w:rPr>
              <w:tab/>
            </w:r>
            <w:r>
              <w:rPr>
                <w:noProof/>
                <w:webHidden/>
              </w:rPr>
              <w:fldChar w:fldCharType="begin"/>
            </w:r>
            <w:r>
              <w:rPr>
                <w:noProof/>
                <w:webHidden/>
              </w:rPr>
              <w:instrText xml:space="preserve"> PAGEREF _Toc243504848 \h </w:instrText>
            </w:r>
            <w:r>
              <w:rPr>
                <w:noProof/>
                <w:webHidden/>
              </w:rPr>
            </w:r>
            <w:r>
              <w:rPr>
                <w:noProof/>
                <w:webHidden/>
              </w:rPr>
              <w:fldChar w:fldCharType="separate"/>
            </w:r>
            <w:r>
              <w:rPr>
                <w:noProof/>
                <w:webHidden/>
              </w:rPr>
              <w:t>3</w:t>
            </w:r>
            <w:r>
              <w:rPr>
                <w:noProof/>
                <w:webHidden/>
              </w:rPr>
              <w:fldChar w:fldCharType="end"/>
            </w:r>
          </w:hyperlink>
        </w:p>
        <w:p w14:paraId="0E9EC2AA" w14:textId="504E5AF7" w:rsidR="00B67FD5" w:rsidRDefault="00B67FD5">
          <w:pPr>
            <w:pStyle w:val="TOC1"/>
            <w:tabs>
              <w:tab w:val="right" w:leader="dot" w:pos="8630"/>
            </w:tabs>
            <w:rPr>
              <w:rFonts w:asciiTheme="minorHAnsi" w:eastAsiaTheme="minorEastAsia" w:hAnsiTheme="minorHAnsi"/>
              <w:noProof/>
              <w:kern w:val="2"/>
              <w:sz w:val="24"/>
              <w:szCs w:val="24"/>
              <w:lang w:val="en-GB" w:eastAsia="en-GB"/>
              <w14:ligatures w14:val="standardContextual"/>
            </w:rPr>
          </w:pPr>
          <w:hyperlink w:anchor="_Toc243504849" w:history="1">
            <w:r w:rsidRPr="008F0FE1">
              <w:rPr>
                <w:rStyle w:val="Hyperlink"/>
                <w:noProof/>
              </w:rPr>
              <w:t>3. Influence of Culture on Structure and Decision-Making</w:t>
            </w:r>
            <w:r>
              <w:rPr>
                <w:noProof/>
                <w:webHidden/>
              </w:rPr>
              <w:tab/>
            </w:r>
            <w:r>
              <w:rPr>
                <w:noProof/>
                <w:webHidden/>
              </w:rPr>
              <w:fldChar w:fldCharType="begin"/>
            </w:r>
            <w:r>
              <w:rPr>
                <w:noProof/>
                <w:webHidden/>
              </w:rPr>
              <w:instrText xml:space="preserve"> PAGEREF _Toc243504849 \h </w:instrText>
            </w:r>
            <w:r>
              <w:rPr>
                <w:noProof/>
                <w:webHidden/>
              </w:rPr>
            </w:r>
            <w:r>
              <w:rPr>
                <w:noProof/>
                <w:webHidden/>
              </w:rPr>
              <w:fldChar w:fldCharType="separate"/>
            </w:r>
            <w:r>
              <w:rPr>
                <w:noProof/>
                <w:webHidden/>
              </w:rPr>
              <w:t>4</w:t>
            </w:r>
            <w:r>
              <w:rPr>
                <w:noProof/>
                <w:webHidden/>
              </w:rPr>
              <w:fldChar w:fldCharType="end"/>
            </w:r>
          </w:hyperlink>
        </w:p>
        <w:p w14:paraId="7B9EAD39" w14:textId="6E2FEF47" w:rsidR="00B67FD5" w:rsidRDefault="00B67FD5">
          <w:pPr>
            <w:pStyle w:val="TOC2"/>
            <w:tabs>
              <w:tab w:val="right" w:leader="dot" w:pos="8630"/>
            </w:tabs>
            <w:rPr>
              <w:rFonts w:asciiTheme="minorHAnsi" w:eastAsiaTheme="minorEastAsia" w:hAnsiTheme="minorHAnsi"/>
              <w:noProof/>
              <w:kern w:val="2"/>
              <w:sz w:val="24"/>
              <w:szCs w:val="24"/>
              <w:lang w:val="en-GB" w:eastAsia="en-GB"/>
              <w14:ligatures w14:val="standardContextual"/>
            </w:rPr>
          </w:pPr>
          <w:hyperlink w:anchor="_Toc243504850" w:history="1">
            <w:r w:rsidRPr="008F0FE1">
              <w:rPr>
                <w:rStyle w:val="Hyperlink"/>
                <w:noProof/>
              </w:rPr>
              <w:t>Table 1. Cultural principles and structural/decision effects</w:t>
            </w:r>
            <w:r>
              <w:rPr>
                <w:noProof/>
                <w:webHidden/>
              </w:rPr>
              <w:tab/>
            </w:r>
            <w:r>
              <w:rPr>
                <w:noProof/>
                <w:webHidden/>
              </w:rPr>
              <w:fldChar w:fldCharType="begin"/>
            </w:r>
            <w:r>
              <w:rPr>
                <w:noProof/>
                <w:webHidden/>
              </w:rPr>
              <w:instrText xml:space="preserve"> PAGEREF _Toc243504850 \h </w:instrText>
            </w:r>
            <w:r>
              <w:rPr>
                <w:noProof/>
                <w:webHidden/>
              </w:rPr>
            </w:r>
            <w:r>
              <w:rPr>
                <w:noProof/>
                <w:webHidden/>
              </w:rPr>
              <w:fldChar w:fldCharType="separate"/>
            </w:r>
            <w:r>
              <w:rPr>
                <w:noProof/>
                <w:webHidden/>
              </w:rPr>
              <w:t>6</w:t>
            </w:r>
            <w:r>
              <w:rPr>
                <w:noProof/>
                <w:webHidden/>
              </w:rPr>
              <w:fldChar w:fldCharType="end"/>
            </w:r>
          </w:hyperlink>
        </w:p>
        <w:p w14:paraId="11687020" w14:textId="2CB4EA86" w:rsidR="00B67FD5" w:rsidRDefault="00B67FD5">
          <w:pPr>
            <w:pStyle w:val="TOC1"/>
            <w:tabs>
              <w:tab w:val="right" w:leader="dot" w:pos="8630"/>
            </w:tabs>
            <w:rPr>
              <w:rFonts w:asciiTheme="minorHAnsi" w:eastAsiaTheme="minorEastAsia" w:hAnsiTheme="minorHAnsi"/>
              <w:noProof/>
              <w:kern w:val="2"/>
              <w:sz w:val="24"/>
              <w:szCs w:val="24"/>
              <w:lang w:val="en-GB" w:eastAsia="en-GB"/>
              <w14:ligatures w14:val="standardContextual"/>
            </w:rPr>
          </w:pPr>
          <w:hyperlink w:anchor="_Toc243504851" w:history="1">
            <w:r w:rsidRPr="008F0FE1">
              <w:rPr>
                <w:rStyle w:val="Hyperlink"/>
                <w:noProof/>
              </w:rPr>
              <w:t>4. Identifying Cultural Types: Models and Frameworks</w:t>
            </w:r>
            <w:r>
              <w:rPr>
                <w:noProof/>
                <w:webHidden/>
              </w:rPr>
              <w:tab/>
            </w:r>
            <w:r>
              <w:rPr>
                <w:noProof/>
                <w:webHidden/>
              </w:rPr>
              <w:fldChar w:fldCharType="begin"/>
            </w:r>
            <w:r>
              <w:rPr>
                <w:noProof/>
                <w:webHidden/>
              </w:rPr>
              <w:instrText xml:space="preserve"> PAGEREF _Toc243504851 \h </w:instrText>
            </w:r>
            <w:r>
              <w:rPr>
                <w:noProof/>
                <w:webHidden/>
              </w:rPr>
            </w:r>
            <w:r>
              <w:rPr>
                <w:noProof/>
                <w:webHidden/>
              </w:rPr>
              <w:fldChar w:fldCharType="separate"/>
            </w:r>
            <w:r>
              <w:rPr>
                <w:noProof/>
                <w:webHidden/>
              </w:rPr>
              <w:t>7</w:t>
            </w:r>
            <w:r>
              <w:rPr>
                <w:noProof/>
                <w:webHidden/>
              </w:rPr>
              <w:fldChar w:fldCharType="end"/>
            </w:r>
          </w:hyperlink>
        </w:p>
        <w:p w14:paraId="6EA23E62" w14:textId="17F729FC" w:rsidR="00B67FD5" w:rsidRDefault="00B67FD5">
          <w:pPr>
            <w:pStyle w:val="TOC2"/>
            <w:tabs>
              <w:tab w:val="right" w:leader="dot" w:pos="8630"/>
            </w:tabs>
            <w:rPr>
              <w:rFonts w:asciiTheme="minorHAnsi" w:eastAsiaTheme="minorEastAsia" w:hAnsiTheme="minorHAnsi"/>
              <w:noProof/>
              <w:kern w:val="2"/>
              <w:sz w:val="24"/>
              <w:szCs w:val="24"/>
              <w:lang w:val="en-GB" w:eastAsia="en-GB"/>
              <w14:ligatures w14:val="standardContextual"/>
            </w:rPr>
          </w:pPr>
          <w:hyperlink w:anchor="_Toc243504852" w:history="1">
            <w:r w:rsidRPr="008F0FE1">
              <w:rPr>
                <w:rStyle w:val="Hyperlink"/>
                <w:noProof/>
              </w:rPr>
              <w:t>4.1 Schein’s three levels</w:t>
            </w:r>
            <w:r>
              <w:rPr>
                <w:noProof/>
                <w:webHidden/>
              </w:rPr>
              <w:tab/>
            </w:r>
            <w:r>
              <w:rPr>
                <w:noProof/>
                <w:webHidden/>
              </w:rPr>
              <w:fldChar w:fldCharType="begin"/>
            </w:r>
            <w:r>
              <w:rPr>
                <w:noProof/>
                <w:webHidden/>
              </w:rPr>
              <w:instrText xml:space="preserve"> PAGEREF _Toc243504852 \h </w:instrText>
            </w:r>
            <w:r>
              <w:rPr>
                <w:noProof/>
                <w:webHidden/>
              </w:rPr>
            </w:r>
            <w:r>
              <w:rPr>
                <w:noProof/>
                <w:webHidden/>
              </w:rPr>
              <w:fldChar w:fldCharType="separate"/>
            </w:r>
            <w:r>
              <w:rPr>
                <w:noProof/>
                <w:webHidden/>
              </w:rPr>
              <w:t>7</w:t>
            </w:r>
            <w:r>
              <w:rPr>
                <w:noProof/>
                <w:webHidden/>
              </w:rPr>
              <w:fldChar w:fldCharType="end"/>
            </w:r>
          </w:hyperlink>
        </w:p>
        <w:p w14:paraId="61402FBC" w14:textId="5EB6DD71" w:rsidR="00B67FD5" w:rsidRDefault="00B67FD5">
          <w:pPr>
            <w:pStyle w:val="TOC2"/>
            <w:tabs>
              <w:tab w:val="right" w:leader="dot" w:pos="8630"/>
            </w:tabs>
            <w:rPr>
              <w:rFonts w:asciiTheme="minorHAnsi" w:eastAsiaTheme="minorEastAsia" w:hAnsiTheme="minorHAnsi"/>
              <w:noProof/>
              <w:kern w:val="2"/>
              <w:sz w:val="24"/>
              <w:szCs w:val="24"/>
              <w:lang w:val="en-GB" w:eastAsia="en-GB"/>
              <w14:ligatures w14:val="standardContextual"/>
            </w:rPr>
          </w:pPr>
          <w:hyperlink w:anchor="_Toc243504853" w:history="1">
            <w:r w:rsidRPr="008F0FE1">
              <w:rPr>
                <w:rStyle w:val="Hyperlink"/>
                <w:noProof/>
              </w:rPr>
              <w:t>4.2 Hofstede and cross-cultural management</w:t>
            </w:r>
            <w:r>
              <w:rPr>
                <w:noProof/>
                <w:webHidden/>
              </w:rPr>
              <w:tab/>
            </w:r>
            <w:r>
              <w:rPr>
                <w:noProof/>
                <w:webHidden/>
              </w:rPr>
              <w:fldChar w:fldCharType="begin"/>
            </w:r>
            <w:r>
              <w:rPr>
                <w:noProof/>
                <w:webHidden/>
              </w:rPr>
              <w:instrText xml:space="preserve"> PAGEREF _Toc243504853 \h </w:instrText>
            </w:r>
            <w:r>
              <w:rPr>
                <w:noProof/>
                <w:webHidden/>
              </w:rPr>
            </w:r>
            <w:r>
              <w:rPr>
                <w:noProof/>
                <w:webHidden/>
              </w:rPr>
              <w:fldChar w:fldCharType="separate"/>
            </w:r>
            <w:r>
              <w:rPr>
                <w:noProof/>
                <w:webHidden/>
              </w:rPr>
              <w:t>7</w:t>
            </w:r>
            <w:r>
              <w:rPr>
                <w:noProof/>
                <w:webHidden/>
              </w:rPr>
              <w:fldChar w:fldCharType="end"/>
            </w:r>
          </w:hyperlink>
        </w:p>
        <w:p w14:paraId="76741C21" w14:textId="22E8D194" w:rsidR="00B67FD5" w:rsidRDefault="00B67FD5">
          <w:pPr>
            <w:pStyle w:val="TOC2"/>
            <w:tabs>
              <w:tab w:val="right" w:leader="dot" w:pos="8630"/>
            </w:tabs>
            <w:rPr>
              <w:rFonts w:asciiTheme="minorHAnsi" w:eastAsiaTheme="minorEastAsia" w:hAnsiTheme="minorHAnsi"/>
              <w:noProof/>
              <w:kern w:val="2"/>
              <w:sz w:val="24"/>
              <w:szCs w:val="24"/>
              <w:lang w:val="en-GB" w:eastAsia="en-GB"/>
              <w14:ligatures w14:val="standardContextual"/>
            </w:rPr>
          </w:pPr>
          <w:hyperlink w:anchor="_Toc243504854" w:history="1">
            <w:r w:rsidRPr="008F0FE1">
              <w:rPr>
                <w:rStyle w:val="Hyperlink"/>
                <w:noProof/>
              </w:rPr>
              <w:t>4.3 Handy’s cultural types</w:t>
            </w:r>
            <w:r>
              <w:rPr>
                <w:noProof/>
                <w:webHidden/>
              </w:rPr>
              <w:tab/>
            </w:r>
            <w:r>
              <w:rPr>
                <w:noProof/>
                <w:webHidden/>
              </w:rPr>
              <w:fldChar w:fldCharType="begin"/>
            </w:r>
            <w:r>
              <w:rPr>
                <w:noProof/>
                <w:webHidden/>
              </w:rPr>
              <w:instrText xml:space="preserve"> PAGEREF _Toc243504854 \h </w:instrText>
            </w:r>
            <w:r>
              <w:rPr>
                <w:noProof/>
                <w:webHidden/>
              </w:rPr>
            </w:r>
            <w:r>
              <w:rPr>
                <w:noProof/>
                <w:webHidden/>
              </w:rPr>
              <w:fldChar w:fldCharType="separate"/>
            </w:r>
            <w:r>
              <w:rPr>
                <w:noProof/>
                <w:webHidden/>
              </w:rPr>
              <w:t>8</w:t>
            </w:r>
            <w:r>
              <w:rPr>
                <w:noProof/>
                <w:webHidden/>
              </w:rPr>
              <w:fldChar w:fldCharType="end"/>
            </w:r>
          </w:hyperlink>
        </w:p>
        <w:p w14:paraId="5F682036" w14:textId="60B675DF" w:rsidR="00B67FD5" w:rsidRDefault="00B67FD5">
          <w:pPr>
            <w:pStyle w:val="TOC2"/>
            <w:tabs>
              <w:tab w:val="right" w:leader="dot" w:pos="8630"/>
            </w:tabs>
            <w:rPr>
              <w:rFonts w:asciiTheme="minorHAnsi" w:eastAsiaTheme="minorEastAsia" w:hAnsiTheme="minorHAnsi"/>
              <w:noProof/>
              <w:kern w:val="2"/>
              <w:sz w:val="24"/>
              <w:szCs w:val="24"/>
              <w:lang w:val="en-GB" w:eastAsia="en-GB"/>
              <w14:ligatures w14:val="standardContextual"/>
            </w:rPr>
          </w:pPr>
          <w:hyperlink w:anchor="_Toc243504855" w:history="1">
            <w:r w:rsidRPr="008F0FE1">
              <w:rPr>
                <w:rStyle w:val="Hyperlink"/>
                <w:noProof/>
              </w:rPr>
              <w:t>4.4 Denison’s culture and effectiveness model</w:t>
            </w:r>
            <w:r>
              <w:rPr>
                <w:noProof/>
                <w:webHidden/>
              </w:rPr>
              <w:tab/>
            </w:r>
            <w:r>
              <w:rPr>
                <w:noProof/>
                <w:webHidden/>
              </w:rPr>
              <w:fldChar w:fldCharType="begin"/>
            </w:r>
            <w:r>
              <w:rPr>
                <w:noProof/>
                <w:webHidden/>
              </w:rPr>
              <w:instrText xml:space="preserve"> PAGEREF _Toc243504855 \h </w:instrText>
            </w:r>
            <w:r>
              <w:rPr>
                <w:noProof/>
                <w:webHidden/>
              </w:rPr>
            </w:r>
            <w:r>
              <w:rPr>
                <w:noProof/>
                <w:webHidden/>
              </w:rPr>
              <w:fldChar w:fldCharType="separate"/>
            </w:r>
            <w:r>
              <w:rPr>
                <w:noProof/>
                <w:webHidden/>
              </w:rPr>
              <w:t>8</w:t>
            </w:r>
            <w:r>
              <w:rPr>
                <w:noProof/>
                <w:webHidden/>
              </w:rPr>
              <w:fldChar w:fldCharType="end"/>
            </w:r>
          </w:hyperlink>
        </w:p>
        <w:p w14:paraId="38A8AC22" w14:textId="4A604F37" w:rsidR="00B67FD5" w:rsidRDefault="00B67FD5">
          <w:pPr>
            <w:pStyle w:val="TOC1"/>
            <w:tabs>
              <w:tab w:val="right" w:leader="dot" w:pos="8630"/>
            </w:tabs>
            <w:rPr>
              <w:rFonts w:asciiTheme="minorHAnsi" w:eastAsiaTheme="minorEastAsia" w:hAnsiTheme="minorHAnsi"/>
              <w:noProof/>
              <w:kern w:val="2"/>
              <w:sz w:val="24"/>
              <w:szCs w:val="24"/>
              <w:lang w:val="en-GB" w:eastAsia="en-GB"/>
              <w14:ligatures w14:val="standardContextual"/>
            </w:rPr>
          </w:pPr>
          <w:hyperlink w:anchor="_Toc243504856" w:history="1">
            <w:r w:rsidRPr="008F0FE1">
              <w:rPr>
                <w:rStyle w:val="Hyperlink"/>
                <w:noProof/>
              </w:rPr>
              <w:t>5. Culture and the External Environment</w:t>
            </w:r>
            <w:r>
              <w:rPr>
                <w:noProof/>
                <w:webHidden/>
              </w:rPr>
              <w:tab/>
            </w:r>
            <w:r>
              <w:rPr>
                <w:noProof/>
                <w:webHidden/>
              </w:rPr>
              <w:fldChar w:fldCharType="begin"/>
            </w:r>
            <w:r>
              <w:rPr>
                <w:noProof/>
                <w:webHidden/>
              </w:rPr>
              <w:instrText xml:space="preserve"> PAGEREF _Toc243504856 \h </w:instrText>
            </w:r>
            <w:r>
              <w:rPr>
                <w:noProof/>
                <w:webHidden/>
              </w:rPr>
            </w:r>
            <w:r>
              <w:rPr>
                <w:noProof/>
                <w:webHidden/>
              </w:rPr>
              <w:fldChar w:fldCharType="separate"/>
            </w:r>
            <w:r>
              <w:rPr>
                <w:noProof/>
                <w:webHidden/>
              </w:rPr>
              <w:t>9</w:t>
            </w:r>
            <w:r>
              <w:rPr>
                <w:noProof/>
                <w:webHidden/>
              </w:rPr>
              <w:fldChar w:fldCharType="end"/>
            </w:r>
          </w:hyperlink>
        </w:p>
        <w:p w14:paraId="39E05923" w14:textId="073BA8EB" w:rsidR="00B67FD5" w:rsidRDefault="00B67FD5">
          <w:pPr>
            <w:pStyle w:val="TOC1"/>
            <w:tabs>
              <w:tab w:val="right" w:leader="dot" w:pos="8630"/>
            </w:tabs>
            <w:rPr>
              <w:rFonts w:asciiTheme="minorHAnsi" w:eastAsiaTheme="minorEastAsia" w:hAnsiTheme="minorHAnsi"/>
              <w:noProof/>
              <w:kern w:val="2"/>
              <w:sz w:val="24"/>
              <w:szCs w:val="24"/>
              <w:lang w:val="en-GB" w:eastAsia="en-GB"/>
              <w14:ligatures w14:val="standardContextual"/>
            </w:rPr>
          </w:pPr>
          <w:hyperlink w:anchor="_Toc243504857" w:history="1">
            <w:r w:rsidRPr="008F0FE1">
              <w:rPr>
                <w:rStyle w:val="Hyperlink"/>
                <w:noProof/>
              </w:rPr>
              <w:t>6. Organisational Culture as a Barrier or Enabler</w:t>
            </w:r>
            <w:r>
              <w:rPr>
                <w:noProof/>
                <w:webHidden/>
              </w:rPr>
              <w:tab/>
            </w:r>
            <w:r>
              <w:rPr>
                <w:noProof/>
                <w:webHidden/>
              </w:rPr>
              <w:fldChar w:fldCharType="begin"/>
            </w:r>
            <w:r>
              <w:rPr>
                <w:noProof/>
                <w:webHidden/>
              </w:rPr>
              <w:instrText xml:space="preserve"> PAGEREF _Toc243504857 \h </w:instrText>
            </w:r>
            <w:r>
              <w:rPr>
                <w:noProof/>
                <w:webHidden/>
              </w:rPr>
            </w:r>
            <w:r>
              <w:rPr>
                <w:noProof/>
                <w:webHidden/>
              </w:rPr>
              <w:fldChar w:fldCharType="separate"/>
            </w:r>
            <w:r>
              <w:rPr>
                <w:noProof/>
                <w:webHidden/>
              </w:rPr>
              <w:t>10</w:t>
            </w:r>
            <w:r>
              <w:rPr>
                <w:noProof/>
                <w:webHidden/>
              </w:rPr>
              <w:fldChar w:fldCharType="end"/>
            </w:r>
          </w:hyperlink>
        </w:p>
        <w:p w14:paraId="6EC863D0" w14:textId="287E0886" w:rsidR="00B67FD5" w:rsidRDefault="00B67FD5">
          <w:pPr>
            <w:pStyle w:val="TOC1"/>
            <w:tabs>
              <w:tab w:val="right" w:leader="dot" w:pos="8630"/>
            </w:tabs>
            <w:rPr>
              <w:rFonts w:asciiTheme="minorHAnsi" w:eastAsiaTheme="minorEastAsia" w:hAnsiTheme="minorHAnsi"/>
              <w:noProof/>
              <w:kern w:val="2"/>
              <w:sz w:val="24"/>
              <w:szCs w:val="24"/>
              <w:lang w:val="en-GB" w:eastAsia="en-GB"/>
              <w14:ligatures w14:val="standardContextual"/>
            </w:rPr>
          </w:pPr>
          <w:hyperlink w:anchor="_Toc243504858" w:history="1">
            <w:r w:rsidRPr="008F0FE1">
              <w:rPr>
                <w:rStyle w:val="Hyperlink"/>
                <w:noProof/>
              </w:rPr>
              <w:t>7. Impact of Culture on Organisational Performance</w:t>
            </w:r>
            <w:r>
              <w:rPr>
                <w:noProof/>
                <w:webHidden/>
              </w:rPr>
              <w:tab/>
            </w:r>
            <w:r>
              <w:rPr>
                <w:noProof/>
                <w:webHidden/>
              </w:rPr>
              <w:fldChar w:fldCharType="begin"/>
            </w:r>
            <w:r>
              <w:rPr>
                <w:noProof/>
                <w:webHidden/>
              </w:rPr>
              <w:instrText xml:space="preserve"> PAGEREF _Toc243504858 \h </w:instrText>
            </w:r>
            <w:r>
              <w:rPr>
                <w:noProof/>
                <w:webHidden/>
              </w:rPr>
            </w:r>
            <w:r>
              <w:rPr>
                <w:noProof/>
                <w:webHidden/>
              </w:rPr>
              <w:fldChar w:fldCharType="separate"/>
            </w:r>
            <w:r>
              <w:rPr>
                <w:noProof/>
                <w:webHidden/>
              </w:rPr>
              <w:t>11</w:t>
            </w:r>
            <w:r>
              <w:rPr>
                <w:noProof/>
                <w:webHidden/>
              </w:rPr>
              <w:fldChar w:fldCharType="end"/>
            </w:r>
          </w:hyperlink>
        </w:p>
        <w:p w14:paraId="18AA0313" w14:textId="26421545" w:rsidR="00B67FD5" w:rsidRDefault="00B67FD5">
          <w:pPr>
            <w:pStyle w:val="TOC2"/>
            <w:tabs>
              <w:tab w:val="right" w:leader="dot" w:pos="8630"/>
            </w:tabs>
            <w:rPr>
              <w:rFonts w:asciiTheme="minorHAnsi" w:eastAsiaTheme="minorEastAsia" w:hAnsiTheme="minorHAnsi"/>
              <w:noProof/>
              <w:kern w:val="2"/>
              <w:sz w:val="24"/>
              <w:szCs w:val="24"/>
              <w:lang w:val="en-GB" w:eastAsia="en-GB"/>
              <w14:ligatures w14:val="standardContextual"/>
            </w:rPr>
          </w:pPr>
          <w:hyperlink w:anchor="_Toc243504859" w:history="1">
            <w:r w:rsidRPr="008F0FE1">
              <w:rPr>
                <w:rStyle w:val="Hyperlink"/>
                <w:noProof/>
              </w:rPr>
              <w:t>Table 2. Proposed culture-performance dashboard</w:t>
            </w:r>
            <w:r>
              <w:rPr>
                <w:noProof/>
                <w:webHidden/>
              </w:rPr>
              <w:tab/>
            </w:r>
            <w:r>
              <w:rPr>
                <w:noProof/>
                <w:webHidden/>
              </w:rPr>
              <w:fldChar w:fldCharType="begin"/>
            </w:r>
            <w:r>
              <w:rPr>
                <w:noProof/>
                <w:webHidden/>
              </w:rPr>
              <w:instrText xml:space="preserve"> PAGEREF _Toc243504859 \h </w:instrText>
            </w:r>
            <w:r>
              <w:rPr>
                <w:noProof/>
                <w:webHidden/>
              </w:rPr>
            </w:r>
            <w:r>
              <w:rPr>
                <w:noProof/>
                <w:webHidden/>
              </w:rPr>
              <w:fldChar w:fldCharType="separate"/>
            </w:r>
            <w:r>
              <w:rPr>
                <w:noProof/>
                <w:webHidden/>
              </w:rPr>
              <w:t>12</w:t>
            </w:r>
            <w:r>
              <w:rPr>
                <w:noProof/>
                <w:webHidden/>
              </w:rPr>
              <w:fldChar w:fldCharType="end"/>
            </w:r>
          </w:hyperlink>
        </w:p>
        <w:p w14:paraId="4D44A194" w14:textId="5E3CEFB3" w:rsidR="00B67FD5" w:rsidRDefault="00B67FD5">
          <w:pPr>
            <w:pStyle w:val="TOC1"/>
            <w:tabs>
              <w:tab w:val="right" w:leader="dot" w:pos="8630"/>
            </w:tabs>
            <w:rPr>
              <w:rFonts w:asciiTheme="minorHAnsi" w:eastAsiaTheme="minorEastAsia" w:hAnsiTheme="minorHAnsi"/>
              <w:noProof/>
              <w:kern w:val="2"/>
              <w:sz w:val="24"/>
              <w:szCs w:val="24"/>
              <w:lang w:val="en-GB" w:eastAsia="en-GB"/>
              <w14:ligatures w14:val="standardContextual"/>
            </w:rPr>
          </w:pPr>
          <w:hyperlink w:anchor="_Toc243504860" w:history="1">
            <w:r w:rsidRPr="008F0FE1">
              <w:rPr>
                <w:rStyle w:val="Hyperlink"/>
                <w:noProof/>
              </w:rPr>
              <w:t>8. Recommendations</w:t>
            </w:r>
            <w:r>
              <w:rPr>
                <w:noProof/>
                <w:webHidden/>
              </w:rPr>
              <w:tab/>
            </w:r>
            <w:r>
              <w:rPr>
                <w:noProof/>
                <w:webHidden/>
              </w:rPr>
              <w:fldChar w:fldCharType="begin"/>
            </w:r>
            <w:r>
              <w:rPr>
                <w:noProof/>
                <w:webHidden/>
              </w:rPr>
              <w:instrText xml:space="preserve"> PAGEREF _Toc243504860 \h </w:instrText>
            </w:r>
            <w:r>
              <w:rPr>
                <w:noProof/>
                <w:webHidden/>
              </w:rPr>
            </w:r>
            <w:r>
              <w:rPr>
                <w:noProof/>
                <w:webHidden/>
              </w:rPr>
              <w:fldChar w:fldCharType="separate"/>
            </w:r>
            <w:r>
              <w:rPr>
                <w:noProof/>
                <w:webHidden/>
              </w:rPr>
              <w:t>13</w:t>
            </w:r>
            <w:r>
              <w:rPr>
                <w:noProof/>
                <w:webHidden/>
              </w:rPr>
              <w:fldChar w:fldCharType="end"/>
            </w:r>
          </w:hyperlink>
        </w:p>
        <w:p w14:paraId="5CF79503" w14:textId="28502EFA" w:rsidR="00B67FD5" w:rsidRDefault="00B67FD5">
          <w:pPr>
            <w:pStyle w:val="TOC1"/>
            <w:tabs>
              <w:tab w:val="right" w:leader="dot" w:pos="8630"/>
            </w:tabs>
            <w:rPr>
              <w:rFonts w:asciiTheme="minorHAnsi" w:eastAsiaTheme="minorEastAsia" w:hAnsiTheme="minorHAnsi"/>
              <w:noProof/>
              <w:kern w:val="2"/>
              <w:sz w:val="24"/>
              <w:szCs w:val="24"/>
              <w:lang w:val="en-GB" w:eastAsia="en-GB"/>
              <w14:ligatures w14:val="standardContextual"/>
            </w:rPr>
          </w:pPr>
          <w:hyperlink w:anchor="_Toc243504861" w:history="1">
            <w:r w:rsidRPr="008F0FE1">
              <w:rPr>
                <w:rStyle w:val="Hyperlink"/>
                <w:noProof/>
              </w:rPr>
              <w:t>9. Conclusion</w:t>
            </w:r>
            <w:r>
              <w:rPr>
                <w:noProof/>
                <w:webHidden/>
              </w:rPr>
              <w:tab/>
            </w:r>
            <w:r>
              <w:rPr>
                <w:noProof/>
                <w:webHidden/>
              </w:rPr>
              <w:fldChar w:fldCharType="begin"/>
            </w:r>
            <w:r>
              <w:rPr>
                <w:noProof/>
                <w:webHidden/>
              </w:rPr>
              <w:instrText xml:space="preserve"> PAGEREF _Toc243504861 \h </w:instrText>
            </w:r>
            <w:r>
              <w:rPr>
                <w:noProof/>
                <w:webHidden/>
              </w:rPr>
            </w:r>
            <w:r>
              <w:rPr>
                <w:noProof/>
                <w:webHidden/>
              </w:rPr>
              <w:fldChar w:fldCharType="separate"/>
            </w:r>
            <w:r>
              <w:rPr>
                <w:noProof/>
                <w:webHidden/>
              </w:rPr>
              <w:t>14</w:t>
            </w:r>
            <w:r>
              <w:rPr>
                <w:noProof/>
                <w:webHidden/>
              </w:rPr>
              <w:fldChar w:fldCharType="end"/>
            </w:r>
          </w:hyperlink>
        </w:p>
        <w:p w14:paraId="211C83A9" w14:textId="1BBC3B29" w:rsidR="00B67FD5" w:rsidRDefault="00B67FD5">
          <w:pPr>
            <w:pStyle w:val="TOC1"/>
            <w:tabs>
              <w:tab w:val="right" w:leader="dot" w:pos="8630"/>
            </w:tabs>
            <w:rPr>
              <w:rFonts w:asciiTheme="minorHAnsi" w:eastAsiaTheme="minorEastAsia" w:hAnsiTheme="minorHAnsi"/>
              <w:noProof/>
              <w:kern w:val="2"/>
              <w:sz w:val="24"/>
              <w:szCs w:val="24"/>
              <w:lang w:val="en-GB" w:eastAsia="en-GB"/>
              <w14:ligatures w14:val="standardContextual"/>
            </w:rPr>
          </w:pPr>
          <w:hyperlink w:anchor="_Toc243504862" w:history="1">
            <w:r w:rsidRPr="008F0FE1">
              <w:rPr>
                <w:rStyle w:val="Hyperlink"/>
                <w:noProof/>
              </w:rPr>
              <w:t>References</w:t>
            </w:r>
            <w:r>
              <w:rPr>
                <w:noProof/>
                <w:webHidden/>
              </w:rPr>
              <w:tab/>
            </w:r>
            <w:r>
              <w:rPr>
                <w:noProof/>
                <w:webHidden/>
              </w:rPr>
              <w:fldChar w:fldCharType="begin"/>
            </w:r>
            <w:r>
              <w:rPr>
                <w:noProof/>
                <w:webHidden/>
              </w:rPr>
              <w:instrText xml:space="preserve"> PAGEREF _Toc243504862 \h </w:instrText>
            </w:r>
            <w:r>
              <w:rPr>
                <w:noProof/>
                <w:webHidden/>
              </w:rPr>
            </w:r>
            <w:r>
              <w:rPr>
                <w:noProof/>
                <w:webHidden/>
              </w:rPr>
              <w:fldChar w:fldCharType="separate"/>
            </w:r>
            <w:r>
              <w:rPr>
                <w:noProof/>
                <w:webHidden/>
              </w:rPr>
              <w:t>16</w:t>
            </w:r>
            <w:r>
              <w:rPr>
                <w:noProof/>
                <w:webHidden/>
              </w:rPr>
              <w:fldChar w:fldCharType="end"/>
            </w:r>
          </w:hyperlink>
        </w:p>
        <w:p w14:paraId="7E94AC3C" w14:textId="5DF3AFA0" w:rsidR="00EC33DB" w:rsidRDefault="00EC33DB">
          <w:r>
            <w:rPr>
              <w:b/>
              <w:bCs/>
            </w:rPr>
            <w:fldChar w:fldCharType="end"/>
          </w:r>
        </w:p>
      </w:sdtContent>
    </w:sdt>
    <w:p w14:paraId="250CD06D" w14:textId="77777777" w:rsidR="00EC33DB" w:rsidRDefault="00EC33DB">
      <w:pPr>
        <w:spacing w:after="120" w:line="269" w:lineRule="auto"/>
      </w:pPr>
    </w:p>
    <w:p w14:paraId="01911411" w14:textId="77777777" w:rsidR="00EC33DB" w:rsidRDefault="00EC33DB">
      <w:pPr>
        <w:spacing w:after="120" w:line="269" w:lineRule="auto"/>
      </w:pPr>
    </w:p>
    <w:p w14:paraId="782ED2E3" w14:textId="77777777" w:rsidR="00EC33DB" w:rsidRDefault="00EC33DB">
      <w:pPr>
        <w:spacing w:after="120" w:line="269" w:lineRule="auto"/>
      </w:pPr>
    </w:p>
    <w:p w14:paraId="0FA2FED6" w14:textId="77777777" w:rsidR="00EC33DB" w:rsidRDefault="00EC33DB">
      <w:pPr>
        <w:spacing w:after="120" w:line="269" w:lineRule="auto"/>
      </w:pPr>
    </w:p>
    <w:p w14:paraId="402FBCD5" w14:textId="77777777" w:rsidR="00EC33DB" w:rsidRDefault="00EC33DB">
      <w:pPr>
        <w:spacing w:after="120" w:line="269" w:lineRule="auto"/>
      </w:pPr>
    </w:p>
    <w:p w14:paraId="064DA97C" w14:textId="77777777" w:rsidR="00EC33DB" w:rsidRDefault="00EC33DB">
      <w:pPr>
        <w:spacing w:after="120" w:line="269" w:lineRule="auto"/>
      </w:pPr>
    </w:p>
    <w:p w14:paraId="7BFDBE8C" w14:textId="77777777" w:rsidR="00EC33DB" w:rsidRDefault="00EC33DB">
      <w:pPr>
        <w:spacing w:after="120" w:line="269" w:lineRule="auto"/>
      </w:pPr>
    </w:p>
    <w:p w14:paraId="70CDEFB7" w14:textId="77777777" w:rsidR="00EC33DB" w:rsidRDefault="00EC33DB">
      <w:pPr>
        <w:spacing w:after="120" w:line="269" w:lineRule="auto"/>
      </w:pPr>
    </w:p>
    <w:p w14:paraId="63726038" w14:textId="77777777" w:rsidR="00EC33DB" w:rsidRDefault="00EC33DB">
      <w:pPr>
        <w:spacing w:after="120" w:line="269" w:lineRule="auto"/>
      </w:pPr>
    </w:p>
    <w:p w14:paraId="43F6A5D5" w14:textId="77777777" w:rsidR="00EC33DB" w:rsidRDefault="00EC33DB">
      <w:pPr>
        <w:spacing w:after="120" w:line="269" w:lineRule="auto"/>
      </w:pPr>
    </w:p>
    <w:p w14:paraId="538C9A88" w14:textId="77777777" w:rsidR="00EC33DB" w:rsidRDefault="00EC33DB">
      <w:pPr>
        <w:spacing w:after="120" w:line="269" w:lineRule="auto"/>
      </w:pPr>
    </w:p>
    <w:p w14:paraId="4B358152" w14:textId="77777777" w:rsidR="00EC33DB" w:rsidRDefault="00EC33DB">
      <w:pPr>
        <w:spacing w:after="120" w:line="269" w:lineRule="auto"/>
      </w:pPr>
    </w:p>
    <w:p w14:paraId="33494CD1" w14:textId="77777777" w:rsidR="00EC33DB" w:rsidRDefault="00EC33DB">
      <w:pPr>
        <w:spacing w:after="120" w:line="269" w:lineRule="auto"/>
      </w:pPr>
    </w:p>
    <w:p w14:paraId="60171C9F" w14:textId="77777777" w:rsidR="00A56F70" w:rsidRPr="00C826AD" w:rsidRDefault="00000000">
      <w:pPr>
        <w:pStyle w:val="Heading1"/>
        <w:spacing w:before="200" w:after="80"/>
        <w:rPr>
          <w:sz w:val="32"/>
          <w:szCs w:val="32"/>
        </w:rPr>
      </w:pPr>
      <w:bookmarkStart w:id="0" w:name="_Toc243504847"/>
      <w:r w:rsidRPr="00C826AD">
        <w:rPr>
          <w:sz w:val="32"/>
          <w:szCs w:val="32"/>
        </w:rPr>
        <w:lastRenderedPageBreak/>
        <w:t>1. Introduction</w:t>
      </w:r>
      <w:bookmarkEnd w:id="0"/>
    </w:p>
    <w:p w14:paraId="71B1DCE5" w14:textId="77777777" w:rsidR="00A56F70" w:rsidRPr="00EC33DB" w:rsidRDefault="00000000" w:rsidP="00EC33DB">
      <w:pPr>
        <w:spacing w:after="120" w:line="360" w:lineRule="auto"/>
        <w:jc w:val="both"/>
        <w:rPr>
          <w:sz w:val="24"/>
          <w:szCs w:val="24"/>
        </w:rPr>
      </w:pPr>
      <w:r w:rsidRPr="00EC33DB">
        <w:rPr>
          <w:sz w:val="24"/>
          <w:szCs w:val="24"/>
        </w:rPr>
        <w:t>Organisational culture refers to the shared assumptions, values and norms that shape how people interpret situations and behave at work. It influences coordination, authority, motivation and control, rather than operating as a separate ‘soft’ aspect of management. Mullins and Christy (2016) argue that culture affects decision-making, structure, group behaviour, motivation and management control, and becomes more complex as organisations operate across national boundaries. Toyota Motor Corporation provides a useful case because its Toyota Production System (TPS) is both an operating model and a cultural system.</w:t>
      </w:r>
    </w:p>
    <w:p w14:paraId="4F7434ED" w14:textId="77777777" w:rsidR="00A56F70" w:rsidRPr="00EC33DB" w:rsidRDefault="00000000" w:rsidP="00EC33DB">
      <w:pPr>
        <w:spacing w:after="120" w:line="360" w:lineRule="auto"/>
        <w:jc w:val="both"/>
        <w:rPr>
          <w:sz w:val="24"/>
          <w:szCs w:val="24"/>
        </w:rPr>
      </w:pPr>
      <w:r w:rsidRPr="00EC33DB">
        <w:rPr>
          <w:sz w:val="24"/>
          <w:szCs w:val="24"/>
        </w:rPr>
        <w:t xml:space="preserve">Toyota is a global automotive manufacturer whose production philosophy is associated with continuous improvement (kaizen), respect for people, problem-solving at source, and the elimination of waste. Toyota’s stated Toyota Way is organised around two pillars: continuous improvement and respect for people (Toyota, </w:t>
      </w:r>
      <w:proofErr w:type="gramStart"/>
      <w:r w:rsidRPr="00EC33DB">
        <w:rPr>
          <w:sz w:val="24"/>
          <w:szCs w:val="24"/>
        </w:rPr>
        <w:t>n.</w:t>
      </w:r>
      <w:proofErr w:type="gramEnd"/>
      <w:r w:rsidRPr="00EC33DB">
        <w:rPr>
          <w:sz w:val="24"/>
          <w:szCs w:val="24"/>
        </w:rPr>
        <w:t>d.). However, formal values do not prove that everyday practice consistently matches them. This report critically evaluates Toyota’s culture through Schein’s levels, Hofstede’s national-culture dimensions, Handy’s cultural types and Denison’s effectiveness traits. It considers how culture shapes structure and decisions, supports adaptation, creates risks, and affects performance. The analysis uses academic literature and company/regulatory evidence, while recognising that publicly available documents cannot fully reveal employee experience in every Toyota site.</w:t>
      </w:r>
    </w:p>
    <w:p w14:paraId="381F4C21" w14:textId="77777777" w:rsidR="00A56F70" w:rsidRPr="00C826AD" w:rsidRDefault="00000000">
      <w:pPr>
        <w:pStyle w:val="Heading1"/>
        <w:spacing w:before="200" w:after="80"/>
        <w:rPr>
          <w:sz w:val="32"/>
          <w:szCs w:val="32"/>
        </w:rPr>
      </w:pPr>
      <w:bookmarkStart w:id="1" w:name="_Toc243504848"/>
      <w:r w:rsidRPr="00C826AD">
        <w:rPr>
          <w:sz w:val="32"/>
          <w:szCs w:val="32"/>
        </w:rPr>
        <w:t>2. Organisational Culture of Toyota</w:t>
      </w:r>
      <w:bookmarkEnd w:id="1"/>
    </w:p>
    <w:p w14:paraId="23B85446" w14:textId="245CE1DC" w:rsidR="00A56F70" w:rsidRPr="00EC33DB" w:rsidRDefault="00000000" w:rsidP="00EC33DB">
      <w:pPr>
        <w:spacing w:after="120" w:line="360" w:lineRule="auto"/>
        <w:jc w:val="both"/>
        <w:rPr>
          <w:sz w:val="24"/>
          <w:szCs w:val="24"/>
        </w:rPr>
      </w:pPr>
      <w:r w:rsidRPr="00EC33DB">
        <w:rPr>
          <w:sz w:val="24"/>
          <w:szCs w:val="24"/>
        </w:rPr>
        <w:t xml:space="preserve">Toyota’s dominant cultural logic is a learning-oriented, process-disciplined culture. TPS combines just-in-time production, jidoka (building quality into processes and stopping </w:t>
      </w:r>
      <w:r w:rsidR="00C826AD" w:rsidRPr="00EC33DB">
        <w:rPr>
          <w:sz w:val="24"/>
          <w:szCs w:val="24"/>
        </w:rPr>
        <w:t>addressing</w:t>
      </w:r>
      <w:r w:rsidRPr="00EC33DB">
        <w:rPr>
          <w:sz w:val="24"/>
          <w:szCs w:val="24"/>
        </w:rPr>
        <w:t xml:space="preserve"> abnormalities), </w:t>
      </w:r>
      <w:r w:rsidR="00C826AD" w:rsidRPr="00EC33DB">
        <w:rPr>
          <w:sz w:val="24"/>
          <w:szCs w:val="24"/>
        </w:rPr>
        <w:t>standardized</w:t>
      </w:r>
      <w:r w:rsidRPr="00EC33DB">
        <w:rPr>
          <w:sz w:val="24"/>
          <w:szCs w:val="24"/>
        </w:rPr>
        <w:t xml:space="preserve"> work, visual management and kaizen. These are not simply techniques: they depend on employees identifying problems, sharing knowledge and treating deviations as opportunities for learning. Liker (2004) argues that Toyota’s principles work as a </w:t>
      </w:r>
      <w:r w:rsidRPr="00EC33DB">
        <w:rPr>
          <w:sz w:val="24"/>
          <w:szCs w:val="24"/>
        </w:rPr>
        <w:lastRenderedPageBreak/>
        <w:t>coherent system; copying tools without the supporting philosophy is unlikely to reproduce the same results.</w:t>
      </w:r>
    </w:p>
    <w:p w14:paraId="7185C370" w14:textId="77777777" w:rsidR="00A56F70" w:rsidRPr="00EC33DB" w:rsidRDefault="00000000" w:rsidP="00EC33DB">
      <w:pPr>
        <w:spacing w:after="120" w:line="360" w:lineRule="auto"/>
        <w:jc w:val="both"/>
        <w:rPr>
          <w:sz w:val="24"/>
          <w:szCs w:val="24"/>
        </w:rPr>
      </w:pPr>
      <w:r w:rsidRPr="00EC33DB">
        <w:rPr>
          <w:sz w:val="24"/>
          <w:szCs w:val="24"/>
        </w:rPr>
        <w:t>The Toyota Way also frames employees as contributors to improvement rather than only as labour inputs. Its ‘respect for people’ principle is intended to support teamwork, capability development and responsibility. The cultural ideal is therefore not unquestioning obedience: workers should surface problems, while leaders coach teams to understand root causes. Marksberry (2011), analysing Toyota’s own management documents, found that genchi genbutsu—going to the actual place to understand facts—was central to its prescribed culture, alongside teamwork and respect. This suggests that evidence-based problem-solving is an important norm.</w:t>
      </w:r>
    </w:p>
    <w:p w14:paraId="33A7A0DD" w14:textId="631A2457" w:rsidR="00A56F70" w:rsidRPr="00EC33DB" w:rsidRDefault="00000000" w:rsidP="00EC33DB">
      <w:pPr>
        <w:spacing w:after="120" w:line="360" w:lineRule="auto"/>
        <w:jc w:val="both"/>
        <w:rPr>
          <w:sz w:val="24"/>
          <w:szCs w:val="24"/>
        </w:rPr>
      </w:pPr>
      <w:r w:rsidRPr="00EC33DB">
        <w:rPr>
          <w:sz w:val="24"/>
          <w:szCs w:val="24"/>
        </w:rPr>
        <w:t xml:space="preserve">Nevertheless, Toyota’s culture should not be romanticised. </w:t>
      </w:r>
      <w:r w:rsidR="00EC33DB" w:rsidRPr="00EC33DB">
        <w:rPr>
          <w:sz w:val="24"/>
          <w:szCs w:val="24"/>
        </w:rPr>
        <w:t>Standardization</w:t>
      </w:r>
      <w:r w:rsidRPr="00EC33DB">
        <w:rPr>
          <w:sz w:val="24"/>
          <w:szCs w:val="24"/>
        </w:rPr>
        <w:t xml:space="preserve"> may create </w:t>
      </w:r>
      <w:r w:rsidR="00EC33DB" w:rsidRPr="00EC33DB">
        <w:rPr>
          <w:sz w:val="24"/>
          <w:szCs w:val="24"/>
        </w:rPr>
        <w:t>consistency but</w:t>
      </w:r>
      <w:r w:rsidRPr="00EC33DB">
        <w:rPr>
          <w:sz w:val="24"/>
          <w:szCs w:val="24"/>
        </w:rPr>
        <w:t xml:space="preserve"> can also reinforce conformity if employees believe that raising concerns will be unwelcome or threaten production targets. The global organisation is not culturally uniform: plants, suppliers and national subsidiaries operate within different labour markets, legal systems and social expectations. Mathew and Burgess (2023) show how lean-production practices at Toyota’s Indian plant interacted with local cultural and institutional expectations, contributing to long-running industrial dispute. The implication is that a strong corporate culture can create alignment, but it can also generate conflict when managers treat a global template as universally appropriate.</w:t>
      </w:r>
    </w:p>
    <w:p w14:paraId="40D31DD2" w14:textId="77777777" w:rsidR="00A56F70" w:rsidRPr="00C826AD" w:rsidRDefault="00000000">
      <w:pPr>
        <w:pStyle w:val="Heading1"/>
        <w:spacing w:before="200" w:after="80"/>
        <w:rPr>
          <w:sz w:val="32"/>
          <w:szCs w:val="32"/>
        </w:rPr>
      </w:pPr>
      <w:bookmarkStart w:id="2" w:name="_Toc243504849"/>
      <w:r w:rsidRPr="00C826AD">
        <w:rPr>
          <w:sz w:val="32"/>
          <w:szCs w:val="32"/>
        </w:rPr>
        <w:t>3. Influence of Culture on Structure and Decision-Making</w:t>
      </w:r>
      <w:bookmarkEnd w:id="2"/>
    </w:p>
    <w:p w14:paraId="7E2BCB77" w14:textId="1AB86B4E" w:rsidR="00A56F70" w:rsidRPr="00EC33DB" w:rsidRDefault="00000000" w:rsidP="00EC33DB">
      <w:pPr>
        <w:spacing w:after="120" w:line="360" w:lineRule="auto"/>
        <w:jc w:val="both"/>
        <w:rPr>
          <w:sz w:val="24"/>
          <w:szCs w:val="24"/>
        </w:rPr>
      </w:pPr>
      <w:r w:rsidRPr="00EC33DB">
        <w:rPr>
          <w:sz w:val="24"/>
          <w:szCs w:val="24"/>
        </w:rPr>
        <w:t xml:space="preserve">Culture and structure reinforce each other. Toyota’s standardised processes, visual controls and defined responsibilities create a relatively formal operating structure at plant level. Yet the TPS expectation that problems should be made visible distributes some operational authority to front-line teams. The andon system, for example, allows abnormalities to be signalled and support requested; jidoka legitimises stopping a process when quality is at risk. This is a form of controlled empowerment: decisions about immediate process quality can be </w:t>
      </w:r>
      <w:r w:rsidRPr="00EC33DB">
        <w:rPr>
          <w:sz w:val="24"/>
          <w:szCs w:val="24"/>
        </w:rPr>
        <w:lastRenderedPageBreak/>
        <w:t xml:space="preserve">initiated close to the work, while broader </w:t>
      </w:r>
      <w:r w:rsidR="00C826AD" w:rsidRPr="00EC33DB">
        <w:rPr>
          <w:sz w:val="24"/>
          <w:szCs w:val="24"/>
        </w:rPr>
        <w:t>resources</w:t>
      </w:r>
      <w:r w:rsidRPr="00EC33DB">
        <w:rPr>
          <w:sz w:val="24"/>
          <w:szCs w:val="24"/>
        </w:rPr>
        <w:t>, product and strategic decisions remain subject to managerial coordination.</w:t>
      </w:r>
    </w:p>
    <w:p w14:paraId="71298DB0" w14:textId="3F1DFF39" w:rsidR="00A56F70" w:rsidRPr="00EC33DB" w:rsidRDefault="00000000" w:rsidP="00EC33DB">
      <w:pPr>
        <w:spacing w:after="120" w:line="360" w:lineRule="auto"/>
        <w:jc w:val="both"/>
        <w:rPr>
          <w:sz w:val="24"/>
          <w:szCs w:val="24"/>
        </w:rPr>
      </w:pPr>
      <w:r w:rsidRPr="00EC33DB">
        <w:rPr>
          <w:sz w:val="24"/>
          <w:szCs w:val="24"/>
        </w:rPr>
        <w:t xml:space="preserve">Toyota’s problem-solving routines also affect decision speed and quality. Genchi genbutsu encourages managers to verify facts at the workplace rather than rely exclusively on reports. Root-cause analysis and the ‘five </w:t>
      </w:r>
      <w:proofErr w:type="gramStart"/>
      <w:r w:rsidR="0067438B" w:rsidRPr="00EC33DB">
        <w:rPr>
          <w:sz w:val="24"/>
          <w:szCs w:val="24"/>
        </w:rPr>
        <w:t>whys</w:t>
      </w:r>
      <w:proofErr w:type="gramEnd"/>
      <w:r w:rsidRPr="00EC33DB">
        <w:rPr>
          <w:sz w:val="24"/>
          <w:szCs w:val="24"/>
        </w:rPr>
        <w:t xml:space="preserve"> seek to address underlying causes rather than symptoms. Such routines can reduce blame, improve organisational learning and make decisions more reliable. The consensus-oriented nemawashi process—building understanding with relevant stakeholders before a formal decision—can improve implementation because affected parties have had an opportunity to contribute. Its trade-off is time: consultation may slow decisions when rapid responses are required.</w:t>
      </w:r>
    </w:p>
    <w:p w14:paraId="622D83B5" w14:textId="735D2742" w:rsidR="00A56F70" w:rsidRPr="00EC33DB" w:rsidRDefault="00000000" w:rsidP="00EC33DB">
      <w:pPr>
        <w:spacing w:after="120" w:line="360" w:lineRule="auto"/>
        <w:jc w:val="both"/>
        <w:rPr>
          <w:sz w:val="24"/>
          <w:szCs w:val="24"/>
        </w:rPr>
      </w:pPr>
      <w:r w:rsidRPr="00EC33DB">
        <w:rPr>
          <w:sz w:val="24"/>
          <w:szCs w:val="24"/>
        </w:rPr>
        <w:t xml:space="preserve">The culture therefore supports a hybrid arrangement rather than either pure centralisation or complete decentralisation. Strategic standards and common production principles are coordinated centrally, while local teams are expected to identify and solve operational problems. This arrangement can be effective in complex manufacturing, where safety and quality require </w:t>
      </w:r>
      <w:r w:rsidR="00C826AD" w:rsidRPr="00EC33DB">
        <w:rPr>
          <w:sz w:val="24"/>
          <w:szCs w:val="24"/>
        </w:rPr>
        <w:t>consistency,</w:t>
      </w:r>
      <w:r w:rsidRPr="00EC33DB">
        <w:rPr>
          <w:sz w:val="24"/>
          <w:szCs w:val="24"/>
        </w:rPr>
        <w:t xml:space="preserve"> but defects are often first visible to employees on the line. However, the system depends on psychological </w:t>
      </w:r>
      <w:r w:rsidR="0067438B" w:rsidRPr="00EC33DB">
        <w:rPr>
          <w:sz w:val="24"/>
          <w:szCs w:val="24"/>
        </w:rPr>
        <w:t>safety,</w:t>
      </w:r>
      <w:r w:rsidRPr="00EC33DB">
        <w:rPr>
          <w:sz w:val="24"/>
          <w:szCs w:val="24"/>
        </w:rPr>
        <w:t xml:space="preserve"> and managers </w:t>
      </w:r>
      <w:r w:rsidR="00C826AD" w:rsidRPr="00EC33DB">
        <w:rPr>
          <w:sz w:val="24"/>
          <w:szCs w:val="24"/>
        </w:rPr>
        <w:t>respond</w:t>
      </w:r>
      <w:r w:rsidRPr="00EC33DB">
        <w:rPr>
          <w:sz w:val="24"/>
          <w:szCs w:val="24"/>
        </w:rPr>
        <w:t xml:space="preserve"> constructively to bad news. If output pressure discourages stopping or escalation, the formal system and actual culture diverge.</w:t>
      </w:r>
    </w:p>
    <w:p w14:paraId="0722B0D1" w14:textId="4B827C55" w:rsidR="00A56F70" w:rsidRPr="00EC33DB" w:rsidRDefault="00000000" w:rsidP="00EC33DB">
      <w:pPr>
        <w:spacing w:after="120" w:line="360" w:lineRule="auto"/>
        <w:jc w:val="both"/>
        <w:rPr>
          <w:sz w:val="24"/>
          <w:szCs w:val="24"/>
        </w:rPr>
      </w:pPr>
      <w:r w:rsidRPr="00EC33DB">
        <w:rPr>
          <w:sz w:val="24"/>
          <w:szCs w:val="24"/>
        </w:rPr>
        <w:t xml:space="preserve">The 2024 certification investigations illustrate why the distinction matters. Toyota reported that its investigation identified testing-method deviations in certification applications for seven models, involving six cases; it apologised and stated that it would respond to the transport ministry’s guidance (Toyota, 2024a; Toyota, 2024b). These disclosures do not by themselves prove that TPS caused </w:t>
      </w:r>
      <w:r w:rsidR="00C826AD" w:rsidRPr="00EC33DB">
        <w:rPr>
          <w:sz w:val="24"/>
          <w:szCs w:val="24"/>
        </w:rPr>
        <w:t>misconduct</w:t>
      </w:r>
      <w:r w:rsidRPr="00EC33DB">
        <w:rPr>
          <w:sz w:val="24"/>
          <w:szCs w:val="24"/>
        </w:rPr>
        <w:t xml:space="preserve">. They do, however, raise questions about whether internal norms, oversight and performance pressures consistently </w:t>
      </w:r>
      <w:r w:rsidR="00C826AD" w:rsidRPr="00EC33DB">
        <w:rPr>
          <w:sz w:val="24"/>
          <w:szCs w:val="24"/>
        </w:rPr>
        <w:t>support</w:t>
      </w:r>
      <w:r w:rsidRPr="00EC33DB">
        <w:rPr>
          <w:sz w:val="24"/>
          <w:szCs w:val="24"/>
        </w:rPr>
        <w:t xml:space="preserve"> compliance. A culture that prizes problem-solving must also protect independent challenge and regulatory integrity; operational excellence cannot substitute for governance.</w:t>
      </w:r>
    </w:p>
    <w:p w14:paraId="58E5F147" w14:textId="77777777" w:rsidR="00A56F70" w:rsidRDefault="00000000">
      <w:pPr>
        <w:pStyle w:val="Heading2"/>
        <w:spacing w:after="80"/>
      </w:pPr>
      <w:bookmarkStart w:id="3" w:name="_Toc243504850"/>
      <w:r>
        <w:lastRenderedPageBreak/>
        <w:t>Table 1. Cultural principles and structural/decision effects</w:t>
      </w:r>
      <w:bookmarkEnd w:id="3"/>
    </w:p>
    <w:tbl>
      <w:tblPr>
        <w:tblW w:w="0" w:type="auto"/>
        <w:jc w:val="center"/>
        <w:tblLook w:val="04A0" w:firstRow="1" w:lastRow="0" w:firstColumn="1" w:lastColumn="0" w:noHBand="0" w:noVBand="1"/>
      </w:tblPr>
      <w:tblGrid>
        <w:gridCol w:w="2880"/>
        <w:gridCol w:w="2880"/>
        <w:gridCol w:w="2880"/>
      </w:tblGrid>
      <w:tr w:rsidR="00A56F70" w14:paraId="559FD37E" w14:textId="77777777">
        <w:trPr>
          <w:jc w:val="center"/>
        </w:trPr>
        <w:tc>
          <w:tcPr>
            <w:tcW w:w="2880" w:type="dxa"/>
            <w:shd w:val="clear" w:color="auto" w:fill="D9EAF7"/>
            <w:vAlign w:val="center"/>
          </w:tcPr>
          <w:p w14:paraId="08662935" w14:textId="77777777" w:rsidR="00A56F70" w:rsidRPr="00EC33DB" w:rsidRDefault="00000000">
            <w:pPr>
              <w:rPr>
                <w:sz w:val="24"/>
                <w:szCs w:val="24"/>
              </w:rPr>
            </w:pPr>
            <w:r w:rsidRPr="00EC33DB">
              <w:rPr>
                <w:b/>
                <w:sz w:val="24"/>
                <w:szCs w:val="24"/>
              </w:rPr>
              <w:t>Cultural principle</w:t>
            </w:r>
          </w:p>
        </w:tc>
        <w:tc>
          <w:tcPr>
            <w:tcW w:w="2880" w:type="dxa"/>
            <w:shd w:val="clear" w:color="auto" w:fill="D9EAF7"/>
            <w:vAlign w:val="center"/>
          </w:tcPr>
          <w:p w14:paraId="524785C2" w14:textId="77777777" w:rsidR="00A56F70" w:rsidRPr="00EC33DB" w:rsidRDefault="00000000">
            <w:pPr>
              <w:rPr>
                <w:sz w:val="24"/>
                <w:szCs w:val="24"/>
              </w:rPr>
            </w:pPr>
            <w:r w:rsidRPr="00EC33DB">
              <w:rPr>
                <w:b/>
                <w:sz w:val="24"/>
                <w:szCs w:val="24"/>
              </w:rPr>
              <w:t>Organisational mechanism</w:t>
            </w:r>
          </w:p>
        </w:tc>
        <w:tc>
          <w:tcPr>
            <w:tcW w:w="2880" w:type="dxa"/>
            <w:shd w:val="clear" w:color="auto" w:fill="D9EAF7"/>
            <w:vAlign w:val="center"/>
          </w:tcPr>
          <w:p w14:paraId="1CE34376" w14:textId="77777777" w:rsidR="00A56F70" w:rsidRPr="00EC33DB" w:rsidRDefault="00000000">
            <w:pPr>
              <w:rPr>
                <w:sz w:val="24"/>
                <w:szCs w:val="24"/>
              </w:rPr>
            </w:pPr>
            <w:r w:rsidRPr="00EC33DB">
              <w:rPr>
                <w:b/>
                <w:sz w:val="24"/>
                <w:szCs w:val="24"/>
              </w:rPr>
              <w:t>Critical implication</w:t>
            </w:r>
          </w:p>
        </w:tc>
      </w:tr>
      <w:tr w:rsidR="00A56F70" w:rsidRPr="00EC33DB" w14:paraId="6B98630F" w14:textId="77777777">
        <w:trPr>
          <w:jc w:val="center"/>
        </w:trPr>
        <w:tc>
          <w:tcPr>
            <w:tcW w:w="2880" w:type="dxa"/>
            <w:vAlign w:val="center"/>
          </w:tcPr>
          <w:p w14:paraId="6F816981" w14:textId="77777777" w:rsidR="00A56F70" w:rsidRPr="00EC33DB" w:rsidRDefault="00000000" w:rsidP="00EC33DB">
            <w:pPr>
              <w:spacing w:line="360" w:lineRule="auto"/>
              <w:rPr>
                <w:sz w:val="24"/>
                <w:szCs w:val="24"/>
              </w:rPr>
            </w:pPr>
            <w:r w:rsidRPr="00EC33DB">
              <w:rPr>
                <w:sz w:val="24"/>
                <w:szCs w:val="24"/>
              </w:rPr>
              <w:t>Kaizen / continuous improvement</w:t>
            </w:r>
          </w:p>
        </w:tc>
        <w:tc>
          <w:tcPr>
            <w:tcW w:w="2880" w:type="dxa"/>
            <w:vAlign w:val="center"/>
          </w:tcPr>
          <w:p w14:paraId="52B966CF" w14:textId="77777777" w:rsidR="00A56F70" w:rsidRPr="00EC33DB" w:rsidRDefault="00000000" w:rsidP="00EC33DB">
            <w:pPr>
              <w:spacing w:line="360" w:lineRule="auto"/>
              <w:rPr>
                <w:sz w:val="24"/>
                <w:szCs w:val="24"/>
              </w:rPr>
            </w:pPr>
            <w:r w:rsidRPr="00EC33DB">
              <w:rPr>
                <w:sz w:val="24"/>
                <w:szCs w:val="24"/>
              </w:rPr>
              <w:t>Team-based suggestions, experiments and standard updates</w:t>
            </w:r>
          </w:p>
        </w:tc>
        <w:tc>
          <w:tcPr>
            <w:tcW w:w="2880" w:type="dxa"/>
            <w:vAlign w:val="center"/>
          </w:tcPr>
          <w:p w14:paraId="2DA9F13C" w14:textId="77777777" w:rsidR="00A56F70" w:rsidRPr="00EC33DB" w:rsidRDefault="00000000" w:rsidP="00EC33DB">
            <w:pPr>
              <w:spacing w:line="360" w:lineRule="auto"/>
              <w:rPr>
                <w:sz w:val="24"/>
                <w:szCs w:val="24"/>
              </w:rPr>
            </w:pPr>
            <w:r w:rsidRPr="00EC33DB">
              <w:rPr>
                <w:sz w:val="24"/>
                <w:szCs w:val="24"/>
              </w:rPr>
              <w:t>Supports learning; risks becoming incremental if disruptive ideas are undervalued.</w:t>
            </w:r>
          </w:p>
        </w:tc>
      </w:tr>
      <w:tr w:rsidR="00A56F70" w:rsidRPr="00EC33DB" w14:paraId="5930CBEA" w14:textId="77777777">
        <w:trPr>
          <w:jc w:val="center"/>
        </w:trPr>
        <w:tc>
          <w:tcPr>
            <w:tcW w:w="2880" w:type="dxa"/>
            <w:vAlign w:val="center"/>
          </w:tcPr>
          <w:p w14:paraId="501D359A" w14:textId="77777777" w:rsidR="00A56F70" w:rsidRPr="00EC33DB" w:rsidRDefault="00000000" w:rsidP="00EC33DB">
            <w:pPr>
              <w:spacing w:line="360" w:lineRule="auto"/>
              <w:rPr>
                <w:sz w:val="24"/>
                <w:szCs w:val="24"/>
              </w:rPr>
            </w:pPr>
            <w:r w:rsidRPr="00EC33DB">
              <w:rPr>
                <w:sz w:val="24"/>
                <w:szCs w:val="24"/>
              </w:rPr>
              <w:t>Jidoka / quality at source</w:t>
            </w:r>
          </w:p>
        </w:tc>
        <w:tc>
          <w:tcPr>
            <w:tcW w:w="2880" w:type="dxa"/>
            <w:vAlign w:val="center"/>
          </w:tcPr>
          <w:p w14:paraId="0B9E383B" w14:textId="77777777" w:rsidR="00A56F70" w:rsidRPr="00EC33DB" w:rsidRDefault="00000000" w:rsidP="00EC33DB">
            <w:pPr>
              <w:spacing w:line="360" w:lineRule="auto"/>
              <w:rPr>
                <w:sz w:val="24"/>
                <w:szCs w:val="24"/>
              </w:rPr>
            </w:pPr>
            <w:r w:rsidRPr="00EC33DB">
              <w:rPr>
                <w:sz w:val="24"/>
                <w:szCs w:val="24"/>
              </w:rPr>
              <w:t>Employees signal abnormalities and can trigger a stop</w:t>
            </w:r>
          </w:p>
        </w:tc>
        <w:tc>
          <w:tcPr>
            <w:tcW w:w="2880" w:type="dxa"/>
            <w:vAlign w:val="center"/>
          </w:tcPr>
          <w:p w14:paraId="4FDFD665" w14:textId="77777777" w:rsidR="00A56F70" w:rsidRPr="00EC33DB" w:rsidRDefault="00000000" w:rsidP="00EC33DB">
            <w:pPr>
              <w:spacing w:line="360" w:lineRule="auto"/>
              <w:rPr>
                <w:sz w:val="24"/>
                <w:szCs w:val="24"/>
              </w:rPr>
            </w:pPr>
            <w:r w:rsidRPr="00EC33DB">
              <w:rPr>
                <w:sz w:val="24"/>
                <w:szCs w:val="24"/>
              </w:rPr>
              <w:t>Improves defect detection if managers reward escalation rather than penalise delay.</w:t>
            </w:r>
          </w:p>
        </w:tc>
      </w:tr>
      <w:tr w:rsidR="00A56F70" w:rsidRPr="00EC33DB" w14:paraId="62EC7D56" w14:textId="77777777">
        <w:trPr>
          <w:jc w:val="center"/>
        </w:trPr>
        <w:tc>
          <w:tcPr>
            <w:tcW w:w="2880" w:type="dxa"/>
            <w:vAlign w:val="center"/>
          </w:tcPr>
          <w:p w14:paraId="400BA713" w14:textId="77777777" w:rsidR="00A56F70" w:rsidRPr="00EC33DB" w:rsidRDefault="00000000" w:rsidP="00EC33DB">
            <w:pPr>
              <w:spacing w:line="360" w:lineRule="auto"/>
              <w:rPr>
                <w:sz w:val="24"/>
                <w:szCs w:val="24"/>
              </w:rPr>
            </w:pPr>
            <w:r w:rsidRPr="00EC33DB">
              <w:rPr>
                <w:sz w:val="24"/>
                <w:szCs w:val="24"/>
              </w:rPr>
              <w:t>Genchi genbutsu</w:t>
            </w:r>
          </w:p>
        </w:tc>
        <w:tc>
          <w:tcPr>
            <w:tcW w:w="2880" w:type="dxa"/>
            <w:vAlign w:val="center"/>
          </w:tcPr>
          <w:p w14:paraId="1A15604B" w14:textId="77777777" w:rsidR="00A56F70" w:rsidRPr="00EC33DB" w:rsidRDefault="00000000" w:rsidP="00EC33DB">
            <w:pPr>
              <w:spacing w:line="360" w:lineRule="auto"/>
              <w:rPr>
                <w:sz w:val="24"/>
                <w:szCs w:val="24"/>
              </w:rPr>
            </w:pPr>
            <w:r w:rsidRPr="00EC33DB">
              <w:rPr>
                <w:sz w:val="24"/>
                <w:szCs w:val="24"/>
              </w:rPr>
              <w:t>Managers observe work and verify evidence directly</w:t>
            </w:r>
          </w:p>
        </w:tc>
        <w:tc>
          <w:tcPr>
            <w:tcW w:w="2880" w:type="dxa"/>
            <w:vAlign w:val="center"/>
          </w:tcPr>
          <w:p w14:paraId="411BCF4C" w14:textId="638BF4F2" w:rsidR="00A56F70" w:rsidRPr="00EC33DB" w:rsidRDefault="00000000" w:rsidP="00EC33DB">
            <w:pPr>
              <w:spacing w:line="360" w:lineRule="auto"/>
              <w:rPr>
                <w:sz w:val="24"/>
                <w:szCs w:val="24"/>
              </w:rPr>
            </w:pPr>
            <w:r w:rsidRPr="00EC33DB">
              <w:rPr>
                <w:sz w:val="24"/>
                <w:szCs w:val="24"/>
              </w:rPr>
              <w:t xml:space="preserve">Reduces distance between decisions and operational reality; may be </w:t>
            </w:r>
            <w:r w:rsidR="00C826AD" w:rsidRPr="00EC33DB">
              <w:rPr>
                <w:sz w:val="24"/>
                <w:szCs w:val="24"/>
              </w:rPr>
              <w:t>resource intensive</w:t>
            </w:r>
            <w:r w:rsidRPr="00EC33DB">
              <w:rPr>
                <w:sz w:val="24"/>
                <w:szCs w:val="24"/>
              </w:rPr>
              <w:t>.</w:t>
            </w:r>
          </w:p>
        </w:tc>
      </w:tr>
      <w:tr w:rsidR="00A56F70" w:rsidRPr="00EC33DB" w14:paraId="088B150E" w14:textId="77777777">
        <w:trPr>
          <w:jc w:val="center"/>
        </w:trPr>
        <w:tc>
          <w:tcPr>
            <w:tcW w:w="2880" w:type="dxa"/>
            <w:vAlign w:val="center"/>
          </w:tcPr>
          <w:p w14:paraId="25912735" w14:textId="77777777" w:rsidR="00A56F70" w:rsidRPr="00EC33DB" w:rsidRDefault="00000000" w:rsidP="00EC33DB">
            <w:pPr>
              <w:spacing w:line="360" w:lineRule="auto"/>
              <w:rPr>
                <w:sz w:val="24"/>
                <w:szCs w:val="24"/>
              </w:rPr>
            </w:pPr>
            <w:r w:rsidRPr="00EC33DB">
              <w:rPr>
                <w:sz w:val="24"/>
                <w:szCs w:val="24"/>
              </w:rPr>
              <w:t>Nemawashi / consensus-building</w:t>
            </w:r>
          </w:p>
        </w:tc>
        <w:tc>
          <w:tcPr>
            <w:tcW w:w="2880" w:type="dxa"/>
            <w:vAlign w:val="center"/>
          </w:tcPr>
          <w:p w14:paraId="4C99E35C" w14:textId="77777777" w:rsidR="00A56F70" w:rsidRPr="00EC33DB" w:rsidRDefault="00000000" w:rsidP="00EC33DB">
            <w:pPr>
              <w:spacing w:line="360" w:lineRule="auto"/>
              <w:rPr>
                <w:sz w:val="24"/>
                <w:szCs w:val="24"/>
              </w:rPr>
            </w:pPr>
            <w:r w:rsidRPr="00EC33DB">
              <w:rPr>
                <w:sz w:val="24"/>
                <w:szCs w:val="24"/>
              </w:rPr>
              <w:t>Early consultation before formal approval</w:t>
            </w:r>
          </w:p>
        </w:tc>
        <w:tc>
          <w:tcPr>
            <w:tcW w:w="2880" w:type="dxa"/>
            <w:vAlign w:val="center"/>
          </w:tcPr>
          <w:p w14:paraId="46B428B9" w14:textId="6C377038" w:rsidR="00A56F70" w:rsidRPr="00EC33DB" w:rsidRDefault="00C826AD" w:rsidP="00EC33DB">
            <w:pPr>
              <w:spacing w:line="360" w:lineRule="auto"/>
              <w:rPr>
                <w:sz w:val="24"/>
                <w:szCs w:val="24"/>
              </w:rPr>
            </w:pPr>
            <w:r w:rsidRPr="00EC33DB">
              <w:rPr>
                <w:sz w:val="24"/>
                <w:szCs w:val="24"/>
              </w:rPr>
              <w:t>Building commitment and implementation quality; can slow urgent decisions.</w:t>
            </w:r>
          </w:p>
        </w:tc>
      </w:tr>
      <w:tr w:rsidR="00A56F70" w:rsidRPr="00EC33DB" w14:paraId="0703E9FB" w14:textId="77777777">
        <w:trPr>
          <w:jc w:val="center"/>
        </w:trPr>
        <w:tc>
          <w:tcPr>
            <w:tcW w:w="2880" w:type="dxa"/>
            <w:vAlign w:val="center"/>
          </w:tcPr>
          <w:p w14:paraId="5AB37760" w14:textId="77777777" w:rsidR="00A56F70" w:rsidRPr="00EC33DB" w:rsidRDefault="00000000" w:rsidP="00EC33DB">
            <w:pPr>
              <w:spacing w:line="360" w:lineRule="auto"/>
              <w:rPr>
                <w:sz w:val="24"/>
                <w:szCs w:val="24"/>
              </w:rPr>
            </w:pPr>
            <w:r w:rsidRPr="00EC33DB">
              <w:rPr>
                <w:sz w:val="24"/>
                <w:szCs w:val="24"/>
              </w:rPr>
              <w:t>Standardised work</w:t>
            </w:r>
          </w:p>
        </w:tc>
        <w:tc>
          <w:tcPr>
            <w:tcW w:w="2880" w:type="dxa"/>
            <w:vAlign w:val="center"/>
          </w:tcPr>
          <w:p w14:paraId="31F78E0B" w14:textId="77777777" w:rsidR="00A56F70" w:rsidRPr="00EC33DB" w:rsidRDefault="00000000" w:rsidP="00EC33DB">
            <w:pPr>
              <w:spacing w:line="360" w:lineRule="auto"/>
              <w:rPr>
                <w:sz w:val="24"/>
                <w:szCs w:val="24"/>
              </w:rPr>
            </w:pPr>
            <w:r w:rsidRPr="00EC33DB">
              <w:rPr>
                <w:sz w:val="24"/>
                <w:szCs w:val="24"/>
              </w:rPr>
              <w:t>Clear routines, measures and responsibilities</w:t>
            </w:r>
          </w:p>
        </w:tc>
        <w:tc>
          <w:tcPr>
            <w:tcW w:w="2880" w:type="dxa"/>
            <w:vAlign w:val="center"/>
          </w:tcPr>
          <w:p w14:paraId="0111129E" w14:textId="77777777" w:rsidR="00A56F70" w:rsidRPr="00EC33DB" w:rsidRDefault="00000000" w:rsidP="00EC33DB">
            <w:pPr>
              <w:spacing w:line="360" w:lineRule="auto"/>
              <w:rPr>
                <w:sz w:val="24"/>
                <w:szCs w:val="24"/>
              </w:rPr>
            </w:pPr>
            <w:r w:rsidRPr="00EC33DB">
              <w:rPr>
                <w:sz w:val="24"/>
                <w:szCs w:val="24"/>
              </w:rPr>
              <w:t>Supports repeatability and safety; can constrain discretion if standards become ends in themselves.</w:t>
            </w:r>
          </w:p>
        </w:tc>
      </w:tr>
    </w:tbl>
    <w:p w14:paraId="3C33E69A" w14:textId="77777777" w:rsidR="00A56F70" w:rsidRPr="00EC33DB" w:rsidRDefault="00000000" w:rsidP="00EC33DB">
      <w:pPr>
        <w:spacing w:after="120" w:line="360" w:lineRule="auto"/>
        <w:rPr>
          <w:sz w:val="24"/>
          <w:szCs w:val="24"/>
        </w:rPr>
      </w:pPr>
      <w:r w:rsidRPr="00EC33DB">
        <w:rPr>
          <w:sz w:val="24"/>
          <w:szCs w:val="24"/>
        </w:rPr>
        <w:t>Source: Author’s synthesis based on Liker (2004), Marksberry (2011) and Toyota (n.d.).</w:t>
      </w:r>
    </w:p>
    <w:p w14:paraId="2E226B90" w14:textId="77777777" w:rsidR="00A56F70" w:rsidRPr="00C826AD" w:rsidRDefault="00000000">
      <w:pPr>
        <w:pStyle w:val="Heading1"/>
        <w:spacing w:before="200" w:after="80"/>
        <w:rPr>
          <w:sz w:val="32"/>
          <w:szCs w:val="32"/>
        </w:rPr>
      </w:pPr>
      <w:bookmarkStart w:id="4" w:name="_Toc243504851"/>
      <w:r w:rsidRPr="00C826AD">
        <w:rPr>
          <w:sz w:val="32"/>
          <w:szCs w:val="32"/>
        </w:rPr>
        <w:lastRenderedPageBreak/>
        <w:t>4. Identifying Cultural Types: Models and Frameworks</w:t>
      </w:r>
      <w:bookmarkEnd w:id="4"/>
    </w:p>
    <w:p w14:paraId="79854BBA" w14:textId="77777777" w:rsidR="00A56F70" w:rsidRDefault="00000000">
      <w:pPr>
        <w:pStyle w:val="Heading2"/>
        <w:spacing w:after="80"/>
      </w:pPr>
      <w:bookmarkStart w:id="5" w:name="_Toc243504852"/>
      <w:r>
        <w:t>4.1 Schein’s three levels</w:t>
      </w:r>
      <w:bookmarkEnd w:id="5"/>
    </w:p>
    <w:p w14:paraId="09B7054D" w14:textId="77777777" w:rsidR="00A56F70" w:rsidRPr="00EC33DB" w:rsidRDefault="00000000" w:rsidP="00EC33DB">
      <w:pPr>
        <w:spacing w:after="120" w:line="360" w:lineRule="auto"/>
        <w:jc w:val="both"/>
        <w:rPr>
          <w:sz w:val="24"/>
          <w:szCs w:val="24"/>
        </w:rPr>
      </w:pPr>
      <w:r w:rsidRPr="00EC33DB">
        <w:rPr>
          <w:sz w:val="24"/>
          <w:szCs w:val="24"/>
        </w:rPr>
        <w:t>Schein and Schein (2017) distinguish artefacts, espoused values and underlying assumptions. At Toyota, artefacts include standard-work sheets, visual boards, andon signals, team meetings and structured problem-solving. Espoused values include continuous improvement, respect for people and customer safety. The deeper assumptions are that problems should be exposed rather than hidden, quality is everyone’s responsibility, and learning comes from examining actual work. The model is useful because it separates visible practices from the beliefs that make them meaningful.</w:t>
      </w:r>
    </w:p>
    <w:p w14:paraId="4D530FA6" w14:textId="77777777" w:rsidR="00A56F70" w:rsidRPr="00EC33DB" w:rsidRDefault="00000000" w:rsidP="00EC33DB">
      <w:pPr>
        <w:spacing w:after="120" w:line="360" w:lineRule="auto"/>
        <w:jc w:val="both"/>
        <w:rPr>
          <w:sz w:val="24"/>
          <w:szCs w:val="24"/>
        </w:rPr>
      </w:pPr>
      <w:r w:rsidRPr="00EC33DB">
        <w:rPr>
          <w:sz w:val="24"/>
          <w:szCs w:val="24"/>
        </w:rPr>
        <w:t>A critical Schein-based question is whether the three levels are aligned. A company may display kaizen boards and formally invite suggestions while employees experience targets or management responses that discourage speaking up. Artefacts alone therefore cannot confirm a learning culture. Assessment should triangulate company documents with employee surveys, grievance data, near-miss reporting, independent audits and evidence of whether reported problems lead to corrective action.</w:t>
      </w:r>
    </w:p>
    <w:p w14:paraId="068C2162" w14:textId="77777777" w:rsidR="00A56F70" w:rsidRDefault="00000000">
      <w:pPr>
        <w:pStyle w:val="Heading2"/>
        <w:spacing w:after="80"/>
      </w:pPr>
      <w:bookmarkStart w:id="6" w:name="_Toc243504853"/>
      <w:r>
        <w:t>4.2 Hofstede and cross-cultural management</w:t>
      </w:r>
      <w:bookmarkEnd w:id="6"/>
    </w:p>
    <w:p w14:paraId="48E96A6B" w14:textId="77777777" w:rsidR="00A56F70" w:rsidRPr="00EC33DB" w:rsidRDefault="00000000" w:rsidP="00EC33DB">
      <w:pPr>
        <w:spacing w:after="120" w:line="360" w:lineRule="auto"/>
        <w:jc w:val="both"/>
        <w:rPr>
          <w:sz w:val="24"/>
          <w:szCs w:val="24"/>
        </w:rPr>
      </w:pPr>
      <w:r w:rsidRPr="00EC33DB">
        <w:rPr>
          <w:sz w:val="24"/>
          <w:szCs w:val="24"/>
        </w:rPr>
        <w:t>Hofstede, Hofstede and Minkov (2010) provide a lens for considering how national cultural tendencies may influence the reception of Toyota’s practices. Japan is commonly characterised in Hofstede’s framework as relatively collectivist and high in uncertainty avoidance, with a strong long-term orientation. These tendencies may be compatible with team coordination, process discipline and incremental improvement. However, national scores are broad averages, not reliable descriptions of every Japanese employee or Toyota subsidiary. Using them deterministically risks stereotyping and overlooking professional, generational and organisational differences.</w:t>
      </w:r>
    </w:p>
    <w:p w14:paraId="3DA45F17" w14:textId="77777777" w:rsidR="00A56F70" w:rsidRPr="00EC33DB" w:rsidRDefault="00000000" w:rsidP="00EC33DB">
      <w:pPr>
        <w:spacing w:after="120" w:line="360" w:lineRule="auto"/>
        <w:jc w:val="both"/>
        <w:rPr>
          <w:sz w:val="24"/>
          <w:szCs w:val="24"/>
        </w:rPr>
      </w:pPr>
      <w:r w:rsidRPr="00EC33DB">
        <w:rPr>
          <w:sz w:val="24"/>
          <w:szCs w:val="24"/>
        </w:rPr>
        <w:t xml:space="preserve">Global implementation is consequently a process of translation, not simple replication. Mathew and Burgess (2023) demonstrate that lean-production </w:t>
      </w:r>
      <w:r w:rsidRPr="00EC33DB">
        <w:rPr>
          <w:sz w:val="24"/>
          <w:szCs w:val="24"/>
        </w:rPr>
        <w:lastRenderedPageBreak/>
        <w:t>expectations can conflict with local labour relations and employee expectations when imposed unilaterally. Toyota should retain common standards for safety, quality and ethical conduct while adapting participation methods, communication and employment practices to local contexts.</w:t>
      </w:r>
    </w:p>
    <w:p w14:paraId="65E0D57D" w14:textId="77777777" w:rsidR="00A56F70" w:rsidRDefault="00000000">
      <w:pPr>
        <w:pStyle w:val="Heading2"/>
        <w:spacing w:after="80"/>
      </w:pPr>
      <w:bookmarkStart w:id="7" w:name="_Toc243504854"/>
      <w:r>
        <w:t>4.3 Handy’s cultural types</w:t>
      </w:r>
      <w:bookmarkEnd w:id="7"/>
    </w:p>
    <w:p w14:paraId="7D6AF7F8" w14:textId="77777777" w:rsidR="00A56F70" w:rsidRPr="00EC33DB" w:rsidRDefault="00000000" w:rsidP="00EC33DB">
      <w:pPr>
        <w:spacing w:after="120" w:line="360" w:lineRule="auto"/>
        <w:jc w:val="both"/>
        <w:rPr>
          <w:sz w:val="24"/>
          <w:szCs w:val="24"/>
        </w:rPr>
      </w:pPr>
      <w:r w:rsidRPr="00EC33DB">
        <w:rPr>
          <w:sz w:val="24"/>
          <w:szCs w:val="24"/>
        </w:rPr>
        <w:t>Handy’s framework distinguishes power, role, task and person cultures (Handy, 1993). Toyota contains features of role culture through formal procedures, job responsibilities and standardised systems; task culture through cross-functional teams solving quality and engineering problems; and power culture where senior leadership retains authority over major strategic choices. It is therefore misleading to label Toyota exclusively as one type. Its prevailing pattern is best described as a role-and-task hybrid: rules provide reliable coordination, while teams are expected to improve the work. The risk is that role-based hierarchy can overpower task-based challenge if seniority carries more weight than evidence.</w:t>
      </w:r>
    </w:p>
    <w:p w14:paraId="0BB7E3F3" w14:textId="77777777" w:rsidR="00A56F70" w:rsidRDefault="00000000">
      <w:pPr>
        <w:pStyle w:val="Heading2"/>
        <w:spacing w:after="80"/>
      </w:pPr>
      <w:bookmarkStart w:id="8" w:name="_Toc243504855"/>
      <w:r>
        <w:t>4.4 Denison’s culture and effectiveness model</w:t>
      </w:r>
      <w:bookmarkEnd w:id="8"/>
    </w:p>
    <w:p w14:paraId="28B0A8B0" w14:textId="5CC33B8A" w:rsidR="00A56F70" w:rsidRPr="00EC33DB" w:rsidRDefault="00000000" w:rsidP="00EC33DB">
      <w:pPr>
        <w:spacing w:after="120" w:line="360" w:lineRule="auto"/>
        <w:jc w:val="both"/>
        <w:rPr>
          <w:sz w:val="24"/>
          <w:szCs w:val="24"/>
        </w:rPr>
      </w:pPr>
      <w:r w:rsidRPr="00EC33DB">
        <w:rPr>
          <w:sz w:val="24"/>
          <w:szCs w:val="24"/>
        </w:rPr>
        <w:t xml:space="preserve">Denison and Mishra (1995) identify involvement, consistency, adaptability and mission as cultural traits associated with organisational effectiveness. Toyota’s teamwork and employee problem-solving align with involvement; standard work and shared production principles align with consistency; kaizen and product-development learning align with adaptability; and a customer-focused quality mission provides direction. The model highlights a key tension: strong consistency and mission can improve </w:t>
      </w:r>
      <w:r w:rsidR="00EC33DB" w:rsidRPr="00EC33DB">
        <w:rPr>
          <w:sz w:val="24"/>
          <w:szCs w:val="24"/>
        </w:rPr>
        <w:t>reliability but</w:t>
      </w:r>
      <w:r w:rsidRPr="00EC33DB">
        <w:rPr>
          <w:sz w:val="24"/>
          <w:szCs w:val="24"/>
        </w:rPr>
        <w:t xml:space="preserve"> may reduce adaptability if established routines become difficult to question.</w:t>
      </w:r>
    </w:p>
    <w:p w14:paraId="1C441F63" w14:textId="77777777" w:rsidR="00A56F70" w:rsidRDefault="00000000">
      <w:r>
        <w:rPr>
          <w:noProof/>
        </w:rPr>
        <w:lastRenderedPageBreak/>
        <w:drawing>
          <wp:inline distT="0" distB="0" distL="0" distR="0" wp14:anchorId="5E10BBCC" wp14:editId="4301765F">
            <wp:extent cx="5669280" cy="26430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yota_culture_framework.png"/>
                    <pic:cNvPicPr/>
                  </pic:nvPicPr>
                  <pic:blipFill>
                    <a:blip r:embed="rId8"/>
                    <a:stretch>
                      <a:fillRect/>
                    </a:stretch>
                  </pic:blipFill>
                  <pic:spPr>
                    <a:xfrm>
                      <a:off x="0" y="0"/>
                      <a:ext cx="5669280" cy="2643002"/>
                    </a:xfrm>
                    <a:prstGeom prst="rect">
                      <a:avLst/>
                    </a:prstGeom>
                  </pic:spPr>
                </pic:pic>
              </a:graphicData>
            </a:graphic>
          </wp:inline>
        </w:drawing>
      </w:r>
    </w:p>
    <w:p w14:paraId="7C74DC52" w14:textId="77777777" w:rsidR="00A56F70" w:rsidRDefault="00000000">
      <w:pPr>
        <w:jc w:val="center"/>
      </w:pPr>
      <w:r>
        <w:t>Figure 1. Author’s qualitative interpretation of Toyota’s stated culture using Denison’s four traits. Scores are analytical judgements based on published descriptions, not empirical employee-survey results or official Toyota ratings.</w:t>
      </w:r>
    </w:p>
    <w:p w14:paraId="2A35414F" w14:textId="77777777" w:rsidR="00A56F70" w:rsidRPr="00EC33DB" w:rsidRDefault="00000000" w:rsidP="00EC33DB">
      <w:pPr>
        <w:spacing w:after="120" w:line="360" w:lineRule="auto"/>
        <w:jc w:val="both"/>
        <w:rPr>
          <w:sz w:val="24"/>
          <w:szCs w:val="24"/>
        </w:rPr>
      </w:pPr>
      <w:r w:rsidRPr="00EC33DB">
        <w:rPr>
          <w:sz w:val="24"/>
          <w:szCs w:val="24"/>
        </w:rPr>
        <w:t>The profile suggests strong consistency, with relatively strong involvement, adaptability and mission. It should be treated as a structured hypothesis rather than a measured result. A defensible assessment would require comparable employee data across regions and links to objective outcomes. Denison’s model also reminds managers that no single trait is sufficient: effectiveness depends on balancing internal integration with external responsiveness.</w:t>
      </w:r>
    </w:p>
    <w:p w14:paraId="58172F91" w14:textId="77777777" w:rsidR="00A56F70" w:rsidRDefault="00000000">
      <w:pPr>
        <w:pStyle w:val="Heading1"/>
        <w:spacing w:before="200" w:after="80"/>
      </w:pPr>
      <w:bookmarkStart w:id="9" w:name="_Toc243504856"/>
      <w:r>
        <w:t>5. Culture and the External Environment</w:t>
      </w:r>
      <w:bookmarkEnd w:id="9"/>
    </w:p>
    <w:p w14:paraId="0C88AC8A" w14:textId="1357F7A6" w:rsidR="00A56F70" w:rsidRPr="00C826AD" w:rsidRDefault="00000000" w:rsidP="00C826AD">
      <w:pPr>
        <w:spacing w:after="120" w:line="360" w:lineRule="auto"/>
        <w:jc w:val="both"/>
        <w:rPr>
          <w:sz w:val="24"/>
          <w:szCs w:val="24"/>
        </w:rPr>
      </w:pPr>
      <w:r w:rsidRPr="00C826AD">
        <w:rPr>
          <w:sz w:val="24"/>
          <w:szCs w:val="24"/>
        </w:rPr>
        <w:t xml:space="preserve">Toyota operates in an environment shaped by electrification, software-defined vehicles, emissions rules, supply-chain disruption, changing customer preferences and intense competition. Its improvement culture can support adaptation by encouraging small experiments, rapid identification of process failures and knowledge transfer. Its long-term orientation may also support investment in capabilities that do not produce immediate returns. Toyota’s Integrated Report provides the company’s own account of its strategy and management </w:t>
      </w:r>
      <w:r w:rsidR="00C826AD" w:rsidRPr="00C826AD">
        <w:rPr>
          <w:sz w:val="24"/>
          <w:szCs w:val="24"/>
        </w:rPr>
        <w:t>priorities and</w:t>
      </w:r>
      <w:r w:rsidRPr="00C826AD">
        <w:rPr>
          <w:sz w:val="24"/>
          <w:szCs w:val="24"/>
        </w:rPr>
        <w:t xml:space="preserve"> should be read as a corporate source that presents management’s perspective rather than independent proof of effectiveness (Toyota, 2025).</w:t>
      </w:r>
    </w:p>
    <w:p w14:paraId="724FDBF5" w14:textId="77777777" w:rsidR="00A56F70" w:rsidRPr="00C826AD" w:rsidRDefault="00000000" w:rsidP="00C826AD">
      <w:pPr>
        <w:spacing w:after="120" w:line="360" w:lineRule="auto"/>
        <w:jc w:val="both"/>
        <w:rPr>
          <w:sz w:val="24"/>
          <w:szCs w:val="24"/>
        </w:rPr>
      </w:pPr>
      <w:r w:rsidRPr="00C826AD">
        <w:rPr>
          <w:sz w:val="24"/>
          <w:szCs w:val="24"/>
        </w:rPr>
        <w:lastRenderedPageBreak/>
        <w:t xml:space="preserve">Environmental change also tests whether continuous improvement is sufficiently radical. Incremental kaizen is well suited to reducing defects and waste in established processes, but electrification and software may require new business models, external partnerships and faster portfolio choices. A culture optimised for manufacturing efficiency can become path-dependent: routines that were previously successful may make alternative technologies appear less attractive or difficult to scale. Van Driel and Dolfsma (2009) argue that TPS is shaped by path-dependent routines; this warns against </w:t>
      </w:r>
      <w:proofErr w:type="gramStart"/>
      <w:r w:rsidRPr="00C826AD">
        <w:rPr>
          <w:sz w:val="24"/>
          <w:szCs w:val="24"/>
        </w:rPr>
        <w:t>assuming that</w:t>
      </w:r>
      <w:proofErr w:type="gramEnd"/>
      <w:r w:rsidRPr="00C826AD">
        <w:rPr>
          <w:sz w:val="24"/>
          <w:szCs w:val="24"/>
        </w:rPr>
        <w:t xml:space="preserve"> a proven system will always fit new conditions.</w:t>
      </w:r>
    </w:p>
    <w:p w14:paraId="7CB63E2F" w14:textId="77777777" w:rsidR="00A56F70" w:rsidRPr="00C826AD" w:rsidRDefault="00000000" w:rsidP="00C826AD">
      <w:pPr>
        <w:spacing w:after="120" w:line="360" w:lineRule="auto"/>
        <w:jc w:val="both"/>
        <w:rPr>
          <w:sz w:val="24"/>
          <w:szCs w:val="24"/>
        </w:rPr>
      </w:pPr>
      <w:r w:rsidRPr="00C826AD">
        <w:rPr>
          <w:sz w:val="24"/>
          <w:szCs w:val="24"/>
        </w:rPr>
        <w:t>Denison’s adaptability trait is particularly relevant. Toyota can use customer feedback, supplier collaboration and local market knowledge to modify products and operations, while consistency maintains safety and quality standards. In regulatory contexts, adaptation must mean strengthening compliance systems, not merely reacting after a failure. The certification issues disclosed in 2024 show the reputational and governance costs that can arise when formal procedures and actual practice are misaligned (Toyota, 2024a; Toyota, 2024b). The appropriate cultural response is transparent escalation, independent verification and learning that is not limited to production efficiency.</w:t>
      </w:r>
    </w:p>
    <w:p w14:paraId="767C9EC3" w14:textId="77777777" w:rsidR="00A56F70" w:rsidRPr="00C826AD" w:rsidRDefault="00000000" w:rsidP="00C826AD">
      <w:pPr>
        <w:spacing w:after="120" w:line="360" w:lineRule="auto"/>
        <w:jc w:val="both"/>
        <w:rPr>
          <w:sz w:val="24"/>
          <w:szCs w:val="24"/>
        </w:rPr>
      </w:pPr>
      <w:r w:rsidRPr="00C826AD">
        <w:rPr>
          <w:sz w:val="24"/>
          <w:szCs w:val="24"/>
        </w:rPr>
        <w:t>Globalisation further requires Toyota to reconcile shared corporate values with local expectations. The Toyota Way was explicitly articulated as the company expanded internationally, to make previously implicit principles more transferable across operations (Toyota, n.d.). Yet a global culture should define non-negotiable principles—safety, honesty, respect and quality—while allowing locally appropriate ways of implementing participation and problem-solving. Cultural consistency should be about ethical purpose and learning, not identical management behaviour in every country.</w:t>
      </w:r>
    </w:p>
    <w:p w14:paraId="25E38B43" w14:textId="77777777" w:rsidR="00A56F70" w:rsidRPr="00C826AD" w:rsidRDefault="00000000">
      <w:pPr>
        <w:pStyle w:val="Heading1"/>
        <w:spacing w:before="200" w:after="80"/>
        <w:rPr>
          <w:sz w:val="32"/>
          <w:szCs w:val="32"/>
        </w:rPr>
      </w:pPr>
      <w:bookmarkStart w:id="10" w:name="_Toc243504857"/>
      <w:r w:rsidRPr="00C826AD">
        <w:rPr>
          <w:sz w:val="32"/>
          <w:szCs w:val="32"/>
        </w:rPr>
        <w:t>6. Organisational Culture as a Barrier or Enabler</w:t>
      </w:r>
      <w:bookmarkEnd w:id="10"/>
    </w:p>
    <w:p w14:paraId="25625CE3" w14:textId="77777777" w:rsidR="00A56F70" w:rsidRPr="00C826AD" w:rsidRDefault="00000000" w:rsidP="00C826AD">
      <w:pPr>
        <w:spacing w:after="120" w:line="360" w:lineRule="auto"/>
        <w:jc w:val="both"/>
        <w:rPr>
          <w:sz w:val="24"/>
          <w:szCs w:val="24"/>
        </w:rPr>
      </w:pPr>
      <w:r w:rsidRPr="00C826AD">
        <w:rPr>
          <w:sz w:val="24"/>
          <w:szCs w:val="24"/>
        </w:rPr>
        <w:t xml:space="preserve">Overall, Toyota’s culture is more of an enabler than a barrier because it links employee learning with process discipline. Continuous improvement can make small operational problems visible; respect for people can support employee </w:t>
      </w:r>
      <w:r w:rsidRPr="00C826AD">
        <w:rPr>
          <w:sz w:val="24"/>
          <w:szCs w:val="24"/>
        </w:rPr>
        <w:lastRenderedPageBreak/>
        <w:t>contribution; and shared standards can coordinate complex manufacturing. These characteristics align with Denison and Mishra’s (1995) proposition that involvement, consistency, adaptability and mission are associated with effectiveness. They also explain why TPS has influenced manufacturing practices well beyond Toyota.</w:t>
      </w:r>
    </w:p>
    <w:p w14:paraId="4992383F" w14:textId="77777777" w:rsidR="00A56F70" w:rsidRPr="00C826AD" w:rsidRDefault="00000000" w:rsidP="00C826AD">
      <w:pPr>
        <w:spacing w:after="120" w:line="360" w:lineRule="auto"/>
        <w:jc w:val="both"/>
        <w:rPr>
          <w:sz w:val="24"/>
          <w:szCs w:val="24"/>
        </w:rPr>
      </w:pPr>
      <w:r w:rsidRPr="00C826AD">
        <w:rPr>
          <w:sz w:val="24"/>
          <w:szCs w:val="24"/>
        </w:rPr>
        <w:t>However, culture becomes a barrier when the means are mistaken for the ends. First, a strong consensus norm may discourage dissent or delay decisions in fast-moving markets. Second, standardisation may create rigidity if employees are rewarded for compliance rather than for challenging an obsolete standard. Third, a high-pressure performance environment can contradict respect for people if employees feel unable to stop work or report risks. Fourth, global transfer may become cultural imperialism if local worker voice and institutions are treated as obstacles. Evidence of industrial dispute at Toyota’s Indian plant reinforces the need to evaluate how practices are experienced, not only how they are described by headquarters (Mathew and Burgess, 2023).</w:t>
      </w:r>
    </w:p>
    <w:p w14:paraId="0984A32E" w14:textId="77777777" w:rsidR="00A56F70" w:rsidRPr="00C826AD" w:rsidRDefault="00000000" w:rsidP="00C826AD">
      <w:pPr>
        <w:spacing w:after="120" w:line="360" w:lineRule="auto"/>
        <w:jc w:val="both"/>
        <w:rPr>
          <w:sz w:val="24"/>
          <w:szCs w:val="24"/>
        </w:rPr>
      </w:pPr>
      <w:r w:rsidRPr="00C826AD">
        <w:rPr>
          <w:sz w:val="24"/>
          <w:szCs w:val="24"/>
        </w:rPr>
        <w:t>The 2024 certification disclosures also underline that a strong operational culture does not automatically guarantee strong ethical governance. Culture is an enabling condition, not a substitute for independent controls, accountability and regulatory compliance. The key judgement is therefore conditional: Toyota’s culture is an advantage when leaders model openness, protect dissent and align incentives with quality and integrity; it becomes a barrier when hierarchy, output pressure or historical routines silence inconvenient information.</w:t>
      </w:r>
    </w:p>
    <w:p w14:paraId="4074CA77" w14:textId="77777777" w:rsidR="00A56F70" w:rsidRPr="004C264E" w:rsidRDefault="00000000">
      <w:pPr>
        <w:pStyle w:val="Heading1"/>
        <w:spacing w:before="200" w:after="80"/>
        <w:rPr>
          <w:sz w:val="32"/>
          <w:szCs w:val="32"/>
        </w:rPr>
      </w:pPr>
      <w:bookmarkStart w:id="11" w:name="_Toc243504858"/>
      <w:r w:rsidRPr="004C264E">
        <w:rPr>
          <w:sz w:val="32"/>
          <w:szCs w:val="32"/>
        </w:rPr>
        <w:t>7. Impact of Culture on Organisational Performance</w:t>
      </w:r>
      <w:bookmarkEnd w:id="11"/>
    </w:p>
    <w:p w14:paraId="5B881E41" w14:textId="77777777" w:rsidR="00A56F70" w:rsidRPr="00C826AD" w:rsidRDefault="00000000" w:rsidP="00C826AD">
      <w:pPr>
        <w:spacing w:after="120" w:line="360" w:lineRule="auto"/>
        <w:jc w:val="both"/>
        <w:rPr>
          <w:sz w:val="24"/>
          <w:szCs w:val="24"/>
        </w:rPr>
      </w:pPr>
      <w:r w:rsidRPr="00C826AD">
        <w:rPr>
          <w:sz w:val="24"/>
          <w:szCs w:val="24"/>
        </w:rPr>
        <w:t>Culture can affect performance through several pathways. Standardised work and jidoka support quality and reliability; just-in-time practices can reduce inventory and expose bottlenecks; kaizen can improve productivity; and team learning can preserve knowledge across production cycles. Liker (2004) argues that these elements are mutually reinforcing. The value is systemic: just-in-time without reliable processes may increase disruption, while standardisation without improvement may fossilise inefficient practices.</w:t>
      </w:r>
    </w:p>
    <w:p w14:paraId="0FFD9A74" w14:textId="77777777" w:rsidR="00A56F70" w:rsidRPr="00C826AD" w:rsidRDefault="00000000" w:rsidP="00C826AD">
      <w:pPr>
        <w:spacing w:after="120" w:line="360" w:lineRule="auto"/>
        <w:jc w:val="both"/>
        <w:rPr>
          <w:sz w:val="24"/>
          <w:szCs w:val="24"/>
        </w:rPr>
      </w:pPr>
      <w:r w:rsidRPr="00C826AD">
        <w:rPr>
          <w:sz w:val="24"/>
          <w:szCs w:val="24"/>
        </w:rPr>
        <w:lastRenderedPageBreak/>
        <w:t>The relationship between culture and performance should nevertheless be assessed carefully. Strong culture can support shared purpose and coordination, but performance also depends on product design, capital investment, supply conditions, market demand, regulation and macroeconomic factors. Correlation between cultural practices and business results does not establish that culture alone caused the results. Denison and Mishra (1995) found links between cultural traits and effectiveness indicators, while the Toyota recall-crisis analysis shows how growth and globalisation can disturb the fit between elements of an otherwise admired system (Journal of Organization Design, 2016).</w:t>
      </w:r>
    </w:p>
    <w:p w14:paraId="0F1B0AC4" w14:textId="77777777" w:rsidR="00A56F70" w:rsidRPr="00C826AD" w:rsidRDefault="00000000" w:rsidP="00C826AD">
      <w:pPr>
        <w:spacing w:after="120" w:line="360" w:lineRule="auto"/>
        <w:jc w:val="both"/>
        <w:rPr>
          <w:sz w:val="24"/>
          <w:szCs w:val="24"/>
        </w:rPr>
      </w:pPr>
      <w:r w:rsidRPr="00C826AD">
        <w:rPr>
          <w:sz w:val="24"/>
          <w:szCs w:val="24"/>
        </w:rPr>
        <w:t>Toyota’s performance evaluation should therefore use a balanced scorecard rather than financial outcomes alone. Relevant measures include first-time quality, warranty claims and recalls, production lead time, inventory turns, employee suggestions implemented, psychological safety, safety incidents, supplier quality, regulatory findings, customer satisfaction and profitability. Measures should be segmented by plant and region so that strong aggregate results do not conceal local problems. A culture can improve short-term efficiency while creating hidden long-term costs if employees do not report defects, or if environmental and compliance risks are externalised.</w:t>
      </w:r>
    </w:p>
    <w:p w14:paraId="1B78C4A4" w14:textId="77777777" w:rsidR="00A56F70" w:rsidRDefault="00000000">
      <w:pPr>
        <w:pStyle w:val="Heading2"/>
        <w:spacing w:after="80"/>
      </w:pPr>
      <w:bookmarkStart w:id="12" w:name="_Toc243504859"/>
      <w:r>
        <w:t>Table 2. Proposed culture-performance dashboard</w:t>
      </w:r>
      <w:bookmarkEnd w:id="12"/>
    </w:p>
    <w:tbl>
      <w:tblPr>
        <w:tblW w:w="0" w:type="auto"/>
        <w:jc w:val="center"/>
        <w:tblLook w:val="04A0" w:firstRow="1" w:lastRow="0" w:firstColumn="1" w:lastColumn="0" w:noHBand="0" w:noVBand="1"/>
      </w:tblPr>
      <w:tblGrid>
        <w:gridCol w:w="2880"/>
        <w:gridCol w:w="2880"/>
        <w:gridCol w:w="2880"/>
      </w:tblGrid>
      <w:tr w:rsidR="00A56F70" w:rsidRPr="00C826AD" w14:paraId="5F251B5A" w14:textId="77777777">
        <w:trPr>
          <w:jc w:val="center"/>
        </w:trPr>
        <w:tc>
          <w:tcPr>
            <w:tcW w:w="2880" w:type="dxa"/>
            <w:shd w:val="clear" w:color="auto" w:fill="D9EAF7"/>
            <w:vAlign w:val="center"/>
          </w:tcPr>
          <w:p w14:paraId="031C8D57" w14:textId="77777777" w:rsidR="00A56F70" w:rsidRPr="00C826AD" w:rsidRDefault="00000000" w:rsidP="00C826AD">
            <w:pPr>
              <w:spacing w:line="360" w:lineRule="auto"/>
              <w:rPr>
                <w:sz w:val="24"/>
                <w:szCs w:val="24"/>
              </w:rPr>
            </w:pPr>
            <w:r w:rsidRPr="00C826AD">
              <w:rPr>
                <w:b/>
                <w:sz w:val="24"/>
                <w:szCs w:val="24"/>
              </w:rPr>
              <w:t>Dimension</w:t>
            </w:r>
          </w:p>
        </w:tc>
        <w:tc>
          <w:tcPr>
            <w:tcW w:w="2880" w:type="dxa"/>
            <w:shd w:val="clear" w:color="auto" w:fill="D9EAF7"/>
            <w:vAlign w:val="center"/>
          </w:tcPr>
          <w:p w14:paraId="7966FA33" w14:textId="77777777" w:rsidR="00A56F70" w:rsidRPr="00C826AD" w:rsidRDefault="00000000" w:rsidP="00C826AD">
            <w:pPr>
              <w:spacing w:line="360" w:lineRule="auto"/>
              <w:rPr>
                <w:sz w:val="24"/>
                <w:szCs w:val="24"/>
              </w:rPr>
            </w:pPr>
            <w:r w:rsidRPr="00C826AD">
              <w:rPr>
                <w:b/>
                <w:sz w:val="24"/>
                <w:szCs w:val="24"/>
              </w:rPr>
              <w:t>Suggested indicators</w:t>
            </w:r>
          </w:p>
        </w:tc>
        <w:tc>
          <w:tcPr>
            <w:tcW w:w="2880" w:type="dxa"/>
            <w:shd w:val="clear" w:color="auto" w:fill="D9EAF7"/>
            <w:vAlign w:val="center"/>
          </w:tcPr>
          <w:p w14:paraId="7E996E30" w14:textId="77777777" w:rsidR="00A56F70" w:rsidRPr="00C826AD" w:rsidRDefault="00000000" w:rsidP="00C826AD">
            <w:pPr>
              <w:spacing w:line="360" w:lineRule="auto"/>
              <w:rPr>
                <w:sz w:val="24"/>
                <w:szCs w:val="24"/>
              </w:rPr>
            </w:pPr>
            <w:r w:rsidRPr="00C826AD">
              <w:rPr>
                <w:b/>
                <w:sz w:val="24"/>
                <w:szCs w:val="24"/>
              </w:rPr>
              <w:t>Why it matters</w:t>
            </w:r>
          </w:p>
        </w:tc>
      </w:tr>
      <w:tr w:rsidR="00A56F70" w:rsidRPr="00C826AD" w14:paraId="2B5EFF47" w14:textId="77777777">
        <w:trPr>
          <w:jc w:val="center"/>
        </w:trPr>
        <w:tc>
          <w:tcPr>
            <w:tcW w:w="2880" w:type="dxa"/>
            <w:vAlign w:val="center"/>
          </w:tcPr>
          <w:p w14:paraId="2D972589" w14:textId="77777777" w:rsidR="00A56F70" w:rsidRPr="00C826AD" w:rsidRDefault="00000000" w:rsidP="00C826AD">
            <w:pPr>
              <w:spacing w:line="360" w:lineRule="auto"/>
              <w:rPr>
                <w:sz w:val="24"/>
                <w:szCs w:val="24"/>
              </w:rPr>
            </w:pPr>
            <w:r w:rsidRPr="00C826AD">
              <w:rPr>
                <w:sz w:val="24"/>
                <w:szCs w:val="24"/>
              </w:rPr>
              <w:t>Quality and safety</w:t>
            </w:r>
          </w:p>
        </w:tc>
        <w:tc>
          <w:tcPr>
            <w:tcW w:w="2880" w:type="dxa"/>
            <w:vAlign w:val="center"/>
          </w:tcPr>
          <w:p w14:paraId="1A87CA72" w14:textId="77777777" w:rsidR="00A56F70" w:rsidRPr="00C826AD" w:rsidRDefault="00000000" w:rsidP="00C826AD">
            <w:pPr>
              <w:spacing w:line="360" w:lineRule="auto"/>
              <w:rPr>
                <w:sz w:val="24"/>
                <w:szCs w:val="24"/>
              </w:rPr>
            </w:pPr>
            <w:r w:rsidRPr="00C826AD">
              <w:rPr>
                <w:sz w:val="24"/>
                <w:szCs w:val="24"/>
              </w:rPr>
              <w:t>First-time-through rate; warranty claims; near-miss reporting; serious incidents</w:t>
            </w:r>
          </w:p>
        </w:tc>
        <w:tc>
          <w:tcPr>
            <w:tcW w:w="2880" w:type="dxa"/>
            <w:vAlign w:val="center"/>
          </w:tcPr>
          <w:p w14:paraId="666E2A70" w14:textId="3C4809C7" w:rsidR="00A56F70" w:rsidRPr="00C826AD" w:rsidRDefault="00C826AD" w:rsidP="00C826AD">
            <w:pPr>
              <w:spacing w:line="360" w:lineRule="auto"/>
              <w:rPr>
                <w:sz w:val="24"/>
                <w:szCs w:val="24"/>
              </w:rPr>
            </w:pPr>
            <w:r w:rsidRPr="00C826AD">
              <w:rPr>
                <w:sz w:val="24"/>
                <w:szCs w:val="24"/>
              </w:rPr>
              <w:t>Tests on whether quality is built into processes and employees can raise concerns.</w:t>
            </w:r>
          </w:p>
        </w:tc>
      </w:tr>
      <w:tr w:rsidR="00A56F70" w:rsidRPr="00C826AD" w14:paraId="71714862" w14:textId="77777777">
        <w:trPr>
          <w:jc w:val="center"/>
        </w:trPr>
        <w:tc>
          <w:tcPr>
            <w:tcW w:w="2880" w:type="dxa"/>
            <w:vAlign w:val="center"/>
          </w:tcPr>
          <w:p w14:paraId="7674128B" w14:textId="77777777" w:rsidR="00A56F70" w:rsidRPr="00C826AD" w:rsidRDefault="00000000" w:rsidP="00C826AD">
            <w:pPr>
              <w:spacing w:line="360" w:lineRule="auto"/>
              <w:rPr>
                <w:sz w:val="24"/>
                <w:szCs w:val="24"/>
              </w:rPr>
            </w:pPr>
            <w:r w:rsidRPr="00C826AD">
              <w:rPr>
                <w:sz w:val="24"/>
                <w:szCs w:val="24"/>
              </w:rPr>
              <w:t>Learning and involvement</w:t>
            </w:r>
          </w:p>
        </w:tc>
        <w:tc>
          <w:tcPr>
            <w:tcW w:w="2880" w:type="dxa"/>
            <w:vAlign w:val="center"/>
          </w:tcPr>
          <w:p w14:paraId="5DF850D6" w14:textId="77777777" w:rsidR="00A56F70" w:rsidRPr="00C826AD" w:rsidRDefault="00000000" w:rsidP="00C826AD">
            <w:pPr>
              <w:spacing w:line="360" w:lineRule="auto"/>
              <w:rPr>
                <w:sz w:val="24"/>
                <w:szCs w:val="24"/>
              </w:rPr>
            </w:pPr>
            <w:r w:rsidRPr="00C826AD">
              <w:rPr>
                <w:sz w:val="24"/>
                <w:szCs w:val="24"/>
              </w:rPr>
              <w:t xml:space="preserve">Suggestions per employee; implementation rate; team problem-solving; psychological-safety </w:t>
            </w:r>
            <w:r w:rsidRPr="00C826AD">
              <w:rPr>
                <w:sz w:val="24"/>
                <w:szCs w:val="24"/>
              </w:rPr>
              <w:lastRenderedPageBreak/>
              <w:t>pulse survey</w:t>
            </w:r>
          </w:p>
        </w:tc>
        <w:tc>
          <w:tcPr>
            <w:tcW w:w="2880" w:type="dxa"/>
            <w:vAlign w:val="center"/>
          </w:tcPr>
          <w:p w14:paraId="1A4202C7" w14:textId="77777777" w:rsidR="00A56F70" w:rsidRPr="00C826AD" w:rsidRDefault="00000000" w:rsidP="00C826AD">
            <w:pPr>
              <w:spacing w:line="360" w:lineRule="auto"/>
              <w:rPr>
                <w:sz w:val="24"/>
                <w:szCs w:val="24"/>
              </w:rPr>
            </w:pPr>
            <w:r w:rsidRPr="00C826AD">
              <w:rPr>
                <w:sz w:val="24"/>
                <w:szCs w:val="24"/>
              </w:rPr>
              <w:lastRenderedPageBreak/>
              <w:t>Distinguishes genuine participation from symbolic kaizen activity.</w:t>
            </w:r>
          </w:p>
        </w:tc>
      </w:tr>
      <w:tr w:rsidR="00A56F70" w:rsidRPr="00C826AD" w14:paraId="0A18CADC" w14:textId="77777777">
        <w:trPr>
          <w:jc w:val="center"/>
        </w:trPr>
        <w:tc>
          <w:tcPr>
            <w:tcW w:w="2880" w:type="dxa"/>
            <w:vAlign w:val="center"/>
          </w:tcPr>
          <w:p w14:paraId="21F2CB5E" w14:textId="77777777" w:rsidR="00A56F70" w:rsidRPr="00C826AD" w:rsidRDefault="00000000" w:rsidP="00C826AD">
            <w:pPr>
              <w:spacing w:line="360" w:lineRule="auto"/>
              <w:rPr>
                <w:sz w:val="24"/>
                <w:szCs w:val="24"/>
              </w:rPr>
            </w:pPr>
            <w:r w:rsidRPr="00C826AD">
              <w:rPr>
                <w:sz w:val="24"/>
                <w:szCs w:val="24"/>
              </w:rPr>
              <w:t>Adaptability</w:t>
            </w:r>
          </w:p>
        </w:tc>
        <w:tc>
          <w:tcPr>
            <w:tcW w:w="2880" w:type="dxa"/>
            <w:vAlign w:val="center"/>
          </w:tcPr>
          <w:p w14:paraId="7A70A10C" w14:textId="77777777" w:rsidR="00A56F70" w:rsidRPr="00C826AD" w:rsidRDefault="00000000" w:rsidP="00C826AD">
            <w:pPr>
              <w:spacing w:line="360" w:lineRule="auto"/>
              <w:rPr>
                <w:sz w:val="24"/>
                <w:szCs w:val="24"/>
              </w:rPr>
            </w:pPr>
            <w:r w:rsidRPr="00C826AD">
              <w:rPr>
                <w:sz w:val="24"/>
                <w:szCs w:val="24"/>
              </w:rPr>
              <w:t>Time from customer/regulatory signal to corrective action; new-product learning milestones</w:t>
            </w:r>
          </w:p>
        </w:tc>
        <w:tc>
          <w:tcPr>
            <w:tcW w:w="2880" w:type="dxa"/>
            <w:vAlign w:val="center"/>
          </w:tcPr>
          <w:p w14:paraId="4DDF49A3" w14:textId="77777777" w:rsidR="00A56F70" w:rsidRPr="00C826AD" w:rsidRDefault="00000000" w:rsidP="00C826AD">
            <w:pPr>
              <w:spacing w:line="360" w:lineRule="auto"/>
              <w:rPr>
                <w:sz w:val="24"/>
                <w:szCs w:val="24"/>
              </w:rPr>
            </w:pPr>
            <w:r w:rsidRPr="00C826AD">
              <w:rPr>
                <w:sz w:val="24"/>
                <w:szCs w:val="24"/>
              </w:rPr>
              <w:t>Shows whether the culture responds to environmental change.</w:t>
            </w:r>
          </w:p>
        </w:tc>
      </w:tr>
      <w:tr w:rsidR="00A56F70" w:rsidRPr="00C826AD" w14:paraId="4761F218" w14:textId="77777777">
        <w:trPr>
          <w:jc w:val="center"/>
        </w:trPr>
        <w:tc>
          <w:tcPr>
            <w:tcW w:w="2880" w:type="dxa"/>
            <w:vAlign w:val="center"/>
          </w:tcPr>
          <w:p w14:paraId="742B08D3" w14:textId="77777777" w:rsidR="00A56F70" w:rsidRPr="00C826AD" w:rsidRDefault="00000000" w:rsidP="00C826AD">
            <w:pPr>
              <w:spacing w:line="360" w:lineRule="auto"/>
              <w:rPr>
                <w:sz w:val="24"/>
                <w:szCs w:val="24"/>
              </w:rPr>
            </w:pPr>
            <w:r w:rsidRPr="00C826AD">
              <w:rPr>
                <w:sz w:val="24"/>
                <w:szCs w:val="24"/>
              </w:rPr>
              <w:t>Ethics and compliance</w:t>
            </w:r>
          </w:p>
        </w:tc>
        <w:tc>
          <w:tcPr>
            <w:tcW w:w="2880" w:type="dxa"/>
            <w:vAlign w:val="center"/>
          </w:tcPr>
          <w:p w14:paraId="31FE7B9E" w14:textId="77777777" w:rsidR="00A56F70" w:rsidRPr="00C826AD" w:rsidRDefault="00000000" w:rsidP="00C826AD">
            <w:pPr>
              <w:spacing w:line="360" w:lineRule="auto"/>
              <w:rPr>
                <w:sz w:val="24"/>
                <w:szCs w:val="24"/>
              </w:rPr>
            </w:pPr>
            <w:r w:rsidRPr="00C826AD">
              <w:rPr>
                <w:sz w:val="24"/>
                <w:szCs w:val="24"/>
              </w:rPr>
              <w:t>Audit findings; certification errors; closure time; speak-up case outcomes</w:t>
            </w:r>
          </w:p>
        </w:tc>
        <w:tc>
          <w:tcPr>
            <w:tcW w:w="2880" w:type="dxa"/>
            <w:vAlign w:val="center"/>
          </w:tcPr>
          <w:p w14:paraId="0AD924B5" w14:textId="77777777" w:rsidR="00A56F70" w:rsidRPr="00C826AD" w:rsidRDefault="00000000" w:rsidP="00C826AD">
            <w:pPr>
              <w:spacing w:line="360" w:lineRule="auto"/>
              <w:rPr>
                <w:sz w:val="24"/>
                <w:szCs w:val="24"/>
              </w:rPr>
            </w:pPr>
            <w:r w:rsidRPr="00C826AD">
              <w:rPr>
                <w:sz w:val="24"/>
                <w:szCs w:val="24"/>
              </w:rPr>
              <w:t>Checks whether stated values translate into governance and accountability.</w:t>
            </w:r>
          </w:p>
        </w:tc>
      </w:tr>
      <w:tr w:rsidR="00A56F70" w:rsidRPr="00C826AD" w14:paraId="1944CF5F" w14:textId="77777777">
        <w:trPr>
          <w:jc w:val="center"/>
        </w:trPr>
        <w:tc>
          <w:tcPr>
            <w:tcW w:w="2880" w:type="dxa"/>
            <w:vAlign w:val="center"/>
          </w:tcPr>
          <w:p w14:paraId="1391615B" w14:textId="77777777" w:rsidR="00A56F70" w:rsidRPr="00C826AD" w:rsidRDefault="00000000" w:rsidP="00C826AD">
            <w:pPr>
              <w:spacing w:line="360" w:lineRule="auto"/>
              <w:rPr>
                <w:sz w:val="24"/>
                <w:szCs w:val="24"/>
              </w:rPr>
            </w:pPr>
            <w:r w:rsidRPr="00C826AD">
              <w:rPr>
                <w:sz w:val="24"/>
                <w:szCs w:val="24"/>
              </w:rPr>
              <w:t>Operational and financial</w:t>
            </w:r>
          </w:p>
        </w:tc>
        <w:tc>
          <w:tcPr>
            <w:tcW w:w="2880" w:type="dxa"/>
            <w:vAlign w:val="center"/>
          </w:tcPr>
          <w:p w14:paraId="4B50A358" w14:textId="68C423B3" w:rsidR="00A56F70" w:rsidRPr="00C826AD" w:rsidRDefault="00000000" w:rsidP="00C826AD">
            <w:pPr>
              <w:spacing w:line="360" w:lineRule="auto"/>
              <w:rPr>
                <w:sz w:val="24"/>
                <w:szCs w:val="24"/>
              </w:rPr>
            </w:pPr>
            <w:r w:rsidRPr="00C826AD">
              <w:rPr>
                <w:sz w:val="24"/>
                <w:szCs w:val="24"/>
              </w:rPr>
              <w:t xml:space="preserve">Lead time; inventory </w:t>
            </w:r>
            <w:r w:rsidR="00C826AD" w:rsidRPr="00C826AD">
              <w:rPr>
                <w:sz w:val="24"/>
                <w:szCs w:val="24"/>
              </w:rPr>
              <w:t>turnover</w:t>
            </w:r>
            <w:r w:rsidRPr="00C826AD">
              <w:rPr>
                <w:sz w:val="24"/>
                <w:szCs w:val="24"/>
              </w:rPr>
              <w:t>; productivity; operating margin</w:t>
            </w:r>
          </w:p>
        </w:tc>
        <w:tc>
          <w:tcPr>
            <w:tcW w:w="2880" w:type="dxa"/>
            <w:vAlign w:val="center"/>
          </w:tcPr>
          <w:p w14:paraId="6F974527" w14:textId="77777777" w:rsidR="00A56F70" w:rsidRPr="00C826AD" w:rsidRDefault="00000000" w:rsidP="00C826AD">
            <w:pPr>
              <w:spacing w:line="360" w:lineRule="auto"/>
              <w:rPr>
                <w:sz w:val="24"/>
                <w:szCs w:val="24"/>
              </w:rPr>
            </w:pPr>
            <w:r w:rsidRPr="00C826AD">
              <w:rPr>
                <w:sz w:val="24"/>
                <w:szCs w:val="24"/>
              </w:rPr>
              <w:t>Links cultural practices to efficiency without treating finance as the only outcome.</w:t>
            </w:r>
          </w:p>
        </w:tc>
      </w:tr>
    </w:tbl>
    <w:p w14:paraId="7FD4400E" w14:textId="77777777" w:rsidR="00A56F70" w:rsidRPr="00C826AD" w:rsidRDefault="00000000" w:rsidP="00C826AD">
      <w:pPr>
        <w:spacing w:after="120" w:line="360" w:lineRule="auto"/>
        <w:rPr>
          <w:sz w:val="24"/>
          <w:szCs w:val="24"/>
        </w:rPr>
      </w:pPr>
      <w:r w:rsidRPr="00C826AD">
        <w:rPr>
          <w:sz w:val="24"/>
          <w:szCs w:val="24"/>
        </w:rPr>
        <w:t>Source: Author’s recommendations informed by Denison and Mishra (1995), Liker (2004) and Toyota’s public disclosures.</w:t>
      </w:r>
    </w:p>
    <w:p w14:paraId="0CAA6368" w14:textId="77777777" w:rsidR="00A56F70" w:rsidRPr="004C264E" w:rsidRDefault="00000000">
      <w:pPr>
        <w:pStyle w:val="Heading1"/>
        <w:spacing w:before="200" w:after="80"/>
        <w:rPr>
          <w:sz w:val="32"/>
          <w:szCs w:val="32"/>
        </w:rPr>
      </w:pPr>
      <w:bookmarkStart w:id="13" w:name="_Toc243504860"/>
      <w:r w:rsidRPr="004C264E">
        <w:rPr>
          <w:sz w:val="32"/>
          <w:szCs w:val="32"/>
        </w:rPr>
        <w:t>8. Recommendations</w:t>
      </w:r>
      <w:bookmarkEnd w:id="13"/>
    </w:p>
    <w:p w14:paraId="7FB44C3E" w14:textId="09FE816D" w:rsidR="00A56F70" w:rsidRPr="00C826AD" w:rsidRDefault="00000000" w:rsidP="00C826AD">
      <w:pPr>
        <w:pStyle w:val="ListBullet"/>
        <w:spacing w:after="60" w:line="360" w:lineRule="auto"/>
        <w:jc w:val="both"/>
        <w:rPr>
          <w:sz w:val="24"/>
          <w:szCs w:val="24"/>
        </w:rPr>
      </w:pPr>
      <w:r w:rsidRPr="00C826AD">
        <w:rPr>
          <w:sz w:val="24"/>
          <w:szCs w:val="24"/>
        </w:rPr>
        <w:t xml:space="preserve">Institutionalise psychological safety and constructive challenge. Train managers </w:t>
      </w:r>
      <w:r w:rsidR="00C826AD" w:rsidRPr="00C826AD">
        <w:rPr>
          <w:sz w:val="24"/>
          <w:szCs w:val="24"/>
        </w:rPr>
        <w:t>respond</w:t>
      </w:r>
      <w:r w:rsidRPr="00C826AD">
        <w:rPr>
          <w:sz w:val="24"/>
          <w:szCs w:val="24"/>
        </w:rPr>
        <w:t xml:space="preserve"> to bad news without blame, protect employees who stop production for safety or quality, and monitor whether issues raised are resolved. This reinforces Schein’s alignment between espoused values and underlying assumptions.</w:t>
      </w:r>
    </w:p>
    <w:p w14:paraId="42DDE0F5" w14:textId="77777777" w:rsidR="00A56F70" w:rsidRPr="00C826AD" w:rsidRDefault="00000000" w:rsidP="00C826AD">
      <w:pPr>
        <w:pStyle w:val="ListBullet"/>
        <w:spacing w:after="60" w:line="360" w:lineRule="auto"/>
        <w:jc w:val="both"/>
        <w:rPr>
          <w:sz w:val="24"/>
          <w:szCs w:val="24"/>
        </w:rPr>
      </w:pPr>
      <w:r w:rsidRPr="00C826AD">
        <w:rPr>
          <w:sz w:val="24"/>
          <w:szCs w:val="24"/>
        </w:rPr>
        <w:t>Strengthen independent compliance and quality governance. Separate certification verification from delivery targets, conduct risk-based audits across subsidiaries and suppliers, and report remediation progress to board-level oversight. The 2024 disclosures make clear that operational excellence must be matched by demonstrable regulatory integrity (Toyota, 2024a; Toyota, 2024b).</w:t>
      </w:r>
    </w:p>
    <w:p w14:paraId="550BE959" w14:textId="77777777" w:rsidR="00A56F70" w:rsidRPr="00C826AD" w:rsidRDefault="00000000" w:rsidP="00C826AD">
      <w:pPr>
        <w:pStyle w:val="ListBullet"/>
        <w:spacing w:after="60" w:line="360" w:lineRule="auto"/>
        <w:jc w:val="both"/>
        <w:rPr>
          <w:sz w:val="24"/>
          <w:szCs w:val="24"/>
        </w:rPr>
      </w:pPr>
      <w:r w:rsidRPr="00C826AD">
        <w:rPr>
          <w:sz w:val="24"/>
          <w:szCs w:val="24"/>
        </w:rPr>
        <w:lastRenderedPageBreak/>
        <w:t>Balance kaizen with strategic experimentation. Maintain continuous improvement for stable processes while establishing cross-functional teams with authority to test emerging technologies, software and new mobility propositions. Use staged experiments and explicit decision gates to avoid path dependence and ensure that incremental efficiency does not crowd out transformational change.</w:t>
      </w:r>
    </w:p>
    <w:p w14:paraId="4503ED13" w14:textId="77777777" w:rsidR="00A56F70" w:rsidRPr="00C826AD" w:rsidRDefault="00000000" w:rsidP="00C826AD">
      <w:pPr>
        <w:pStyle w:val="ListBullet"/>
        <w:spacing w:after="60" w:line="360" w:lineRule="auto"/>
        <w:jc w:val="both"/>
        <w:rPr>
          <w:sz w:val="24"/>
          <w:szCs w:val="24"/>
        </w:rPr>
      </w:pPr>
      <w:r w:rsidRPr="00C826AD">
        <w:rPr>
          <w:sz w:val="24"/>
          <w:szCs w:val="24"/>
        </w:rPr>
        <w:t xml:space="preserve">Localise implementation while protecting global principles. Involve local employees, unions where relevant, suppliers and community stakeholders in adapting communication, training and participation methods. Retain non-negotiable standards for safety, honesty and quality, but avoid </w:t>
      </w:r>
      <w:proofErr w:type="gramStart"/>
      <w:r w:rsidRPr="00C826AD">
        <w:rPr>
          <w:sz w:val="24"/>
          <w:szCs w:val="24"/>
        </w:rPr>
        <w:t>assuming that</w:t>
      </w:r>
      <w:proofErr w:type="gramEnd"/>
      <w:r w:rsidRPr="00C826AD">
        <w:rPr>
          <w:sz w:val="24"/>
          <w:szCs w:val="24"/>
        </w:rPr>
        <w:t xml:space="preserve"> one management style works equally well in every national context (Hofstede, Hofstede and Minkov, 2010; Mathew and Burgess, 2023).</w:t>
      </w:r>
    </w:p>
    <w:p w14:paraId="42AAC167" w14:textId="77777777" w:rsidR="00A56F70" w:rsidRPr="00C826AD" w:rsidRDefault="00000000" w:rsidP="00C826AD">
      <w:pPr>
        <w:pStyle w:val="ListBullet"/>
        <w:spacing w:after="60" w:line="360" w:lineRule="auto"/>
        <w:jc w:val="both"/>
        <w:rPr>
          <w:sz w:val="24"/>
          <w:szCs w:val="24"/>
        </w:rPr>
      </w:pPr>
      <w:r w:rsidRPr="00C826AD">
        <w:rPr>
          <w:sz w:val="24"/>
          <w:szCs w:val="24"/>
        </w:rPr>
        <w:t>Measure culture through outcomes and employee experience. Introduce regular, anonymous surveys on voice, trust, workload and manager response, and triangulate them with quality, safety, compliance and operational indicators. Publish trends by region and follow up on gaps. This operationalises Denison’s four traits and helps distinguish the official culture from everyday practice.</w:t>
      </w:r>
    </w:p>
    <w:p w14:paraId="2BCA5B8B" w14:textId="77777777" w:rsidR="00A56F70" w:rsidRPr="00C826AD" w:rsidRDefault="00000000" w:rsidP="00C826AD">
      <w:pPr>
        <w:pStyle w:val="ListBullet"/>
        <w:spacing w:after="60" w:line="360" w:lineRule="auto"/>
        <w:jc w:val="both"/>
        <w:rPr>
          <w:sz w:val="24"/>
          <w:szCs w:val="24"/>
        </w:rPr>
      </w:pPr>
      <w:r w:rsidRPr="00C826AD">
        <w:rPr>
          <w:sz w:val="24"/>
          <w:szCs w:val="24"/>
        </w:rPr>
        <w:t>Develop leaders as coaches, not only controllers. Incorporate root-cause coaching, cross-functional rotations and ethical decision-making into leadership development. Promotion criteria should reward prevention, learning and integrity—not just output, cost and speed—so that the incentive system supports the culture Toyota publicly espouses.</w:t>
      </w:r>
    </w:p>
    <w:p w14:paraId="0D26B625" w14:textId="77777777" w:rsidR="00A56F70" w:rsidRPr="004C264E" w:rsidRDefault="00000000">
      <w:pPr>
        <w:pStyle w:val="Heading1"/>
        <w:spacing w:before="200" w:after="80"/>
        <w:rPr>
          <w:sz w:val="32"/>
          <w:szCs w:val="32"/>
        </w:rPr>
      </w:pPr>
      <w:bookmarkStart w:id="14" w:name="_Toc243504861"/>
      <w:r w:rsidRPr="004C264E">
        <w:rPr>
          <w:sz w:val="32"/>
          <w:szCs w:val="32"/>
        </w:rPr>
        <w:t>9. Conclusion</w:t>
      </w:r>
      <w:bookmarkEnd w:id="14"/>
    </w:p>
    <w:p w14:paraId="21266A55" w14:textId="77777777" w:rsidR="00A56F70" w:rsidRPr="00C826AD" w:rsidRDefault="00000000" w:rsidP="00C826AD">
      <w:pPr>
        <w:spacing w:after="120" w:line="360" w:lineRule="auto"/>
        <w:jc w:val="both"/>
        <w:rPr>
          <w:sz w:val="24"/>
          <w:szCs w:val="24"/>
        </w:rPr>
      </w:pPr>
      <w:r w:rsidRPr="00C826AD">
        <w:rPr>
          <w:sz w:val="24"/>
          <w:szCs w:val="24"/>
        </w:rPr>
        <w:t xml:space="preserve">Toyota demonstrates how organisational culture can become embedded in structure, routines and decision-making. Its role-and-task hybrid, expressed through TPS and the Toyota Way, connects standardisation with employee-led problem-solving. Schein’s model helps distinguish visible practices from values and deeper assumptions; Hofstede highlights the need for cross-cultural sensitivity; Handy identifies the coexistence of role and task characteristics; and </w:t>
      </w:r>
      <w:r w:rsidRPr="00C826AD">
        <w:rPr>
          <w:sz w:val="24"/>
          <w:szCs w:val="24"/>
        </w:rPr>
        <w:lastRenderedPageBreak/>
        <w:t>Denison clarifies the balance between consistency, involvement, adaptability and mission.</w:t>
      </w:r>
    </w:p>
    <w:p w14:paraId="59C9FDE4" w14:textId="501B8EE3" w:rsidR="00A56F70" w:rsidRDefault="00000000" w:rsidP="00C826AD">
      <w:pPr>
        <w:spacing w:after="120" w:line="360" w:lineRule="auto"/>
        <w:jc w:val="both"/>
        <w:rPr>
          <w:sz w:val="24"/>
          <w:szCs w:val="24"/>
        </w:rPr>
      </w:pPr>
      <w:r w:rsidRPr="00C826AD">
        <w:rPr>
          <w:sz w:val="24"/>
          <w:szCs w:val="24"/>
        </w:rPr>
        <w:t xml:space="preserve">The report concludes that Toyota’s culture is primarily an enabler of operational coordination and learning, but not an automatic guarantee of effective functioning. Consensus, standardisation and performance pressure can suppress </w:t>
      </w:r>
      <w:r w:rsidR="00C826AD" w:rsidRPr="00C826AD">
        <w:rPr>
          <w:sz w:val="24"/>
          <w:szCs w:val="24"/>
        </w:rPr>
        <w:t>challenges</w:t>
      </w:r>
      <w:r w:rsidRPr="00C826AD">
        <w:rPr>
          <w:sz w:val="24"/>
          <w:szCs w:val="24"/>
        </w:rPr>
        <w:t xml:space="preserve"> if poorly managed, while global transfer can create conflict when local conditions are ignored. The 2024 certification disclosures reinforce the need to align operational excellence with independent compliance and ethical accountability. Toyota should protect employee voice, strengthen verification, balance incremental improvement with strategic experimentation, adapt practices locally and measure cultural health alongside performance. In this way, culture can remain a source of resilience rather than a constraint on future adaptation.</w:t>
      </w:r>
    </w:p>
    <w:p w14:paraId="20D63723" w14:textId="77777777" w:rsidR="00C826AD" w:rsidRDefault="00C826AD" w:rsidP="00C826AD">
      <w:pPr>
        <w:spacing w:after="120" w:line="360" w:lineRule="auto"/>
        <w:jc w:val="both"/>
        <w:rPr>
          <w:sz w:val="24"/>
          <w:szCs w:val="24"/>
        </w:rPr>
      </w:pPr>
    </w:p>
    <w:p w14:paraId="15F77872" w14:textId="77777777" w:rsidR="00C826AD" w:rsidRDefault="00C826AD" w:rsidP="00C826AD">
      <w:pPr>
        <w:spacing w:after="120" w:line="360" w:lineRule="auto"/>
        <w:jc w:val="both"/>
        <w:rPr>
          <w:sz w:val="24"/>
          <w:szCs w:val="24"/>
        </w:rPr>
      </w:pPr>
    </w:p>
    <w:p w14:paraId="7B1AC8E5" w14:textId="77777777" w:rsidR="00C826AD" w:rsidRDefault="00C826AD" w:rsidP="00C826AD">
      <w:pPr>
        <w:spacing w:after="120" w:line="360" w:lineRule="auto"/>
        <w:jc w:val="both"/>
        <w:rPr>
          <w:sz w:val="24"/>
          <w:szCs w:val="24"/>
        </w:rPr>
      </w:pPr>
    </w:p>
    <w:p w14:paraId="33287257" w14:textId="77777777" w:rsidR="00C826AD" w:rsidRDefault="00C826AD" w:rsidP="00C826AD">
      <w:pPr>
        <w:spacing w:after="120" w:line="360" w:lineRule="auto"/>
        <w:jc w:val="both"/>
        <w:rPr>
          <w:sz w:val="24"/>
          <w:szCs w:val="24"/>
        </w:rPr>
      </w:pPr>
    </w:p>
    <w:p w14:paraId="588E1A32" w14:textId="77777777" w:rsidR="00C826AD" w:rsidRDefault="00C826AD" w:rsidP="00C826AD">
      <w:pPr>
        <w:spacing w:after="120" w:line="360" w:lineRule="auto"/>
        <w:jc w:val="both"/>
        <w:rPr>
          <w:sz w:val="24"/>
          <w:szCs w:val="24"/>
        </w:rPr>
      </w:pPr>
    </w:p>
    <w:p w14:paraId="705E392D" w14:textId="77777777" w:rsidR="00C826AD" w:rsidRDefault="00C826AD" w:rsidP="00C826AD">
      <w:pPr>
        <w:spacing w:after="120" w:line="360" w:lineRule="auto"/>
        <w:jc w:val="both"/>
        <w:rPr>
          <w:sz w:val="24"/>
          <w:szCs w:val="24"/>
        </w:rPr>
      </w:pPr>
    </w:p>
    <w:p w14:paraId="514AF3FF" w14:textId="77777777" w:rsidR="00C826AD" w:rsidRDefault="00C826AD" w:rsidP="00C826AD">
      <w:pPr>
        <w:spacing w:after="120" w:line="360" w:lineRule="auto"/>
        <w:jc w:val="both"/>
        <w:rPr>
          <w:sz w:val="24"/>
          <w:szCs w:val="24"/>
        </w:rPr>
      </w:pPr>
    </w:p>
    <w:p w14:paraId="7D04E47A" w14:textId="77777777" w:rsidR="00C826AD" w:rsidRDefault="00C826AD" w:rsidP="00C826AD">
      <w:pPr>
        <w:spacing w:after="120" w:line="360" w:lineRule="auto"/>
        <w:jc w:val="both"/>
        <w:rPr>
          <w:sz w:val="24"/>
          <w:szCs w:val="24"/>
        </w:rPr>
      </w:pPr>
    </w:p>
    <w:p w14:paraId="513141BA" w14:textId="77777777" w:rsidR="00C826AD" w:rsidRDefault="00C826AD" w:rsidP="00C826AD">
      <w:pPr>
        <w:spacing w:after="120" w:line="360" w:lineRule="auto"/>
        <w:jc w:val="both"/>
        <w:rPr>
          <w:sz w:val="24"/>
          <w:szCs w:val="24"/>
        </w:rPr>
      </w:pPr>
    </w:p>
    <w:p w14:paraId="53DE8A4B" w14:textId="77777777" w:rsidR="00C826AD" w:rsidRDefault="00C826AD" w:rsidP="00C826AD">
      <w:pPr>
        <w:spacing w:after="120" w:line="360" w:lineRule="auto"/>
        <w:jc w:val="both"/>
        <w:rPr>
          <w:sz w:val="24"/>
          <w:szCs w:val="24"/>
        </w:rPr>
      </w:pPr>
    </w:p>
    <w:p w14:paraId="4E4B871E" w14:textId="77777777" w:rsidR="00C826AD" w:rsidRDefault="00C826AD" w:rsidP="00C826AD">
      <w:pPr>
        <w:spacing w:after="120" w:line="360" w:lineRule="auto"/>
        <w:jc w:val="both"/>
        <w:rPr>
          <w:sz w:val="24"/>
          <w:szCs w:val="24"/>
        </w:rPr>
      </w:pPr>
    </w:p>
    <w:p w14:paraId="2A88C02D" w14:textId="77777777" w:rsidR="00C826AD" w:rsidRPr="00C826AD" w:rsidRDefault="00C826AD" w:rsidP="00C826AD">
      <w:pPr>
        <w:spacing w:after="120" w:line="360" w:lineRule="auto"/>
        <w:jc w:val="both"/>
        <w:rPr>
          <w:sz w:val="24"/>
          <w:szCs w:val="24"/>
        </w:rPr>
      </w:pPr>
    </w:p>
    <w:p w14:paraId="351E0AD1" w14:textId="77777777" w:rsidR="00A56F70" w:rsidRPr="004C264E" w:rsidRDefault="00000000">
      <w:pPr>
        <w:pStyle w:val="Heading1"/>
        <w:spacing w:before="200" w:after="80"/>
        <w:rPr>
          <w:sz w:val="32"/>
          <w:szCs w:val="32"/>
        </w:rPr>
      </w:pPr>
      <w:bookmarkStart w:id="15" w:name="_Toc243504862"/>
      <w:r w:rsidRPr="004C264E">
        <w:rPr>
          <w:sz w:val="32"/>
          <w:szCs w:val="32"/>
        </w:rPr>
        <w:lastRenderedPageBreak/>
        <w:t>References</w:t>
      </w:r>
      <w:bookmarkEnd w:id="15"/>
    </w:p>
    <w:p w14:paraId="5C91B87C" w14:textId="77777777" w:rsidR="00A56F70" w:rsidRPr="00C826AD" w:rsidRDefault="00000000" w:rsidP="00C826AD">
      <w:pPr>
        <w:spacing w:after="80" w:line="360" w:lineRule="auto"/>
        <w:ind w:left="360" w:hanging="360"/>
        <w:rPr>
          <w:sz w:val="24"/>
          <w:szCs w:val="24"/>
        </w:rPr>
      </w:pPr>
      <w:r w:rsidRPr="00C826AD">
        <w:rPr>
          <w:sz w:val="24"/>
          <w:szCs w:val="24"/>
        </w:rPr>
        <w:t>Denison, D.R. and Mishra, A.K. (1995) ‘Toward a theory of organizational culture and effectiveness’, Organization Science, 6(2), pp. 204–223. doi: 10.1287/orsc.6.2.204.</w:t>
      </w:r>
    </w:p>
    <w:p w14:paraId="5D5F4E9A" w14:textId="77777777" w:rsidR="00A56F70" w:rsidRPr="00C826AD" w:rsidRDefault="00000000" w:rsidP="00C826AD">
      <w:pPr>
        <w:spacing w:after="80" w:line="360" w:lineRule="auto"/>
        <w:ind w:left="360" w:hanging="360"/>
        <w:rPr>
          <w:sz w:val="24"/>
          <w:szCs w:val="24"/>
        </w:rPr>
      </w:pPr>
      <w:r w:rsidRPr="00C826AD">
        <w:rPr>
          <w:sz w:val="24"/>
          <w:szCs w:val="24"/>
        </w:rPr>
        <w:t>Handy, C. (1993) Understanding Organizations. 4th edn. London: Penguin.</w:t>
      </w:r>
    </w:p>
    <w:p w14:paraId="2C5756D1" w14:textId="77777777" w:rsidR="00A56F70" w:rsidRPr="00C826AD" w:rsidRDefault="00000000" w:rsidP="00C826AD">
      <w:pPr>
        <w:spacing w:after="80" w:line="360" w:lineRule="auto"/>
        <w:ind w:left="360" w:hanging="360"/>
        <w:rPr>
          <w:sz w:val="24"/>
          <w:szCs w:val="24"/>
        </w:rPr>
      </w:pPr>
      <w:r w:rsidRPr="00C826AD">
        <w:rPr>
          <w:sz w:val="24"/>
          <w:szCs w:val="24"/>
        </w:rPr>
        <w:t>Hofstede, G., Hofstede, G.J. and Minkov, M. (2010) Cultures and Organizations: Software of the Mind. 3rd edn. New York: McGraw-Hill.</w:t>
      </w:r>
    </w:p>
    <w:p w14:paraId="2DAA66D8" w14:textId="77777777" w:rsidR="00A56F70" w:rsidRPr="00C826AD" w:rsidRDefault="00000000" w:rsidP="00C826AD">
      <w:pPr>
        <w:spacing w:after="80" w:line="360" w:lineRule="auto"/>
        <w:ind w:left="360" w:hanging="360"/>
        <w:rPr>
          <w:sz w:val="24"/>
          <w:szCs w:val="24"/>
        </w:rPr>
      </w:pPr>
      <w:r w:rsidRPr="00C826AD">
        <w:rPr>
          <w:sz w:val="24"/>
          <w:szCs w:val="24"/>
        </w:rPr>
        <w:t>Journal of Organization Design (</w:t>
      </w:r>
      <w:proofErr w:type="gramStart"/>
      <w:r w:rsidRPr="00C826AD">
        <w:rPr>
          <w:sz w:val="24"/>
          <w:szCs w:val="24"/>
        </w:rPr>
        <w:t>2016) ‘</w:t>
      </w:r>
      <w:proofErr w:type="gramEnd"/>
      <w:r w:rsidRPr="00C826AD">
        <w:rPr>
          <w:sz w:val="24"/>
          <w:szCs w:val="24"/>
        </w:rPr>
        <w:t>Complementarities and organizational (mis)fit: a retrospective analysis of the Toyota recall crisis’, Journal of Organization Design, 5, article 4. doi: 10.1186/s41469-016-0006-6.</w:t>
      </w:r>
    </w:p>
    <w:p w14:paraId="7D383AEA" w14:textId="77777777" w:rsidR="00A56F70" w:rsidRPr="00C826AD" w:rsidRDefault="00000000" w:rsidP="00C826AD">
      <w:pPr>
        <w:spacing w:after="80" w:line="360" w:lineRule="auto"/>
        <w:ind w:left="360" w:hanging="360"/>
        <w:rPr>
          <w:sz w:val="24"/>
          <w:szCs w:val="24"/>
        </w:rPr>
      </w:pPr>
      <w:r w:rsidRPr="00C826AD">
        <w:rPr>
          <w:sz w:val="24"/>
          <w:szCs w:val="24"/>
        </w:rPr>
        <w:t>Liker, J.K. (2004) The Toyota Way: 14 Management Principles from the World’s Greatest Manufacturer. New York: McGraw-Hill.</w:t>
      </w:r>
    </w:p>
    <w:p w14:paraId="71392A07" w14:textId="77777777" w:rsidR="00A56F70" w:rsidRPr="00C826AD" w:rsidRDefault="00000000" w:rsidP="00C826AD">
      <w:pPr>
        <w:spacing w:after="80" w:line="360" w:lineRule="auto"/>
        <w:ind w:left="360" w:hanging="360"/>
        <w:rPr>
          <w:sz w:val="24"/>
          <w:szCs w:val="24"/>
        </w:rPr>
      </w:pPr>
      <w:r w:rsidRPr="00C826AD">
        <w:rPr>
          <w:sz w:val="24"/>
          <w:szCs w:val="24"/>
        </w:rPr>
        <w:t>Marksberry, P. (2011) ‘The Toyota Way – a quantitative approach’, International Journal of Lean Six Sigma, 2(2), pp. 132–150. doi: 10.1108/20401461111135028.</w:t>
      </w:r>
    </w:p>
    <w:p w14:paraId="390E34AC" w14:textId="77777777" w:rsidR="00A56F70" w:rsidRPr="00C826AD" w:rsidRDefault="00000000" w:rsidP="00C826AD">
      <w:pPr>
        <w:spacing w:after="80" w:line="360" w:lineRule="auto"/>
        <w:ind w:left="360" w:hanging="360"/>
        <w:rPr>
          <w:sz w:val="24"/>
          <w:szCs w:val="24"/>
        </w:rPr>
      </w:pPr>
      <w:r w:rsidRPr="00C826AD">
        <w:rPr>
          <w:sz w:val="24"/>
          <w:szCs w:val="24"/>
        </w:rPr>
        <w:t>Mathew, S. and Burgess, J. (2023) ‘Two decades of industrial disputation at an Indian auto plant: lean production versus local cultural values’, The Economic and Labour Relations Review. Available at: https://www.cambridge.org/core/journals/the-economic-and-labour-relations-review/article/abs/two-decades-of-industrial-disputation-at-an-indian-auto-plant-lean-production-versus-local-cultural-values/3687080F95413C86A0D91CA37B472B52 (Accessed: 21 October 2026).</w:t>
      </w:r>
    </w:p>
    <w:p w14:paraId="71077423" w14:textId="77777777" w:rsidR="00A56F70" w:rsidRPr="00C826AD" w:rsidRDefault="00000000" w:rsidP="00C826AD">
      <w:pPr>
        <w:spacing w:after="80" w:line="360" w:lineRule="auto"/>
        <w:ind w:left="360" w:hanging="360"/>
        <w:rPr>
          <w:sz w:val="24"/>
          <w:szCs w:val="24"/>
        </w:rPr>
      </w:pPr>
      <w:r w:rsidRPr="00C826AD">
        <w:rPr>
          <w:sz w:val="24"/>
          <w:szCs w:val="24"/>
        </w:rPr>
        <w:t>Mullins, L. and Christy, G. (2016) Management and Organisational Behaviour. 11th edn. Harlow: Pearson Education.</w:t>
      </w:r>
    </w:p>
    <w:p w14:paraId="45FF51C2" w14:textId="77777777" w:rsidR="00A56F70" w:rsidRPr="00C826AD" w:rsidRDefault="00000000" w:rsidP="00C826AD">
      <w:pPr>
        <w:spacing w:after="80" w:line="360" w:lineRule="auto"/>
        <w:ind w:left="360" w:hanging="360"/>
        <w:rPr>
          <w:sz w:val="24"/>
          <w:szCs w:val="24"/>
        </w:rPr>
      </w:pPr>
      <w:r w:rsidRPr="00C826AD">
        <w:rPr>
          <w:sz w:val="24"/>
          <w:szCs w:val="24"/>
        </w:rPr>
        <w:t>Rother, M. (2010) Toyota Kata: Managing People for Improvement, Adaptiveness and Superior Results. New York: McGraw-Hill.</w:t>
      </w:r>
    </w:p>
    <w:p w14:paraId="6EF060CE" w14:textId="77777777" w:rsidR="00A56F70" w:rsidRPr="00C826AD" w:rsidRDefault="00000000" w:rsidP="00C826AD">
      <w:pPr>
        <w:spacing w:after="80" w:line="360" w:lineRule="auto"/>
        <w:ind w:left="360" w:hanging="360"/>
        <w:rPr>
          <w:sz w:val="24"/>
          <w:szCs w:val="24"/>
        </w:rPr>
      </w:pPr>
      <w:r w:rsidRPr="00C826AD">
        <w:rPr>
          <w:sz w:val="24"/>
          <w:szCs w:val="24"/>
        </w:rPr>
        <w:t>Schein, E.H. and Schein, P.A. (2017) Organizational Culture and Leadership. 5th edn. Hoboken, NJ: Wiley.</w:t>
      </w:r>
    </w:p>
    <w:p w14:paraId="16BEBD2B" w14:textId="77777777" w:rsidR="00A56F70" w:rsidRPr="00C826AD" w:rsidRDefault="00000000" w:rsidP="00C826AD">
      <w:pPr>
        <w:spacing w:after="80" w:line="360" w:lineRule="auto"/>
        <w:ind w:left="360" w:hanging="360"/>
        <w:rPr>
          <w:sz w:val="24"/>
          <w:szCs w:val="24"/>
        </w:rPr>
      </w:pPr>
      <w:r w:rsidRPr="00C826AD">
        <w:rPr>
          <w:sz w:val="24"/>
          <w:szCs w:val="24"/>
        </w:rPr>
        <w:lastRenderedPageBreak/>
        <w:t>Sosnovskikh, S. (2016) ‘Toyota Motor Corporation: organizational culture’, Philosophy Study, 6(7), pp. 442–454. doi: 10.17265/2159-5313/2016.07.005.</w:t>
      </w:r>
    </w:p>
    <w:p w14:paraId="2E6BD7B0" w14:textId="77777777" w:rsidR="00A56F70" w:rsidRPr="00C826AD" w:rsidRDefault="00000000" w:rsidP="00C826AD">
      <w:pPr>
        <w:spacing w:after="80" w:line="360" w:lineRule="auto"/>
        <w:ind w:left="360" w:hanging="360"/>
        <w:rPr>
          <w:sz w:val="24"/>
          <w:szCs w:val="24"/>
        </w:rPr>
      </w:pPr>
      <w:r w:rsidRPr="00C826AD">
        <w:rPr>
          <w:sz w:val="24"/>
          <w:szCs w:val="24"/>
        </w:rPr>
        <w:t>Toyota Motor Corporation (2024</w:t>
      </w:r>
      <w:proofErr w:type="gramStart"/>
      <w:r w:rsidRPr="00C826AD">
        <w:rPr>
          <w:sz w:val="24"/>
          <w:szCs w:val="24"/>
        </w:rPr>
        <w:t>a) ‘</w:t>
      </w:r>
      <w:proofErr w:type="gramEnd"/>
      <w:r w:rsidRPr="00C826AD">
        <w:rPr>
          <w:sz w:val="24"/>
          <w:szCs w:val="24"/>
        </w:rPr>
        <w:t>Results of investigation regarding model certification applications’, 3 June. Available at: https://global.toyota/en/newsroom/corporate/40920588.html (Accessed: 21 October 2026).</w:t>
      </w:r>
    </w:p>
    <w:p w14:paraId="7A3E5632" w14:textId="77777777" w:rsidR="00A56F70" w:rsidRPr="00C826AD" w:rsidRDefault="00000000" w:rsidP="00C826AD">
      <w:pPr>
        <w:spacing w:after="80" w:line="360" w:lineRule="auto"/>
        <w:ind w:left="360" w:hanging="360"/>
        <w:rPr>
          <w:sz w:val="24"/>
          <w:szCs w:val="24"/>
        </w:rPr>
      </w:pPr>
      <w:r w:rsidRPr="00C826AD">
        <w:rPr>
          <w:sz w:val="24"/>
          <w:szCs w:val="24"/>
        </w:rPr>
        <w:t>Toyota Motor Corporation (2024</w:t>
      </w:r>
      <w:proofErr w:type="gramStart"/>
      <w:r w:rsidRPr="00C826AD">
        <w:rPr>
          <w:sz w:val="24"/>
          <w:szCs w:val="24"/>
        </w:rPr>
        <w:t>b) ‘</w:t>
      </w:r>
      <w:proofErr w:type="gramEnd"/>
      <w:r w:rsidRPr="00C826AD">
        <w:rPr>
          <w:sz w:val="24"/>
          <w:szCs w:val="24"/>
        </w:rPr>
        <w:t>Completion of investigation regarding model certification applications’, 5 July. Available at: https://global.toyota/en/newsroom/corporate/41147099.html (Accessed: 21 October 2026).</w:t>
      </w:r>
    </w:p>
    <w:p w14:paraId="447DC582" w14:textId="77777777" w:rsidR="00A56F70" w:rsidRPr="00C826AD" w:rsidRDefault="00000000" w:rsidP="00C826AD">
      <w:pPr>
        <w:spacing w:after="80" w:line="360" w:lineRule="auto"/>
        <w:ind w:left="360" w:hanging="360"/>
        <w:rPr>
          <w:sz w:val="24"/>
          <w:szCs w:val="24"/>
        </w:rPr>
      </w:pPr>
      <w:r w:rsidRPr="00C826AD">
        <w:rPr>
          <w:sz w:val="24"/>
          <w:szCs w:val="24"/>
        </w:rPr>
        <w:t>Toyota Motor Corporation (2025) Integrated Report 2025. Available at: https://global.toyota/en/ir/library/annual/ (Accessed: 21 October 2026).</w:t>
      </w:r>
    </w:p>
    <w:p w14:paraId="280EE41F" w14:textId="77777777" w:rsidR="00A56F70" w:rsidRPr="00C826AD" w:rsidRDefault="00000000" w:rsidP="00C826AD">
      <w:pPr>
        <w:spacing w:after="80" w:line="360" w:lineRule="auto"/>
        <w:ind w:left="360" w:hanging="360"/>
        <w:rPr>
          <w:sz w:val="24"/>
          <w:szCs w:val="24"/>
        </w:rPr>
      </w:pPr>
      <w:r w:rsidRPr="00C826AD">
        <w:rPr>
          <w:sz w:val="24"/>
          <w:szCs w:val="24"/>
        </w:rPr>
        <w:t>Toyota Motor Corporation (n.d</w:t>
      </w:r>
      <w:proofErr w:type="gramStart"/>
      <w:r w:rsidRPr="00C826AD">
        <w:rPr>
          <w:sz w:val="24"/>
          <w:szCs w:val="24"/>
        </w:rPr>
        <w:t>.) ‘</w:t>
      </w:r>
      <w:proofErr w:type="gramEnd"/>
      <w:r w:rsidRPr="00C826AD">
        <w:rPr>
          <w:sz w:val="24"/>
          <w:szCs w:val="24"/>
        </w:rPr>
        <w:t>Toyota Way 2001’. Available at: https://www.toyota-global.com/company/history_of_toyota/75years/data/conditions/philosophy/toyotaway2001.html (Accessed: 21 October 2026).</w:t>
      </w:r>
    </w:p>
    <w:p w14:paraId="5E522F35" w14:textId="77777777" w:rsidR="00A56F70" w:rsidRDefault="00000000" w:rsidP="00C826AD">
      <w:pPr>
        <w:spacing w:after="80" w:line="360" w:lineRule="auto"/>
        <w:ind w:left="360" w:hanging="360"/>
        <w:rPr>
          <w:sz w:val="24"/>
          <w:szCs w:val="24"/>
        </w:rPr>
      </w:pPr>
      <w:r w:rsidRPr="00C826AD">
        <w:rPr>
          <w:sz w:val="24"/>
          <w:szCs w:val="24"/>
        </w:rPr>
        <w:t xml:space="preserve">Van Driel, H. and Dolfsma, W.A. (2009) ‘Path dependence, initial conditions, and routines in organizations: the Toyota production system re-examined’, Journal of Organizational Change Management, 22(1), pp. 49–72. </w:t>
      </w:r>
      <w:proofErr w:type="spellStart"/>
      <w:r w:rsidRPr="00C826AD">
        <w:rPr>
          <w:sz w:val="24"/>
          <w:szCs w:val="24"/>
        </w:rPr>
        <w:t>doi</w:t>
      </w:r>
      <w:proofErr w:type="spellEnd"/>
      <w:r w:rsidRPr="00C826AD">
        <w:rPr>
          <w:sz w:val="24"/>
          <w:szCs w:val="24"/>
        </w:rPr>
        <w:t>: 10.1108/09534810910933906.</w:t>
      </w:r>
    </w:p>
    <w:p w14:paraId="62B7D1F0" w14:textId="77777777" w:rsidR="00C826AD" w:rsidRDefault="00C826AD" w:rsidP="00C826AD">
      <w:pPr>
        <w:spacing w:after="80" w:line="360" w:lineRule="auto"/>
        <w:ind w:left="360" w:hanging="360"/>
        <w:rPr>
          <w:sz w:val="24"/>
          <w:szCs w:val="24"/>
        </w:rPr>
      </w:pPr>
    </w:p>
    <w:p w14:paraId="21F4A29F" w14:textId="77777777" w:rsidR="00C826AD" w:rsidRDefault="00C826AD" w:rsidP="00C826AD">
      <w:pPr>
        <w:spacing w:after="80" w:line="360" w:lineRule="auto"/>
        <w:ind w:left="360" w:hanging="360"/>
        <w:rPr>
          <w:sz w:val="24"/>
          <w:szCs w:val="24"/>
        </w:rPr>
      </w:pPr>
    </w:p>
    <w:p w14:paraId="2772853F" w14:textId="77777777" w:rsidR="00C826AD" w:rsidRDefault="00C826AD" w:rsidP="00C826AD">
      <w:pPr>
        <w:spacing w:after="80" w:line="360" w:lineRule="auto"/>
        <w:ind w:left="360" w:hanging="360"/>
        <w:rPr>
          <w:sz w:val="24"/>
          <w:szCs w:val="24"/>
        </w:rPr>
      </w:pPr>
    </w:p>
    <w:p w14:paraId="690E232F" w14:textId="77777777" w:rsidR="00C826AD" w:rsidRDefault="00C826AD" w:rsidP="00C826AD">
      <w:pPr>
        <w:spacing w:after="80" w:line="360" w:lineRule="auto"/>
        <w:ind w:left="360" w:hanging="360"/>
        <w:rPr>
          <w:sz w:val="24"/>
          <w:szCs w:val="24"/>
        </w:rPr>
      </w:pPr>
    </w:p>
    <w:p w14:paraId="24DF9741" w14:textId="77777777" w:rsidR="00C826AD" w:rsidRDefault="00C826AD" w:rsidP="00C826AD">
      <w:pPr>
        <w:spacing w:after="80" w:line="360" w:lineRule="auto"/>
        <w:ind w:left="360" w:hanging="360"/>
        <w:rPr>
          <w:sz w:val="24"/>
          <w:szCs w:val="24"/>
        </w:rPr>
      </w:pPr>
    </w:p>
    <w:p w14:paraId="6EFC5314" w14:textId="77777777" w:rsidR="00C826AD" w:rsidRDefault="00C826AD" w:rsidP="00C826AD">
      <w:pPr>
        <w:spacing w:after="80" w:line="360" w:lineRule="auto"/>
        <w:ind w:left="360" w:hanging="360"/>
        <w:rPr>
          <w:sz w:val="24"/>
          <w:szCs w:val="24"/>
        </w:rPr>
      </w:pPr>
    </w:p>
    <w:p w14:paraId="1FC04902" w14:textId="77777777" w:rsidR="00C826AD" w:rsidRPr="00C826AD" w:rsidRDefault="00C826AD" w:rsidP="00C826AD">
      <w:pPr>
        <w:spacing w:after="80" w:line="360" w:lineRule="auto"/>
        <w:ind w:left="360" w:hanging="360"/>
        <w:rPr>
          <w:sz w:val="24"/>
          <w:szCs w:val="24"/>
        </w:rPr>
      </w:pPr>
    </w:p>
    <w:sectPr w:rsidR="00C826AD" w:rsidRPr="00C826AD" w:rsidSect="00034616">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DAE9B" w14:textId="77777777" w:rsidR="008A2A95" w:rsidRDefault="008A2A95" w:rsidP="00EC33DB">
      <w:pPr>
        <w:spacing w:after="0" w:line="240" w:lineRule="auto"/>
      </w:pPr>
      <w:r>
        <w:separator/>
      </w:r>
    </w:p>
  </w:endnote>
  <w:endnote w:type="continuationSeparator" w:id="0">
    <w:p w14:paraId="3F76AAF7" w14:textId="77777777" w:rsidR="008A2A95" w:rsidRDefault="008A2A95" w:rsidP="00EC3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2067979"/>
      <w:docPartObj>
        <w:docPartGallery w:val="Page Numbers (Bottom of Page)"/>
        <w:docPartUnique/>
      </w:docPartObj>
    </w:sdtPr>
    <w:sdtContent>
      <w:p w14:paraId="456D89E5" w14:textId="2E11647A" w:rsidR="00EC33DB" w:rsidRDefault="00EC33DB">
        <w:pPr>
          <w:pStyle w:val="Footer"/>
          <w:jc w:val="center"/>
        </w:pPr>
        <w:r>
          <w:fldChar w:fldCharType="begin"/>
        </w:r>
        <w:r>
          <w:instrText>PAGE   \* MERGEFORMAT</w:instrText>
        </w:r>
        <w:r>
          <w:fldChar w:fldCharType="separate"/>
        </w:r>
        <w:r>
          <w:rPr>
            <w:lang w:val="en-GB"/>
          </w:rPr>
          <w:t>2</w:t>
        </w:r>
        <w:r>
          <w:fldChar w:fldCharType="end"/>
        </w:r>
      </w:p>
    </w:sdtContent>
  </w:sdt>
  <w:p w14:paraId="3E35415E" w14:textId="77777777" w:rsidR="00EC33DB" w:rsidRDefault="00EC33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A14A40" w14:textId="77777777" w:rsidR="008A2A95" w:rsidRDefault="008A2A95" w:rsidP="00EC33DB">
      <w:pPr>
        <w:spacing w:after="0" w:line="240" w:lineRule="auto"/>
      </w:pPr>
      <w:r>
        <w:separator/>
      </w:r>
    </w:p>
  </w:footnote>
  <w:footnote w:type="continuationSeparator" w:id="0">
    <w:p w14:paraId="61E643A7" w14:textId="77777777" w:rsidR="008A2A95" w:rsidRDefault="008A2A95" w:rsidP="00EC33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8BF3E76"/>
    <w:multiLevelType w:val="hybridMultilevel"/>
    <w:tmpl w:val="047A3072"/>
    <w:lvl w:ilvl="0" w:tplc="D4229622">
      <w:start w:val="1"/>
      <w:numFmt w:val="bullet"/>
      <w:lvlText w:val=""/>
      <w:lvlJc w:val="left"/>
      <w:pPr>
        <w:ind w:left="720" w:hanging="360"/>
      </w:pPr>
      <w:rPr>
        <w:rFonts w:ascii="Symbol" w:hAnsi="Symbol" w:hint="default"/>
      </w:rPr>
    </w:lvl>
    <w:lvl w:ilvl="1" w:tplc="01B03F34">
      <w:start w:val="1"/>
      <w:numFmt w:val="bullet"/>
      <w:lvlText w:val="o"/>
      <w:lvlJc w:val="left"/>
      <w:pPr>
        <w:ind w:left="1440" w:hanging="360"/>
      </w:pPr>
      <w:rPr>
        <w:rFonts w:ascii="Courier New" w:hAnsi="Courier New" w:hint="default"/>
      </w:rPr>
    </w:lvl>
    <w:lvl w:ilvl="2" w:tplc="2E34F76E">
      <w:start w:val="1"/>
      <w:numFmt w:val="bullet"/>
      <w:lvlText w:val=""/>
      <w:lvlJc w:val="left"/>
      <w:pPr>
        <w:ind w:left="2160" w:hanging="360"/>
      </w:pPr>
      <w:rPr>
        <w:rFonts w:ascii="Wingdings" w:hAnsi="Wingdings" w:hint="default"/>
      </w:rPr>
    </w:lvl>
    <w:lvl w:ilvl="3" w:tplc="F1ACEDE8">
      <w:start w:val="1"/>
      <w:numFmt w:val="bullet"/>
      <w:lvlText w:val=""/>
      <w:lvlJc w:val="left"/>
      <w:pPr>
        <w:ind w:left="2880" w:hanging="360"/>
      </w:pPr>
      <w:rPr>
        <w:rFonts w:ascii="Symbol" w:hAnsi="Symbol" w:hint="default"/>
      </w:rPr>
    </w:lvl>
    <w:lvl w:ilvl="4" w:tplc="A32EA7EC">
      <w:start w:val="1"/>
      <w:numFmt w:val="bullet"/>
      <w:lvlText w:val="o"/>
      <w:lvlJc w:val="left"/>
      <w:pPr>
        <w:ind w:left="3600" w:hanging="360"/>
      </w:pPr>
      <w:rPr>
        <w:rFonts w:ascii="Courier New" w:hAnsi="Courier New" w:hint="default"/>
      </w:rPr>
    </w:lvl>
    <w:lvl w:ilvl="5" w:tplc="78DAAA30">
      <w:start w:val="1"/>
      <w:numFmt w:val="bullet"/>
      <w:lvlText w:val=""/>
      <w:lvlJc w:val="left"/>
      <w:pPr>
        <w:ind w:left="4320" w:hanging="360"/>
      </w:pPr>
      <w:rPr>
        <w:rFonts w:ascii="Wingdings" w:hAnsi="Wingdings" w:hint="default"/>
      </w:rPr>
    </w:lvl>
    <w:lvl w:ilvl="6" w:tplc="8182F64A">
      <w:start w:val="1"/>
      <w:numFmt w:val="bullet"/>
      <w:lvlText w:val=""/>
      <w:lvlJc w:val="left"/>
      <w:pPr>
        <w:ind w:left="5040" w:hanging="360"/>
      </w:pPr>
      <w:rPr>
        <w:rFonts w:ascii="Symbol" w:hAnsi="Symbol" w:hint="default"/>
      </w:rPr>
    </w:lvl>
    <w:lvl w:ilvl="7" w:tplc="066CB8A2">
      <w:start w:val="1"/>
      <w:numFmt w:val="bullet"/>
      <w:lvlText w:val="o"/>
      <w:lvlJc w:val="left"/>
      <w:pPr>
        <w:ind w:left="5760" w:hanging="360"/>
      </w:pPr>
      <w:rPr>
        <w:rFonts w:ascii="Courier New" w:hAnsi="Courier New" w:hint="default"/>
      </w:rPr>
    </w:lvl>
    <w:lvl w:ilvl="8" w:tplc="A94EB036">
      <w:start w:val="1"/>
      <w:numFmt w:val="bullet"/>
      <w:lvlText w:val=""/>
      <w:lvlJc w:val="left"/>
      <w:pPr>
        <w:ind w:left="6480" w:hanging="360"/>
      </w:pPr>
      <w:rPr>
        <w:rFonts w:ascii="Wingdings" w:hAnsi="Wingdings" w:hint="default"/>
      </w:rPr>
    </w:lvl>
  </w:abstractNum>
  <w:abstractNum w:abstractNumId="10" w15:restartNumberingAfterBreak="0">
    <w:nsid w:val="34F60028"/>
    <w:multiLevelType w:val="hybridMultilevel"/>
    <w:tmpl w:val="438827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32F5188"/>
    <w:multiLevelType w:val="hybridMultilevel"/>
    <w:tmpl w:val="5C9429A0"/>
    <w:lvl w:ilvl="0" w:tplc="1EDADC56">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BF04DE"/>
    <w:multiLevelType w:val="hybridMultilevel"/>
    <w:tmpl w:val="0464E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2137337">
    <w:abstractNumId w:val="8"/>
  </w:num>
  <w:num w:numId="2" w16cid:durableId="46532183">
    <w:abstractNumId w:val="6"/>
  </w:num>
  <w:num w:numId="3" w16cid:durableId="789592244">
    <w:abstractNumId w:val="5"/>
  </w:num>
  <w:num w:numId="4" w16cid:durableId="1818109336">
    <w:abstractNumId w:val="4"/>
  </w:num>
  <w:num w:numId="5" w16cid:durableId="1405490845">
    <w:abstractNumId w:val="7"/>
  </w:num>
  <w:num w:numId="6" w16cid:durableId="1625115082">
    <w:abstractNumId w:val="3"/>
  </w:num>
  <w:num w:numId="7" w16cid:durableId="1219129234">
    <w:abstractNumId w:val="2"/>
  </w:num>
  <w:num w:numId="8" w16cid:durableId="993484236">
    <w:abstractNumId w:val="1"/>
  </w:num>
  <w:num w:numId="9" w16cid:durableId="1101991464">
    <w:abstractNumId w:val="0"/>
  </w:num>
  <w:num w:numId="10" w16cid:durableId="1008875163">
    <w:abstractNumId w:val="9"/>
  </w:num>
  <w:num w:numId="11" w16cid:durableId="280575382">
    <w:abstractNumId w:val="12"/>
  </w:num>
  <w:num w:numId="12" w16cid:durableId="1846822900">
    <w:abstractNumId w:val="11"/>
  </w:num>
  <w:num w:numId="13" w16cid:durableId="1949269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81308"/>
    <w:rsid w:val="001E4DC8"/>
    <w:rsid w:val="0029639D"/>
    <w:rsid w:val="002F5ED1"/>
    <w:rsid w:val="00326F90"/>
    <w:rsid w:val="00376D76"/>
    <w:rsid w:val="004424B8"/>
    <w:rsid w:val="004C264E"/>
    <w:rsid w:val="0057191B"/>
    <w:rsid w:val="005A3305"/>
    <w:rsid w:val="005A3F35"/>
    <w:rsid w:val="005D2B11"/>
    <w:rsid w:val="005D44EA"/>
    <w:rsid w:val="0067438B"/>
    <w:rsid w:val="006C2A77"/>
    <w:rsid w:val="008901D2"/>
    <w:rsid w:val="008A2A95"/>
    <w:rsid w:val="008C311C"/>
    <w:rsid w:val="009A214C"/>
    <w:rsid w:val="00A56F70"/>
    <w:rsid w:val="00A6490D"/>
    <w:rsid w:val="00A976B5"/>
    <w:rsid w:val="00AA1D8D"/>
    <w:rsid w:val="00AB345F"/>
    <w:rsid w:val="00B47730"/>
    <w:rsid w:val="00B67FD5"/>
    <w:rsid w:val="00BA0F32"/>
    <w:rsid w:val="00BE23E1"/>
    <w:rsid w:val="00C46C9B"/>
    <w:rsid w:val="00C826AD"/>
    <w:rsid w:val="00CB0664"/>
    <w:rsid w:val="00CD662A"/>
    <w:rsid w:val="00CD6DF9"/>
    <w:rsid w:val="00D53181"/>
    <w:rsid w:val="00D87F62"/>
    <w:rsid w:val="00EA0218"/>
    <w:rsid w:val="00EC2A14"/>
    <w:rsid w:val="00EC33DB"/>
    <w:rsid w:val="00EF7819"/>
    <w:rsid w:val="00F1759C"/>
    <w:rsid w:val="00FC693F"/>
    <w:rsid w:val="00FE53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C41282"/>
  <w14:defaultImageDpi w14:val="300"/>
  <w15:docId w15:val="{1C877073-A970-418B-AD65-F4C9F2B8E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4E79"/>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Paragraph">
    <w:name w:val="Table Paragraph"/>
    <w:basedOn w:val="Normal"/>
    <w:uiPriority w:val="1"/>
    <w:qFormat/>
    <w:rsid w:val="004424B8"/>
    <w:pPr>
      <w:widowControl w:val="0"/>
      <w:autoSpaceDE w:val="0"/>
      <w:autoSpaceDN w:val="0"/>
      <w:spacing w:after="0" w:line="240" w:lineRule="auto"/>
    </w:pPr>
    <w:rPr>
      <w:rFonts w:cs="Arial"/>
    </w:rPr>
  </w:style>
  <w:style w:type="paragraph" w:styleId="TOC1">
    <w:name w:val="toc 1"/>
    <w:basedOn w:val="Normal"/>
    <w:next w:val="Normal"/>
    <w:autoRedefine/>
    <w:uiPriority w:val="39"/>
    <w:unhideWhenUsed/>
    <w:rsid w:val="00EC33DB"/>
    <w:pPr>
      <w:spacing w:after="100"/>
    </w:pPr>
  </w:style>
  <w:style w:type="paragraph" w:styleId="TOC2">
    <w:name w:val="toc 2"/>
    <w:basedOn w:val="Normal"/>
    <w:next w:val="Normal"/>
    <w:autoRedefine/>
    <w:uiPriority w:val="39"/>
    <w:unhideWhenUsed/>
    <w:rsid w:val="00EC33DB"/>
    <w:pPr>
      <w:spacing w:after="100"/>
      <w:ind w:left="200"/>
    </w:pPr>
  </w:style>
  <w:style w:type="character" w:styleId="Hyperlink">
    <w:name w:val="Hyperlink"/>
    <w:basedOn w:val="DefaultParagraphFont"/>
    <w:uiPriority w:val="99"/>
    <w:unhideWhenUsed/>
    <w:rsid w:val="00EC33D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17</Pages>
  <Words>4132</Words>
  <Characters>23558</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Organisational Culture: Individual Report on Toyota Motor Corporation</vt:lpstr>
    </vt:vector>
  </TitlesOfParts>
  <Manager/>
  <Company/>
  <LinksUpToDate>false</LinksUpToDate>
  <CharactersWithSpaces>27635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Culture: Individual Report on Toyota Motor Corporation</dc:title>
  <dc:subject>LCLM 5005 Organisational Culture</dc:subject>
  <dc:creator>[Student Name]</dc:creator>
  <cp:keywords/>
  <dc:description>generated by python-docx</dc:description>
  <cp:lastModifiedBy>Daniel-Nicolae Amisculesei (2411947)</cp:lastModifiedBy>
  <cp:revision>15</cp:revision>
  <dcterms:created xsi:type="dcterms:W3CDTF">2025-05-31T06:43:00Z</dcterms:created>
  <dcterms:modified xsi:type="dcterms:W3CDTF">2026-10-21T18:53:00Z</dcterms:modified>
  <cp:category/>
</cp:coreProperties>
</file>