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2020C" w14:textId="35C6E85D" w:rsidR="00586561" w:rsidRDefault="0211F7B1" w:rsidP="7417CC87">
      <w:pPr>
        <w:spacing w:line="480" w:lineRule="auto"/>
        <w:rPr>
          <w:rFonts w:ascii="Times New Roman" w:eastAsia="Times New Roman" w:hAnsi="Times New Roman" w:cs="Times New Roman"/>
          <w:b/>
          <w:bCs/>
          <w:u w:val="single"/>
        </w:rPr>
      </w:pPr>
      <w:r w:rsidRPr="7417CC87">
        <w:rPr>
          <w:rFonts w:ascii="Times New Roman" w:eastAsia="Times New Roman" w:hAnsi="Times New Roman" w:cs="Times New Roman"/>
          <w:b/>
          <w:bCs/>
          <w:u w:val="single"/>
        </w:rPr>
        <w:t xml:space="preserve">Content page </w:t>
      </w:r>
    </w:p>
    <w:p w14:paraId="7587995D" w14:textId="6D8D2B7D" w:rsidR="00586561" w:rsidRDefault="65615D5E" w:rsidP="7417CC87">
      <w:pPr>
        <w:spacing w:line="480" w:lineRule="auto"/>
      </w:pPr>
      <w:r w:rsidRPr="7417CC87">
        <w:rPr>
          <w:rFonts w:ascii="Times New Roman" w:eastAsia="Times New Roman" w:hAnsi="Times New Roman" w:cs="Times New Roman"/>
        </w:rPr>
        <w:t>Business overview – pages 2-6</w:t>
      </w:r>
    </w:p>
    <w:p w14:paraId="56E50A70" w14:textId="648AEBA7" w:rsidR="00586561" w:rsidRDefault="65615D5E" w:rsidP="7417CC87">
      <w:pPr>
        <w:spacing w:line="480" w:lineRule="auto"/>
      </w:pPr>
      <w:r w:rsidRPr="7417CC87">
        <w:rPr>
          <w:rFonts w:ascii="Times New Roman" w:eastAsia="Times New Roman" w:hAnsi="Times New Roman" w:cs="Times New Roman"/>
        </w:rPr>
        <w:t>Market research and analysis – pages 6-</w:t>
      </w:r>
      <w:r w:rsidR="19E5B1E9" w:rsidRPr="7417CC87">
        <w:rPr>
          <w:rFonts w:ascii="Times New Roman" w:eastAsia="Times New Roman" w:hAnsi="Times New Roman" w:cs="Times New Roman"/>
        </w:rPr>
        <w:t>11</w:t>
      </w:r>
    </w:p>
    <w:p w14:paraId="43641EB9" w14:textId="6D7D05D3" w:rsidR="00586561" w:rsidRDefault="19E5B1E9" w:rsidP="7417CC87">
      <w:pPr>
        <w:spacing w:line="480" w:lineRule="auto"/>
      </w:pPr>
      <w:r w:rsidRPr="7417CC87">
        <w:rPr>
          <w:rFonts w:ascii="Times New Roman" w:eastAsia="Times New Roman" w:hAnsi="Times New Roman" w:cs="Times New Roman"/>
        </w:rPr>
        <w:t xml:space="preserve">Plan for operations – pages </w:t>
      </w:r>
      <w:r w:rsidR="41D2FC2B" w:rsidRPr="7417CC87">
        <w:rPr>
          <w:rFonts w:ascii="Times New Roman" w:eastAsia="Times New Roman" w:hAnsi="Times New Roman" w:cs="Times New Roman"/>
        </w:rPr>
        <w:t>11-15</w:t>
      </w:r>
    </w:p>
    <w:p w14:paraId="6C28F7CA" w14:textId="5D467A91" w:rsidR="00586561" w:rsidRDefault="41D2FC2B" w:rsidP="7417CC87">
      <w:pPr>
        <w:spacing w:line="480" w:lineRule="auto"/>
      </w:pPr>
      <w:r w:rsidRPr="7417CC87">
        <w:rPr>
          <w:rFonts w:ascii="Times New Roman" w:eastAsia="Times New Roman" w:hAnsi="Times New Roman" w:cs="Times New Roman"/>
        </w:rPr>
        <w:t>Sales and marketing – pages 15-19</w:t>
      </w:r>
    </w:p>
    <w:p w14:paraId="2DDCE520" w14:textId="2CD25C12" w:rsidR="00586561" w:rsidRDefault="41D2FC2B" w:rsidP="7417CC87">
      <w:pPr>
        <w:spacing w:line="480" w:lineRule="auto"/>
      </w:pPr>
      <w:r w:rsidRPr="7417CC87">
        <w:rPr>
          <w:rFonts w:ascii="Times New Roman" w:eastAsia="Times New Roman" w:hAnsi="Times New Roman" w:cs="Times New Roman"/>
        </w:rPr>
        <w:t>Financial overviews – pages 19-22</w:t>
      </w:r>
    </w:p>
    <w:p w14:paraId="02ACF0FB" w14:textId="1DC60ED3" w:rsidR="00586561" w:rsidRDefault="41D2FC2B" w:rsidP="7417CC87">
      <w:pPr>
        <w:spacing w:line="480" w:lineRule="auto"/>
      </w:pPr>
      <w:r w:rsidRPr="7417CC87">
        <w:rPr>
          <w:rFonts w:ascii="Times New Roman" w:eastAsia="Times New Roman" w:hAnsi="Times New Roman" w:cs="Times New Roman"/>
        </w:rPr>
        <w:t>Conclusion – page 22</w:t>
      </w:r>
    </w:p>
    <w:p w14:paraId="08413AB7" w14:textId="0C2F4460" w:rsidR="00586561" w:rsidRDefault="41D2FC2B" w:rsidP="7417CC87">
      <w:pPr>
        <w:spacing w:line="480" w:lineRule="auto"/>
      </w:pPr>
      <w:r w:rsidRPr="7417CC87">
        <w:rPr>
          <w:rFonts w:ascii="Times New Roman" w:eastAsia="Times New Roman" w:hAnsi="Times New Roman" w:cs="Times New Roman"/>
        </w:rPr>
        <w:t>Reference list – pages 23-26</w:t>
      </w:r>
    </w:p>
    <w:p w14:paraId="025C80C5" w14:textId="0EE04664" w:rsidR="00586561" w:rsidRDefault="00586561" w:rsidP="7417CC87">
      <w:pPr>
        <w:spacing w:line="480" w:lineRule="auto"/>
        <w:rPr>
          <w:rFonts w:ascii="Times New Roman" w:eastAsia="Times New Roman" w:hAnsi="Times New Roman" w:cs="Times New Roman"/>
          <w:u w:val="single"/>
        </w:rPr>
      </w:pPr>
    </w:p>
    <w:p w14:paraId="7C1D9C47" w14:textId="12A5E9F3" w:rsidR="00586561" w:rsidRDefault="00586561" w:rsidP="7417CC87">
      <w:pPr>
        <w:spacing w:line="480" w:lineRule="auto"/>
        <w:rPr>
          <w:rFonts w:ascii="Times New Roman" w:eastAsia="Times New Roman" w:hAnsi="Times New Roman" w:cs="Times New Roman"/>
          <w:u w:val="single"/>
        </w:rPr>
      </w:pPr>
    </w:p>
    <w:p w14:paraId="72CE78DB" w14:textId="395A9EFE" w:rsidR="00586561" w:rsidRDefault="00586561" w:rsidP="7417CC87">
      <w:pPr>
        <w:spacing w:line="480" w:lineRule="auto"/>
        <w:rPr>
          <w:rFonts w:ascii="Times New Roman" w:eastAsia="Times New Roman" w:hAnsi="Times New Roman" w:cs="Times New Roman"/>
          <w:u w:val="single"/>
        </w:rPr>
      </w:pPr>
    </w:p>
    <w:p w14:paraId="39B3361C" w14:textId="26BA6015" w:rsidR="00586561" w:rsidRDefault="00586561" w:rsidP="7417CC87">
      <w:pPr>
        <w:spacing w:line="480" w:lineRule="auto"/>
        <w:rPr>
          <w:rFonts w:ascii="Times New Roman" w:eastAsia="Times New Roman" w:hAnsi="Times New Roman" w:cs="Times New Roman"/>
          <w:u w:val="single"/>
        </w:rPr>
      </w:pPr>
    </w:p>
    <w:p w14:paraId="3D27E7D8" w14:textId="523610BB" w:rsidR="00586561" w:rsidRDefault="00586561" w:rsidP="7417CC87">
      <w:pPr>
        <w:spacing w:line="480" w:lineRule="auto"/>
        <w:rPr>
          <w:rFonts w:ascii="Times New Roman" w:eastAsia="Times New Roman" w:hAnsi="Times New Roman" w:cs="Times New Roman"/>
          <w:u w:val="single"/>
        </w:rPr>
      </w:pPr>
    </w:p>
    <w:p w14:paraId="23CAFC33" w14:textId="317078C3" w:rsidR="00586561" w:rsidRDefault="00586561" w:rsidP="7417CC87">
      <w:pPr>
        <w:spacing w:line="480" w:lineRule="auto"/>
        <w:rPr>
          <w:rFonts w:ascii="Times New Roman" w:eastAsia="Times New Roman" w:hAnsi="Times New Roman" w:cs="Times New Roman"/>
          <w:u w:val="single"/>
        </w:rPr>
      </w:pPr>
    </w:p>
    <w:p w14:paraId="27D14C16" w14:textId="1722B8D0" w:rsidR="00586561" w:rsidRDefault="00586561" w:rsidP="7417CC87">
      <w:pPr>
        <w:spacing w:line="480" w:lineRule="auto"/>
        <w:rPr>
          <w:rFonts w:ascii="Times New Roman" w:eastAsia="Times New Roman" w:hAnsi="Times New Roman" w:cs="Times New Roman"/>
          <w:u w:val="single"/>
        </w:rPr>
      </w:pPr>
    </w:p>
    <w:p w14:paraId="6D823E2D" w14:textId="4E5643FD" w:rsidR="00586561" w:rsidRDefault="00586561" w:rsidP="7417CC87">
      <w:pPr>
        <w:spacing w:line="480" w:lineRule="auto"/>
        <w:rPr>
          <w:rFonts w:ascii="Times New Roman" w:eastAsia="Times New Roman" w:hAnsi="Times New Roman" w:cs="Times New Roman"/>
          <w:u w:val="single"/>
        </w:rPr>
      </w:pPr>
    </w:p>
    <w:p w14:paraId="2DCFCE05" w14:textId="6E4BFEBA" w:rsidR="00586561" w:rsidRDefault="00586561" w:rsidP="7417CC87">
      <w:pPr>
        <w:spacing w:line="480" w:lineRule="auto"/>
        <w:rPr>
          <w:rFonts w:ascii="Times New Roman" w:eastAsia="Times New Roman" w:hAnsi="Times New Roman" w:cs="Times New Roman"/>
          <w:u w:val="single"/>
        </w:rPr>
      </w:pPr>
    </w:p>
    <w:p w14:paraId="22066009" w14:textId="06642578" w:rsidR="00586561" w:rsidRDefault="00586561" w:rsidP="7417CC87">
      <w:pPr>
        <w:spacing w:line="480" w:lineRule="auto"/>
        <w:rPr>
          <w:rFonts w:ascii="Times New Roman" w:eastAsia="Times New Roman" w:hAnsi="Times New Roman" w:cs="Times New Roman"/>
          <w:u w:val="single"/>
        </w:rPr>
      </w:pPr>
    </w:p>
    <w:p w14:paraId="2EB80CF9" w14:textId="2A96E3AA" w:rsidR="00586561" w:rsidRDefault="00586561" w:rsidP="7417CC87">
      <w:pPr>
        <w:spacing w:line="480" w:lineRule="auto"/>
        <w:rPr>
          <w:rFonts w:ascii="Times New Roman" w:eastAsia="Times New Roman" w:hAnsi="Times New Roman" w:cs="Times New Roman"/>
          <w:u w:val="single"/>
        </w:rPr>
      </w:pPr>
    </w:p>
    <w:p w14:paraId="36B7B00A" w14:textId="16FA0D1B" w:rsidR="00586561" w:rsidRDefault="00586561" w:rsidP="7417CC87">
      <w:pPr>
        <w:spacing w:line="480" w:lineRule="auto"/>
        <w:rPr>
          <w:rFonts w:ascii="Times New Roman" w:eastAsia="Times New Roman" w:hAnsi="Times New Roman" w:cs="Times New Roman"/>
          <w:u w:val="single"/>
        </w:rPr>
      </w:pPr>
    </w:p>
    <w:p w14:paraId="7F0A6A4B" w14:textId="4EAF2568" w:rsidR="00586561" w:rsidRDefault="00586561" w:rsidP="7417CC87">
      <w:pPr>
        <w:spacing w:line="480" w:lineRule="auto"/>
        <w:rPr>
          <w:rFonts w:ascii="Times New Roman" w:eastAsia="Times New Roman" w:hAnsi="Times New Roman" w:cs="Times New Roman"/>
          <w:u w:val="single"/>
        </w:rPr>
      </w:pPr>
    </w:p>
    <w:p w14:paraId="785F5FFC" w14:textId="52B36220" w:rsidR="00586561" w:rsidRDefault="00586561" w:rsidP="7417CC87">
      <w:pPr>
        <w:spacing w:line="480" w:lineRule="auto"/>
        <w:rPr>
          <w:rFonts w:ascii="Times New Roman" w:eastAsia="Times New Roman" w:hAnsi="Times New Roman" w:cs="Times New Roman"/>
          <w:u w:val="single"/>
        </w:rPr>
      </w:pPr>
    </w:p>
    <w:p w14:paraId="48753D0F" w14:textId="2F6A22A7" w:rsidR="00586561" w:rsidRDefault="00586561" w:rsidP="7417CC87">
      <w:pPr>
        <w:spacing w:line="480" w:lineRule="auto"/>
        <w:rPr>
          <w:rFonts w:ascii="Times New Roman" w:eastAsia="Times New Roman" w:hAnsi="Times New Roman" w:cs="Times New Roman"/>
          <w:u w:val="single"/>
        </w:rPr>
      </w:pPr>
    </w:p>
    <w:p w14:paraId="04B943FB" w14:textId="4D632303" w:rsidR="00586561" w:rsidRDefault="00586561" w:rsidP="7417CC87">
      <w:pPr>
        <w:spacing w:line="480" w:lineRule="auto"/>
        <w:rPr>
          <w:rFonts w:ascii="Times New Roman" w:eastAsia="Times New Roman" w:hAnsi="Times New Roman" w:cs="Times New Roman"/>
          <w:u w:val="single"/>
        </w:rPr>
      </w:pPr>
    </w:p>
    <w:p w14:paraId="36678BA7" w14:textId="64F9A774" w:rsidR="00586561" w:rsidRDefault="00586561" w:rsidP="7417CC87">
      <w:pPr>
        <w:spacing w:line="480" w:lineRule="auto"/>
        <w:rPr>
          <w:rFonts w:ascii="Times New Roman" w:eastAsia="Times New Roman" w:hAnsi="Times New Roman" w:cs="Times New Roman"/>
          <w:u w:val="single"/>
        </w:rPr>
      </w:pPr>
    </w:p>
    <w:p w14:paraId="78D8DC19" w14:textId="28B008C8" w:rsidR="00586561" w:rsidRDefault="00586561" w:rsidP="7417CC87">
      <w:pPr>
        <w:spacing w:line="480" w:lineRule="auto"/>
        <w:rPr>
          <w:rFonts w:ascii="Times New Roman" w:eastAsia="Times New Roman" w:hAnsi="Times New Roman" w:cs="Times New Roman"/>
          <w:u w:val="single"/>
        </w:rPr>
      </w:pPr>
    </w:p>
    <w:p w14:paraId="03D3A90C" w14:textId="672E73ED" w:rsidR="00586561" w:rsidRDefault="00586561" w:rsidP="7417CC87">
      <w:pPr>
        <w:spacing w:line="480" w:lineRule="auto"/>
        <w:rPr>
          <w:rFonts w:ascii="Times New Roman" w:eastAsia="Times New Roman" w:hAnsi="Times New Roman" w:cs="Times New Roman"/>
          <w:u w:val="single"/>
        </w:rPr>
      </w:pPr>
    </w:p>
    <w:p w14:paraId="667C1461" w14:textId="35470BEE" w:rsidR="00586561" w:rsidRDefault="706CA0E7" w:rsidP="7417CC87">
      <w:pPr>
        <w:spacing w:line="480" w:lineRule="auto"/>
        <w:rPr>
          <w:rFonts w:ascii="Times New Roman" w:eastAsia="Times New Roman" w:hAnsi="Times New Roman" w:cs="Times New Roman"/>
          <w:u w:val="single"/>
        </w:rPr>
      </w:pPr>
      <w:r w:rsidRPr="7417CC87">
        <w:rPr>
          <w:rFonts w:ascii="Times New Roman" w:eastAsia="Times New Roman" w:hAnsi="Times New Roman" w:cs="Times New Roman"/>
          <w:u w:val="single"/>
        </w:rPr>
        <w:t>Business overview</w:t>
      </w:r>
    </w:p>
    <w:p w14:paraId="5D0BC593" w14:textId="7FD1EBBD"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sport and physical activity sector </w:t>
      </w:r>
      <w:proofErr w:type="gramStart"/>
      <w:r w:rsidRPr="7417CC87">
        <w:rPr>
          <w:rFonts w:ascii="Times New Roman" w:eastAsia="Times New Roman" w:hAnsi="Times New Roman" w:cs="Times New Roman"/>
          <w:color w:val="000000" w:themeColor="text1"/>
        </w:rPr>
        <w:t>has</w:t>
      </w:r>
      <w:proofErr w:type="gramEnd"/>
      <w:r w:rsidRPr="7417CC87">
        <w:rPr>
          <w:rFonts w:ascii="Times New Roman" w:eastAsia="Times New Roman" w:hAnsi="Times New Roman" w:cs="Times New Roman"/>
          <w:color w:val="000000" w:themeColor="text1"/>
        </w:rPr>
        <w:t xml:space="preserve"> experienced significant growth in recent years, driven by increasing participation rates, heightened awareness of athlete welfare, and the professionalisation of grassroots sport. Within this evolving context, there is a growing demand for accessible, high-quality medical and performance support services, particularly at the grassroots level where provision is often limited (Hoye et al., 2018). Pitch Side Player Care is a proposed business that seeks to address this gap by providing affordable, professional physiotherapy and player welfare services to grassroots football clubs.</w:t>
      </w:r>
    </w:p>
    <w:p w14:paraId="143D3616" w14:textId="11ACCDD4"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business is built on the principle that every player, regardless of level or financial capacity, deserves access to expert care. By adopting a shared service model across clubs, Pitch Side Player Care aims to deliver cost-effective, high-quality support that enhances player health, reduces injury risk, and improves overall team performance. This overview will examine the business concept, service offering, value proposition, target market, and strategic positioning, supported by relevant sport management and business theory.</w:t>
      </w:r>
    </w:p>
    <w:p w14:paraId="3E6EA33E" w14:textId="6FB2BE79" w:rsidR="00586561" w:rsidRDefault="00586561" w:rsidP="7417CC87">
      <w:pPr>
        <w:spacing w:before="240" w:after="240" w:line="480" w:lineRule="auto"/>
        <w:rPr>
          <w:rFonts w:ascii="Times New Roman" w:eastAsia="Times New Roman" w:hAnsi="Times New Roman" w:cs="Times New Roman"/>
          <w:color w:val="000000" w:themeColor="text1"/>
        </w:rPr>
      </w:pPr>
    </w:p>
    <w:p w14:paraId="3163B48B" w14:textId="7A395030"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lastRenderedPageBreak/>
        <w:t>Business concept and service offering</w:t>
      </w:r>
    </w:p>
    <w:p w14:paraId="7260B4E6" w14:textId="1F3DB2AB"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operates as a specialised physiotherapy and player welfare service tailored specifically to grassroots football clubs. The business provides a range of services, including matchday medical cover, training session support, injury assessment, rehabilitation programmes, and injury prevention workshops. These services reflect best practice in sports medicine, where integrated approaches to injury management and prevention are essential for sustaining athlete participation and performance (Brukner and Khan, 2017).</w:t>
      </w:r>
    </w:p>
    <w:p w14:paraId="43A4459A" w14:textId="3332C94C"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inclusion of pitch-side injury assessment and immediate treatment is particularly valuable in grassroots contexts, where clubs often lack qualified medical personnel. Immediate access to professional care can significantly reduce the severity of injuries and improve recovery outcomes (McCrory et al., 2017). Additionally, rehabilitation and recovery services provide structured, individualised programmes designed to return players to sport safely, aligning with contemporary approaches to athlete-centred care.</w:t>
      </w:r>
    </w:p>
    <w:p w14:paraId="3FA408F6" w14:textId="0172403F"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A key component of the service offering is injury prevention. Through education, strength and conditioning guidance, and workload monitoring, the business supports clubs in reducing injury incidence. Research indicates that structured injury prevention programmes can reduce injuries in football by up to 30–50%, highlighting the importance of proactive approaches (Soligard et al., 2008).</w:t>
      </w:r>
    </w:p>
    <w:p w14:paraId="6FE3B297" w14:textId="6FD6A3AA" w:rsidR="00586561" w:rsidRDefault="00586561" w:rsidP="7417CC87">
      <w:pPr>
        <w:spacing w:before="240" w:after="240" w:line="480" w:lineRule="auto"/>
        <w:rPr>
          <w:rFonts w:ascii="Times New Roman" w:eastAsia="Times New Roman" w:hAnsi="Times New Roman" w:cs="Times New Roman"/>
          <w:color w:val="000000" w:themeColor="text1"/>
        </w:rPr>
      </w:pPr>
    </w:p>
    <w:p w14:paraId="20BD16C9" w14:textId="7BBA7DA7"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Value proposition</w:t>
      </w:r>
    </w:p>
    <w:p w14:paraId="40C8257C" w14:textId="239B8FB8"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core value proposition of </w:t>
      </w: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is centred on affordability, accessibility, and professionalism. The business adopts a shared service model, whereby multiple clubs contribute to the cost of services, making high-quality physiotherapy support </w:t>
      </w:r>
      <w:r w:rsidRPr="7417CC87">
        <w:rPr>
          <w:rFonts w:ascii="Times New Roman" w:eastAsia="Times New Roman" w:hAnsi="Times New Roman" w:cs="Times New Roman"/>
          <w:color w:val="000000" w:themeColor="text1"/>
        </w:rPr>
        <w:lastRenderedPageBreak/>
        <w:t>financially viable for grassroots organisations. This approach aligns with principles of cost efficiency and resource sharing, which are particularly relevant in community sport settings where budgets are constrained (Hoye et al., 2018).</w:t>
      </w:r>
    </w:p>
    <w:p w14:paraId="17BBED42" w14:textId="62179430"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emphasis on qualified and experienced physiotherapists ensures that the service maintains a high standard of care, enhancing credibility and trust among clubs. Professional accreditation, such as Health and Care Professions Council (HCPC) registration, further reinforces the legitimacy of the service and aligns with industry standards.</w:t>
      </w:r>
    </w:p>
    <w:p w14:paraId="74BFF55E" w14:textId="595B97B1"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In addition to improving player health, the business highlights its impact on performance and availability. Reduced injury rates lead to greater player availability, which is a key determinant of team success (Ekstrand et al., 2013). This creates a direct link between medical support and competitive performance, strengthening the business case for investment in such services.</w:t>
      </w:r>
    </w:p>
    <w:p w14:paraId="6EE18328" w14:textId="79B7603C"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value proposition is further supported by its focus on grassroots football. By positioning itself as a community-focused organisation, </w:t>
      </w: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aligns with the social mission of sport, contributing to participation, inclusion, and community wellbeing. This dual focus on performance and social impact reflects broader trends in sport management, where organisations are increasingly expected to deliver both economic and social value (Smith and Stewart, 2010).</w:t>
      </w:r>
    </w:p>
    <w:p w14:paraId="1FF52797" w14:textId="536FDC7B" w:rsidR="00586561" w:rsidRDefault="00586561" w:rsidP="7417CC87">
      <w:pPr>
        <w:spacing w:before="240" w:after="240" w:line="480" w:lineRule="auto"/>
        <w:rPr>
          <w:rFonts w:ascii="Times New Roman" w:eastAsia="Times New Roman" w:hAnsi="Times New Roman" w:cs="Times New Roman"/>
          <w:color w:val="000000" w:themeColor="text1"/>
        </w:rPr>
      </w:pPr>
    </w:p>
    <w:p w14:paraId="60EB4963" w14:textId="7CB6A48A"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 xml:space="preserve">Target market and customer segments </w:t>
      </w:r>
    </w:p>
    <w:p w14:paraId="18EA9D0F" w14:textId="434ECE3E"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primary target market for </w:t>
      </w: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consists of grassroots football clubs, including youth teams, amateur adult teams, and community-based organisations. These </w:t>
      </w:r>
      <w:r w:rsidRPr="7417CC87">
        <w:rPr>
          <w:rFonts w:ascii="Times New Roman" w:eastAsia="Times New Roman" w:hAnsi="Times New Roman" w:cs="Times New Roman"/>
          <w:color w:val="000000" w:themeColor="text1"/>
        </w:rPr>
        <w:lastRenderedPageBreak/>
        <w:t>clubs often operate with limited financial and human resources, making them an ideal market for cost-effective shared services.</w:t>
      </w:r>
    </w:p>
    <w:p w14:paraId="1D582610" w14:textId="28BF7D2C"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Secondary stakeholders include players, coaches, and club administrators, all of whom benefit from improved medical support and injury management. Parents of youth players also represent an important stakeholder group, as concerns around player safety and wellbeing are particularly significant in youth sport.</w:t>
      </w:r>
    </w:p>
    <w:p w14:paraId="2DD426D9" w14:textId="1A80C9EF"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From a market perspective, grassroots football represents a large and relatively underserved segment. In the UK alone, millions of participants are involved in grassroots football, yet access to professional medical support remains inconsistent (The Football Association, 2020). This creates a clear opportunity for a business that can provide accessible and reliable services.</w:t>
      </w:r>
    </w:p>
    <w:p w14:paraId="4C5939B9" w14:textId="7CF3240B"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business also leverages digital platforms, such as social media, to engage with its audience and promote its services. The use of platforms like Instagram enhances visibility and allows for direct communication with potential clients, reflecting contemporary marketing practices in sport (Pedersen and Thibault, 2019).</w:t>
      </w:r>
    </w:p>
    <w:p w14:paraId="132647BF" w14:textId="51B8D6E2" w:rsidR="00586561" w:rsidRDefault="00586561" w:rsidP="7417CC87">
      <w:pPr>
        <w:spacing w:before="240" w:after="240" w:line="480" w:lineRule="auto"/>
        <w:rPr>
          <w:rFonts w:ascii="Times New Roman" w:eastAsia="Times New Roman" w:hAnsi="Times New Roman" w:cs="Times New Roman"/>
          <w:color w:val="000000" w:themeColor="text1"/>
        </w:rPr>
      </w:pPr>
    </w:p>
    <w:p w14:paraId="6E3D2BE7" w14:textId="35F14CC8" w:rsidR="00586561" w:rsidRDefault="6912443C" w:rsidP="7417CC87">
      <w:pPr>
        <w:spacing w:before="240" w:after="240" w:line="480" w:lineRule="auto"/>
        <w:rPr>
          <w:rFonts w:ascii="Times New Roman" w:eastAsia="Times New Roman" w:hAnsi="Times New Roman" w:cs="Times New Roman"/>
          <w:color w:val="000000" w:themeColor="text1"/>
          <w:u w:val="single"/>
        </w:rPr>
      </w:pPr>
      <w:r w:rsidRPr="7417CC87">
        <w:rPr>
          <w:rFonts w:ascii="Times New Roman" w:eastAsia="Times New Roman" w:hAnsi="Times New Roman" w:cs="Times New Roman"/>
          <w:color w:val="000000" w:themeColor="text1"/>
          <w:u w:val="single"/>
        </w:rPr>
        <w:t xml:space="preserve">Strategic positioning </w:t>
      </w:r>
    </w:p>
    <w:p w14:paraId="3B2955EC" w14:textId="4A5E46D7" w:rsidR="00586561" w:rsidRDefault="00586561" w:rsidP="7417CC87">
      <w:pPr>
        <w:spacing w:before="240" w:after="240" w:line="480" w:lineRule="auto"/>
        <w:rPr>
          <w:rFonts w:ascii="Times New Roman" w:eastAsia="Times New Roman" w:hAnsi="Times New Roman" w:cs="Times New Roman"/>
          <w:color w:val="000000" w:themeColor="text1"/>
          <w:u w:val="single"/>
        </w:rPr>
      </w:pPr>
    </w:p>
    <w:p w14:paraId="1ABDB556" w14:textId="24758DC0"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i/>
          <w:iCs/>
          <w:color w:val="000000" w:themeColor="text1"/>
        </w:rPr>
        <w:t>Pitch Side Player Care</w:t>
      </w:r>
      <w:r w:rsidRPr="7417CC87">
        <w:rPr>
          <w:rFonts w:ascii="Times New Roman" w:eastAsia="Times New Roman" w:hAnsi="Times New Roman" w:cs="Times New Roman"/>
          <w:color w:val="000000" w:themeColor="text1"/>
        </w:rPr>
        <w:t xml:space="preserve"> adopts a differentiation strategy, focusing on delivering specialised, high-quality services tailored to grassroots football. Porter (2008) suggests that differentiation allows organisations to create unique value that distinguishes them from competitors. In this </w:t>
      </w:r>
      <w:r w:rsidRPr="7417CC87">
        <w:rPr>
          <w:rFonts w:ascii="Times New Roman" w:eastAsia="Times New Roman" w:hAnsi="Times New Roman" w:cs="Times New Roman"/>
          <w:color w:val="000000" w:themeColor="text1"/>
        </w:rPr>
        <w:lastRenderedPageBreak/>
        <w:t xml:space="preserve">case, the combination of affordability, professionalism, and a shared service model </w:t>
      </w:r>
      <w:proofErr w:type="gramStart"/>
      <w:r w:rsidRPr="7417CC87">
        <w:rPr>
          <w:rFonts w:ascii="Times New Roman" w:eastAsia="Times New Roman" w:hAnsi="Times New Roman" w:cs="Times New Roman"/>
          <w:color w:val="000000" w:themeColor="text1"/>
        </w:rPr>
        <w:t>creates</w:t>
      </w:r>
      <w:proofErr w:type="gramEnd"/>
      <w:r w:rsidRPr="7417CC87">
        <w:rPr>
          <w:rFonts w:ascii="Times New Roman" w:eastAsia="Times New Roman" w:hAnsi="Times New Roman" w:cs="Times New Roman"/>
          <w:color w:val="000000" w:themeColor="text1"/>
        </w:rPr>
        <w:t xml:space="preserve"> a distinctive market position.</w:t>
      </w:r>
    </w:p>
    <w:p w14:paraId="5F5F9C34" w14:textId="4032F7CE"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business also demonstrates elements of a resource-based approach, as its competitive advantage is derived from the expertise and qualifications of its staff. Skilled physiotherapists represent a valuable and relatively scarce resource, contributing to service quality and customer satisfaction (Barney, 1991).</w:t>
      </w:r>
    </w:p>
    <w:p w14:paraId="49EF8498" w14:textId="18ABBB67"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Additionally, the emphasis on player welfare and community impact aligns with stakeholder theory, which highlights the importance of addressing the needs of multiple stakeholder groups (Freeman, 2010). By delivering value to clubs, players, and communities, the business enhances its legitimacy and long-term sustainability.</w:t>
      </w:r>
    </w:p>
    <w:p w14:paraId="182BD6E9" w14:textId="5D54CB4A" w:rsidR="00586561" w:rsidRDefault="6912443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use of affordable pricing structures further strengthens its competitive position. By offering flexible pricing for matchday cover, training support, and workshops, the business ensures that services remain accessible to a wide range of clubs. This approach balances financial viability with social responsibility, which is particularly important in the grassroots sport sector.</w:t>
      </w:r>
    </w:p>
    <w:p w14:paraId="1CD7B4FF" w14:textId="6ADA7A46" w:rsidR="20EFF8F8" w:rsidRDefault="20EFF8F8" w:rsidP="7417CC87">
      <w:pPr>
        <w:spacing w:line="480" w:lineRule="auto"/>
        <w:rPr>
          <w:rFonts w:ascii="Times New Roman" w:eastAsia="Times New Roman" w:hAnsi="Times New Roman" w:cs="Times New Roman"/>
          <w:b/>
          <w:bCs/>
          <w:u w:val="single"/>
        </w:rPr>
      </w:pPr>
    </w:p>
    <w:p w14:paraId="40AEF6AB" w14:textId="7713A303" w:rsidR="20EFF8F8" w:rsidRDefault="20EFF8F8" w:rsidP="7417CC87">
      <w:pPr>
        <w:spacing w:line="480" w:lineRule="auto"/>
        <w:rPr>
          <w:rFonts w:ascii="Times New Roman" w:eastAsia="Times New Roman" w:hAnsi="Times New Roman" w:cs="Times New Roman"/>
          <w:b/>
          <w:bCs/>
          <w:u w:val="single"/>
        </w:rPr>
      </w:pPr>
    </w:p>
    <w:p w14:paraId="3E1B7B5B" w14:textId="3917C184" w:rsidR="20EFF8F8" w:rsidRDefault="20EFF8F8" w:rsidP="7417CC87">
      <w:pPr>
        <w:spacing w:line="480" w:lineRule="auto"/>
        <w:rPr>
          <w:rFonts w:ascii="Times New Roman" w:eastAsia="Times New Roman" w:hAnsi="Times New Roman" w:cs="Times New Roman"/>
          <w:b/>
          <w:bCs/>
          <w:u w:val="single"/>
        </w:rPr>
      </w:pPr>
    </w:p>
    <w:p w14:paraId="09F8F5AC" w14:textId="4743DD3B" w:rsidR="20EFF8F8" w:rsidRDefault="20EFF8F8" w:rsidP="7417CC87">
      <w:pPr>
        <w:spacing w:line="480" w:lineRule="auto"/>
        <w:rPr>
          <w:rFonts w:ascii="Times New Roman" w:eastAsia="Times New Roman" w:hAnsi="Times New Roman" w:cs="Times New Roman"/>
          <w:b/>
          <w:bCs/>
          <w:u w:val="single"/>
        </w:rPr>
      </w:pPr>
    </w:p>
    <w:p w14:paraId="69C0DE8B" w14:textId="2F18F9AC" w:rsidR="20EFF8F8" w:rsidRDefault="2909627C" w:rsidP="7417CC87">
      <w:pPr>
        <w:spacing w:line="480" w:lineRule="auto"/>
        <w:rPr>
          <w:rFonts w:ascii="Times New Roman" w:eastAsia="Times New Roman" w:hAnsi="Times New Roman" w:cs="Times New Roman"/>
          <w:b/>
          <w:bCs/>
          <w:color w:val="000000" w:themeColor="text1"/>
          <w:u w:val="single"/>
        </w:rPr>
      </w:pPr>
      <w:r w:rsidRPr="7417CC87">
        <w:rPr>
          <w:rFonts w:ascii="Times New Roman" w:eastAsia="Times New Roman" w:hAnsi="Times New Roman" w:cs="Times New Roman"/>
          <w:b/>
          <w:bCs/>
          <w:u w:val="single"/>
        </w:rPr>
        <w:t>Market Research and Analysis</w:t>
      </w:r>
    </w:p>
    <w:p w14:paraId="2E52EE01" w14:textId="50631F16"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Market research and analysis is central to assessing whether Pitch Side Player Care is commercially viable, strategically positioned and realistically deliverable within grassroots </w:t>
      </w:r>
      <w:r w:rsidRPr="7417CC87">
        <w:rPr>
          <w:rFonts w:ascii="Times New Roman" w:eastAsia="Times New Roman" w:hAnsi="Times New Roman" w:cs="Times New Roman"/>
          <w:color w:val="000000" w:themeColor="text1"/>
        </w:rPr>
        <w:lastRenderedPageBreak/>
        <w:t xml:space="preserve">football. The service is based on a clear problem: grassroots football has high levels of participation and regular injury risk, yet many clubs lack access to structured physiotherapy, rehabilitation and player welfare support. However, the existence of need does not automatically create a sustainable market. Research in sport development highlights that </w:t>
      </w:r>
      <w:proofErr w:type="gramStart"/>
      <w:r w:rsidRPr="7417CC87">
        <w:rPr>
          <w:rFonts w:ascii="Times New Roman" w:eastAsia="Times New Roman" w:hAnsi="Times New Roman" w:cs="Times New Roman"/>
          <w:color w:val="000000" w:themeColor="text1"/>
        </w:rPr>
        <w:t>participation</w:t>
      </w:r>
      <w:r w:rsidR="28212D4F"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based</w:t>
      </w:r>
      <w:proofErr w:type="gramEnd"/>
      <w:r w:rsidRPr="7417CC87">
        <w:rPr>
          <w:rFonts w:ascii="Times New Roman" w:eastAsia="Times New Roman" w:hAnsi="Times New Roman" w:cs="Times New Roman"/>
          <w:color w:val="000000" w:themeColor="text1"/>
        </w:rPr>
        <w:t xml:space="preserve"> need does not always translate into economic demand because community sport organisations are often shaped by financial, cultural and structural barriers (Coalter, 2013; Hoye et al., 2022). Therefore, </w:t>
      </w:r>
      <w:r w:rsidR="5A79A6F6" w:rsidRPr="7417CC87">
        <w:rPr>
          <w:rFonts w:ascii="Times New Roman" w:eastAsia="Times New Roman" w:hAnsi="Times New Roman" w:cs="Times New Roman"/>
          <w:color w:val="000000" w:themeColor="text1"/>
        </w:rPr>
        <w:t xml:space="preserve">Pitch Side Player Care </w:t>
      </w:r>
      <w:r w:rsidRPr="7417CC87">
        <w:rPr>
          <w:rFonts w:ascii="Times New Roman" w:eastAsia="Times New Roman" w:hAnsi="Times New Roman" w:cs="Times New Roman"/>
          <w:color w:val="000000" w:themeColor="text1"/>
        </w:rPr>
        <w:t xml:space="preserve">must be analysed </w:t>
      </w:r>
      <w:r w:rsidR="144349FF" w:rsidRPr="7417CC87">
        <w:rPr>
          <w:rFonts w:ascii="Times New Roman" w:eastAsia="Times New Roman" w:hAnsi="Times New Roman" w:cs="Times New Roman"/>
          <w:color w:val="000000" w:themeColor="text1"/>
        </w:rPr>
        <w:t>by the following: t</w:t>
      </w:r>
      <w:r w:rsidRPr="7417CC87">
        <w:rPr>
          <w:rFonts w:ascii="Times New Roman" w:eastAsia="Times New Roman" w:hAnsi="Times New Roman" w:cs="Times New Roman"/>
          <w:color w:val="000000" w:themeColor="text1"/>
        </w:rPr>
        <w:t>arget market, segmentation, competition, demand, barriers to entry, stakeholders and wider external forces.</w:t>
      </w:r>
    </w:p>
    <w:p w14:paraId="588D79DC" w14:textId="78EA8049"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Target Market and Segmentation</w:t>
      </w:r>
    </w:p>
    <w:p w14:paraId="1C4C5DFD" w14:textId="3576FC16"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target market for Pitch Side Player Care is the grassroots football sector in England, with a specific focus on amateur adult clubs, youth football clubs, community football organisations and lower-budget academies. This is a logical market because grassroots football is positioned by The Football Association as a central part of the sport’s development structure, with its 2024 to 2028 grassroots strategy focused on creating a thriving and accessible grassroots game (The Football Association, 2024). Sport England’s Active Lives data also shows that sport and physical activity participation remains a major public policy focus, particularly due to its links with health, wellbeing and social value outcomes (Sport England, 2025; DCMS, 2023). However, grassroots football should not be treated as one single market. It includes well</w:t>
      </w:r>
      <w:r w:rsidR="02CEEAA3"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funded community clubs, informal Sunday league teams, youth teams, disability teams and lower</w:t>
      </w:r>
      <w:r w:rsidR="11878430"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income clubs, all of which operate with different levels of finance, facilities and volunteer capacity (Sport England, 2022).</w:t>
      </w:r>
    </w:p>
    <w:p w14:paraId="23511F89" w14:textId="38AACD69"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For that reason, Pitch Side Player Care should use a segmented approach. The most suitable segment is a behavioural and organisational segment</w:t>
      </w:r>
      <w:r w:rsidR="10AE9AB1" w:rsidRPr="7417CC87">
        <w:rPr>
          <w:rFonts w:ascii="Times New Roman" w:eastAsia="Times New Roman" w:hAnsi="Times New Roman" w:cs="Times New Roman"/>
          <w:color w:val="000000" w:themeColor="text1"/>
        </w:rPr>
        <w:t>.</w:t>
      </w:r>
      <w:r w:rsidRPr="7417CC87">
        <w:rPr>
          <w:rFonts w:ascii="Times New Roman" w:eastAsia="Times New Roman" w:hAnsi="Times New Roman" w:cs="Times New Roman"/>
          <w:color w:val="000000" w:themeColor="text1"/>
        </w:rPr>
        <w:t xml:space="preserve"> </w:t>
      </w:r>
      <w:r w:rsidR="5985B53B" w:rsidRPr="7417CC87">
        <w:rPr>
          <w:rFonts w:ascii="Times New Roman" w:eastAsia="Times New Roman" w:hAnsi="Times New Roman" w:cs="Times New Roman"/>
          <w:color w:val="000000" w:themeColor="text1"/>
        </w:rPr>
        <w:t>C</w:t>
      </w:r>
      <w:r w:rsidRPr="7417CC87">
        <w:rPr>
          <w:rFonts w:ascii="Times New Roman" w:eastAsia="Times New Roman" w:hAnsi="Times New Roman" w:cs="Times New Roman"/>
          <w:color w:val="000000" w:themeColor="text1"/>
        </w:rPr>
        <w:t xml:space="preserve">lubs that train and compete regularly, </w:t>
      </w:r>
      <w:r w:rsidRPr="7417CC87">
        <w:rPr>
          <w:rFonts w:ascii="Times New Roman" w:eastAsia="Times New Roman" w:hAnsi="Times New Roman" w:cs="Times New Roman"/>
          <w:color w:val="000000" w:themeColor="text1"/>
        </w:rPr>
        <w:lastRenderedPageBreak/>
        <w:t xml:space="preserve">experience repeated injury risk, but cannot afford permanent medical staff. This includes </w:t>
      </w:r>
      <w:r w:rsidR="4D6B76D9" w:rsidRPr="7417CC87">
        <w:rPr>
          <w:rFonts w:ascii="Times New Roman" w:eastAsia="Times New Roman" w:hAnsi="Times New Roman" w:cs="Times New Roman"/>
          <w:color w:val="000000" w:themeColor="text1"/>
        </w:rPr>
        <w:t>Saturday</w:t>
      </w:r>
      <w:r w:rsidRPr="7417CC87">
        <w:rPr>
          <w:rFonts w:ascii="Times New Roman" w:eastAsia="Times New Roman" w:hAnsi="Times New Roman" w:cs="Times New Roman"/>
          <w:color w:val="000000" w:themeColor="text1"/>
        </w:rPr>
        <w:t xml:space="preserve"> and </w:t>
      </w:r>
      <w:r w:rsidR="2A144DD7" w:rsidRPr="7417CC87">
        <w:rPr>
          <w:rFonts w:ascii="Times New Roman" w:eastAsia="Times New Roman" w:hAnsi="Times New Roman" w:cs="Times New Roman"/>
          <w:color w:val="000000" w:themeColor="text1"/>
        </w:rPr>
        <w:t>Sunday</w:t>
      </w:r>
      <w:r w:rsidRPr="7417CC87">
        <w:rPr>
          <w:rFonts w:ascii="Times New Roman" w:eastAsia="Times New Roman" w:hAnsi="Times New Roman" w:cs="Times New Roman"/>
          <w:color w:val="000000" w:themeColor="text1"/>
        </w:rPr>
        <w:t xml:space="preserve"> league teams, multi-team community clubs, youth football clubs and lower</w:t>
      </w:r>
      <w:r w:rsidR="4775794A"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budget academies. This segmentation is stronger than simply targeting grassroots football because it focuses on clubs with both a clear need and a realistic reason to purchase the service. Football injury research supports this need, as football is associated with substantial injury risk, especially lower</w:t>
      </w:r>
      <w:r w:rsidR="5FAC5103"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limb injuries such as muscle strains, ligament injuries and ankle sprains (Ekstrand, Hägglund and Waldén, 2011; López-Valenciano et al., 2020). </w:t>
      </w:r>
    </w:p>
    <w:p w14:paraId="2E04BF26" w14:textId="507ABD9A"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Market Size and Demand</w:t>
      </w:r>
    </w:p>
    <w:p w14:paraId="6D890EE0" w14:textId="54D7F25A"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market size and demand are potentially strong because grassroots football has a broad participation base and a repeated</w:t>
      </w:r>
      <w:r w:rsidR="2CF0ED20"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use service need. Unlike one</w:t>
      </w:r>
      <w:r w:rsidR="65D1AD71"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off products, injury assessment, rehabilitation, prevention education and player welfare support create recurring demand across a season. The FA’s grassroots strategy highlights the importance of positive football experiences, safe environments and participation growth, all of which align with a service focused on player care (The Football Association, 2024). </w:t>
      </w:r>
    </w:p>
    <w:p w14:paraId="63AB2855" w14:textId="76EC5672"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However, </w:t>
      </w:r>
      <w:r w:rsidR="044A9DE9" w:rsidRPr="7417CC87">
        <w:rPr>
          <w:rFonts w:ascii="Times New Roman" w:eastAsia="Times New Roman" w:hAnsi="Times New Roman" w:cs="Times New Roman"/>
          <w:color w:val="000000" w:themeColor="text1"/>
        </w:rPr>
        <w:t>h</w:t>
      </w:r>
      <w:r w:rsidRPr="7417CC87">
        <w:rPr>
          <w:rFonts w:ascii="Times New Roman" w:eastAsia="Times New Roman" w:hAnsi="Times New Roman" w:cs="Times New Roman"/>
          <w:color w:val="000000" w:themeColor="text1"/>
        </w:rPr>
        <w:t>igh participation does not automatically guarantee high purchasing power. Many grassroots clubs are volunteer</w:t>
      </w:r>
      <w:r w:rsidR="4F539C5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led and financially constrained, meaning that demand may be high in principle but limited in practice by affordability. Research on community sport organisations suggests that financial sustainability is a persistent challenge, particularly in </w:t>
      </w:r>
      <w:proofErr w:type="gramStart"/>
      <w:r w:rsidRPr="7417CC87">
        <w:rPr>
          <w:rFonts w:ascii="Times New Roman" w:eastAsia="Times New Roman" w:hAnsi="Times New Roman" w:cs="Times New Roman"/>
          <w:color w:val="000000" w:themeColor="text1"/>
        </w:rPr>
        <w:t>non</w:t>
      </w:r>
      <w:r w:rsidR="672224FA"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elite</w:t>
      </w:r>
      <w:proofErr w:type="gramEnd"/>
      <w:r w:rsidRPr="7417CC87">
        <w:rPr>
          <w:rFonts w:ascii="Times New Roman" w:eastAsia="Times New Roman" w:hAnsi="Times New Roman" w:cs="Times New Roman"/>
          <w:color w:val="000000" w:themeColor="text1"/>
        </w:rPr>
        <w:t xml:space="preserve"> settings (Wicker and Breuer, 2014). Therefore, Pitch Side Player Care must demonstrate clear value to clubs by linking physiotherapy support to reduced injury absence, improved player availability, safer return</w:t>
      </w:r>
      <w:r w:rsidR="3E0DE4E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to</w:t>
      </w:r>
      <w:r w:rsidR="78345A78"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play decisions and stronger club reputation.</w:t>
      </w:r>
    </w:p>
    <w:p w14:paraId="2AD08100" w14:textId="67C8A342"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Competitor Analysis</w:t>
      </w:r>
    </w:p>
    <w:p w14:paraId="0ED9DB92" w14:textId="72766F08"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lastRenderedPageBreak/>
        <w:t xml:space="preserve">Competitor analysis shows that Pitch Side Player Care operates in a </w:t>
      </w:r>
      <w:r w:rsidR="78C7BAAB" w:rsidRPr="7417CC87">
        <w:rPr>
          <w:rFonts w:ascii="Times New Roman" w:eastAsia="Times New Roman" w:hAnsi="Times New Roman" w:cs="Times New Roman"/>
          <w:color w:val="000000" w:themeColor="text1"/>
        </w:rPr>
        <w:t>shared</w:t>
      </w:r>
      <w:r w:rsidRPr="7417CC87">
        <w:rPr>
          <w:rFonts w:ascii="Times New Roman" w:eastAsia="Times New Roman" w:hAnsi="Times New Roman" w:cs="Times New Roman"/>
          <w:color w:val="000000" w:themeColor="text1"/>
        </w:rPr>
        <w:t xml:space="preserve"> competitive environment rather than against one direct competitor. The first competitor group is informal provision, including volunteer first aiders, coaches and players self</w:t>
      </w:r>
      <w:r w:rsidR="55E6E46E"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managing injuries. This is low cost and already embedded in grassroots football, but it is limited because it may lack professional clinical knowledge and structured rehabilitation planning. This is important because </w:t>
      </w:r>
      <w:r w:rsidR="68DE5B99" w:rsidRPr="7417CC87">
        <w:rPr>
          <w:rFonts w:ascii="Times New Roman" w:eastAsia="Times New Roman" w:hAnsi="Times New Roman" w:cs="Times New Roman"/>
          <w:color w:val="000000" w:themeColor="text1"/>
        </w:rPr>
        <w:t xml:space="preserve">poor </w:t>
      </w:r>
      <w:r w:rsidRPr="7417CC87">
        <w:rPr>
          <w:rFonts w:ascii="Times New Roman" w:eastAsia="Times New Roman" w:hAnsi="Times New Roman" w:cs="Times New Roman"/>
          <w:color w:val="000000" w:themeColor="text1"/>
        </w:rPr>
        <w:t>rehabilitation and premature return to play can increase the risk of re-injury in sport (Bahr and Krosshaug, 2005; Toohey et al., 2021).</w:t>
      </w:r>
    </w:p>
    <w:p w14:paraId="5692734F" w14:textId="53E9B35D"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Positioning Strategy</w:t>
      </w:r>
    </w:p>
    <w:p w14:paraId="3A6A40A4" w14:textId="7158991B"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Pitch Side Player Care is positioned as a mid</w:t>
      </w:r>
      <w:r w:rsidR="78AEC2E7"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cost, sport</w:t>
      </w:r>
      <w:r w:rsidR="3697E92E"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specific and shared</w:t>
      </w:r>
      <w:r w:rsidR="20290A00"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service alternative. It sits between volunteer</w:t>
      </w:r>
      <w:r w:rsidR="12C3EA8B"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led support and expensive private clinics. Its key differentiation is that it combines pitch</w:t>
      </w:r>
      <w:r w:rsidR="19422B4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side injury assessment, rehabilitation support, injury prevention education and player welfare guidance into one </w:t>
      </w:r>
      <w:proofErr w:type="gramStart"/>
      <w:r w:rsidRPr="7417CC87">
        <w:rPr>
          <w:rFonts w:ascii="Times New Roman" w:eastAsia="Times New Roman" w:hAnsi="Times New Roman" w:cs="Times New Roman"/>
          <w:color w:val="000000" w:themeColor="text1"/>
        </w:rPr>
        <w:t>club</w:t>
      </w:r>
      <w:r w:rsidR="458585F5"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based</w:t>
      </w:r>
      <w:proofErr w:type="gramEnd"/>
      <w:r w:rsidRPr="7417CC87">
        <w:rPr>
          <w:rFonts w:ascii="Times New Roman" w:eastAsia="Times New Roman" w:hAnsi="Times New Roman" w:cs="Times New Roman"/>
          <w:color w:val="000000" w:themeColor="text1"/>
        </w:rPr>
        <w:t xml:space="preserve"> service. This positioning is important because it avoids competing directly with private clinics on clinical prestige alone and instead competes on accessibility, sport specificity and continuity.</w:t>
      </w:r>
    </w:p>
    <w:p w14:paraId="13D44B00" w14:textId="6C87F75B"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However, </w:t>
      </w:r>
      <w:r w:rsidR="05A30051" w:rsidRPr="7417CC87">
        <w:rPr>
          <w:rFonts w:ascii="Times New Roman" w:eastAsia="Times New Roman" w:hAnsi="Times New Roman" w:cs="Times New Roman"/>
          <w:color w:val="000000" w:themeColor="text1"/>
        </w:rPr>
        <w:t>i</w:t>
      </w:r>
      <w:r w:rsidRPr="7417CC87">
        <w:rPr>
          <w:rFonts w:ascii="Times New Roman" w:eastAsia="Times New Roman" w:hAnsi="Times New Roman" w:cs="Times New Roman"/>
          <w:color w:val="000000" w:themeColor="text1"/>
        </w:rPr>
        <w:t>f the service is too cheap, clubs may question its quality. If it is too expensive, the target market may not adopt it. Pricing strategy in sport services must therefore balance perceived value with affordability, particularly in community contexts (Mullin, Hardy and Sutton, 2014). This means Pitch Side Player Care must communicate the benefits of professional care clearly, while still recognising the financial limitations of grassroots football clubs.</w:t>
      </w:r>
    </w:p>
    <w:p w14:paraId="3B8B3244" w14:textId="2CBB3879" w:rsidR="20EFF8F8" w:rsidRDefault="20EFF8F8" w:rsidP="7417CC87">
      <w:pPr>
        <w:spacing w:line="480" w:lineRule="auto"/>
        <w:rPr>
          <w:rFonts w:ascii="Times New Roman" w:eastAsia="Times New Roman" w:hAnsi="Times New Roman" w:cs="Times New Roman"/>
          <w:b/>
          <w:bCs/>
        </w:rPr>
      </w:pPr>
    </w:p>
    <w:p w14:paraId="33F1C57C" w14:textId="0F2A02EE"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PESTLE Analysis</w:t>
      </w:r>
    </w:p>
    <w:p w14:paraId="00A14238" w14:textId="7160DFF4"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lastRenderedPageBreak/>
        <w:t xml:space="preserve">A PESTLE analysis highlights the wider external factors affecting the service. Politically, grassroots sport is supported by national strategies that promote participation, inclusion and community sport development (The Football Association, 2024; Sport England, 2025; DCMS, 2023). </w:t>
      </w:r>
      <w:r w:rsidR="721688F5" w:rsidRPr="7417CC87">
        <w:rPr>
          <w:rFonts w:ascii="Times New Roman" w:eastAsia="Times New Roman" w:hAnsi="Times New Roman" w:cs="Times New Roman"/>
          <w:color w:val="000000" w:themeColor="text1"/>
        </w:rPr>
        <w:t>H</w:t>
      </w:r>
      <w:r w:rsidRPr="7417CC87">
        <w:rPr>
          <w:rFonts w:ascii="Times New Roman" w:eastAsia="Times New Roman" w:hAnsi="Times New Roman" w:cs="Times New Roman"/>
          <w:color w:val="000000" w:themeColor="text1"/>
        </w:rPr>
        <w:t xml:space="preserve">owever, grassroots clubs face cost pressures that may limit spending on additional services. Socially, there is growing awareness of player welfare, injury prevention, mental wellbeing and safeguarding in sport, which supports the business concept (Hoye et al., 2022). </w:t>
      </w:r>
    </w:p>
    <w:p w14:paraId="4C213273" w14:textId="72F9AB98"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Barriers to Entry</w:t>
      </w:r>
    </w:p>
    <w:p w14:paraId="48ECBCA1" w14:textId="73E024B7"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There are several barriers to entry. </w:t>
      </w:r>
      <w:r w:rsidR="5E2EA0DD" w:rsidRPr="7417CC87">
        <w:rPr>
          <w:rFonts w:ascii="Times New Roman" w:eastAsia="Times New Roman" w:hAnsi="Times New Roman" w:cs="Times New Roman"/>
          <w:color w:val="000000" w:themeColor="text1"/>
        </w:rPr>
        <w:t>The potential barriers are the</w:t>
      </w:r>
      <w:r w:rsidRPr="7417CC87">
        <w:rPr>
          <w:rFonts w:ascii="Times New Roman" w:eastAsia="Times New Roman" w:hAnsi="Times New Roman" w:cs="Times New Roman"/>
          <w:color w:val="000000" w:themeColor="text1"/>
        </w:rPr>
        <w:t xml:space="preserve"> need for qualified practitioners, professional insurance, clinical governance and safeguarding training. The CSP emphasises that private physiotherapy practice requires appropriate policies, professional standards and business readiness, which means clinical ability alone is not enough (CSP, n.d.; CSP, 2026; Watson and Minns Lowe, 2023). Financial barriers are also significant because clubs may accept the value of physiotherapy but still struggle to pay for it. Relationship barriers are especially important in grassroots football, where trust, reputation and word</w:t>
      </w:r>
      <w:r w:rsidR="66812BDB"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of</w:t>
      </w:r>
      <w:r w:rsidR="63E1B749"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mouth strongly influence decision</w:t>
      </w:r>
      <w:r w:rsidR="5FE9C656"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making. Operational barriers include travel time, scheduling across multiple clubs, maintaining care and ensuring service quality when demand increases. </w:t>
      </w:r>
    </w:p>
    <w:p w14:paraId="7D50A68E" w14:textId="174528FE" w:rsidR="20EFF8F8" w:rsidRDefault="20EFF8F8" w:rsidP="7417CC87">
      <w:pPr>
        <w:spacing w:line="480" w:lineRule="auto"/>
        <w:rPr>
          <w:rFonts w:ascii="Times New Roman" w:eastAsia="Times New Roman" w:hAnsi="Times New Roman" w:cs="Times New Roman"/>
          <w:b/>
          <w:bCs/>
        </w:rPr>
      </w:pPr>
    </w:p>
    <w:p w14:paraId="1763DD76" w14:textId="230719C3" w:rsidR="20EFF8F8" w:rsidRDefault="2909627C" w:rsidP="7417CC87">
      <w:pPr>
        <w:spacing w:line="480" w:lineRule="auto"/>
        <w:rPr>
          <w:rFonts w:ascii="Times New Roman" w:eastAsia="Times New Roman" w:hAnsi="Times New Roman" w:cs="Times New Roman"/>
          <w:b/>
          <w:bCs/>
          <w:color w:val="000000" w:themeColor="text1"/>
        </w:rPr>
      </w:pPr>
      <w:r w:rsidRPr="7417CC87">
        <w:rPr>
          <w:rFonts w:ascii="Times New Roman" w:eastAsia="Times New Roman" w:hAnsi="Times New Roman" w:cs="Times New Roman"/>
          <w:b/>
          <w:bCs/>
        </w:rPr>
        <w:t>Stakeholders and Partners</w:t>
      </w:r>
    </w:p>
    <w:p w14:paraId="0636BF82" w14:textId="578747CA" w:rsidR="20EFF8F8" w:rsidRDefault="2909627C"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primary stakeholders are players, coaches, clubs and parents, because they are directly affected by injury management, player welfare and return</w:t>
      </w:r>
      <w:r w:rsidR="4144A99A"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to</w:t>
      </w:r>
      <w:r w:rsidR="69F3902C"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play decisions. League organisers and County Football Associations are also important because they influence local </w:t>
      </w:r>
      <w:r w:rsidRPr="7417CC87">
        <w:rPr>
          <w:rFonts w:ascii="Times New Roman" w:eastAsia="Times New Roman" w:hAnsi="Times New Roman" w:cs="Times New Roman"/>
          <w:color w:val="000000" w:themeColor="text1"/>
        </w:rPr>
        <w:lastRenderedPageBreak/>
        <w:t>football structures, club engagement and safeguarding expectations. Strategic partners could include qualified physiotherapists, sports therapists, strength and conditioning practitioners, GP practices, sports injury clinics, local gyms, schools, colleges and community sport organisations.</w:t>
      </w:r>
      <w:r w:rsidR="7F343C81" w:rsidRPr="7417CC87">
        <w:rPr>
          <w:rFonts w:ascii="Times New Roman" w:eastAsia="Times New Roman" w:hAnsi="Times New Roman" w:cs="Times New Roman"/>
          <w:color w:val="000000" w:themeColor="text1"/>
        </w:rPr>
        <w:t xml:space="preserve"> </w:t>
      </w:r>
      <w:r w:rsidRPr="7417CC87">
        <w:rPr>
          <w:rFonts w:ascii="Times New Roman" w:eastAsia="Times New Roman" w:hAnsi="Times New Roman" w:cs="Times New Roman"/>
          <w:color w:val="000000" w:themeColor="text1"/>
        </w:rPr>
        <w:t xml:space="preserve">The FA and Sport England are wider institutional partners because their strategies shape the priorities of grassroots football and community sport participation (The Football Association, 2024; Sport England, 2025). </w:t>
      </w:r>
    </w:p>
    <w:p w14:paraId="701FAB38" w14:textId="2A6C0707" w:rsidR="20EFF8F8" w:rsidRDefault="20EFF8F8" w:rsidP="7417CC87">
      <w:pPr>
        <w:spacing w:line="480" w:lineRule="auto"/>
        <w:rPr>
          <w:rFonts w:ascii="Times New Roman" w:eastAsia="Times New Roman" w:hAnsi="Times New Roman" w:cs="Times New Roman"/>
        </w:rPr>
      </w:pPr>
    </w:p>
    <w:p w14:paraId="7AF7EC75" w14:textId="02BA5CB6" w:rsidR="20EFF8F8" w:rsidRDefault="20EFF8F8" w:rsidP="7417CC87">
      <w:pPr>
        <w:spacing w:line="480" w:lineRule="auto"/>
        <w:rPr>
          <w:rFonts w:ascii="Times New Roman" w:eastAsia="Times New Roman" w:hAnsi="Times New Roman" w:cs="Times New Roman"/>
          <w:b/>
          <w:bCs/>
        </w:rPr>
      </w:pPr>
    </w:p>
    <w:p w14:paraId="78CD5F94" w14:textId="7C0FD6DC"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b/>
          <w:bCs/>
        </w:rPr>
        <w:t>Plan for Operation</w:t>
      </w:r>
      <w:r w:rsidR="3FD49D65" w:rsidRPr="7417CC87">
        <w:rPr>
          <w:rFonts w:ascii="Times New Roman" w:eastAsia="Times New Roman" w:hAnsi="Times New Roman" w:cs="Times New Roman"/>
          <w:b/>
          <w:bCs/>
        </w:rPr>
        <w:t>s</w:t>
      </w:r>
    </w:p>
    <w:p w14:paraId="50B7ADFA" w14:textId="1DD5FCC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Pitchside Player Care is basically there to give amateur football clubs reliable, easy access to proper physio support without all the hassle. For it to </w:t>
      </w:r>
      <w:proofErr w:type="gramStart"/>
      <w:r w:rsidRPr="7417CC87">
        <w:rPr>
          <w:rFonts w:ascii="Times New Roman" w:eastAsia="Times New Roman" w:hAnsi="Times New Roman" w:cs="Times New Roman"/>
        </w:rPr>
        <w:t>actually work</w:t>
      </w:r>
      <w:proofErr w:type="gramEnd"/>
      <w:r w:rsidRPr="7417CC87">
        <w:rPr>
          <w:rFonts w:ascii="Times New Roman" w:eastAsia="Times New Roman" w:hAnsi="Times New Roman" w:cs="Times New Roman"/>
        </w:rPr>
        <w:t>, the day-to-day running needs to be tight — sessions organised properly, staff knowing what they’re doing, and everything set up so players can get treated quickly and safely. At grassroots level, where clubs often don’t have regular access to qualified medical staff, having something structured like this can make a real difference. It not only helps deal with injuries better in the moment but can also reduce the chances of players getting seriously hurt in the first place (Wicker and Breuer, 2014; Ratten, 2020).</w:t>
      </w:r>
    </w:p>
    <w:p w14:paraId="0C086BA1" w14:textId="0189F70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r w:rsidRPr="7417CC87">
        <w:rPr>
          <w:rFonts w:ascii="Times New Roman" w:eastAsia="Times New Roman" w:hAnsi="Times New Roman" w:cs="Times New Roman"/>
          <w:b/>
          <w:bCs/>
        </w:rPr>
        <w:t xml:space="preserve">A way to give services </w:t>
      </w:r>
      <w:r w:rsidRPr="7417CC87">
        <w:rPr>
          <w:rFonts w:ascii="Times New Roman" w:eastAsia="Times New Roman" w:hAnsi="Times New Roman" w:cs="Times New Roman"/>
        </w:rPr>
        <w:t xml:space="preserve"> </w:t>
      </w:r>
    </w:p>
    <w:p w14:paraId="10050169" w14:textId="7C240B3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Pitchside Player Care works on a shared setup, meaning a few local clubs split the cost of bringing in qualified physios. It makes things way more affordable, especially for smaller clubs that wouldn’t be able to justify hiring someone full-time on their own (Taylor et al., 2019).</w:t>
      </w:r>
    </w:p>
    <w:p w14:paraId="213ECD11" w14:textId="249A682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lastRenderedPageBreak/>
        <w:t xml:space="preserve"> Because of this, physios can be present at both training and matches, so if a player picks up a knock, they can get looked at straight away instead of waiting days or relying on guesswork. It just makes the whole process quicker, safer, and a lot more reliable for everyone involved.</w:t>
      </w:r>
    </w:p>
    <w:p w14:paraId="3910F9C4" w14:textId="0ABF698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This method also encourages clubs to be consistent, which means that all clubs should provide the same level of care, regardless of their resources (Misener and Doherty, 2012). </w:t>
      </w:r>
    </w:p>
    <w:p w14:paraId="0F1BDFEB" w14:textId="71A3295D"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2B102DF4" w14:textId="728BAE7B" w:rsidR="14E35E19" w:rsidRDefault="14E35E19" w:rsidP="7417CC87">
      <w:pPr>
        <w:spacing w:line="480" w:lineRule="auto"/>
        <w:rPr>
          <w:rFonts w:ascii="Times New Roman" w:eastAsia="Times New Roman" w:hAnsi="Times New Roman" w:cs="Times New Roman"/>
        </w:rPr>
      </w:pPr>
    </w:p>
    <w:p w14:paraId="190D0291" w14:textId="4D13E6C4"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The main services are: </w:t>
      </w:r>
    </w:p>
    <w:p w14:paraId="3649F91A" w14:textId="1CCA11BB"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Pitchside Player Care's main jobs are to help players who are hurt, keep them from getting hurt, and make sure they are healthy. A big part of the service is what happens right there on the pitch. If someone gets injured, the physio can step in straight away, have a look, and decide whether it’s safe to carry on or not. That quick decision really matters — it can stop a small issue turning into something much worse (Clegg and Cross, 2020).</w:t>
      </w:r>
    </w:p>
    <w:p w14:paraId="18017124" w14:textId="79C868E7"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It’s not just about the moment though. Players are also given simple recovery advice and a clear plan to get back playing properly, instead of rushing it and making things worse (Ekstrand et al., 2011). On top of that, both players and coaches pick up a better understanding of injury risks over time, which helps make training and matches safer overall (Emery, 2010).</w:t>
      </w:r>
    </w:p>
    <w:p w14:paraId="346BDBE8" w14:textId="1C2C80D4"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Keeping an eye on player safety all the time can also help clubs lower their overall injury rates (Hägglund et al., 2013). </w:t>
      </w:r>
    </w:p>
    <w:p w14:paraId="3EE4FE47" w14:textId="5D1DBCC7"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b/>
          <w:bCs/>
        </w:rPr>
        <w:t xml:space="preserve"> The Structure of the Workforce and Hiring</w:t>
      </w:r>
      <w:r w:rsidRPr="7417CC87">
        <w:rPr>
          <w:rFonts w:ascii="Times New Roman" w:eastAsia="Times New Roman" w:hAnsi="Times New Roman" w:cs="Times New Roman"/>
        </w:rPr>
        <w:t xml:space="preserve"> </w:t>
      </w:r>
    </w:p>
    <w:p w14:paraId="49BACEC1" w14:textId="52818F1B"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The team is set up to keep things running smoothly without overcomplicating it. The Project Lead basically oversees everything — making sure clubs are looked after, bookings are </w:t>
      </w:r>
      <w:r w:rsidRPr="7417CC87">
        <w:rPr>
          <w:rFonts w:ascii="Times New Roman" w:eastAsia="Times New Roman" w:hAnsi="Times New Roman" w:cs="Times New Roman"/>
        </w:rPr>
        <w:lastRenderedPageBreak/>
        <w:t>organised, and physios are in the right place at the right time. They’re the main point of contact and keep things ticking across different clubs and sessions (Ratten, 2020).</w:t>
      </w:r>
    </w:p>
    <w:p w14:paraId="1D758397" w14:textId="6C1D144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A Lead Physiotherapist </w:t>
      </w:r>
      <w:proofErr w:type="gramStart"/>
      <w:r w:rsidRPr="7417CC87">
        <w:rPr>
          <w:rFonts w:ascii="Times New Roman" w:eastAsia="Times New Roman" w:hAnsi="Times New Roman" w:cs="Times New Roman"/>
        </w:rPr>
        <w:t>is in charge of</w:t>
      </w:r>
      <w:proofErr w:type="gramEnd"/>
      <w:r w:rsidRPr="7417CC87">
        <w:rPr>
          <w:rFonts w:ascii="Times New Roman" w:eastAsia="Times New Roman" w:hAnsi="Times New Roman" w:cs="Times New Roman"/>
        </w:rPr>
        <w:t xml:space="preserve"> clinical governance. This means making sure that all practices follow the rules set by groups like the Health and Care Professions Council (HCPC, 2022). This job is very important for making sure that the care stays high and that all employees follow the right professional rules. </w:t>
      </w:r>
    </w:p>
    <w:p w14:paraId="2A3B1E60" w14:textId="2BD6112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Sessional physiotherapists </w:t>
      </w:r>
      <w:proofErr w:type="gramStart"/>
      <w:r w:rsidRPr="7417CC87">
        <w:rPr>
          <w:rFonts w:ascii="Times New Roman" w:eastAsia="Times New Roman" w:hAnsi="Times New Roman" w:cs="Times New Roman"/>
        </w:rPr>
        <w:t>are in charge of</w:t>
      </w:r>
      <w:proofErr w:type="gramEnd"/>
      <w:r w:rsidRPr="7417CC87">
        <w:rPr>
          <w:rFonts w:ascii="Times New Roman" w:eastAsia="Times New Roman" w:hAnsi="Times New Roman" w:cs="Times New Roman"/>
        </w:rPr>
        <w:t xml:space="preserve"> the service on the ground. They evaluate, treat, and help players get better after an injury on the pitch. Someone who works in operations or administration is also needed to handle bookings, set staff schedules, and keep in touch with clubs to make sure everything goes well (Taylor et al., 2019). </w:t>
      </w:r>
    </w:p>
    <w:p w14:paraId="3AAE003C" w14:textId="6233FACB"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 xml:space="preserve"> Tools and places to work </w:t>
      </w:r>
    </w:p>
    <w:p w14:paraId="1EC51338" w14:textId="1CB96FAE"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Pitchside Player Care uses a variety of tools to help people feel better. Physiotherapists can do evaluations in a variety of locations using portable treatment tables. To treat injuries quickly, you also need first aid kits and strapping materials. You can use ice packs and resistance bands for both quick therapy and rehab workouts. More structured recovery programs may use other types of rehabilitation equipment (Brukner and Khan, 2017). </w:t>
      </w:r>
    </w:p>
    <w:p w14:paraId="46ED25BF" w14:textId="554BF072"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73FE661E" w14:textId="401654C6"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 xml:space="preserve"> Health and safety rules</w:t>
      </w:r>
    </w:p>
    <w:p w14:paraId="56923416" w14:textId="61BCB31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Health and safety </w:t>
      </w:r>
      <w:proofErr w:type="gramStart"/>
      <w:r w:rsidRPr="7417CC87">
        <w:rPr>
          <w:rFonts w:ascii="Times New Roman" w:eastAsia="Times New Roman" w:hAnsi="Times New Roman" w:cs="Times New Roman"/>
        </w:rPr>
        <w:t>is</w:t>
      </w:r>
      <w:proofErr w:type="gramEnd"/>
      <w:r w:rsidRPr="7417CC87">
        <w:rPr>
          <w:rFonts w:ascii="Times New Roman" w:eastAsia="Times New Roman" w:hAnsi="Times New Roman" w:cs="Times New Roman"/>
        </w:rPr>
        <w:t xml:space="preserve"> a big deal here, especially in football where injuries are </w:t>
      </w:r>
      <w:proofErr w:type="gramStart"/>
      <w:r w:rsidRPr="7417CC87">
        <w:rPr>
          <w:rFonts w:ascii="Times New Roman" w:eastAsia="Times New Roman" w:hAnsi="Times New Roman" w:cs="Times New Roman"/>
        </w:rPr>
        <w:t>pretty common</w:t>
      </w:r>
      <w:proofErr w:type="gramEnd"/>
      <w:r w:rsidRPr="7417CC87">
        <w:rPr>
          <w:rFonts w:ascii="Times New Roman" w:eastAsia="Times New Roman" w:hAnsi="Times New Roman" w:cs="Times New Roman"/>
        </w:rPr>
        <w:t>. To keep things covered, all physios need the right insurance in place, so both they and the players are protected if anything goes wrong. It’s just about making sure the service is safe, professional, and trusted by the clubs using it.</w:t>
      </w:r>
    </w:p>
    <w:p w14:paraId="20ADB237" w14:textId="3B29F70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lastRenderedPageBreak/>
        <w:t xml:space="preserve"> Before training and matches, quick checks are done to spot anything that might cause an issue and sort it before it becomes a problem. There’s also a simple plan for emergencies, so if something serious happens, everyone knows exactly what to do and how to get help fast.</w:t>
      </w:r>
    </w:p>
    <w:p w14:paraId="27C2FF0B" w14:textId="23669210"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On top of that, injuries are properly recorded so nothing gets missed and players are followed up with the right treatment. This makes the service accountable and helps it get better all the time. </w:t>
      </w:r>
    </w:p>
    <w:p w14:paraId="3C6EE604" w14:textId="5D5A8426"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One of the main challenges is making sure every club sticks to the same standards, even though they all have different setups and resources.</w:t>
      </w:r>
    </w:p>
    <w:p w14:paraId="53050EA9" w14:textId="35B78097"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 xml:space="preserve"> Safeguarding</w:t>
      </w:r>
    </w:p>
    <w:p w14:paraId="4972321D" w14:textId="4857490B"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Because a lot of players are kids and teenagers, keeping them safe is a top priority. Pitchside Player Care follows FA safeguarding guidelines, so staff know how to behave around young players and what to do if any concerns come up (Football Association, 2021).</w:t>
      </w:r>
    </w:p>
    <w:p w14:paraId="555499FB" w14:textId="2C50AF9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Everyone working with young players also </w:t>
      </w:r>
      <w:proofErr w:type="gramStart"/>
      <w:r w:rsidRPr="7417CC87">
        <w:rPr>
          <w:rFonts w:ascii="Times New Roman" w:eastAsia="Times New Roman" w:hAnsi="Times New Roman" w:cs="Times New Roman"/>
        </w:rPr>
        <w:t>has to</w:t>
      </w:r>
      <w:proofErr w:type="gramEnd"/>
      <w:r w:rsidRPr="7417CC87">
        <w:rPr>
          <w:rFonts w:ascii="Times New Roman" w:eastAsia="Times New Roman" w:hAnsi="Times New Roman" w:cs="Times New Roman"/>
        </w:rPr>
        <w:t xml:space="preserve"> pass a DBS check. It’s just a way of making sure the right people are in those roles and that players, parents, and clubs can trust the service.</w:t>
      </w:r>
    </w:p>
    <w:p w14:paraId="1C7F459F" w14:textId="1D4D4FC6"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They also need to talk to the club's safety officers to make sure that any issues are handled properly (Department for Education, 2018). This promise to keep everyone safe helps make sure that everyone has a safe and friendly place to be.  </w:t>
      </w:r>
    </w:p>
    <w:p w14:paraId="08162BD3" w14:textId="272BC948" w:rsidR="20EFF8F8" w:rsidRDefault="0152D2F7" w:rsidP="7417CC87">
      <w:pPr>
        <w:spacing w:line="480" w:lineRule="auto"/>
        <w:rPr>
          <w:rFonts w:ascii="Times New Roman" w:eastAsia="Times New Roman" w:hAnsi="Times New Roman" w:cs="Times New Roman"/>
          <w:b/>
          <w:bCs/>
        </w:rPr>
      </w:pPr>
      <w:r w:rsidRPr="7417CC87">
        <w:rPr>
          <w:rFonts w:ascii="Times New Roman" w:eastAsia="Times New Roman" w:hAnsi="Times New Roman" w:cs="Times New Roman"/>
          <w:b/>
          <w:bCs/>
        </w:rPr>
        <w:t>The ability to grow and get bigger in the future</w:t>
      </w:r>
    </w:p>
    <w:p w14:paraId="15E0CB24" w14:textId="18164A6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The way the service is set up means it can grow </w:t>
      </w:r>
      <w:proofErr w:type="gramStart"/>
      <w:r w:rsidRPr="7417CC87">
        <w:rPr>
          <w:rFonts w:ascii="Times New Roman" w:eastAsia="Times New Roman" w:hAnsi="Times New Roman" w:cs="Times New Roman"/>
        </w:rPr>
        <w:t>pretty easily</w:t>
      </w:r>
      <w:proofErr w:type="gramEnd"/>
      <w:r w:rsidRPr="7417CC87">
        <w:rPr>
          <w:rFonts w:ascii="Times New Roman" w:eastAsia="Times New Roman" w:hAnsi="Times New Roman" w:cs="Times New Roman"/>
        </w:rPr>
        <w:t>. As more clubs want to get involved, you can just bring them into the shared system without needing to completely change how things run.</w:t>
      </w:r>
    </w:p>
    <w:p w14:paraId="46ACE7FE" w14:textId="706DE279"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lastRenderedPageBreak/>
        <w:t xml:space="preserve"> The challenge is making sure the quality stays the same as it expands. That comes down to having well-trained staff, clear ways of working, and making sure everyone sticks to the same standards across all clubs (Misener and Doherty, 2012).</w:t>
      </w:r>
    </w:p>
    <w:p w14:paraId="08A0D115" w14:textId="205091A7"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1D0DF9B7" w14:textId="0DE10385"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 </w:t>
      </w:r>
    </w:p>
    <w:p w14:paraId="20200DB5" w14:textId="7A793778" w:rsidR="20EFF8F8" w:rsidRDefault="0152D2F7" w:rsidP="7417CC87">
      <w:pPr>
        <w:spacing w:line="480" w:lineRule="auto"/>
        <w:rPr>
          <w:rFonts w:ascii="Times New Roman" w:eastAsia="Times New Roman" w:hAnsi="Times New Roman" w:cs="Times New Roman"/>
        </w:rPr>
      </w:pPr>
      <w:r w:rsidRPr="7417CC87">
        <w:rPr>
          <w:rFonts w:ascii="Times New Roman" w:eastAsia="Times New Roman" w:hAnsi="Times New Roman" w:cs="Times New Roman"/>
        </w:rPr>
        <w:t xml:space="preserve">Pitchside Player Care can grow in a way that lasts and helps grassroots football communities by making sure that protocols are in place from the start. </w:t>
      </w:r>
    </w:p>
    <w:p w14:paraId="4A3EED6B" w14:textId="0DBDDBCB" w:rsidR="0152D2F7" w:rsidRDefault="0152D2F7" w:rsidP="7417CC87">
      <w:pPr>
        <w:spacing w:line="480" w:lineRule="auto"/>
      </w:pPr>
      <w:r w:rsidRPr="7417CC87">
        <w:rPr>
          <w:rFonts w:ascii="Times New Roman" w:eastAsia="Times New Roman" w:hAnsi="Times New Roman" w:cs="Times New Roman"/>
        </w:rPr>
        <w:t>But to grow the service, resources will need to be carefully managed so that the quality of care doesn't suffer.</w:t>
      </w:r>
    </w:p>
    <w:p w14:paraId="71F7C35F" w14:textId="4FB7E39E" w:rsidR="7417CC87" w:rsidRDefault="7417CC87" w:rsidP="7417CC87">
      <w:pPr>
        <w:spacing w:line="480" w:lineRule="auto"/>
        <w:rPr>
          <w:rFonts w:ascii="Times New Roman" w:eastAsia="Times New Roman" w:hAnsi="Times New Roman" w:cs="Times New Roman"/>
        </w:rPr>
      </w:pPr>
    </w:p>
    <w:p w14:paraId="39D7793A" w14:textId="4B93AD6C" w:rsidR="7417CC87" w:rsidRDefault="7417CC87" w:rsidP="7417CC87">
      <w:pPr>
        <w:spacing w:line="480" w:lineRule="auto"/>
        <w:rPr>
          <w:rFonts w:ascii="Times New Roman" w:eastAsia="Times New Roman" w:hAnsi="Times New Roman" w:cs="Times New Roman"/>
        </w:rPr>
      </w:pPr>
    </w:p>
    <w:p w14:paraId="5F69B21B" w14:textId="72EEDCA0" w:rsidR="510B5060" w:rsidRDefault="510B5060" w:rsidP="7417CC87">
      <w:pPr>
        <w:spacing w:line="480" w:lineRule="auto"/>
        <w:rPr>
          <w:rFonts w:ascii="Times New Roman" w:eastAsia="Times New Roman" w:hAnsi="Times New Roman" w:cs="Times New Roman"/>
          <w:b/>
          <w:bCs/>
          <w:u w:val="single"/>
        </w:rPr>
      </w:pPr>
      <w:r w:rsidRPr="7417CC87">
        <w:rPr>
          <w:rFonts w:ascii="Times New Roman" w:eastAsia="Times New Roman" w:hAnsi="Times New Roman" w:cs="Times New Roman"/>
          <w:b/>
          <w:bCs/>
          <w:u w:val="single"/>
        </w:rPr>
        <w:t>Sales and marketing</w:t>
      </w:r>
    </w:p>
    <w:p w14:paraId="1A1AE081" w14:textId="2D4BF912"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Marketing plays a key role in establishing Pitch Side Player Care as a credible and sustainable service within grassroots football. As a service-based offering, the focus is not only on promotion but also on building trust and reducing uncertainty. Many grassroots clubs are unfamiliar with professional physiotherapy support, so marketing must clearly demonstrate its practical value. The target audience includes grassroots clubs, youth teams, and amateur leagues, where access to qualified medical support is often limited. These organisations frequently rely on volunteers or informal treatment, which can create hesitation around paying for structured services. As a result, marketing should prioritise education and relationship-building rather than simple promotion. For example, demonstrating how physiotherapy reduces injuries or improves player availability is likely to be more effective than general advertising. This reflects key principles of service marketing, where trust, </w:t>
      </w:r>
      <w:r w:rsidRPr="7417CC87">
        <w:rPr>
          <w:rFonts w:ascii="Times New Roman" w:eastAsia="Times New Roman" w:hAnsi="Times New Roman" w:cs="Times New Roman"/>
          <w:color w:val="000000" w:themeColor="text1"/>
        </w:rPr>
        <w:lastRenderedPageBreak/>
        <w:t xml:space="preserve">expertise, and long-term relationships are essential (Kotler et al., 2019; Zeithaml et al., 2018). However, changing established behaviours in grassroots sport may take time, particularly where budgets are limited. </w:t>
      </w:r>
    </w:p>
    <w:p w14:paraId="08D6C2F4" w14:textId="0CFA997D" w:rsidR="7417CC87" w:rsidRDefault="7417CC87" w:rsidP="7417CC87">
      <w:pPr>
        <w:spacing w:line="480" w:lineRule="auto"/>
        <w:rPr>
          <w:rFonts w:ascii="Times New Roman" w:eastAsia="Times New Roman" w:hAnsi="Times New Roman" w:cs="Times New Roman"/>
          <w:color w:val="000000" w:themeColor="text1"/>
          <w:lang w:val="en-US"/>
        </w:rPr>
      </w:pPr>
    </w:p>
    <w:p w14:paraId="58BB17A2" w14:textId="499AD273"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rPr>
        <w:t>Target Market and Customer Segmentation</w:t>
      </w:r>
    </w:p>
    <w:p w14:paraId="1DADA6D3" w14:textId="24AA818F"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The primary market consists of grassroots clubs, amateur leagues, and youth academies, all of which face high injury risk but limited access to physiotherapy. Coaches, volunteers, and parents are also important stakeholders, as they influence decisions around player welfare and spending. Segmentation helps make marketing more effective, as clubs differ in financial resources, competitiveness, and ambition. More competitive teams may invest in injury prevention, while recreational teams are likely to prioritise affordability. Tailoring communication to these differences is a key marketing principle (Armstrong and Kotler, 2020). However, segmentation in grassroots sport is not always clear-cut, as budgets and priorities can vary widely. This means the strategy must remain flexible rather than overly rigid.</w:t>
      </w:r>
    </w:p>
    <w:p w14:paraId="67DEF704" w14:textId="0F3FFCB9"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w:t>
      </w:r>
    </w:p>
    <w:p w14:paraId="0DC9997B" w14:textId="272D08D1"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Marketing Mix (4Ps)</w:t>
      </w:r>
    </w:p>
    <w:p w14:paraId="541DA022" w14:textId="05A51670"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The marketing strategy is based on the 4Ps framework, ensuring alignment with customer needs. </w:t>
      </w:r>
    </w:p>
    <w:p w14:paraId="7D6C0A35" w14:textId="76870276"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Product</w:t>
      </w:r>
    </w:p>
    <w:p w14:paraId="63E16DF3" w14:textId="657606C6"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Pitch Side Player Care offers injury assessment, rehabilitation, prevention, and ongoing player monitoring. A key feature is its shared delivery model, allowing multiple clubs to access services at a lower cost. This helps bridge the gap between expensive private care and </w:t>
      </w:r>
      <w:r w:rsidRPr="7417CC87">
        <w:rPr>
          <w:rFonts w:ascii="Times New Roman" w:eastAsia="Times New Roman" w:hAnsi="Times New Roman" w:cs="Times New Roman"/>
          <w:color w:val="000000" w:themeColor="text1"/>
        </w:rPr>
        <w:lastRenderedPageBreak/>
        <w:t>informal support. The service also provides intangible benefits, such as improved safety and player performance. However, these outcomes may be difficult to measure in the short term, which can make value harder to demonstrate initially.</w:t>
      </w:r>
    </w:p>
    <w:p w14:paraId="64BA7930" w14:textId="5631F52C"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 xml:space="preserve"> Price </w:t>
      </w:r>
    </w:p>
    <w:p w14:paraId="07E3C208" w14:textId="056317D0"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Pricing follows a subscription and cost-sharing model, improving affordability for grassroots clubs. This reflects elements of penetration pricing, encouraging adoption in an unfamiliar market. It also aligns with value-based pricing by emphasising long-term benefits such as reduced injury time and improved availability. While more affordable than hiring a full-time physiotherapist, some clubs may still hesitate due to uncertainty around immediate returns.</w:t>
      </w:r>
      <w:r w:rsidRPr="7417CC87">
        <w:rPr>
          <w:rFonts w:ascii="Times New Roman" w:eastAsia="Times New Roman" w:hAnsi="Times New Roman" w:cs="Times New Roman"/>
          <w:b/>
          <w:bCs/>
          <w:color w:val="000000" w:themeColor="text1"/>
          <w:u w:val="single"/>
        </w:rPr>
        <w:t xml:space="preserve"> </w:t>
      </w:r>
    </w:p>
    <w:p w14:paraId="2ECBECC2" w14:textId="737B97CA"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Place</w:t>
      </w:r>
      <w:r w:rsidRPr="7417CC87">
        <w:rPr>
          <w:rFonts w:ascii="Times New Roman" w:eastAsia="Times New Roman" w:hAnsi="Times New Roman" w:cs="Times New Roman"/>
          <w:color w:val="000000" w:themeColor="text1"/>
        </w:rPr>
        <w:t xml:space="preserve"> </w:t>
      </w:r>
    </w:p>
    <w:p w14:paraId="57667D42" w14:textId="3182B90C"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The service is delivered directly at training sessions and matchdays, making it highly accessible. This is important in grassroots sport, where players may lack time or resources to attend external clinics. On-site delivery improves convenience and engagement but may create logistical challenges if demand increases or multiple clubs require support simultaneously. </w:t>
      </w:r>
    </w:p>
    <w:p w14:paraId="2CF9D659" w14:textId="46E4A2E5"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Promotion</w:t>
      </w:r>
    </w:p>
    <w:p w14:paraId="7D4241A7" w14:textId="45B604B0"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Promotion combines digital and direct communication. Social media platforms such as Instagram and Facebook help raise awareness, while direct contact allows for more personalised engagement. Workshops and partnerships with local organisations can further build credibility and demonstrate expertise. This reflects the idea that trust in service industries is often built through interaction rather than advertising alone (Chaffey and Ellis-Chadwick, 2019). However, this approach can be time-intensive, especially in early stages.</w:t>
      </w:r>
      <w:r w:rsidRPr="7417CC87">
        <w:rPr>
          <w:rFonts w:ascii="Times New Roman" w:eastAsia="Times New Roman" w:hAnsi="Times New Roman" w:cs="Times New Roman"/>
          <w:b/>
          <w:bCs/>
          <w:color w:val="000000" w:themeColor="text1"/>
          <w:u w:val="single"/>
        </w:rPr>
        <w:t xml:space="preserve"> </w:t>
      </w:r>
    </w:p>
    <w:p w14:paraId="3F87FDCC" w14:textId="00FFBA19" w:rsidR="3B646658" w:rsidRDefault="3B646658" w:rsidP="7417CC87">
      <w:pPr>
        <w:spacing w:line="480" w:lineRule="auto"/>
      </w:pPr>
      <w:r w:rsidRPr="7417CC87">
        <w:rPr>
          <w:rFonts w:ascii="Times New Roman" w:eastAsia="Times New Roman" w:hAnsi="Times New Roman" w:cs="Times New Roman"/>
          <w:b/>
          <w:bCs/>
          <w:color w:val="000000" w:themeColor="text1"/>
          <w:u w:val="single"/>
        </w:rPr>
        <w:t>Customer Acquisition Strategy</w:t>
      </w:r>
      <w:r w:rsidRPr="7417CC87">
        <w:rPr>
          <w:rFonts w:ascii="Times New Roman" w:eastAsia="Times New Roman" w:hAnsi="Times New Roman" w:cs="Times New Roman"/>
          <w:color w:val="000000" w:themeColor="text1"/>
        </w:rPr>
        <w:t xml:space="preserve"> </w:t>
      </w:r>
    </w:p>
    <w:p w14:paraId="5CE79CDB" w14:textId="335EB674"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lastRenderedPageBreak/>
        <w:t>Customer acquisition focuses on relationship-building and direct engagement. Contacting club representatives and attending local football events provides opportunities to introduce the service personally. Partnerships with organisations such as County Football Associations can increase credibility and visibility. Offering free injury prevention workshops is particularly effective, allowing clubs to experience the service before committing financially. This creates a simple marketing funnel: Awareness: social media and events Interest: workshops and meetings Conversion: subscription sign-up This approach highlights the importance of education in influencing decisions, particularly in less familiar markets (Chaffey and Ellis-Chadwick, 2019). However, converting interest into long-term customers may still require clear evidence of impact.</w:t>
      </w:r>
      <w:r w:rsidRPr="7417CC87">
        <w:rPr>
          <w:rFonts w:ascii="Times New Roman" w:eastAsia="Times New Roman" w:hAnsi="Times New Roman" w:cs="Times New Roman"/>
          <w:b/>
          <w:bCs/>
          <w:color w:val="000000" w:themeColor="text1"/>
          <w:u w:val="single"/>
        </w:rPr>
        <w:t xml:space="preserve"> </w:t>
      </w:r>
    </w:p>
    <w:p w14:paraId="19D071B0" w14:textId="32DE478E" w:rsidR="7417CC87" w:rsidRDefault="7417CC87" w:rsidP="7417CC87">
      <w:pPr>
        <w:spacing w:line="480" w:lineRule="auto"/>
        <w:rPr>
          <w:rFonts w:ascii="Times New Roman" w:eastAsia="Times New Roman" w:hAnsi="Times New Roman" w:cs="Times New Roman"/>
          <w:color w:val="000000" w:themeColor="text1"/>
          <w:lang w:val="en-US"/>
        </w:rPr>
      </w:pPr>
    </w:p>
    <w:p w14:paraId="3312B6B3" w14:textId="62A75442"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Customer Retention Strategy</w:t>
      </w:r>
    </w:p>
    <w:p w14:paraId="6D81A74F" w14:textId="5B01B62B"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 Retention is essential within a subscription model and depends on consistently delivering quality service and maintaining strong relationships. Regular feedback helps ensure the service meets customer needs, while ongoing communication supports engagement. Tracking outcomes, such as reduced injuries or improved availability, can provide evidence of value. Incentives like discounted long-term packages may encourage continued use. This reflects relationship marketing principles, which focus on long-term satisfaction rather than short-term transactions (Grönroos, 2004; Morgan and Hunt, 1994). However, maintaining consistent service quality may become more challenging as the business expands.</w:t>
      </w:r>
    </w:p>
    <w:p w14:paraId="27CB083F" w14:textId="7645FAFE" w:rsidR="7417CC87" w:rsidRDefault="7417CC87" w:rsidP="7417CC87">
      <w:pPr>
        <w:spacing w:line="480" w:lineRule="auto"/>
        <w:rPr>
          <w:rFonts w:ascii="Times New Roman" w:eastAsia="Times New Roman" w:hAnsi="Times New Roman" w:cs="Times New Roman"/>
          <w:color w:val="000000" w:themeColor="text1"/>
          <w:lang w:val="en-US"/>
        </w:rPr>
      </w:pPr>
    </w:p>
    <w:p w14:paraId="52C5E698" w14:textId="588F29B6"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b/>
          <w:bCs/>
          <w:color w:val="000000" w:themeColor="text1"/>
          <w:u w:val="single"/>
        </w:rPr>
        <w:t xml:space="preserve"> Branding and Positioning</w:t>
      </w:r>
      <w:r w:rsidRPr="7417CC87">
        <w:rPr>
          <w:rFonts w:ascii="Times New Roman" w:eastAsia="Times New Roman" w:hAnsi="Times New Roman" w:cs="Times New Roman"/>
          <w:color w:val="000000" w:themeColor="text1"/>
        </w:rPr>
        <w:t xml:space="preserve"> </w:t>
      </w:r>
    </w:p>
    <w:p w14:paraId="561A8595" w14:textId="2625579D" w:rsidR="3B646658" w:rsidRDefault="3B646658" w:rsidP="7417CC87">
      <w:pPr>
        <w:spacing w:line="480" w:lineRule="auto"/>
        <w:rPr>
          <w:rFonts w:ascii="Times New Roman" w:eastAsia="Times New Roman" w:hAnsi="Times New Roman" w:cs="Times New Roman"/>
          <w:color w:val="000000" w:themeColor="text1"/>
          <w:lang w:val="en-US"/>
        </w:rPr>
      </w:pPr>
      <w:r w:rsidRPr="7417CC87">
        <w:rPr>
          <w:rFonts w:ascii="Times New Roman" w:eastAsia="Times New Roman" w:hAnsi="Times New Roman" w:cs="Times New Roman"/>
          <w:color w:val="000000" w:themeColor="text1"/>
        </w:rPr>
        <w:t xml:space="preserve">Branding is critical in a health-related service, where trust and professionalism are key. Pitch Side Player Care aims to present itself as reliable, knowledgeable, and accessible, combining </w:t>
      </w:r>
      <w:r w:rsidRPr="7417CC87">
        <w:rPr>
          <w:rFonts w:ascii="Times New Roman" w:eastAsia="Times New Roman" w:hAnsi="Times New Roman" w:cs="Times New Roman"/>
          <w:color w:val="000000" w:themeColor="text1"/>
        </w:rPr>
        <w:lastRenderedPageBreak/>
        <w:t xml:space="preserve">medical expertise with an understanding of football. In terms of positioning, the service sits between expensive private physiotherapy and informal volunteer support. It offers a more affordable option than private clinics while providing higher expertise than unqualified alternatives. This supports a differentiation strategy based on value (Porter, 2008). Maintaining this position will depend on consistently delivering quality and clearly communicating value. </w:t>
      </w:r>
    </w:p>
    <w:p w14:paraId="6DB0593B" w14:textId="350338C5" w:rsidR="7417CC87" w:rsidRDefault="7417CC87" w:rsidP="7417CC87">
      <w:pPr>
        <w:spacing w:line="480" w:lineRule="auto"/>
        <w:rPr>
          <w:rFonts w:ascii="Times New Roman" w:eastAsia="Times New Roman" w:hAnsi="Times New Roman" w:cs="Times New Roman"/>
          <w:b/>
          <w:bCs/>
          <w:u w:val="single"/>
        </w:rPr>
      </w:pPr>
    </w:p>
    <w:p w14:paraId="1D1DF38B" w14:textId="33C47285" w:rsidR="6DEE9852" w:rsidRDefault="6DEE9852" w:rsidP="7417CC87">
      <w:pPr>
        <w:spacing w:line="480" w:lineRule="auto"/>
        <w:rPr>
          <w:rFonts w:ascii="Times New Roman" w:eastAsia="Times New Roman" w:hAnsi="Times New Roman" w:cs="Times New Roman"/>
          <w:b/>
          <w:bCs/>
          <w:u w:val="single"/>
        </w:rPr>
      </w:pPr>
      <w:r w:rsidRPr="7417CC87">
        <w:rPr>
          <w:rFonts w:ascii="Times New Roman" w:eastAsia="Times New Roman" w:hAnsi="Times New Roman" w:cs="Times New Roman"/>
          <w:b/>
          <w:bCs/>
          <w:u w:val="single"/>
        </w:rPr>
        <w:t xml:space="preserve">Financial overviews </w:t>
      </w:r>
    </w:p>
    <w:p w14:paraId="4A2A8533" w14:textId="7B886A51"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Pitch Side Player Care's financial plan aims to ensure that the business runs successfully while continuing to be open to local football teams. Because community sport organisations often face limited funding, all efforts must strike a balance between operational sustainability and affordability. This is particularly relevant in the case of sports entrepreneurship, where financial planning plays an important role in deciding whether a plan can be realistically applied and sustained over time (Ciletti and Chadwick, 2012). As a result, the business uses a shared service model, allowing multiple clubs to contribute to the cost of professional physiotherapy services. This strategy decreases the cost on small teams while still offering access to a higher degree of player care than what is usually offered at the grassroots level. This indicates the larger structure of community sport organisations, which often work with limited financial and human resources (Hoye et al., 2018).</w:t>
      </w:r>
    </w:p>
    <w:p w14:paraId="6BC0FBD1" w14:textId="4A22441C"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The main revenue streams for the business are matchday physiotherapy services, training session support, and injury prevention programmes. Matchday coverage is estimated to generate between £80 and £120 every fixture, while training session assistance is priced between £40 and £60 per session. In addition, courses concentrating on injury prevention and player welfare are estimated to produce approximately £300 per club. These price schemes </w:t>
      </w:r>
      <w:r w:rsidRPr="7417CC87">
        <w:rPr>
          <w:rFonts w:ascii="Times New Roman" w:eastAsia="Times New Roman" w:hAnsi="Times New Roman" w:cs="Times New Roman"/>
          <w:color w:val="000000" w:themeColor="text1"/>
        </w:rPr>
        <w:lastRenderedPageBreak/>
        <w:t>consider both the value of professional physiotherapy and the financial limits of grassroots football organisations. Many grassroots clubs lack access to qualified medical staff and must rely on volunteers, emphasising the need for a more structured and professional approach. Football is linked with a high rate of injuries, especially muscular strains and ligament damage, which increases the demand for easily accessible medical care (Ekstrand, Hägglund, and Waldén, 2011). At the same time, grassroots football has one of the highest participation rates in sports, suggesting a solid and consistent demand for these services (Sport England, 2023). The regular weekly fixture structure of grassroots football also encourages constant demand, making profits more predictable over the course of the season.</w:t>
      </w:r>
    </w:p>
    <w:p w14:paraId="7A348AB6" w14:textId="73B625C7"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The cost structure of the company is heavily influenced by physiotherapist salaries, travel costs, equipment, and insurance. Wages are the highest expense since qualified professionals are required to provide safe and effective therapy in line with clinical standards. These expenses are mainly variable, increasing relative to the number of sessions delivered, so that increased supply of services will have a direct influence on expenditure. Travel costs are also high, especially if services are provided at many grassroots locations that may be widely spread out. Costs can vary based on the distance between clubs and the number of sessions. On the other hand, equipment and insurance costs are more fixed because they must be kept regardless of the amount of service provided. Managing these costs correctly is essential for making sure the business remains profitable while providing a high-quality service. This fits broader findings that physiotherapy enterprises often find it difficult balancing service delivery costs with financial sustainability (Watson and Minns Lowe, 2023). The shared service strategy improves cost efficiency by splitting expenses across numerous clubs, minimising the overall financial strain on any single organisation.</w:t>
      </w:r>
    </w:p>
    <w:p w14:paraId="5E9D2F78" w14:textId="0C4DF184"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lastRenderedPageBreak/>
        <w:t>According to initial forecasts, the business would partner with eight grassroots football groups, each of which will play around 20 matches every season. This produces an estimated annual revenue of around £23,000. With total costs estimated at £13,000, the business is expected to earn a profit of around £10,000 in its first year of operating. These forecasts are based on typical participation levels in grassroots football, where clubs compete in weekly games throughout the season. The football season's structure provides for relatively consistent service delivery, resulting in more predictable financial forecasts. However, it is important to point out these figures are dependent on the effective creation of partnerships and the ability to keep up consistent demand for services throughout the season.</w:t>
      </w:r>
    </w:p>
    <w:p w14:paraId="222A37DC" w14:textId="0C18D4DB"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A break-even analysis was also performed to identify the business's financial feasibility. The break-even point is estimated to be around 117 sessions, assuming an average income of £100 per session and costs of around £40 each session. Since eight clubs playing 20 matches each would create around 160 sessions, the business is expected to hit its break-even point in the first year. This means that the company should start making money once enough sessions have been provided. But since break-even analysis is based on estimated data, it is still open to changes in demand or cost changes, which means that actual performance could be different.   </w:t>
      </w:r>
    </w:p>
    <w:p w14:paraId="0186BDE2" w14:textId="4CA5976E" w:rsidR="7417CC87" w:rsidRDefault="7417CC87" w:rsidP="7417CC87">
      <w:pPr>
        <w:spacing w:before="240" w:after="240" w:line="480" w:lineRule="auto"/>
        <w:rPr>
          <w:rFonts w:ascii="Times New Roman" w:eastAsia="Times New Roman" w:hAnsi="Times New Roman" w:cs="Times New Roman"/>
          <w:color w:val="000000" w:themeColor="text1"/>
        </w:rPr>
      </w:pPr>
    </w:p>
    <w:p w14:paraId="04E41105" w14:textId="1D55A5CF" w:rsidR="62D8A774" w:rsidRDefault="62D8A774" w:rsidP="7417CC87">
      <w:pPr>
        <w:spacing w:before="240" w:after="240" w:line="480" w:lineRule="auto"/>
        <w:rPr>
          <w:rFonts w:ascii="Times New Roman" w:eastAsia="Times New Roman" w:hAnsi="Times New Roman" w:cs="Times New Roman"/>
          <w:color w:val="000000" w:themeColor="text1"/>
        </w:rPr>
      </w:pPr>
      <w:r w:rsidRPr="7417CC87">
        <w:rPr>
          <w:rFonts w:ascii="Times New Roman" w:eastAsia="Times New Roman" w:hAnsi="Times New Roman" w:cs="Times New Roman"/>
          <w:color w:val="000000" w:themeColor="text1"/>
        </w:rPr>
        <w:t xml:space="preserve">Given a positive financial forecast, there are many risks and restrictions to consider. One major danger is that fewer clubs than planned would use the service, resulting in lower income and potentially delaying break-even. Also, outside factors such as bad weather can lead to match cancellations, impacting income output and restricting the number of sessions. Travel costs are also a possible issue, especially if service delivery requires travelling across wide locations, which may reduce overall profitability. Additionally, grassroots football clubs </w:t>
      </w:r>
      <w:r w:rsidRPr="7417CC87">
        <w:rPr>
          <w:rFonts w:ascii="Times New Roman" w:eastAsia="Times New Roman" w:hAnsi="Times New Roman" w:cs="Times New Roman"/>
          <w:color w:val="000000" w:themeColor="text1"/>
        </w:rPr>
        <w:lastRenderedPageBreak/>
        <w:t xml:space="preserve">are often highly price-sensitive, which means there is little opportunity to increase costs without greatly affecting demand. This is consistent with earlier findings that access to physiotherapy services can be unreliable across the UK, particularly in community sport settings (Chartered Society of Physiotherapy, 2025). These concerns point out the importance of building strong relationships with clubs and making sure of regular service demand </w:t>
      </w:r>
      <w:proofErr w:type="gramStart"/>
      <w:r w:rsidRPr="7417CC87">
        <w:rPr>
          <w:rFonts w:ascii="Times New Roman" w:eastAsia="Times New Roman" w:hAnsi="Times New Roman" w:cs="Times New Roman"/>
          <w:color w:val="000000" w:themeColor="text1"/>
        </w:rPr>
        <w:t>in order to</w:t>
      </w:r>
      <w:proofErr w:type="gramEnd"/>
      <w:r w:rsidRPr="7417CC87">
        <w:rPr>
          <w:rFonts w:ascii="Times New Roman" w:eastAsia="Times New Roman" w:hAnsi="Times New Roman" w:cs="Times New Roman"/>
          <w:color w:val="000000" w:themeColor="text1"/>
        </w:rPr>
        <w:t xml:space="preserve"> ensure financial stability.</w:t>
      </w:r>
    </w:p>
    <w:p w14:paraId="3226FACE" w14:textId="7CE674B1" w:rsidR="3A6CFCD8" w:rsidRDefault="3A6CFCD8" w:rsidP="7417CC87">
      <w:pPr>
        <w:spacing w:line="480" w:lineRule="auto"/>
        <w:rPr>
          <w:rFonts w:ascii="Times New Roman" w:eastAsia="Times New Roman" w:hAnsi="Times New Roman" w:cs="Times New Roman"/>
          <w:b/>
          <w:bCs/>
          <w:color w:val="000000" w:themeColor="text1"/>
          <w:u w:val="single"/>
        </w:rPr>
      </w:pPr>
      <w:r w:rsidRPr="7417CC87">
        <w:rPr>
          <w:rFonts w:ascii="Times New Roman" w:eastAsia="Times New Roman" w:hAnsi="Times New Roman" w:cs="Times New Roman"/>
          <w:b/>
          <w:bCs/>
          <w:color w:val="000000" w:themeColor="text1"/>
          <w:u w:val="single"/>
        </w:rPr>
        <w:t>Conclusion</w:t>
      </w:r>
    </w:p>
    <w:p w14:paraId="1C0D8D3D" w14:textId="12E7A334" w:rsidR="3A6CFCD8" w:rsidRDefault="3A6CFCD8" w:rsidP="7417CC87">
      <w:pPr>
        <w:spacing w:before="240" w:after="240" w:line="480" w:lineRule="auto"/>
      </w:pPr>
      <w:r w:rsidRPr="7417CC87">
        <w:rPr>
          <w:rFonts w:ascii="Times New Roman" w:eastAsia="Times New Roman" w:hAnsi="Times New Roman" w:cs="Times New Roman"/>
        </w:rPr>
        <w:t>Pitch Side Player Care provides a realistic and scalable solution to the lack of physiotherapy support in grassroots football. The shared service model allows clubs to access professional care at an affordable cost, addressing a clear gap in the market. The business demonstrates strong potential through identified demand, practical operations and achievable financial projections. While challenges such as consistency of service and club engagement may arise, the overall concept is viable. Ultimately, the business has the potential to improve player welfare, reduce injury risk and support long-term participation in grassroots sport.</w:t>
      </w:r>
    </w:p>
    <w:p w14:paraId="0BA1B0FE" w14:textId="6595524F" w:rsidR="7417CC87" w:rsidRDefault="7417CC87" w:rsidP="7417CC87">
      <w:pPr>
        <w:spacing w:before="240" w:after="240" w:line="480" w:lineRule="auto"/>
        <w:rPr>
          <w:rFonts w:ascii="Times New Roman" w:eastAsia="Times New Roman" w:hAnsi="Times New Roman" w:cs="Times New Roman"/>
          <w:b/>
          <w:bCs/>
          <w:u w:val="single"/>
        </w:rPr>
      </w:pPr>
    </w:p>
    <w:p w14:paraId="54B835ED" w14:textId="07D08AB1" w:rsidR="7417CC87" w:rsidRDefault="7417CC87" w:rsidP="7417CC87">
      <w:pPr>
        <w:spacing w:before="240" w:after="240" w:line="480" w:lineRule="auto"/>
        <w:rPr>
          <w:rFonts w:ascii="Times New Roman" w:eastAsia="Times New Roman" w:hAnsi="Times New Roman" w:cs="Times New Roman"/>
          <w:b/>
          <w:bCs/>
          <w:u w:val="single"/>
        </w:rPr>
      </w:pPr>
    </w:p>
    <w:p w14:paraId="5D10BC79" w14:textId="4E7E26B0" w:rsidR="7417CC87" w:rsidRDefault="7417CC87" w:rsidP="7417CC87">
      <w:pPr>
        <w:spacing w:before="240" w:after="240" w:line="480" w:lineRule="auto"/>
        <w:rPr>
          <w:rFonts w:ascii="Times New Roman" w:eastAsia="Times New Roman" w:hAnsi="Times New Roman" w:cs="Times New Roman"/>
          <w:b/>
          <w:bCs/>
          <w:u w:val="single"/>
        </w:rPr>
      </w:pPr>
    </w:p>
    <w:p w14:paraId="1EBF10E3" w14:textId="7E9D8DE6" w:rsidR="7417CC87" w:rsidRDefault="7417CC87" w:rsidP="7417CC87">
      <w:pPr>
        <w:spacing w:before="240" w:after="240" w:line="480" w:lineRule="auto"/>
        <w:rPr>
          <w:rFonts w:ascii="Times New Roman" w:eastAsia="Times New Roman" w:hAnsi="Times New Roman" w:cs="Times New Roman"/>
          <w:b/>
          <w:bCs/>
          <w:u w:val="single"/>
        </w:rPr>
      </w:pPr>
    </w:p>
    <w:p w14:paraId="36FD581B" w14:textId="30A24CA8" w:rsidR="7417CC87" w:rsidRDefault="7417CC87" w:rsidP="7417CC87">
      <w:pPr>
        <w:spacing w:before="240" w:after="240" w:line="480" w:lineRule="auto"/>
        <w:rPr>
          <w:rFonts w:ascii="Times New Roman" w:eastAsia="Times New Roman" w:hAnsi="Times New Roman" w:cs="Times New Roman"/>
          <w:b/>
          <w:bCs/>
          <w:u w:val="single"/>
        </w:rPr>
      </w:pPr>
    </w:p>
    <w:p w14:paraId="67548D39" w14:textId="24A66C13" w:rsidR="7417CC87" w:rsidRDefault="7417CC87" w:rsidP="7417CC87">
      <w:pPr>
        <w:spacing w:before="240" w:after="240" w:line="480" w:lineRule="auto"/>
        <w:rPr>
          <w:rFonts w:ascii="Times New Roman" w:eastAsia="Times New Roman" w:hAnsi="Times New Roman" w:cs="Times New Roman"/>
          <w:b/>
          <w:bCs/>
          <w:u w:val="single"/>
        </w:rPr>
      </w:pPr>
    </w:p>
    <w:p w14:paraId="0BA62C5C" w14:textId="13E192DC" w:rsidR="7A576C08" w:rsidRDefault="7A576C08" w:rsidP="7417CC87">
      <w:pPr>
        <w:spacing w:before="240" w:after="240" w:line="480" w:lineRule="auto"/>
      </w:pPr>
      <w:r w:rsidRPr="7417CC87">
        <w:rPr>
          <w:rFonts w:ascii="Times New Roman" w:eastAsia="Times New Roman" w:hAnsi="Times New Roman" w:cs="Times New Roman"/>
          <w:b/>
          <w:bCs/>
          <w:u w:val="single"/>
        </w:rPr>
        <w:t xml:space="preserve">Reference list </w:t>
      </w:r>
    </w:p>
    <w:p w14:paraId="560B95C5" w14:textId="1450C6A4" w:rsidR="7A576C08" w:rsidRDefault="7A576C08" w:rsidP="7417CC87">
      <w:pPr>
        <w:spacing w:before="240" w:after="240"/>
      </w:pPr>
      <w:r w:rsidRPr="7417CC87">
        <w:rPr>
          <w:rFonts w:ascii="Times New Roman" w:eastAsia="Times New Roman" w:hAnsi="Times New Roman" w:cs="Times New Roman"/>
        </w:rPr>
        <w:lastRenderedPageBreak/>
        <w:t xml:space="preserve">American Marketing Association (2022) </w:t>
      </w:r>
      <w:r w:rsidRPr="7417CC87">
        <w:rPr>
          <w:rFonts w:ascii="Times New Roman" w:eastAsia="Times New Roman" w:hAnsi="Times New Roman" w:cs="Times New Roman"/>
          <w:i/>
          <w:iCs/>
        </w:rPr>
        <w:t>The Four Ps of Marketing</w:t>
      </w:r>
      <w:r w:rsidRPr="7417CC87">
        <w:rPr>
          <w:rFonts w:ascii="Times New Roman" w:eastAsia="Times New Roman" w:hAnsi="Times New Roman" w:cs="Times New Roman"/>
        </w:rPr>
        <w:t xml:space="preserve">. Available at: </w:t>
      </w:r>
      <w:hyperlink r:id="rId7">
        <w:r w:rsidRPr="7417CC87">
          <w:rPr>
            <w:rStyle w:val="Hyperlink"/>
            <w:rFonts w:ascii="Times New Roman" w:eastAsia="Times New Roman" w:hAnsi="Times New Roman" w:cs="Times New Roman"/>
          </w:rPr>
          <w:t>https://www.ama.org/marketing-news/the-four-ps-of-marketing/</w:t>
        </w:r>
      </w:hyperlink>
      <w:r w:rsidRPr="7417CC87">
        <w:rPr>
          <w:rFonts w:ascii="Times New Roman" w:eastAsia="Times New Roman" w:hAnsi="Times New Roman" w:cs="Times New Roman"/>
        </w:rPr>
        <w:t xml:space="preserve"> (Accessed: 1 May 2026).</w:t>
      </w:r>
    </w:p>
    <w:p w14:paraId="491A9359" w14:textId="2A7580AA" w:rsidR="7A576C08" w:rsidRDefault="7A576C08" w:rsidP="7417CC87">
      <w:pPr>
        <w:spacing w:before="240" w:after="240"/>
      </w:pPr>
      <w:r w:rsidRPr="7417CC87">
        <w:rPr>
          <w:rFonts w:ascii="Times New Roman" w:eastAsia="Times New Roman" w:hAnsi="Times New Roman" w:cs="Times New Roman"/>
        </w:rPr>
        <w:t xml:space="preserve">Armstrong, G. and Kotler, P. (2020) </w:t>
      </w:r>
      <w:r w:rsidRPr="7417CC87">
        <w:rPr>
          <w:rFonts w:ascii="Times New Roman" w:eastAsia="Times New Roman" w:hAnsi="Times New Roman" w:cs="Times New Roman"/>
          <w:i/>
          <w:iCs/>
        </w:rPr>
        <w:t>Principles of Marketing</w:t>
      </w:r>
      <w:r w:rsidRPr="7417CC87">
        <w:rPr>
          <w:rFonts w:ascii="Times New Roman" w:eastAsia="Times New Roman" w:hAnsi="Times New Roman" w:cs="Times New Roman"/>
        </w:rPr>
        <w:t>. 18th edn. Harlow: Pearson.</w:t>
      </w:r>
    </w:p>
    <w:p w14:paraId="18E03B3D" w14:textId="6FF62CE5" w:rsidR="7A576C08" w:rsidRDefault="7A576C08" w:rsidP="7417CC87">
      <w:pPr>
        <w:spacing w:before="240" w:after="240"/>
      </w:pPr>
      <w:r w:rsidRPr="7417CC87">
        <w:rPr>
          <w:rFonts w:ascii="Times New Roman" w:eastAsia="Times New Roman" w:hAnsi="Times New Roman" w:cs="Times New Roman"/>
        </w:rPr>
        <w:t xml:space="preserve">Bahr, R. and Krosshaug, T. (2005) ‘Understanding injury mechanisms: a key component of preventing injuries in sport’,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39(6), pp. 324–329.</w:t>
      </w:r>
    </w:p>
    <w:p w14:paraId="07958A1B" w14:textId="6F994AF3" w:rsidR="7A576C08" w:rsidRDefault="7A576C08" w:rsidP="7417CC87">
      <w:pPr>
        <w:spacing w:before="240" w:after="240"/>
      </w:pPr>
      <w:r w:rsidRPr="7417CC87">
        <w:rPr>
          <w:rFonts w:ascii="Times New Roman" w:eastAsia="Times New Roman" w:hAnsi="Times New Roman" w:cs="Times New Roman"/>
        </w:rPr>
        <w:t xml:space="preserve">Barney, J. (1991) ‘Firm resources and sustained competitive advantage’, </w:t>
      </w:r>
      <w:r w:rsidRPr="7417CC87">
        <w:rPr>
          <w:rFonts w:ascii="Times New Roman" w:eastAsia="Times New Roman" w:hAnsi="Times New Roman" w:cs="Times New Roman"/>
          <w:i/>
          <w:iCs/>
        </w:rPr>
        <w:t>Journal of Management</w:t>
      </w:r>
      <w:r w:rsidRPr="7417CC87">
        <w:rPr>
          <w:rFonts w:ascii="Times New Roman" w:eastAsia="Times New Roman" w:hAnsi="Times New Roman" w:cs="Times New Roman"/>
        </w:rPr>
        <w:t>, 17(1), pp. 99–120.</w:t>
      </w:r>
    </w:p>
    <w:p w14:paraId="7EEF47ED" w14:textId="12E58FE5" w:rsidR="7A576C08" w:rsidRDefault="7A576C08" w:rsidP="7417CC87">
      <w:pPr>
        <w:spacing w:before="240" w:after="240"/>
      </w:pPr>
      <w:r w:rsidRPr="7417CC87">
        <w:rPr>
          <w:rFonts w:ascii="Times New Roman" w:eastAsia="Times New Roman" w:hAnsi="Times New Roman" w:cs="Times New Roman"/>
        </w:rPr>
        <w:t xml:space="preserve">Brukner, P. and Khan, K. (2017) </w:t>
      </w:r>
      <w:r w:rsidRPr="7417CC87">
        <w:rPr>
          <w:rFonts w:ascii="Times New Roman" w:eastAsia="Times New Roman" w:hAnsi="Times New Roman" w:cs="Times New Roman"/>
          <w:i/>
          <w:iCs/>
        </w:rPr>
        <w:t>Brukner &amp; Khan’s Clinical Sports Medicine</w:t>
      </w:r>
      <w:r w:rsidRPr="7417CC87">
        <w:rPr>
          <w:rFonts w:ascii="Times New Roman" w:eastAsia="Times New Roman" w:hAnsi="Times New Roman" w:cs="Times New Roman"/>
        </w:rPr>
        <w:t>. 5th edn. Sydney: McGraw-Hill.</w:t>
      </w:r>
    </w:p>
    <w:p w14:paraId="13C760D0" w14:textId="44EC8E53" w:rsidR="7A576C08" w:rsidRDefault="7A576C08" w:rsidP="7417CC87">
      <w:pPr>
        <w:spacing w:before="240" w:after="240"/>
      </w:pPr>
      <w:r w:rsidRPr="7417CC87">
        <w:rPr>
          <w:rFonts w:ascii="Times New Roman" w:eastAsia="Times New Roman" w:hAnsi="Times New Roman" w:cs="Times New Roman"/>
        </w:rPr>
        <w:t xml:space="preserve">Chaffey, D. and Ellis-Chadwick, F. (2019) </w:t>
      </w:r>
      <w:r w:rsidRPr="7417CC87">
        <w:rPr>
          <w:rFonts w:ascii="Times New Roman" w:eastAsia="Times New Roman" w:hAnsi="Times New Roman" w:cs="Times New Roman"/>
          <w:i/>
          <w:iCs/>
        </w:rPr>
        <w:t>Digital Marketing</w:t>
      </w:r>
      <w:r w:rsidRPr="7417CC87">
        <w:rPr>
          <w:rFonts w:ascii="Times New Roman" w:eastAsia="Times New Roman" w:hAnsi="Times New Roman" w:cs="Times New Roman"/>
        </w:rPr>
        <w:t>. 7th edn. Harlow: Pearson.</w:t>
      </w:r>
    </w:p>
    <w:p w14:paraId="68F049E3" w14:textId="22513167" w:rsidR="7A576C08" w:rsidRDefault="7A576C08" w:rsidP="7417CC87">
      <w:pPr>
        <w:spacing w:before="240" w:after="240"/>
      </w:pPr>
      <w:r w:rsidRPr="7417CC87">
        <w:rPr>
          <w:rFonts w:ascii="Times New Roman" w:eastAsia="Times New Roman" w:hAnsi="Times New Roman" w:cs="Times New Roman"/>
        </w:rPr>
        <w:t xml:space="preserve">Chartered Society of Physiotherapy (CSP) (n.d.) </w:t>
      </w:r>
      <w:r w:rsidRPr="7417CC87">
        <w:rPr>
          <w:rFonts w:ascii="Times New Roman" w:eastAsia="Times New Roman" w:hAnsi="Times New Roman" w:cs="Times New Roman"/>
          <w:i/>
          <w:iCs/>
        </w:rPr>
        <w:t>Private physiotherapy practice: the essential guide</w:t>
      </w:r>
      <w:r w:rsidRPr="7417CC87">
        <w:rPr>
          <w:rFonts w:ascii="Times New Roman" w:eastAsia="Times New Roman" w:hAnsi="Times New Roman" w:cs="Times New Roman"/>
        </w:rPr>
        <w:t>. London: Chartered Society of Physiotherapy.</w:t>
      </w:r>
    </w:p>
    <w:p w14:paraId="4E9E42CB" w14:textId="56963CE4" w:rsidR="7A576C08" w:rsidRDefault="7A576C08" w:rsidP="7417CC87">
      <w:pPr>
        <w:spacing w:before="240" w:after="240"/>
      </w:pPr>
      <w:r w:rsidRPr="7417CC87">
        <w:rPr>
          <w:rFonts w:ascii="Times New Roman" w:eastAsia="Times New Roman" w:hAnsi="Times New Roman" w:cs="Times New Roman"/>
        </w:rPr>
        <w:t xml:space="preserve">Chartered Society of Physiotherapy (CSP) (2026) </w:t>
      </w:r>
      <w:r w:rsidRPr="7417CC87">
        <w:rPr>
          <w:rFonts w:ascii="Times New Roman" w:eastAsia="Times New Roman" w:hAnsi="Times New Roman" w:cs="Times New Roman"/>
          <w:i/>
          <w:iCs/>
        </w:rPr>
        <w:t>Policies and procedures for physiotherapy private practice</w:t>
      </w:r>
      <w:r w:rsidRPr="7417CC87">
        <w:rPr>
          <w:rFonts w:ascii="Times New Roman" w:eastAsia="Times New Roman" w:hAnsi="Times New Roman" w:cs="Times New Roman"/>
        </w:rPr>
        <w:t>. London: Chartered Society of Physiotherapy.</w:t>
      </w:r>
    </w:p>
    <w:p w14:paraId="27D6D75E" w14:textId="72DE97E2" w:rsidR="7A576C08" w:rsidRDefault="7A576C08" w:rsidP="7417CC87">
      <w:pPr>
        <w:spacing w:before="240" w:after="240"/>
      </w:pPr>
      <w:r w:rsidRPr="7417CC87">
        <w:rPr>
          <w:rFonts w:ascii="Times New Roman" w:eastAsia="Times New Roman" w:hAnsi="Times New Roman" w:cs="Times New Roman"/>
        </w:rPr>
        <w:t xml:space="preserve">Clegg, J. and Cross, J. (2020) ‘Injury management in amateur football’, </w:t>
      </w:r>
      <w:r w:rsidRPr="7417CC87">
        <w:rPr>
          <w:rFonts w:ascii="Times New Roman" w:eastAsia="Times New Roman" w:hAnsi="Times New Roman" w:cs="Times New Roman"/>
          <w:i/>
          <w:iCs/>
        </w:rPr>
        <w:t>BMJ Open Sport &amp; Exercise Medicine</w:t>
      </w:r>
      <w:r w:rsidRPr="7417CC87">
        <w:rPr>
          <w:rFonts w:ascii="Times New Roman" w:eastAsia="Times New Roman" w:hAnsi="Times New Roman" w:cs="Times New Roman"/>
        </w:rPr>
        <w:t>, 6(1), pp. 1–6.</w:t>
      </w:r>
    </w:p>
    <w:p w14:paraId="0FBD160C" w14:textId="1ECAFF1A" w:rsidR="7A576C08" w:rsidRDefault="7A576C08" w:rsidP="7417CC87">
      <w:pPr>
        <w:spacing w:before="240" w:after="240"/>
      </w:pPr>
      <w:r w:rsidRPr="7417CC87">
        <w:rPr>
          <w:rFonts w:ascii="Times New Roman" w:eastAsia="Times New Roman" w:hAnsi="Times New Roman" w:cs="Times New Roman"/>
        </w:rPr>
        <w:t xml:space="preserve">Coalter, F. (2013) </w:t>
      </w:r>
      <w:r w:rsidRPr="7417CC87">
        <w:rPr>
          <w:rFonts w:ascii="Times New Roman" w:eastAsia="Times New Roman" w:hAnsi="Times New Roman" w:cs="Times New Roman"/>
          <w:i/>
          <w:iCs/>
        </w:rPr>
        <w:t>Sport for development: what game are we playing?</w:t>
      </w:r>
      <w:r w:rsidRPr="7417CC87">
        <w:rPr>
          <w:rFonts w:ascii="Times New Roman" w:eastAsia="Times New Roman" w:hAnsi="Times New Roman" w:cs="Times New Roman"/>
        </w:rPr>
        <w:t xml:space="preserve"> London: Routledge.</w:t>
      </w:r>
    </w:p>
    <w:p w14:paraId="6C6589B2" w14:textId="5BFA64FC" w:rsidR="7A576C08" w:rsidRDefault="7A576C08" w:rsidP="7417CC87">
      <w:pPr>
        <w:spacing w:before="240" w:after="240"/>
      </w:pPr>
      <w:r w:rsidRPr="7417CC87">
        <w:rPr>
          <w:rFonts w:ascii="Times New Roman" w:eastAsia="Times New Roman" w:hAnsi="Times New Roman" w:cs="Times New Roman"/>
        </w:rPr>
        <w:t xml:space="preserve">Cunningham, G.B. (2019) </w:t>
      </w:r>
      <w:r w:rsidRPr="7417CC87">
        <w:rPr>
          <w:rFonts w:ascii="Times New Roman" w:eastAsia="Times New Roman" w:hAnsi="Times New Roman" w:cs="Times New Roman"/>
          <w:i/>
          <w:iCs/>
        </w:rPr>
        <w:t>Diversity and inclusion in sport organizations</w:t>
      </w:r>
      <w:r w:rsidRPr="7417CC87">
        <w:rPr>
          <w:rFonts w:ascii="Times New Roman" w:eastAsia="Times New Roman" w:hAnsi="Times New Roman" w:cs="Times New Roman"/>
        </w:rPr>
        <w:t>. 4th edn. New York: Routledge.</w:t>
      </w:r>
    </w:p>
    <w:p w14:paraId="4A647FA6" w14:textId="0E8240E4" w:rsidR="7A576C08" w:rsidRDefault="7A576C08" w:rsidP="7417CC87">
      <w:pPr>
        <w:spacing w:before="240" w:after="240"/>
      </w:pPr>
      <w:r w:rsidRPr="7417CC87">
        <w:rPr>
          <w:rFonts w:ascii="Times New Roman" w:eastAsia="Times New Roman" w:hAnsi="Times New Roman" w:cs="Times New Roman"/>
        </w:rPr>
        <w:t xml:space="preserve">Department for Culture, Media and Sport (DCMS) (2023) </w:t>
      </w:r>
      <w:r w:rsidRPr="7417CC87">
        <w:rPr>
          <w:rFonts w:ascii="Times New Roman" w:eastAsia="Times New Roman" w:hAnsi="Times New Roman" w:cs="Times New Roman"/>
          <w:i/>
          <w:iCs/>
        </w:rPr>
        <w:t>Get active: a strategy for the future of sport and physical activity</w:t>
      </w:r>
      <w:r w:rsidRPr="7417CC87">
        <w:rPr>
          <w:rFonts w:ascii="Times New Roman" w:eastAsia="Times New Roman" w:hAnsi="Times New Roman" w:cs="Times New Roman"/>
        </w:rPr>
        <w:t>. London: HM Government.</w:t>
      </w:r>
    </w:p>
    <w:p w14:paraId="1E61F576" w14:textId="7865B9F3" w:rsidR="7A576C08" w:rsidRDefault="7A576C08" w:rsidP="7417CC87">
      <w:pPr>
        <w:spacing w:before="240" w:after="240"/>
      </w:pPr>
      <w:r w:rsidRPr="7417CC87">
        <w:rPr>
          <w:rFonts w:ascii="Times New Roman" w:eastAsia="Times New Roman" w:hAnsi="Times New Roman" w:cs="Times New Roman"/>
        </w:rPr>
        <w:t xml:space="preserve">Department for Education (2018) </w:t>
      </w:r>
      <w:r w:rsidRPr="7417CC87">
        <w:rPr>
          <w:rFonts w:ascii="Times New Roman" w:eastAsia="Times New Roman" w:hAnsi="Times New Roman" w:cs="Times New Roman"/>
          <w:i/>
          <w:iCs/>
        </w:rPr>
        <w:t>Working Together to Safeguard Children</w:t>
      </w:r>
      <w:r w:rsidRPr="7417CC87">
        <w:rPr>
          <w:rFonts w:ascii="Times New Roman" w:eastAsia="Times New Roman" w:hAnsi="Times New Roman" w:cs="Times New Roman"/>
        </w:rPr>
        <w:t xml:space="preserve">. London: HM Government. Available at: </w:t>
      </w:r>
      <w:hyperlink r:id="rId8">
        <w:r w:rsidRPr="7417CC87">
          <w:rPr>
            <w:rStyle w:val="Hyperlink"/>
            <w:rFonts w:ascii="Times New Roman" w:eastAsia="Times New Roman" w:hAnsi="Times New Roman" w:cs="Times New Roman"/>
          </w:rPr>
          <w:t>https://www.gov.uk/government/publications/working-together-to-safeguard-children</w:t>
        </w:r>
      </w:hyperlink>
      <w:r w:rsidRPr="7417CC87">
        <w:rPr>
          <w:rFonts w:ascii="Times New Roman" w:eastAsia="Times New Roman" w:hAnsi="Times New Roman" w:cs="Times New Roman"/>
        </w:rPr>
        <w:t xml:space="preserve"> (Accessed: 1 May 2026).</w:t>
      </w:r>
    </w:p>
    <w:p w14:paraId="1CE57EBD" w14:textId="43209F07" w:rsidR="7A576C08" w:rsidRDefault="7A576C08" w:rsidP="7417CC87">
      <w:pPr>
        <w:spacing w:before="240" w:after="240"/>
      </w:pPr>
      <w:r w:rsidRPr="7417CC87">
        <w:rPr>
          <w:rFonts w:ascii="Times New Roman" w:eastAsia="Times New Roman" w:hAnsi="Times New Roman" w:cs="Times New Roman"/>
        </w:rPr>
        <w:t xml:space="preserve">Downward, P. and Rasciute, S. (2011) ‘Does sport make you happy? An analysis of the well-being derived from sports participation’, </w:t>
      </w:r>
      <w:r w:rsidRPr="7417CC87">
        <w:rPr>
          <w:rFonts w:ascii="Times New Roman" w:eastAsia="Times New Roman" w:hAnsi="Times New Roman" w:cs="Times New Roman"/>
          <w:i/>
          <w:iCs/>
        </w:rPr>
        <w:t>International Review of Applied Economics</w:t>
      </w:r>
      <w:r w:rsidRPr="7417CC87">
        <w:rPr>
          <w:rFonts w:ascii="Times New Roman" w:eastAsia="Times New Roman" w:hAnsi="Times New Roman" w:cs="Times New Roman"/>
        </w:rPr>
        <w:t>, 25(3), pp. 331–348.</w:t>
      </w:r>
    </w:p>
    <w:p w14:paraId="32369254" w14:textId="3F8DCFC4" w:rsidR="7A576C08" w:rsidRDefault="7A576C08" w:rsidP="7417CC87">
      <w:pPr>
        <w:spacing w:before="240" w:after="240"/>
      </w:pPr>
      <w:r w:rsidRPr="7417CC87">
        <w:rPr>
          <w:rFonts w:ascii="Times New Roman" w:eastAsia="Times New Roman" w:hAnsi="Times New Roman" w:cs="Times New Roman"/>
        </w:rPr>
        <w:t xml:space="preserve">Ekstrand, J., Hägglund, M. and Waldén, M. (2011) ‘Injury incidence and injury patterns in professional football: the UEFA injury study’,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45(7), pp. 553–558.</w:t>
      </w:r>
    </w:p>
    <w:p w14:paraId="43837FDE" w14:textId="02D552B9" w:rsidR="7A576C08" w:rsidRDefault="7A576C08" w:rsidP="7417CC87">
      <w:pPr>
        <w:spacing w:before="240" w:after="240"/>
      </w:pPr>
      <w:r w:rsidRPr="7417CC87">
        <w:rPr>
          <w:rFonts w:ascii="Times New Roman" w:eastAsia="Times New Roman" w:hAnsi="Times New Roman" w:cs="Times New Roman"/>
        </w:rPr>
        <w:t xml:space="preserve">Ekstrand, J., Hägglund, M. and Waldén, M. (2013) ‘Epidemiology of muscle injuries in professional football’, </w:t>
      </w:r>
      <w:r w:rsidRPr="7417CC87">
        <w:rPr>
          <w:rFonts w:ascii="Times New Roman" w:eastAsia="Times New Roman" w:hAnsi="Times New Roman" w:cs="Times New Roman"/>
          <w:i/>
          <w:iCs/>
        </w:rPr>
        <w:t>American Journal of Sports Medicine</w:t>
      </w:r>
      <w:r w:rsidRPr="7417CC87">
        <w:rPr>
          <w:rFonts w:ascii="Times New Roman" w:eastAsia="Times New Roman" w:hAnsi="Times New Roman" w:cs="Times New Roman"/>
        </w:rPr>
        <w:t>, 39(6), pp. 1226–1232.</w:t>
      </w:r>
    </w:p>
    <w:p w14:paraId="29F99A43" w14:textId="4D685FDF" w:rsidR="7A576C08" w:rsidRDefault="7A576C08" w:rsidP="7417CC87">
      <w:pPr>
        <w:spacing w:before="240" w:after="240"/>
      </w:pPr>
      <w:r w:rsidRPr="7417CC87">
        <w:rPr>
          <w:rFonts w:ascii="Times New Roman" w:eastAsia="Times New Roman" w:hAnsi="Times New Roman" w:cs="Times New Roman"/>
        </w:rPr>
        <w:lastRenderedPageBreak/>
        <w:t xml:space="preserve">Emery, C.A. (2010) ‘Risk factors for injury in child and adolescent sport’, </w:t>
      </w:r>
      <w:r w:rsidRPr="7417CC87">
        <w:rPr>
          <w:rFonts w:ascii="Times New Roman" w:eastAsia="Times New Roman" w:hAnsi="Times New Roman" w:cs="Times New Roman"/>
          <w:i/>
          <w:iCs/>
        </w:rPr>
        <w:t>Clinical Journal of Sport Medicine</w:t>
      </w:r>
      <w:r w:rsidRPr="7417CC87">
        <w:rPr>
          <w:rFonts w:ascii="Times New Roman" w:eastAsia="Times New Roman" w:hAnsi="Times New Roman" w:cs="Times New Roman"/>
        </w:rPr>
        <w:t>, 20(3), pp. 256–268.</w:t>
      </w:r>
    </w:p>
    <w:p w14:paraId="6E29A2A2" w14:textId="4F2A7A23" w:rsidR="7A576C08" w:rsidRDefault="7A576C08" w:rsidP="7417CC87">
      <w:pPr>
        <w:spacing w:before="240" w:after="240"/>
      </w:pPr>
      <w:r w:rsidRPr="7417CC87">
        <w:rPr>
          <w:rFonts w:ascii="Times New Roman" w:eastAsia="Times New Roman" w:hAnsi="Times New Roman" w:cs="Times New Roman"/>
        </w:rPr>
        <w:t xml:space="preserve">Freeman, R.E. (2010) </w:t>
      </w:r>
      <w:r w:rsidRPr="7417CC87">
        <w:rPr>
          <w:rFonts w:ascii="Times New Roman" w:eastAsia="Times New Roman" w:hAnsi="Times New Roman" w:cs="Times New Roman"/>
          <w:i/>
          <w:iCs/>
        </w:rPr>
        <w:t>Strategic management: a stakeholder approach</w:t>
      </w:r>
      <w:r w:rsidRPr="7417CC87">
        <w:rPr>
          <w:rFonts w:ascii="Times New Roman" w:eastAsia="Times New Roman" w:hAnsi="Times New Roman" w:cs="Times New Roman"/>
        </w:rPr>
        <w:t>. Cambridge: Cambridge University Press.</w:t>
      </w:r>
    </w:p>
    <w:p w14:paraId="1FA09AA0" w14:textId="6F9B354B" w:rsidR="7A576C08" w:rsidRDefault="7A576C08" w:rsidP="7417CC87">
      <w:pPr>
        <w:spacing w:before="240" w:after="240"/>
      </w:pPr>
      <w:r w:rsidRPr="7417CC87">
        <w:rPr>
          <w:rFonts w:ascii="Times New Roman" w:eastAsia="Times New Roman" w:hAnsi="Times New Roman" w:cs="Times New Roman"/>
        </w:rPr>
        <w:t xml:space="preserve">Grönroos, C. (2004) ‘The relationship marketing process: communication, interaction, dialogue, value’, </w:t>
      </w:r>
      <w:r w:rsidRPr="7417CC87">
        <w:rPr>
          <w:rFonts w:ascii="Times New Roman" w:eastAsia="Times New Roman" w:hAnsi="Times New Roman" w:cs="Times New Roman"/>
          <w:i/>
          <w:iCs/>
        </w:rPr>
        <w:t>Journal of Business &amp; Industrial Marketing</w:t>
      </w:r>
      <w:r w:rsidRPr="7417CC87">
        <w:rPr>
          <w:rFonts w:ascii="Times New Roman" w:eastAsia="Times New Roman" w:hAnsi="Times New Roman" w:cs="Times New Roman"/>
        </w:rPr>
        <w:t>, 19(2), pp. 99–113.</w:t>
      </w:r>
    </w:p>
    <w:p w14:paraId="6ADAD29D" w14:textId="12706A8F" w:rsidR="7A576C08" w:rsidRDefault="7A576C08" w:rsidP="7417CC87">
      <w:pPr>
        <w:spacing w:before="240" w:after="240"/>
      </w:pPr>
      <w:r w:rsidRPr="7417CC87">
        <w:rPr>
          <w:rFonts w:ascii="Times New Roman" w:eastAsia="Times New Roman" w:hAnsi="Times New Roman" w:cs="Times New Roman"/>
        </w:rPr>
        <w:t xml:space="preserve">Gurau, T.V., Păunică, M., Diaconu, A. and Tudorache, G. (2023) ‘Epidemiology of injuries in professional and amateur football players: a systematic review’, </w:t>
      </w:r>
      <w:r w:rsidRPr="7417CC87">
        <w:rPr>
          <w:rFonts w:ascii="Times New Roman" w:eastAsia="Times New Roman" w:hAnsi="Times New Roman" w:cs="Times New Roman"/>
          <w:i/>
          <w:iCs/>
        </w:rPr>
        <w:t>Journal of Clinical Medicine</w:t>
      </w:r>
      <w:r w:rsidRPr="7417CC87">
        <w:rPr>
          <w:rFonts w:ascii="Times New Roman" w:eastAsia="Times New Roman" w:hAnsi="Times New Roman" w:cs="Times New Roman"/>
        </w:rPr>
        <w:t>, 12(19), 6293.</w:t>
      </w:r>
    </w:p>
    <w:p w14:paraId="1E36E33E" w14:textId="339B0AAD" w:rsidR="7A576C08" w:rsidRDefault="7A576C08" w:rsidP="7417CC87">
      <w:pPr>
        <w:spacing w:before="240" w:after="240"/>
      </w:pPr>
      <w:r w:rsidRPr="7417CC87">
        <w:rPr>
          <w:rFonts w:ascii="Times New Roman" w:eastAsia="Times New Roman" w:hAnsi="Times New Roman" w:cs="Times New Roman"/>
        </w:rPr>
        <w:t xml:space="preserve">Hägglund, M., Waldén, M. and Ekstrand, J. (2013) ‘Injuries among male and female elite football players’, </w:t>
      </w:r>
      <w:r w:rsidRPr="7417CC87">
        <w:rPr>
          <w:rFonts w:ascii="Times New Roman" w:eastAsia="Times New Roman" w:hAnsi="Times New Roman" w:cs="Times New Roman"/>
          <w:i/>
          <w:iCs/>
        </w:rPr>
        <w:t>Scandinavian Journal of Medicine &amp; Science in Sports</w:t>
      </w:r>
      <w:r w:rsidRPr="7417CC87">
        <w:rPr>
          <w:rFonts w:ascii="Times New Roman" w:eastAsia="Times New Roman" w:hAnsi="Times New Roman" w:cs="Times New Roman"/>
        </w:rPr>
        <w:t>, 23(6), pp. 749–759.</w:t>
      </w:r>
    </w:p>
    <w:p w14:paraId="78622A5D" w14:textId="3F0BFEAF" w:rsidR="7A576C08" w:rsidRDefault="7A576C08" w:rsidP="7417CC87">
      <w:pPr>
        <w:spacing w:before="240" w:after="240"/>
      </w:pPr>
      <w:r w:rsidRPr="7417CC87">
        <w:rPr>
          <w:rFonts w:ascii="Times New Roman" w:eastAsia="Times New Roman" w:hAnsi="Times New Roman" w:cs="Times New Roman"/>
        </w:rPr>
        <w:t xml:space="preserve">Health and Care Professions Council (2022) </w:t>
      </w:r>
      <w:r w:rsidRPr="7417CC87">
        <w:rPr>
          <w:rFonts w:ascii="Times New Roman" w:eastAsia="Times New Roman" w:hAnsi="Times New Roman" w:cs="Times New Roman"/>
          <w:i/>
          <w:iCs/>
        </w:rPr>
        <w:t>Standards of proficiency: physiotherapists</w:t>
      </w:r>
      <w:r w:rsidRPr="7417CC87">
        <w:rPr>
          <w:rFonts w:ascii="Times New Roman" w:eastAsia="Times New Roman" w:hAnsi="Times New Roman" w:cs="Times New Roman"/>
        </w:rPr>
        <w:t xml:space="preserve">. Available at: </w:t>
      </w:r>
      <w:hyperlink r:id="rId9">
        <w:r w:rsidRPr="7417CC87">
          <w:rPr>
            <w:rStyle w:val="Hyperlink"/>
            <w:rFonts w:ascii="Times New Roman" w:eastAsia="Times New Roman" w:hAnsi="Times New Roman" w:cs="Times New Roman"/>
          </w:rPr>
          <w:t>https://www.hcpc-uk.org</w:t>
        </w:r>
      </w:hyperlink>
      <w:r w:rsidRPr="7417CC87">
        <w:rPr>
          <w:rFonts w:ascii="Times New Roman" w:eastAsia="Times New Roman" w:hAnsi="Times New Roman" w:cs="Times New Roman"/>
        </w:rPr>
        <w:t xml:space="preserve"> (Accessed: 1 May 2026).</w:t>
      </w:r>
    </w:p>
    <w:p w14:paraId="769D3B4D" w14:textId="377C44EB" w:rsidR="7A576C08" w:rsidRDefault="7A576C08" w:rsidP="7417CC87">
      <w:pPr>
        <w:spacing w:before="240" w:after="240"/>
      </w:pPr>
      <w:r w:rsidRPr="7417CC87">
        <w:rPr>
          <w:rFonts w:ascii="Times New Roman" w:eastAsia="Times New Roman" w:hAnsi="Times New Roman" w:cs="Times New Roman"/>
        </w:rPr>
        <w:t xml:space="preserve">Hoye, R., Smith, A.C.T., Nicholson, M. and Stewart, B. (2022) </w:t>
      </w:r>
      <w:r w:rsidRPr="7417CC87">
        <w:rPr>
          <w:rFonts w:ascii="Times New Roman" w:eastAsia="Times New Roman" w:hAnsi="Times New Roman" w:cs="Times New Roman"/>
          <w:i/>
          <w:iCs/>
        </w:rPr>
        <w:t>Sport management: principles and applications</w:t>
      </w:r>
      <w:r w:rsidRPr="7417CC87">
        <w:rPr>
          <w:rFonts w:ascii="Times New Roman" w:eastAsia="Times New Roman" w:hAnsi="Times New Roman" w:cs="Times New Roman"/>
        </w:rPr>
        <w:t>. 6th edn. London: Routledge.</w:t>
      </w:r>
    </w:p>
    <w:p w14:paraId="11A69BA2" w14:textId="4C45B5CE" w:rsidR="7A576C08" w:rsidRDefault="7A576C08" w:rsidP="7417CC87">
      <w:pPr>
        <w:spacing w:before="240" w:after="240"/>
      </w:pPr>
      <w:r w:rsidRPr="7417CC87">
        <w:rPr>
          <w:rFonts w:ascii="Times New Roman" w:eastAsia="Times New Roman" w:hAnsi="Times New Roman" w:cs="Times New Roman"/>
        </w:rPr>
        <w:t xml:space="preserve">Kotler, P., Keller, K.L., Brady, M., Goodman, M. and Hansen, T. (2019) </w:t>
      </w:r>
      <w:r w:rsidRPr="7417CC87">
        <w:rPr>
          <w:rFonts w:ascii="Times New Roman" w:eastAsia="Times New Roman" w:hAnsi="Times New Roman" w:cs="Times New Roman"/>
          <w:i/>
          <w:iCs/>
        </w:rPr>
        <w:t>Marketing management</w:t>
      </w:r>
      <w:r w:rsidRPr="7417CC87">
        <w:rPr>
          <w:rFonts w:ascii="Times New Roman" w:eastAsia="Times New Roman" w:hAnsi="Times New Roman" w:cs="Times New Roman"/>
        </w:rPr>
        <w:t>. 4th European edn. Harlow: Pearson.</w:t>
      </w:r>
    </w:p>
    <w:p w14:paraId="00AAFF69" w14:textId="6D74660C" w:rsidR="7A576C08" w:rsidRDefault="7A576C08" w:rsidP="7417CC87">
      <w:pPr>
        <w:spacing w:before="240" w:after="240"/>
      </w:pPr>
      <w:r w:rsidRPr="7417CC87">
        <w:rPr>
          <w:rFonts w:ascii="Times New Roman" w:eastAsia="Times New Roman" w:hAnsi="Times New Roman" w:cs="Times New Roman"/>
        </w:rPr>
        <w:t xml:space="preserve">López-Valenciano, A. et al. (2020) ‘Epidemiology of injuries in professional football: a systematic review and meta-analysis’,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54(12), pp. 711–718.</w:t>
      </w:r>
    </w:p>
    <w:p w14:paraId="38FECC58" w14:textId="6CEE4CB2" w:rsidR="7A576C08" w:rsidRDefault="7A576C08" w:rsidP="7417CC87">
      <w:pPr>
        <w:spacing w:before="240" w:after="240"/>
      </w:pPr>
      <w:r w:rsidRPr="7417CC87">
        <w:rPr>
          <w:rFonts w:ascii="Times New Roman" w:eastAsia="Times New Roman" w:hAnsi="Times New Roman" w:cs="Times New Roman"/>
        </w:rPr>
        <w:t xml:space="preserve">McCrory, P. et al. (2017) ‘Consensus statement on concussion in sport’, </w:t>
      </w:r>
      <w:r w:rsidRPr="7417CC87">
        <w:rPr>
          <w:rFonts w:ascii="Times New Roman" w:eastAsia="Times New Roman" w:hAnsi="Times New Roman" w:cs="Times New Roman"/>
          <w:i/>
          <w:iCs/>
        </w:rPr>
        <w:t>British Journal of Sports Medicine</w:t>
      </w:r>
      <w:r w:rsidRPr="7417CC87">
        <w:rPr>
          <w:rFonts w:ascii="Times New Roman" w:eastAsia="Times New Roman" w:hAnsi="Times New Roman" w:cs="Times New Roman"/>
        </w:rPr>
        <w:t>, 51(11), pp. 838–847.</w:t>
      </w:r>
    </w:p>
    <w:p w14:paraId="25AC70B0" w14:textId="422FCA46" w:rsidR="7A576C08" w:rsidRDefault="7A576C08" w:rsidP="7417CC87">
      <w:pPr>
        <w:spacing w:before="240" w:after="240"/>
      </w:pPr>
      <w:r w:rsidRPr="7417CC87">
        <w:rPr>
          <w:rFonts w:ascii="Times New Roman" w:eastAsia="Times New Roman" w:hAnsi="Times New Roman" w:cs="Times New Roman"/>
        </w:rPr>
        <w:t xml:space="preserve">Misener, L. and Doherty, A. (2012) ‘Connecting the community through sport club partnerships’, </w:t>
      </w:r>
      <w:r w:rsidRPr="7417CC87">
        <w:rPr>
          <w:rFonts w:ascii="Times New Roman" w:eastAsia="Times New Roman" w:hAnsi="Times New Roman" w:cs="Times New Roman"/>
          <w:i/>
          <w:iCs/>
        </w:rPr>
        <w:t>Sport Management Review</w:t>
      </w:r>
      <w:r w:rsidRPr="7417CC87">
        <w:rPr>
          <w:rFonts w:ascii="Times New Roman" w:eastAsia="Times New Roman" w:hAnsi="Times New Roman" w:cs="Times New Roman"/>
        </w:rPr>
        <w:t>, 15(3), pp. 283–295.</w:t>
      </w:r>
    </w:p>
    <w:p w14:paraId="385FE3A5" w14:textId="2BF11EF5" w:rsidR="7A576C08" w:rsidRDefault="7A576C08" w:rsidP="7417CC87">
      <w:pPr>
        <w:spacing w:before="240" w:after="240"/>
      </w:pPr>
      <w:r w:rsidRPr="7417CC87">
        <w:rPr>
          <w:rFonts w:ascii="Times New Roman" w:eastAsia="Times New Roman" w:hAnsi="Times New Roman" w:cs="Times New Roman"/>
        </w:rPr>
        <w:t xml:space="preserve">Morgan, R.M. and Hunt, S.D. (1994) ‘The commitment-trust theory of relationship marketing’, </w:t>
      </w:r>
      <w:r w:rsidRPr="7417CC87">
        <w:rPr>
          <w:rFonts w:ascii="Times New Roman" w:eastAsia="Times New Roman" w:hAnsi="Times New Roman" w:cs="Times New Roman"/>
          <w:i/>
          <w:iCs/>
        </w:rPr>
        <w:t>Journal of Marketing</w:t>
      </w:r>
      <w:r w:rsidRPr="7417CC87">
        <w:rPr>
          <w:rFonts w:ascii="Times New Roman" w:eastAsia="Times New Roman" w:hAnsi="Times New Roman" w:cs="Times New Roman"/>
        </w:rPr>
        <w:t>, 58(3), pp. 20–38.</w:t>
      </w:r>
    </w:p>
    <w:p w14:paraId="5D943122" w14:textId="2CAC03FB" w:rsidR="7A576C08" w:rsidRDefault="7A576C08" w:rsidP="7417CC87">
      <w:pPr>
        <w:spacing w:before="240" w:after="240"/>
      </w:pPr>
      <w:r w:rsidRPr="7417CC87">
        <w:rPr>
          <w:rFonts w:ascii="Times New Roman" w:eastAsia="Times New Roman" w:hAnsi="Times New Roman" w:cs="Times New Roman"/>
        </w:rPr>
        <w:t xml:space="preserve">Mullin, B.J., Hardy, S. and Sutton, W.A. (2014) </w:t>
      </w:r>
      <w:r w:rsidRPr="7417CC87">
        <w:rPr>
          <w:rFonts w:ascii="Times New Roman" w:eastAsia="Times New Roman" w:hAnsi="Times New Roman" w:cs="Times New Roman"/>
          <w:i/>
          <w:iCs/>
        </w:rPr>
        <w:t>Sport marketing</w:t>
      </w:r>
      <w:r w:rsidRPr="7417CC87">
        <w:rPr>
          <w:rFonts w:ascii="Times New Roman" w:eastAsia="Times New Roman" w:hAnsi="Times New Roman" w:cs="Times New Roman"/>
        </w:rPr>
        <w:t>. 4th edn. Champaign: Human Kinetics.</w:t>
      </w:r>
    </w:p>
    <w:p w14:paraId="0A58B83E" w14:textId="7091E9B0" w:rsidR="7A576C08" w:rsidRDefault="7A576C08" w:rsidP="7417CC87">
      <w:pPr>
        <w:spacing w:before="240" w:after="240"/>
      </w:pPr>
      <w:r w:rsidRPr="7417CC87">
        <w:rPr>
          <w:rFonts w:ascii="Times New Roman" w:eastAsia="Times New Roman" w:hAnsi="Times New Roman" w:cs="Times New Roman"/>
        </w:rPr>
        <w:t xml:space="preserve">Parent, M.M. and Smith-Swan, S. (2023) </w:t>
      </w:r>
      <w:r w:rsidRPr="7417CC87">
        <w:rPr>
          <w:rFonts w:ascii="Times New Roman" w:eastAsia="Times New Roman" w:hAnsi="Times New Roman" w:cs="Times New Roman"/>
          <w:i/>
          <w:iCs/>
        </w:rPr>
        <w:t>Managing major sports events: theory and practice</w:t>
      </w:r>
      <w:r w:rsidRPr="7417CC87">
        <w:rPr>
          <w:rFonts w:ascii="Times New Roman" w:eastAsia="Times New Roman" w:hAnsi="Times New Roman" w:cs="Times New Roman"/>
        </w:rPr>
        <w:t>. 2nd edn. London: Routledge.</w:t>
      </w:r>
    </w:p>
    <w:p w14:paraId="6587829C" w14:textId="34B94D48" w:rsidR="7A576C08" w:rsidRDefault="7A576C08" w:rsidP="7417CC87">
      <w:pPr>
        <w:spacing w:before="240" w:after="240"/>
      </w:pPr>
      <w:r w:rsidRPr="7417CC87">
        <w:rPr>
          <w:rFonts w:ascii="Times New Roman" w:eastAsia="Times New Roman" w:hAnsi="Times New Roman" w:cs="Times New Roman"/>
        </w:rPr>
        <w:t xml:space="preserve">Pedersen, P.M. and Thibault, L. (2019) </w:t>
      </w:r>
      <w:r w:rsidRPr="7417CC87">
        <w:rPr>
          <w:rFonts w:ascii="Times New Roman" w:eastAsia="Times New Roman" w:hAnsi="Times New Roman" w:cs="Times New Roman"/>
          <w:i/>
          <w:iCs/>
        </w:rPr>
        <w:t>Contemporary sport management</w:t>
      </w:r>
      <w:r w:rsidRPr="7417CC87">
        <w:rPr>
          <w:rFonts w:ascii="Times New Roman" w:eastAsia="Times New Roman" w:hAnsi="Times New Roman" w:cs="Times New Roman"/>
        </w:rPr>
        <w:t>. 6th edn. Champaign, IL: Human Kinetics.</w:t>
      </w:r>
    </w:p>
    <w:p w14:paraId="4AB2F808" w14:textId="00DE2BF3" w:rsidR="7A576C08" w:rsidRDefault="7A576C08" w:rsidP="7417CC87">
      <w:pPr>
        <w:spacing w:before="240" w:after="240"/>
      </w:pPr>
      <w:r w:rsidRPr="7417CC87">
        <w:rPr>
          <w:rFonts w:ascii="Times New Roman" w:eastAsia="Times New Roman" w:hAnsi="Times New Roman" w:cs="Times New Roman"/>
        </w:rPr>
        <w:lastRenderedPageBreak/>
        <w:t xml:space="preserve">Porter, M.E. (2008) ‘The five competitive forces that shape strategy’, </w:t>
      </w:r>
      <w:r w:rsidRPr="7417CC87">
        <w:rPr>
          <w:rFonts w:ascii="Times New Roman" w:eastAsia="Times New Roman" w:hAnsi="Times New Roman" w:cs="Times New Roman"/>
          <w:i/>
          <w:iCs/>
        </w:rPr>
        <w:t>Harvard Business Review</w:t>
      </w:r>
      <w:r w:rsidRPr="7417CC87">
        <w:rPr>
          <w:rFonts w:ascii="Times New Roman" w:eastAsia="Times New Roman" w:hAnsi="Times New Roman" w:cs="Times New Roman"/>
        </w:rPr>
        <w:t>, 86(1), pp. 78–93.</w:t>
      </w:r>
    </w:p>
    <w:p w14:paraId="65F05285" w14:textId="22BAB885" w:rsidR="7A576C08" w:rsidRDefault="7A576C08" w:rsidP="7417CC87">
      <w:pPr>
        <w:spacing w:before="240" w:after="240"/>
      </w:pPr>
      <w:r w:rsidRPr="7417CC87">
        <w:rPr>
          <w:rFonts w:ascii="Times New Roman" w:eastAsia="Times New Roman" w:hAnsi="Times New Roman" w:cs="Times New Roman"/>
        </w:rPr>
        <w:t xml:space="preserve">Ratten, V. (2020) </w:t>
      </w:r>
      <w:r w:rsidRPr="7417CC87">
        <w:rPr>
          <w:rFonts w:ascii="Times New Roman" w:eastAsia="Times New Roman" w:hAnsi="Times New Roman" w:cs="Times New Roman"/>
          <w:i/>
          <w:iCs/>
        </w:rPr>
        <w:t>Sport entrepreneurship: developing and sustaining an entrepreneurial sports culture</w:t>
      </w:r>
      <w:r w:rsidRPr="7417CC87">
        <w:rPr>
          <w:rFonts w:ascii="Times New Roman" w:eastAsia="Times New Roman" w:hAnsi="Times New Roman" w:cs="Times New Roman"/>
        </w:rPr>
        <w:t>. London: Routledge.</w:t>
      </w:r>
    </w:p>
    <w:p w14:paraId="24EF9CAE" w14:textId="6609DDCA" w:rsidR="7A576C08" w:rsidRDefault="7A576C08" w:rsidP="7417CC87">
      <w:pPr>
        <w:spacing w:before="240" w:after="240"/>
      </w:pPr>
      <w:r w:rsidRPr="7417CC87">
        <w:rPr>
          <w:rFonts w:ascii="Times New Roman" w:eastAsia="Times New Roman" w:hAnsi="Times New Roman" w:cs="Times New Roman"/>
        </w:rPr>
        <w:t xml:space="preserve">Shilbury, D., Ferkins, L. and Smythe, L. (2020) </w:t>
      </w:r>
      <w:r w:rsidRPr="7417CC87">
        <w:rPr>
          <w:rFonts w:ascii="Times New Roman" w:eastAsia="Times New Roman" w:hAnsi="Times New Roman" w:cs="Times New Roman"/>
          <w:i/>
          <w:iCs/>
        </w:rPr>
        <w:t>Sport governance and organisational performance</w:t>
      </w:r>
      <w:r w:rsidRPr="7417CC87">
        <w:rPr>
          <w:rFonts w:ascii="Times New Roman" w:eastAsia="Times New Roman" w:hAnsi="Times New Roman" w:cs="Times New Roman"/>
        </w:rPr>
        <w:t>. London: Routledge.</w:t>
      </w:r>
    </w:p>
    <w:p w14:paraId="54939199" w14:textId="582971F2" w:rsidR="7A576C08" w:rsidRDefault="7A576C08" w:rsidP="7417CC87">
      <w:pPr>
        <w:spacing w:before="240" w:after="240"/>
      </w:pPr>
      <w:r w:rsidRPr="7417CC87">
        <w:rPr>
          <w:rFonts w:ascii="Times New Roman" w:eastAsia="Times New Roman" w:hAnsi="Times New Roman" w:cs="Times New Roman"/>
        </w:rPr>
        <w:t xml:space="preserve">Smith, A.C.T. and Stewart, B. (2010) ‘The special features of sport: a critical revisit’, </w:t>
      </w:r>
      <w:r w:rsidRPr="7417CC87">
        <w:rPr>
          <w:rFonts w:ascii="Times New Roman" w:eastAsia="Times New Roman" w:hAnsi="Times New Roman" w:cs="Times New Roman"/>
          <w:i/>
          <w:iCs/>
        </w:rPr>
        <w:t>Sport Management Review</w:t>
      </w:r>
      <w:r w:rsidRPr="7417CC87">
        <w:rPr>
          <w:rFonts w:ascii="Times New Roman" w:eastAsia="Times New Roman" w:hAnsi="Times New Roman" w:cs="Times New Roman"/>
        </w:rPr>
        <w:t>, 13(1), pp. 1–13.</w:t>
      </w:r>
    </w:p>
    <w:p w14:paraId="19AB701A" w14:textId="450D193E" w:rsidR="7A576C08" w:rsidRDefault="7A576C08" w:rsidP="7417CC87">
      <w:pPr>
        <w:spacing w:before="240" w:after="240"/>
      </w:pPr>
      <w:r w:rsidRPr="7417CC87">
        <w:rPr>
          <w:rFonts w:ascii="Times New Roman" w:eastAsia="Times New Roman" w:hAnsi="Times New Roman" w:cs="Times New Roman"/>
        </w:rPr>
        <w:t xml:space="preserve">Soligard, T. et al. (2008) ‘Comprehensive warm-up programme to prevent injuries in young female footballers’, </w:t>
      </w:r>
      <w:r w:rsidRPr="7417CC87">
        <w:rPr>
          <w:rFonts w:ascii="Times New Roman" w:eastAsia="Times New Roman" w:hAnsi="Times New Roman" w:cs="Times New Roman"/>
          <w:i/>
          <w:iCs/>
        </w:rPr>
        <w:t>BMJ</w:t>
      </w:r>
      <w:r w:rsidRPr="7417CC87">
        <w:rPr>
          <w:rFonts w:ascii="Times New Roman" w:eastAsia="Times New Roman" w:hAnsi="Times New Roman" w:cs="Times New Roman"/>
        </w:rPr>
        <w:t>, 337, a2469.</w:t>
      </w:r>
    </w:p>
    <w:p w14:paraId="1E8BAF60" w14:textId="61AE936E" w:rsidR="7A576C08" w:rsidRDefault="7A576C08" w:rsidP="7417CC87">
      <w:pPr>
        <w:spacing w:before="240" w:after="240"/>
      </w:pPr>
      <w:r w:rsidRPr="7417CC87">
        <w:rPr>
          <w:rFonts w:ascii="Times New Roman" w:eastAsia="Times New Roman" w:hAnsi="Times New Roman" w:cs="Times New Roman"/>
        </w:rPr>
        <w:t xml:space="preserve">Sonesson, S., Lindblom, H., Hägglund, M. and Waldén, M. (2023) ‘Higher age and present injury at the start of the season are associated with increased injury burden in amateur football players’, </w:t>
      </w:r>
      <w:r w:rsidRPr="7417CC87">
        <w:rPr>
          <w:rFonts w:ascii="Times New Roman" w:eastAsia="Times New Roman" w:hAnsi="Times New Roman" w:cs="Times New Roman"/>
          <w:i/>
          <w:iCs/>
        </w:rPr>
        <w:t>BMJ Open Sport and Exercise Medicine</w:t>
      </w:r>
      <w:r w:rsidRPr="7417CC87">
        <w:rPr>
          <w:rFonts w:ascii="Times New Roman" w:eastAsia="Times New Roman" w:hAnsi="Times New Roman" w:cs="Times New Roman"/>
        </w:rPr>
        <w:t>, 9.</w:t>
      </w:r>
    </w:p>
    <w:p w14:paraId="1CA80E5A" w14:textId="26156020" w:rsidR="7A576C08" w:rsidRDefault="7A576C08" w:rsidP="7417CC87">
      <w:pPr>
        <w:spacing w:before="240" w:after="240"/>
      </w:pPr>
      <w:r w:rsidRPr="7417CC87">
        <w:rPr>
          <w:rFonts w:ascii="Times New Roman" w:eastAsia="Times New Roman" w:hAnsi="Times New Roman" w:cs="Times New Roman"/>
        </w:rPr>
        <w:t xml:space="preserve">Sport England (2022) </w:t>
      </w:r>
      <w:r w:rsidRPr="7417CC87">
        <w:rPr>
          <w:rFonts w:ascii="Times New Roman" w:eastAsia="Times New Roman" w:hAnsi="Times New Roman" w:cs="Times New Roman"/>
          <w:i/>
          <w:iCs/>
        </w:rPr>
        <w:t>Uniting the movement: update report</w:t>
      </w:r>
      <w:r w:rsidRPr="7417CC87">
        <w:rPr>
          <w:rFonts w:ascii="Times New Roman" w:eastAsia="Times New Roman" w:hAnsi="Times New Roman" w:cs="Times New Roman"/>
        </w:rPr>
        <w:t>. London: Sport England.</w:t>
      </w:r>
    </w:p>
    <w:p w14:paraId="035FBCDD" w14:textId="64FF6753" w:rsidR="7A576C08" w:rsidRDefault="7A576C08" w:rsidP="7417CC87">
      <w:pPr>
        <w:spacing w:before="240" w:after="240"/>
      </w:pPr>
      <w:r w:rsidRPr="7417CC87">
        <w:rPr>
          <w:rFonts w:ascii="Times New Roman" w:eastAsia="Times New Roman" w:hAnsi="Times New Roman" w:cs="Times New Roman"/>
        </w:rPr>
        <w:t xml:space="preserve">Sport England (2023) </w:t>
      </w:r>
      <w:r w:rsidRPr="7417CC87">
        <w:rPr>
          <w:rFonts w:ascii="Times New Roman" w:eastAsia="Times New Roman" w:hAnsi="Times New Roman" w:cs="Times New Roman"/>
          <w:i/>
          <w:iCs/>
        </w:rPr>
        <w:t>Active Lives adult survey</w:t>
      </w:r>
      <w:r w:rsidRPr="7417CC87">
        <w:rPr>
          <w:rFonts w:ascii="Times New Roman" w:eastAsia="Times New Roman" w:hAnsi="Times New Roman" w:cs="Times New Roman"/>
        </w:rPr>
        <w:t xml:space="preserve">. London: Sport England. Available at: </w:t>
      </w:r>
      <w:hyperlink r:id="rId10">
        <w:r w:rsidRPr="7417CC87">
          <w:rPr>
            <w:rStyle w:val="Hyperlink"/>
            <w:rFonts w:ascii="Times New Roman" w:eastAsia="Times New Roman" w:hAnsi="Times New Roman" w:cs="Times New Roman"/>
          </w:rPr>
          <w:t>https://www.sportengland.org</w:t>
        </w:r>
      </w:hyperlink>
      <w:r w:rsidRPr="7417CC87">
        <w:rPr>
          <w:rFonts w:ascii="Times New Roman" w:eastAsia="Times New Roman" w:hAnsi="Times New Roman" w:cs="Times New Roman"/>
        </w:rPr>
        <w:t xml:space="preserve"> (Accessed: 1 May 2026).</w:t>
      </w:r>
    </w:p>
    <w:p w14:paraId="0293BCB8" w14:textId="4CC79AC7" w:rsidR="7A576C08" w:rsidRDefault="7A576C08" w:rsidP="7417CC87">
      <w:pPr>
        <w:spacing w:before="240" w:after="240"/>
      </w:pPr>
      <w:r w:rsidRPr="7417CC87">
        <w:rPr>
          <w:rFonts w:ascii="Times New Roman" w:eastAsia="Times New Roman" w:hAnsi="Times New Roman" w:cs="Times New Roman"/>
        </w:rPr>
        <w:t xml:space="preserve">Sport England (2023) </w:t>
      </w:r>
      <w:r w:rsidRPr="7417CC87">
        <w:rPr>
          <w:rFonts w:ascii="Times New Roman" w:eastAsia="Times New Roman" w:hAnsi="Times New Roman" w:cs="Times New Roman"/>
          <w:i/>
          <w:iCs/>
        </w:rPr>
        <w:t>Future of public sector leisure</w:t>
      </w:r>
      <w:r w:rsidRPr="7417CC87">
        <w:rPr>
          <w:rFonts w:ascii="Times New Roman" w:eastAsia="Times New Roman" w:hAnsi="Times New Roman" w:cs="Times New Roman"/>
        </w:rPr>
        <w:t>. London: Sport England.</w:t>
      </w:r>
    </w:p>
    <w:p w14:paraId="463F9931" w14:textId="3B83FDDE" w:rsidR="7A576C08" w:rsidRDefault="7A576C08" w:rsidP="7417CC87">
      <w:pPr>
        <w:spacing w:before="240" w:after="240"/>
      </w:pPr>
      <w:r w:rsidRPr="7417CC87">
        <w:rPr>
          <w:rFonts w:ascii="Times New Roman" w:eastAsia="Times New Roman" w:hAnsi="Times New Roman" w:cs="Times New Roman"/>
        </w:rPr>
        <w:t xml:space="preserve">Sport England (2025) </w:t>
      </w:r>
      <w:r w:rsidRPr="7417CC87">
        <w:rPr>
          <w:rFonts w:ascii="Times New Roman" w:eastAsia="Times New Roman" w:hAnsi="Times New Roman" w:cs="Times New Roman"/>
          <w:i/>
          <w:iCs/>
        </w:rPr>
        <w:t>Active Lives adult survey 2023–24</w:t>
      </w:r>
      <w:r w:rsidRPr="7417CC87">
        <w:rPr>
          <w:rFonts w:ascii="Times New Roman" w:eastAsia="Times New Roman" w:hAnsi="Times New Roman" w:cs="Times New Roman"/>
        </w:rPr>
        <w:t>. London: Sport England.</w:t>
      </w:r>
    </w:p>
    <w:p w14:paraId="07AE1A77" w14:textId="424B39EF" w:rsidR="7A576C08" w:rsidRDefault="7A576C08" w:rsidP="7417CC87">
      <w:pPr>
        <w:spacing w:before="240" w:after="240"/>
      </w:pPr>
      <w:r w:rsidRPr="7417CC87">
        <w:rPr>
          <w:rFonts w:ascii="Times New Roman" w:eastAsia="Times New Roman" w:hAnsi="Times New Roman" w:cs="Times New Roman"/>
        </w:rPr>
        <w:t xml:space="preserve">Taylor, P. et al. (2019) </w:t>
      </w:r>
      <w:r w:rsidRPr="7417CC87">
        <w:rPr>
          <w:rFonts w:ascii="Times New Roman" w:eastAsia="Times New Roman" w:hAnsi="Times New Roman" w:cs="Times New Roman"/>
          <w:i/>
          <w:iCs/>
        </w:rPr>
        <w:t>The social and economic value of community sport and physical activity</w:t>
      </w:r>
      <w:r w:rsidRPr="7417CC87">
        <w:rPr>
          <w:rFonts w:ascii="Times New Roman" w:eastAsia="Times New Roman" w:hAnsi="Times New Roman" w:cs="Times New Roman"/>
        </w:rPr>
        <w:t>. Sheffield: Sheffield Hallam University.</w:t>
      </w:r>
    </w:p>
    <w:p w14:paraId="512D721D" w14:textId="5A25929C" w:rsidR="7A576C08" w:rsidRDefault="7A576C08" w:rsidP="7417CC87">
      <w:pPr>
        <w:spacing w:before="240" w:after="240"/>
      </w:pPr>
      <w:r w:rsidRPr="7417CC87">
        <w:rPr>
          <w:rFonts w:ascii="Times New Roman" w:eastAsia="Times New Roman" w:hAnsi="Times New Roman" w:cs="Times New Roman"/>
        </w:rPr>
        <w:t xml:space="preserve">The Football Association (2020) </w:t>
      </w:r>
      <w:r w:rsidRPr="7417CC87">
        <w:rPr>
          <w:rFonts w:ascii="Times New Roman" w:eastAsia="Times New Roman" w:hAnsi="Times New Roman" w:cs="Times New Roman"/>
          <w:i/>
          <w:iCs/>
        </w:rPr>
        <w:t>Grassroots football strategy</w:t>
      </w:r>
      <w:r w:rsidRPr="7417CC87">
        <w:rPr>
          <w:rFonts w:ascii="Times New Roman" w:eastAsia="Times New Roman" w:hAnsi="Times New Roman" w:cs="Times New Roman"/>
        </w:rPr>
        <w:t>. London: The FA.</w:t>
      </w:r>
    </w:p>
    <w:p w14:paraId="04ECDC41" w14:textId="32A918EC" w:rsidR="7A576C08" w:rsidRDefault="7A576C08" w:rsidP="7417CC87">
      <w:pPr>
        <w:spacing w:before="240" w:after="240"/>
      </w:pPr>
      <w:r w:rsidRPr="7417CC87">
        <w:rPr>
          <w:rFonts w:ascii="Times New Roman" w:eastAsia="Times New Roman" w:hAnsi="Times New Roman" w:cs="Times New Roman"/>
        </w:rPr>
        <w:t xml:space="preserve">The Football Association (2021) </w:t>
      </w:r>
      <w:r w:rsidRPr="7417CC87">
        <w:rPr>
          <w:rFonts w:ascii="Times New Roman" w:eastAsia="Times New Roman" w:hAnsi="Times New Roman" w:cs="Times New Roman"/>
          <w:i/>
          <w:iCs/>
        </w:rPr>
        <w:t>Safeguarding children policy and procedures</w:t>
      </w:r>
      <w:r w:rsidRPr="7417CC87">
        <w:rPr>
          <w:rFonts w:ascii="Times New Roman" w:eastAsia="Times New Roman" w:hAnsi="Times New Roman" w:cs="Times New Roman"/>
        </w:rPr>
        <w:t xml:space="preserve">. Available at: </w:t>
      </w:r>
      <w:hyperlink r:id="rId11">
        <w:r w:rsidRPr="7417CC87">
          <w:rPr>
            <w:rStyle w:val="Hyperlink"/>
            <w:rFonts w:ascii="Times New Roman" w:eastAsia="Times New Roman" w:hAnsi="Times New Roman" w:cs="Times New Roman"/>
          </w:rPr>
          <w:t>https://www.thefa.com/football-rules-governance/safeguarding</w:t>
        </w:r>
      </w:hyperlink>
      <w:r w:rsidRPr="7417CC87">
        <w:rPr>
          <w:rFonts w:ascii="Times New Roman" w:eastAsia="Times New Roman" w:hAnsi="Times New Roman" w:cs="Times New Roman"/>
        </w:rPr>
        <w:t xml:space="preserve"> (Accessed: 1 May 2026).</w:t>
      </w:r>
    </w:p>
    <w:p w14:paraId="20574FAD" w14:textId="046F0DB6" w:rsidR="7A576C08" w:rsidRDefault="7A576C08" w:rsidP="7417CC87">
      <w:pPr>
        <w:spacing w:before="240" w:after="240"/>
      </w:pPr>
      <w:r w:rsidRPr="7417CC87">
        <w:rPr>
          <w:rFonts w:ascii="Times New Roman" w:eastAsia="Times New Roman" w:hAnsi="Times New Roman" w:cs="Times New Roman"/>
        </w:rPr>
        <w:t xml:space="preserve">The Football Association (2024) </w:t>
      </w:r>
      <w:r w:rsidRPr="7417CC87">
        <w:rPr>
          <w:rFonts w:ascii="Times New Roman" w:eastAsia="Times New Roman" w:hAnsi="Times New Roman" w:cs="Times New Roman"/>
          <w:i/>
          <w:iCs/>
        </w:rPr>
        <w:t>A thriving grassroots game: grassroots strategy 2024–2028</w:t>
      </w:r>
      <w:r w:rsidRPr="7417CC87">
        <w:rPr>
          <w:rFonts w:ascii="Times New Roman" w:eastAsia="Times New Roman" w:hAnsi="Times New Roman" w:cs="Times New Roman"/>
        </w:rPr>
        <w:t>. London: The Football Association.</w:t>
      </w:r>
    </w:p>
    <w:p w14:paraId="35EBC402" w14:textId="538D0C87" w:rsidR="7A576C08" w:rsidRDefault="7A576C08" w:rsidP="7417CC87">
      <w:pPr>
        <w:spacing w:before="240" w:after="240"/>
      </w:pPr>
      <w:r w:rsidRPr="7417CC87">
        <w:rPr>
          <w:rFonts w:ascii="Times New Roman" w:eastAsia="Times New Roman" w:hAnsi="Times New Roman" w:cs="Times New Roman"/>
        </w:rPr>
        <w:t xml:space="preserve">Toohey, L.A. et al. (2021) ‘An updated subsequent injury categorisation model’, </w:t>
      </w:r>
      <w:r w:rsidRPr="7417CC87">
        <w:rPr>
          <w:rFonts w:ascii="Times New Roman" w:eastAsia="Times New Roman" w:hAnsi="Times New Roman" w:cs="Times New Roman"/>
          <w:i/>
          <w:iCs/>
        </w:rPr>
        <w:t>Journal of Science and Medicine in Sport</w:t>
      </w:r>
      <w:r w:rsidRPr="7417CC87">
        <w:rPr>
          <w:rFonts w:ascii="Times New Roman" w:eastAsia="Times New Roman" w:hAnsi="Times New Roman" w:cs="Times New Roman"/>
        </w:rPr>
        <w:t>, 24(8), pp. 749–755.</w:t>
      </w:r>
    </w:p>
    <w:p w14:paraId="35178E64" w14:textId="04CBD510" w:rsidR="7A576C08" w:rsidRDefault="7A576C08" w:rsidP="7417CC87">
      <w:pPr>
        <w:spacing w:before="240" w:after="240"/>
      </w:pPr>
      <w:r w:rsidRPr="7417CC87">
        <w:rPr>
          <w:rFonts w:ascii="Times New Roman" w:eastAsia="Times New Roman" w:hAnsi="Times New Roman" w:cs="Times New Roman"/>
        </w:rPr>
        <w:t xml:space="preserve">Watson, E.E. and Minns Lowe, C.J. (2023) ‘Exploring the business skills, experiences and preparedness of UK-based private physiotherapists when establishing and developing a physiotherapy business’, </w:t>
      </w:r>
      <w:r w:rsidRPr="7417CC87">
        <w:rPr>
          <w:rFonts w:ascii="Times New Roman" w:eastAsia="Times New Roman" w:hAnsi="Times New Roman" w:cs="Times New Roman"/>
          <w:i/>
          <w:iCs/>
        </w:rPr>
        <w:t>Musculoskeletal Science and Practice</w:t>
      </w:r>
      <w:r w:rsidRPr="7417CC87">
        <w:rPr>
          <w:rFonts w:ascii="Times New Roman" w:eastAsia="Times New Roman" w:hAnsi="Times New Roman" w:cs="Times New Roman"/>
        </w:rPr>
        <w:t>, 63.</w:t>
      </w:r>
    </w:p>
    <w:p w14:paraId="232BBC4F" w14:textId="1AA78E07" w:rsidR="7A576C08" w:rsidRDefault="7A576C08" w:rsidP="7417CC87">
      <w:pPr>
        <w:spacing w:before="240" w:after="240"/>
      </w:pPr>
      <w:r w:rsidRPr="7417CC87">
        <w:rPr>
          <w:rFonts w:ascii="Times New Roman" w:eastAsia="Times New Roman" w:hAnsi="Times New Roman" w:cs="Times New Roman"/>
        </w:rPr>
        <w:lastRenderedPageBreak/>
        <w:t xml:space="preserve">Wicker, P. and Breuer, C. (2014) ‘Exploring the organizational capacity of community sport clubs’, </w:t>
      </w:r>
      <w:r w:rsidRPr="7417CC87">
        <w:rPr>
          <w:rFonts w:ascii="Times New Roman" w:eastAsia="Times New Roman" w:hAnsi="Times New Roman" w:cs="Times New Roman"/>
          <w:i/>
          <w:iCs/>
        </w:rPr>
        <w:t>Sport Management Review</w:t>
      </w:r>
      <w:r w:rsidRPr="7417CC87">
        <w:rPr>
          <w:rFonts w:ascii="Times New Roman" w:eastAsia="Times New Roman" w:hAnsi="Times New Roman" w:cs="Times New Roman"/>
        </w:rPr>
        <w:t>, 17(3), pp. 276–290.</w:t>
      </w:r>
    </w:p>
    <w:p w14:paraId="6AC0F1AC" w14:textId="162670F5" w:rsidR="7A576C08" w:rsidRDefault="7A576C08" w:rsidP="7417CC87">
      <w:pPr>
        <w:spacing w:before="240" w:after="240"/>
      </w:pPr>
      <w:r w:rsidRPr="7417CC87">
        <w:rPr>
          <w:rFonts w:ascii="Times New Roman" w:eastAsia="Times New Roman" w:hAnsi="Times New Roman" w:cs="Times New Roman"/>
        </w:rPr>
        <w:t xml:space="preserve">Zeithaml, V.A., Bitner, M.J. and Gremler, D.D. (2018) </w:t>
      </w:r>
      <w:r w:rsidRPr="7417CC87">
        <w:rPr>
          <w:rFonts w:ascii="Times New Roman" w:eastAsia="Times New Roman" w:hAnsi="Times New Roman" w:cs="Times New Roman"/>
          <w:i/>
          <w:iCs/>
        </w:rPr>
        <w:t>Services marketing: integrating customer focus across the firm</w:t>
      </w:r>
      <w:r w:rsidRPr="7417CC87">
        <w:rPr>
          <w:rFonts w:ascii="Times New Roman" w:eastAsia="Times New Roman" w:hAnsi="Times New Roman" w:cs="Times New Roman"/>
        </w:rPr>
        <w:t>. 7th edn. New York: McGraw-Hill.</w:t>
      </w:r>
    </w:p>
    <w:p w14:paraId="4D80B4FF" w14:textId="3B7BB7D5" w:rsidR="7417CC87" w:rsidRDefault="7417CC87" w:rsidP="7417CC87">
      <w:pPr>
        <w:spacing w:before="240" w:after="240" w:line="480" w:lineRule="auto"/>
        <w:rPr>
          <w:rFonts w:ascii="Times New Roman" w:eastAsia="Times New Roman" w:hAnsi="Times New Roman" w:cs="Times New Roman"/>
          <w:b/>
          <w:bCs/>
          <w:u w:val="single"/>
        </w:rPr>
      </w:pPr>
    </w:p>
    <w:p w14:paraId="31B4415A" w14:textId="37F7D72F" w:rsidR="7417CC87" w:rsidRDefault="7417CC87" w:rsidP="7417CC87">
      <w:pPr>
        <w:spacing w:before="240" w:after="240" w:line="480" w:lineRule="auto"/>
        <w:rPr>
          <w:rFonts w:ascii="Times New Roman" w:eastAsia="Times New Roman" w:hAnsi="Times New Roman" w:cs="Times New Roman"/>
        </w:rPr>
      </w:pPr>
    </w:p>
    <w:sectPr w:rsidR="7417CC8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411006"/>
    <w:rsid w:val="001D1F77"/>
    <w:rsid w:val="00586561"/>
    <w:rsid w:val="00762AE9"/>
    <w:rsid w:val="0093213E"/>
    <w:rsid w:val="00FC32D4"/>
    <w:rsid w:val="0152D2F7"/>
    <w:rsid w:val="02047092"/>
    <w:rsid w:val="0211F7B1"/>
    <w:rsid w:val="02CEEAA3"/>
    <w:rsid w:val="036B43C3"/>
    <w:rsid w:val="03EAC0E8"/>
    <w:rsid w:val="044A9DE9"/>
    <w:rsid w:val="0487958E"/>
    <w:rsid w:val="05A30051"/>
    <w:rsid w:val="06885DF1"/>
    <w:rsid w:val="069A1EF7"/>
    <w:rsid w:val="071C0FB7"/>
    <w:rsid w:val="073C7EDB"/>
    <w:rsid w:val="0936038C"/>
    <w:rsid w:val="094E2A30"/>
    <w:rsid w:val="0BD33146"/>
    <w:rsid w:val="0BF6B9CD"/>
    <w:rsid w:val="0C2E2053"/>
    <w:rsid w:val="0D3EBF15"/>
    <w:rsid w:val="0E6B4F22"/>
    <w:rsid w:val="0EB0C632"/>
    <w:rsid w:val="0F58773F"/>
    <w:rsid w:val="100D9B3A"/>
    <w:rsid w:val="10AE9AB1"/>
    <w:rsid w:val="10D7D379"/>
    <w:rsid w:val="11878430"/>
    <w:rsid w:val="11978E96"/>
    <w:rsid w:val="1282EDC7"/>
    <w:rsid w:val="12C3EA8B"/>
    <w:rsid w:val="144349FF"/>
    <w:rsid w:val="1470C405"/>
    <w:rsid w:val="14E35E19"/>
    <w:rsid w:val="158BED72"/>
    <w:rsid w:val="169F48B4"/>
    <w:rsid w:val="17920068"/>
    <w:rsid w:val="18796B24"/>
    <w:rsid w:val="19422B45"/>
    <w:rsid w:val="19E5B1E9"/>
    <w:rsid w:val="1CE3AE69"/>
    <w:rsid w:val="1D582B6C"/>
    <w:rsid w:val="1DE6DB72"/>
    <w:rsid w:val="1E85DAC4"/>
    <w:rsid w:val="1EFF23C1"/>
    <w:rsid w:val="20290A00"/>
    <w:rsid w:val="20EFF8F8"/>
    <w:rsid w:val="2691E9CB"/>
    <w:rsid w:val="27997D5C"/>
    <w:rsid w:val="27BA9EA4"/>
    <w:rsid w:val="28212D4F"/>
    <w:rsid w:val="283FDE8F"/>
    <w:rsid w:val="2909627C"/>
    <w:rsid w:val="2A144DD7"/>
    <w:rsid w:val="2A7903E6"/>
    <w:rsid w:val="2C41FF91"/>
    <w:rsid w:val="2CF0ED20"/>
    <w:rsid w:val="2D060901"/>
    <w:rsid w:val="32008BA3"/>
    <w:rsid w:val="338F0099"/>
    <w:rsid w:val="33E5B241"/>
    <w:rsid w:val="3697E92E"/>
    <w:rsid w:val="39039D8C"/>
    <w:rsid w:val="3A3FEA86"/>
    <w:rsid w:val="3A6CFCD8"/>
    <w:rsid w:val="3A74EB67"/>
    <w:rsid w:val="3B646658"/>
    <w:rsid w:val="3DB2A4F8"/>
    <w:rsid w:val="3E0DE4E5"/>
    <w:rsid w:val="3FD49D65"/>
    <w:rsid w:val="4144A99A"/>
    <w:rsid w:val="41D2FC2B"/>
    <w:rsid w:val="42411006"/>
    <w:rsid w:val="428406DD"/>
    <w:rsid w:val="43927112"/>
    <w:rsid w:val="44FC4AE0"/>
    <w:rsid w:val="458585F5"/>
    <w:rsid w:val="45AFDA62"/>
    <w:rsid w:val="4775794A"/>
    <w:rsid w:val="47C08542"/>
    <w:rsid w:val="49E16F56"/>
    <w:rsid w:val="4A1F9D2E"/>
    <w:rsid w:val="4D6B76D9"/>
    <w:rsid w:val="4DB4FAB0"/>
    <w:rsid w:val="4E489926"/>
    <w:rsid w:val="4F539C55"/>
    <w:rsid w:val="50A910AD"/>
    <w:rsid w:val="510B5060"/>
    <w:rsid w:val="517649C6"/>
    <w:rsid w:val="52257B09"/>
    <w:rsid w:val="52C47F69"/>
    <w:rsid w:val="54631C17"/>
    <w:rsid w:val="546D8CFB"/>
    <w:rsid w:val="54794C82"/>
    <w:rsid w:val="5586386A"/>
    <w:rsid w:val="55E6E46E"/>
    <w:rsid w:val="5752D6C8"/>
    <w:rsid w:val="580DED92"/>
    <w:rsid w:val="594786C6"/>
    <w:rsid w:val="5985B53B"/>
    <w:rsid w:val="5A79A6F6"/>
    <w:rsid w:val="5A94C96D"/>
    <w:rsid w:val="5DD4484F"/>
    <w:rsid w:val="5E2EA0DD"/>
    <w:rsid w:val="5FAC5103"/>
    <w:rsid w:val="5FE9C656"/>
    <w:rsid w:val="5FFB5AB5"/>
    <w:rsid w:val="601115B1"/>
    <w:rsid w:val="61B26563"/>
    <w:rsid w:val="62D8A774"/>
    <w:rsid w:val="6392A642"/>
    <w:rsid w:val="63C4EB13"/>
    <w:rsid w:val="63E1B749"/>
    <w:rsid w:val="6443DB68"/>
    <w:rsid w:val="65615D5E"/>
    <w:rsid w:val="65D1AD71"/>
    <w:rsid w:val="665D4033"/>
    <w:rsid w:val="66812BDB"/>
    <w:rsid w:val="66A13AC6"/>
    <w:rsid w:val="671E5B41"/>
    <w:rsid w:val="672224FA"/>
    <w:rsid w:val="679FE253"/>
    <w:rsid w:val="6811E395"/>
    <w:rsid w:val="68DE5B99"/>
    <w:rsid w:val="6912443C"/>
    <w:rsid w:val="69F3902C"/>
    <w:rsid w:val="69FF4B3B"/>
    <w:rsid w:val="6A3AE887"/>
    <w:rsid w:val="6A3E81EF"/>
    <w:rsid w:val="6AC254F3"/>
    <w:rsid w:val="6ACF73B3"/>
    <w:rsid w:val="6B0A7222"/>
    <w:rsid w:val="6B9E16DE"/>
    <w:rsid w:val="6C37573A"/>
    <w:rsid w:val="6C925189"/>
    <w:rsid w:val="6CC3992B"/>
    <w:rsid w:val="6CCBA32C"/>
    <w:rsid w:val="6D540789"/>
    <w:rsid w:val="6DBB11AF"/>
    <w:rsid w:val="6DEE9852"/>
    <w:rsid w:val="701AF219"/>
    <w:rsid w:val="703F71A8"/>
    <w:rsid w:val="706CA0E7"/>
    <w:rsid w:val="70A44E01"/>
    <w:rsid w:val="721688F5"/>
    <w:rsid w:val="7254DCA3"/>
    <w:rsid w:val="72FB6592"/>
    <w:rsid w:val="7417CC87"/>
    <w:rsid w:val="761C32AF"/>
    <w:rsid w:val="7809F9F4"/>
    <w:rsid w:val="78345A78"/>
    <w:rsid w:val="78AEC2E7"/>
    <w:rsid w:val="78C7BAAB"/>
    <w:rsid w:val="7A576C08"/>
    <w:rsid w:val="7CA2D171"/>
    <w:rsid w:val="7D5ABF93"/>
    <w:rsid w:val="7E49783F"/>
    <w:rsid w:val="7E4A1C7A"/>
    <w:rsid w:val="7F343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F8D93"/>
  <w15:chartTrackingRefBased/>
  <w15:docId w15:val="{D8C3F164-B9AA-4402-874B-A2AD42397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417C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417CC8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417CC8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ama.org/marketing-news/the-four-ps-of-marketing/"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fa.com/football-rules-governance/safeguarding" TargetMode="External"/><Relationship Id="rId5" Type="http://schemas.openxmlformats.org/officeDocument/2006/relationships/settings" Target="settings.xml"/><Relationship Id="rId10" Type="http://schemas.openxmlformats.org/officeDocument/2006/relationships/hyperlink" Target="https://www.sportengland.org/" TargetMode="External"/><Relationship Id="rId4" Type="http://schemas.openxmlformats.org/officeDocument/2006/relationships/styles" Target="styles.xml"/><Relationship Id="rId9" Type="http://schemas.openxmlformats.org/officeDocument/2006/relationships/hyperlink" Target="https://www.hcpc-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9682267bd9decfbe227a66d3facae721">
  <xsd:schema xmlns:xsd="http://www.w3.org/2001/XMLSchema" xmlns:xs="http://www.w3.org/2001/XMLSchema" xmlns:p="http://schemas.microsoft.com/office/2006/metadata/properties" xmlns:ns3="0ebdf10f-b5a3-45b6-acdb-7dc1eb398785" targetNamespace="http://schemas.microsoft.com/office/2006/metadata/properties" ma:root="true" ma:fieldsID="881ac145b21f336767ade46e97d4f034"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BA92E60-FEDD-4EE8-9FB3-3EB36DDEA9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F0E079-223E-40D8-BFD2-7066E6BFF66A}">
  <ds:schemaRefs>
    <ds:schemaRef ds:uri="http://schemas.microsoft.com/sharepoint/v3/contenttype/forms"/>
  </ds:schemaRefs>
</ds:datastoreItem>
</file>

<file path=customXml/itemProps3.xml><?xml version="1.0" encoding="utf-8"?>
<ds:datastoreItem xmlns:ds="http://schemas.openxmlformats.org/officeDocument/2006/customXml" ds:itemID="{6D15EAE9-5439-4D97-B400-F2AA1257BCF3}">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6274</Words>
  <Characters>35764</Characters>
  <Application>Microsoft Office Word</Application>
  <DocSecurity>0</DocSecurity>
  <Lines>298</Lines>
  <Paragraphs>83</Paragraphs>
  <ScaleCrop>false</ScaleCrop>
  <Company/>
  <LinksUpToDate>false</LinksUpToDate>
  <CharactersWithSpaces>41955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M Barker (2307670)</dc:creator>
  <cp:keywords/>
  <dc:description/>
  <cp:lastModifiedBy>Joe Wade (2318273)</cp:lastModifiedBy>
  <cp:revision>2</cp:revision>
  <dcterms:created xsi:type="dcterms:W3CDTF">2026-05-04T21:51:00Z</dcterms:created>
  <dcterms:modified xsi:type="dcterms:W3CDTF">2026-05-04T21:51:00Z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