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B21A2" w14:textId="3384A77D" w:rsidR="004B269F" w:rsidRPr="00D627F8" w:rsidRDefault="00206FB6" w:rsidP="00D627F8">
      <w:pPr>
        <w:tabs>
          <w:tab w:val="left" w:pos="2700"/>
        </w:tabs>
        <w:spacing w:after="80" w:line="360" w:lineRule="auto"/>
        <w:jc w:val="both"/>
        <w:rPr>
          <w:rFonts w:ascii="Arial" w:hAnsi="Arial" w:cs="Arial"/>
        </w:rPr>
      </w:pPr>
      <w:r w:rsidRPr="00D627F8">
        <w:rPr>
          <w:rFonts w:ascii="Arial" w:hAnsi="Arial" w:cs="Arial"/>
        </w:rPr>
        <w:t>STUDENT</w:t>
      </w:r>
      <w:r w:rsidR="00DE5557" w:rsidRPr="00D627F8">
        <w:rPr>
          <w:rFonts w:ascii="Arial" w:hAnsi="Arial" w:cs="Arial"/>
        </w:rPr>
        <w:t xml:space="preserve"> NAME:</w:t>
      </w:r>
      <w:r w:rsidR="00B12A50" w:rsidRPr="00D627F8">
        <w:rPr>
          <w:rFonts w:ascii="Arial" w:hAnsi="Arial" w:cs="Arial"/>
        </w:rPr>
        <w:t xml:space="preserve"> </w:t>
      </w:r>
      <w:r w:rsidR="00BD606E" w:rsidRPr="00D627F8">
        <w:rPr>
          <w:rFonts w:ascii="Arial" w:hAnsi="Arial" w:cs="Arial"/>
        </w:rPr>
        <w:t>NEEMA NJONJO</w:t>
      </w:r>
    </w:p>
    <w:p w14:paraId="51A05CF3" w14:textId="12A68966" w:rsidR="00206FB6" w:rsidRPr="00D627F8" w:rsidRDefault="00206FB6" w:rsidP="00D627F8">
      <w:pPr>
        <w:tabs>
          <w:tab w:val="left" w:pos="2700"/>
        </w:tabs>
        <w:spacing w:after="80" w:line="360" w:lineRule="auto"/>
        <w:jc w:val="both"/>
        <w:rPr>
          <w:rFonts w:ascii="Arial" w:hAnsi="Arial" w:cs="Arial"/>
        </w:rPr>
      </w:pPr>
      <w:r w:rsidRPr="00D627F8">
        <w:rPr>
          <w:rFonts w:ascii="Arial" w:hAnsi="Arial" w:cs="Arial"/>
        </w:rPr>
        <w:t>STUDENT NUMBER</w:t>
      </w:r>
      <w:r w:rsidR="004940D3" w:rsidRPr="00D627F8">
        <w:rPr>
          <w:rFonts w:ascii="Arial" w:hAnsi="Arial" w:cs="Arial"/>
        </w:rPr>
        <w:t>; 2434651</w:t>
      </w:r>
    </w:p>
    <w:p w14:paraId="54D3061A" w14:textId="4D2519CF" w:rsidR="003031F9" w:rsidRPr="00D627F8" w:rsidRDefault="00BB18F7" w:rsidP="00D627F8">
      <w:pPr>
        <w:tabs>
          <w:tab w:val="left" w:pos="2700"/>
        </w:tabs>
        <w:spacing w:after="80" w:line="360" w:lineRule="auto"/>
        <w:jc w:val="both"/>
        <w:rPr>
          <w:rFonts w:ascii="Arial" w:hAnsi="Arial" w:cs="Arial"/>
        </w:rPr>
      </w:pPr>
      <w:r w:rsidRPr="00D627F8">
        <w:rPr>
          <w:rFonts w:ascii="Arial" w:hAnsi="Arial" w:cs="Arial"/>
        </w:rPr>
        <w:t>MODULE</w:t>
      </w:r>
      <w:r w:rsidR="00DE5557" w:rsidRPr="00D627F8">
        <w:rPr>
          <w:rFonts w:ascii="Arial" w:hAnsi="Arial" w:cs="Arial"/>
        </w:rPr>
        <w:t>:</w:t>
      </w:r>
      <w:r w:rsidR="00BD606E" w:rsidRPr="00D627F8">
        <w:rPr>
          <w:rFonts w:ascii="Arial" w:hAnsi="Arial" w:cs="Arial"/>
        </w:rPr>
        <w:t xml:space="preserve"> </w:t>
      </w:r>
      <w:r w:rsidR="00A4423D" w:rsidRPr="00D627F8">
        <w:rPr>
          <w:rFonts w:ascii="Arial" w:hAnsi="Arial" w:cs="Arial"/>
        </w:rPr>
        <w:t>INTRODUCTION TO PHYSIO</w:t>
      </w:r>
      <w:r w:rsidR="00BD606E" w:rsidRPr="00D627F8">
        <w:rPr>
          <w:rFonts w:ascii="Arial" w:hAnsi="Arial" w:cs="Arial"/>
        </w:rPr>
        <w:t>LOGY</w:t>
      </w:r>
    </w:p>
    <w:p w14:paraId="180672C8" w14:textId="6DF18A42" w:rsidR="00DE5557" w:rsidRPr="00D627F8" w:rsidRDefault="00DE5557" w:rsidP="00D627F8">
      <w:pPr>
        <w:tabs>
          <w:tab w:val="left" w:pos="2700"/>
        </w:tabs>
        <w:spacing w:after="80" w:line="360" w:lineRule="auto"/>
        <w:jc w:val="both"/>
        <w:rPr>
          <w:rFonts w:ascii="Arial" w:hAnsi="Arial" w:cs="Arial"/>
        </w:rPr>
      </w:pPr>
      <w:r w:rsidRPr="00D627F8">
        <w:rPr>
          <w:rFonts w:ascii="Arial" w:hAnsi="Arial" w:cs="Arial"/>
        </w:rPr>
        <w:t>MODULE CODE:</w:t>
      </w:r>
      <w:r w:rsidR="00BD606E" w:rsidRPr="00D627F8">
        <w:rPr>
          <w:rFonts w:ascii="Arial" w:hAnsi="Arial" w:cs="Arial"/>
        </w:rPr>
        <w:t xml:space="preserve"> BMHP5023</w:t>
      </w:r>
    </w:p>
    <w:p w14:paraId="3EA65FF4" w14:textId="3441ED72" w:rsidR="00DE5557" w:rsidRPr="00D627F8" w:rsidRDefault="00DE5557" w:rsidP="00D627F8">
      <w:pPr>
        <w:tabs>
          <w:tab w:val="left" w:pos="2700"/>
        </w:tabs>
        <w:spacing w:after="80" w:line="360" w:lineRule="auto"/>
        <w:jc w:val="both"/>
        <w:rPr>
          <w:rFonts w:ascii="Arial" w:hAnsi="Arial" w:cs="Arial"/>
        </w:rPr>
      </w:pPr>
      <w:r w:rsidRPr="00D627F8">
        <w:rPr>
          <w:rFonts w:ascii="Arial" w:hAnsi="Arial" w:cs="Arial"/>
        </w:rPr>
        <w:t>LECTURER NAME:</w:t>
      </w:r>
      <w:r w:rsidR="001A516B" w:rsidRPr="00D627F8">
        <w:rPr>
          <w:rFonts w:ascii="Arial" w:hAnsi="Arial" w:cs="Arial"/>
        </w:rPr>
        <w:t xml:space="preserve"> </w:t>
      </w:r>
      <w:r w:rsidR="00A4423D" w:rsidRPr="00D627F8">
        <w:rPr>
          <w:rFonts w:ascii="Arial" w:hAnsi="Arial" w:cs="Arial"/>
        </w:rPr>
        <w:t>ROBERT NARTOWSKI</w:t>
      </w:r>
    </w:p>
    <w:p w14:paraId="6C29DE19" w14:textId="370A14CA" w:rsidR="004940D3" w:rsidRPr="00D627F8" w:rsidRDefault="00B11C8B" w:rsidP="00D627F8">
      <w:pPr>
        <w:tabs>
          <w:tab w:val="left" w:pos="2700"/>
        </w:tabs>
        <w:spacing w:after="80" w:line="360" w:lineRule="auto"/>
        <w:jc w:val="both"/>
        <w:rPr>
          <w:rFonts w:ascii="Arial" w:hAnsi="Arial" w:cs="Arial"/>
        </w:rPr>
      </w:pPr>
      <w:r w:rsidRPr="00D627F8">
        <w:rPr>
          <w:rFonts w:ascii="Arial" w:hAnsi="Arial" w:cs="Arial"/>
        </w:rPr>
        <w:t xml:space="preserve"> </w:t>
      </w:r>
    </w:p>
    <w:p w14:paraId="049D94C8" w14:textId="43895EF0" w:rsidR="00DD52DF" w:rsidRPr="00D627F8" w:rsidRDefault="00DD52DF" w:rsidP="00D627F8">
      <w:pPr>
        <w:spacing w:after="80" w:line="360" w:lineRule="auto"/>
        <w:jc w:val="both"/>
        <w:rPr>
          <w:rFonts w:ascii="Arial" w:hAnsi="Arial" w:cs="Arial"/>
        </w:rPr>
      </w:pPr>
    </w:p>
    <w:p w14:paraId="59AD8321" w14:textId="77777777" w:rsidR="00C2376F" w:rsidRPr="00D627F8" w:rsidRDefault="00C2376F" w:rsidP="00D627F8">
      <w:pPr>
        <w:spacing w:line="360" w:lineRule="auto"/>
        <w:jc w:val="both"/>
        <w:rPr>
          <w:rFonts w:ascii="Arial" w:hAnsi="Arial" w:cs="Arial"/>
        </w:rPr>
      </w:pPr>
    </w:p>
    <w:p w14:paraId="588F4475" w14:textId="77777777" w:rsidR="00C2376F" w:rsidRPr="00D627F8" w:rsidRDefault="00C2376F" w:rsidP="00D627F8">
      <w:pPr>
        <w:spacing w:line="360" w:lineRule="auto"/>
        <w:rPr>
          <w:rFonts w:ascii="Arial" w:hAnsi="Arial" w:cs="Arial"/>
        </w:rPr>
      </w:pPr>
      <w:r w:rsidRPr="00D627F8">
        <w:rPr>
          <w:rFonts w:ascii="Arial" w:hAnsi="Arial" w:cs="Arial"/>
        </w:rPr>
        <w:br w:type="page"/>
      </w:r>
    </w:p>
    <w:sdt>
      <w:sdtPr>
        <w:rPr>
          <w:rFonts w:ascii="Arial" w:eastAsiaTheme="minorEastAsia" w:hAnsi="Arial" w:cs="Arial"/>
          <w:b w:val="0"/>
          <w:bCs w:val="0"/>
          <w:color w:val="auto"/>
          <w:sz w:val="22"/>
          <w:szCs w:val="22"/>
        </w:rPr>
        <w:id w:val="300196749"/>
        <w:docPartObj>
          <w:docPartGallery w:val="Table of Contents"/>
          <w:docPartUnique/>
        </w:docPartObj>
      </w:sdtPr>
      <w:sdtEndPr>
        <w:rPr>
          <w:noProof/>
        </w:rPr>
      </w:sdtEndPr>
      <w:sdtContent>
        <w:p w14:paraId="14305C3D" w14:textId="55FDE976" w:rsidR="00C2376F" w:rsidRPr="00D627F8" w:rsidRDefault="00C2376F" w:rsidP="00D627F8">
          <w:pPr>
            <w:pStyle w:val="TOCHeading"/>
            <w:spacing w:line="360" w:lineRule="auto"/>
            <w:rPr>
              <w:rFonts w:ascii="Arial" w:hAnsi="Arial" w:cs="Arial"/>
              <w:color w:val="auto"/>
              <w:sz w:val="22"/>
              <w:szCs w:val="22"/>
            </w:rPr>
          </w:pPr>
          <w:r w:rsidRPr="00D627F8">
            <w:rPr>
              <w:rFonts w:ascii="Arial" w:hAnsi="Arial" w:cs="Arial"/>
              <w:color w:val="auto"/>
              <w:sz w:val="22"/>
              <w:szCs w:val="22"/>
            </w:rPr>
            <w:t>Table of Contents</w:t>
          </w:r>
        </w:p>
        <w:p w14:paraId="2F3A7D6E" w14:textId="631E3180" w:rsidR="00D0337B" w:rsidRPr="00D627F8" w:rsidRDefault="00C2376F" w:rsidP="00D627F8">
          <w:pPr>
            <w:pStyle w:val="TOC1"/>
            <w:tabs>
              <w:tab w:val="right" w:leader="dot" w:pos="8630"/>
            </w:tabs>
            <w:spacing w:line="360" w:lineRule="auto"/>
            <w:jc w:val="both"/>
            <w:rPr>
              <w:rFonts w:ascii="Arial" w:hAnsi="Arial" w:cs="Arial"/>
              <w:noProof/>
              <w:kern w:val="2"/>
              <w:lang w:val="en-GB" w:eastAsia="en-GB"/>
              <w14:ligatures w14:val="standardContextual"/>
            </w:rPr>
          </w:pPr>
          <w:r w:rsidRPr="00D627F8">
            <w:rPr>
              <w:rFonts w:ascii="Arial" w:hAnsi="Arial" w:cs="Arial"/>
            </w:rPr>
            <w:fldChar w:fldCharType="begin"/>
          </w:r>
          <w:r w:rsidRPr="00D627F8">
            <w:rPr>
              <w:rFonts w:ascii="Arial" w:hAnsi="Arial" w:cs="Arial"/>
            </w:rPr>
            <w:instrText xml:space="preserve"> TOC \o "1-3" \h \z \u </w:instrText>
          </w:r>
          <w:r w:rsidRPr="00D627F8">
            <w:rPr>
              <w:rFonts w:ascii="Arial" w:hAnsi="Arial" w:cs="Arial"/>
            </w:rPr>
            <w:fldChar w:fldCharType="separate"/>
          </w:r>
          <w:hyperlink w:anchor="_Toc233026679" w:history="1">
            <w:r w:rsidR="00D0337B" w:rsidRPr="00D627F8">
              <w:rPr>
                <w:rStyle w:val="Hyperlink"/>
                <w:rFonts w:ascii="Arial" w:hAnsi="Arial" w:cs="Arial"/>
                <w:noProof/>
              </w:rPr>
              <w:t>Introduction</w:t>
            </w:r>
            <w:r w:rsidR="00D0337B" w:rsidRPr="00D627F8">
              <w:rPr>
                <w:rFonts w:ascii="Arial" w:hAnsi="Arial" w:cs="Arial"/>
                <w:noProof/>
                <w:webHidden/>
              </w:rPr>
              <w:tab/>
            </w:r>
            <w:r w:rsidR="00D0337B" w:rsidRPr="00D627F8">
              <w:rPr>
                <w:rFonts w:ascii="Arial" w:hAnsi="Arial" w:cs="Arial"/>
                <w:noProof/>
                <w:webHidden/>
              </w:rPr>
              <w:fldChar w:fldCharType="begin"/>
            </w:r>
            <w:r w:rsidR="00D0337B" w:rsidRPr="00D627F8">
              <w:rPr>
                <w:rFonts w:ascii="Arial" w:hAnsi="Arial" w:cs="Arial"/>
                <w:noProof/>
                <w:webHidden/>
              </w:rPr>
              <w:instrText xml:space="preserve"> PAGEREF _Toc233026679 \h </w:instrText>
            </w:r>
            <w:r w:rsidR="00D0337B" w:rsidRPr="00D627F8">
              <w:rPr>
                <w:rFonts w:ascii="Arial" w:hAnsi="Arial" w:cs="Arial"/>
                <w:noProof/>
                <w:webHidden/>
              </w:rPr>
            </w:r>
            <w:r w:rsidR="00D0337B" w:rsidRPr="00D627F8">
              <w:rPr>
                <w:rFonts w:ascii="Arial" w:hAnsi="Arial" w:cs="Arial"/>
                <w:noProof/>
                <w:webHidden/>
              </w:rPr>
              <w:fldChar w:fldCharType="separate"/>
            </w:r>
            <w:r w:rsidR="00221DFD" w:rsidRPr="00D627F8">
              <w:rPr>
                <w:rFonts w:ascii="Arial" w:hAnsi="Arial" w:cs="Arial"/>
                <w:noProof/>
                <w:webHidden/>
              </w:rPr>
              <w:t>3</w:t>
            </w:r>
            <w:r w:rsidR="00D0337B" w:rsidRPr="00D627F8">
              <w:rPr>
                <w:rFonts w:ascii="Arial" w:hAnsi="Arial" w:cs="Arial"/>
                <w:noProof/>
                <w:webHidden/>
              </w:rPr>
              <w:fldChar w:fldCharType="end"/>
            </w:r>
          </w:hyperlink>
        </w:p>
        <w:p w14:paraId="71EAB79B" w14:textId="63DF4FFD" w:rsidR="00D0337B" w:rsidRPr="00D627F8" w:rsidRDefault="00D0337B" w:rsidP="00D627F8">
          <w:pPr>
            <w:pStyle w:val="TOC1"/>
            <w:tabs>
              <w:tab w:val="right" w:leader="dot" w:pos="8630"/>
            </w:tabs>
            <w:spacing w:line="360" w:lineRule="auto"/>
            <w:jc w:val="both"/>
            <w:rPr>
              <w:rFonts w:ascii="Arial" w:hAnsi="Arial" w:cs="Arial"/>
              <w:noProof/>
              <w:kern w:val="2"/>
              <w:lang w:val="en-GB" w:eastAsia="en-GB"/>
              <w14:ligatures w14:val="standardContextual"/>
            </w:rPr>
          </w:pPr>
          <w:hyperlink w:anchor="_Toc233026680" w:history="1">
            <w:r w:rsidRPr="00D627F8">
              <w:rPr>
                <w:rStyle w:val="Hyperlink"/>
                <w:rFonts w:ascii="Arial" w:hAnsi="Arial" w:cs="Arial"/>
                <w:noProof/>
              </w:rPr>
              <w:t>Section 1: Anatomy and Physiology</w:t>
            </w:r>
            <w:r w:rsidRPr="00D627F8">
              <w:rPr>
                <w:rFonts w:ascii="Arial" w:hAnsi="Arial" w:cs="Arial"/>
                <w:noProof/>
                <w:webHidden/>
              </w:rPr>
              <w:tab/>
            </w:r>
            <w:r w:rsidRPr="00D627F8">
              <w:rPr>
                <w:rFonts w:ascii="Arial" w:hAnsi="Arial" w:cs="Arial"/>
                <w:noProof/>
                <w:webHidden/>
              </w:rPr>
              <w:fldChar w:fldCharType="begin"/>
            </w:r>
            <w:r w:rsidRPr="00D627F8">
              <w:rPr>
                <w:rFonts w:ascii="Arial" w:hAnsi="Arial" w:cs="Arial"/>
                <w:noProof/>
                <w:webHidden/>
              </w:rPr>
              <w:instrText xml:space="preserve"> PAGEREF _Toc233026680 \h </w:instrText>
            </w:r>
            <w:r w:rsidRPr="00D627F8">
              <w:rPr>
                <w:rFonts w:ascii="Arial" w:hAnsi="Arial" w:cs="Arial"/>
                <w:noProof/>
                <w:webHidden/>
              </w:rPr>
            </w:r>
            <w:r w:rsidRPr="00D627F8">
              <w:rPr>
                <w:rFonts w:ascii="Arial" w:hAnsi="Arial" w:cs="Arial"/>
                <w:noProof/>
                <w:webHidden/>
              </w:rPr>
              <w:fldChar w:fldCharType="separate"/>
            </w:r>
            <w:r w:rsidR="00221DFD" w:rsidRPr="00D627F8">
              <w:rPr>
                <w:rFonts w:ascii="Arial" w:hAnsi="Arial" w:cs="Arial"/>
                <w:noProof/>
                <w:webHidden/>
              </w:rPr>
              <w:t>3</w:t>
            </w:r>
            <w:r w:rsidRPr="00D627F8">
              <w:rPr>
                <w:rFonts w:ascii="Arial" w:hAnsi="Arial" w:cs="Arial"/>
                <w:noProof/>
                <w:webHidden/>
              </w:rPr>
              <w:fldChar w:fldCharType="end"/>
            </w:r>
          </w:hyperlink>
        </w:p>
        <w:p w14:paraId="54929C8F" w14:textId="42B52190" w:rsidR="00D0337B" w:rsidRPr="00D627F8" w:rsidRDefault="00D0337B" w:rsidP="00D627F8">
          <w:pPr>
            <w:pStyle w:val="TOC1"/>
            <w:tabs>
              <w:tab w:val="right" w:leader="dot" w:pos="8630"/>
            </w:tabs>
            <w:spacing w:line="360" w:lineRule="auto"/>
            <w:jc w:val="both"/>
            <w:rPr>
              <w:rFonts w:ascii="Arial" w:hAnsi="Arial" w:cs="Arial"/>
              <w:noProof/>
              <w:kern w:val="2"/>
              <w:lang w:val="en-GB" w:eastAsia="en-GB"/>
              <w14:ligatures w14:val="standardContextual"/>
            </w:rPr>
          </w:pPr>
          <w:hyperlink w:anchor="_Toc233026681" w:history="1">
            <w:r w:rsidRPr="00D627F8">
              <w:rPr>
                <w:rStyle w:val="Hyperlink"/>
                <w:rFonts w:ascii="Arial" w:hAnsi="Arial" w:cs="Arial"/>
                <w:noProof/>
              </w:rPr>
              <w:t>Section 2: Pathophysiology and Impact</w:t>
            </w:r>
            <w:r w:rsidRPr="00D627F8">
              <w:rPr>
                <w:rFonts w:ascii="Arial" w:hAnsi="Arial" w:cs="Arial"/>
                <w:noProof/>
                <w:webHidden/>
              </w:rPr>
              <w:tab/>
            </w:r>
            <w:r w:rsidRPr="00D627F8">
              <w:rPr>
                <w:rFonts w:ascii="Arial" w:hAnsi="Arial" w:cs="Arial"/>
                <w:noProof/>
                <w:webHidden/>
              </w:rPr>
              <w:fldChar w:fldCharType="begin"/>
            </w:r>
            <w:r w:rsidRPr="00D627F8">
              <w:rPr>
                <w:rFonts w:ascii="Arial" w:hAnsi="Arial" w:cs="Arial"/>
                <w:noProof/>
                <w:webHidden/>
              </w:rPr>
              <w:instrText xml:space="preserve"> PAGEREF _Toc233026681 \h </w:instrText>
            </w:r>
            <w:r w:rsidRPr="00D627F8">
              <w:rPr>
                <w:rFonts w:ascii="Arial" w:hAnsi="Arial" w:cs="Arial"/>
                <w:noProof/>
                <w:webHidden/>
              </w:rPr>
            </w:r>
            <w:r w:rsidRPr="00D627F8">
              <w:rPr>
                <w:rFonts w:ascii="Arial" w:hAnsi="Arial" w:cs="Arial"/>
                <w:noProof/>
                <w:webHidden/>
              </w:rPr>
              <w:fldChar w:fldCharType="separate"/>
            </w:r>
            <w:r w:rsidR="00221DFD" w:rsidRPr="00D627F8">
              <w:rPr>
                <w:rFonts w:ascii="Arial" w:hAnsi="Arial" w:cs="Arial"/>
                <w:noProof/>
                <w:webHidden/>
              </w:rPr>
              <w:t>5</w:t>
            </w:r>
            <w:r w:rsidRPr="00D627F8">
              <w:rPr>
                <w:rFonts w:ascii="Arial" w:hAnsi="Arial" w:cs="Arial"/>
                <w:noProof/>
                <w:webHidden/>
              </w:rPr>
              <w:fldChar w:fldCharType="end"/>
            </w:r>
          </w:hyperlink>
        </w:p>
        <w:p w14:paraId="178CFF7B" w14:textId="4AFB2EA9" w:rsidR="00D0337B" w:rsidRPr="00D627F8" w:rsidRDefault="00D0337B" w:rsidP="00D627F8">
          <w:pPr>
            <w:pStyle w:val="TOC1"/>
            <w:tabs>
              <w:tab w:val="right" w:leader="dot" w:pos="8630"/>
            </w:tabs>
            <w:spacing w:line="360" w:lineRule="auto"/>
            <w:jc w:val="both"/>
            <w:rPr>
              <w:rFonts w:ascii="Arial" w:hAnsi="Arial" w:cs="Arial"/>
              <w:noProof/>
              <w:kern w:val="2"/>
              <w:lang w:val="en-GB" w:eastAsia="en-GB"/>
              <w14:ligatures w14:val="standardContextual"/>
            </w:rPr>
          </w:pPr>
          <w:hyperlink w:anchor="_Toc233026682" w:history="1">
            <w:r w:rsidRPr="00D627F8">
              <w:rPr>
                <w:rStyle w:val="Hyperlink"/>
                <w:rFonts w:ascii="Arial" w:hAnsi="Arial" w:cs="Arial"/>
                <w:noProof/>
              </w:rPr>
              <w:t>Section 3: Monitoring and Data Use</w:t>
            </w:r>
            <w:r w:rsidRPr="00D627F8">
              <w:rPr>
                <w:rFonts w:ascii="Arial" w:hAnsi="Arial" w:cs="Arial"/>
                <w:noProof/>
                <w:webHidden/>
              </w:rPr>
              <w:tab/>
            </w:r>
            <w:r w:rsidRPr="00D627F8">
              <w:rPr>
                <w:rFonts w:ascii="Arial" w:hAnsi="Arial" w:cs="Arial"/>
                <w:noProof/>
                <w:webHidden/>
              </w:rPr>
              <w:fldChar w:fldCharType="begin"/>
            </w:r>
            <w:r w:rsidRPr="00D627F8">
              <w:rPr>
                <w:rFonts w:ascii="Arial" w:hAnsi="Arial" w:cs="Arial"/>
                <w:noProof/>
                <w:webHidden/>
              </w:rPr>
              <w:instrText xml:space="preserve"> PAGEREF _Toc233026682 \h </w:instrText>
            </w:r>
            <w:r w:rsidRPr="00D627F8">
              <w:rPr>
                <w:rFonts w:ascii="Arial" w:hAnsi="Arial" w:cs="Arial"/>
                <w:noProof/>
                <w:webHidden/>
              </w:rPr>
            </w:r>
            <w:r w:rsidRPr="00D627F8">
              <w:rPr>
                <w:rFonts w:ascii="Arial" w:hAnsi="Arial" w:cs="Arial"/>
                <w:noProof/>
                <w:webHidden/>
              </w:rPr>
              <w:fldChar w:fldCharType="separate"/>
            </w:r>
            <w:r w:rsidR="00221DFD" w:rsidRPr="00D627F8">
              <w:rPr>
                <w:rFonts w:ascii="Arial" w:hAnsi="Arial" w:cs="Arial"/>
                <w:noProof/>
                <w:webHidden/>
              </w:rPr>
              <w:t>6</w:t>
            </w:r>
            <w:r w:rsidRPr="00D627F8">
              <w:rPr>
                <w:rFonts w:ascii="Arial" w:hAnsi="Arial" w:cs="Arial"/>
                <w:noProof/>
                <w:webHidden/>
              </w:rPr>
              <w:fldChar w:fldCharType="end"/>
            </w:r>
          </w:hyperlink>
        </w:p>
        <w:p w14:paraId="1731C9E2" w14:textId="43C9B23D" w:rsidR="00D0337B" w:rsidRPr="00D627F8" w:rsidRDefault="00D0337B" w:rsidP="00D627F8">
          <w:pPr>
            <w:pStyle w:val="TOC1"/>
            <w:tabs>
              <w:tab w:val="right" w:leader="dot" w:pos="8630"/>
            </w:tabs>
            <w:spacing w:line="360" w:lineRule="auto"/>
            <w:jc w:val="both"/>
            <w:rPr>
              <w:rFonts w:ascii="Arial" w:hAnsi="Arial" w:cs="Arial"/>
              <w:noProof/>
              <w:kern w:val="2"/>
              <w:lang w:val="en-GB" w:eastAsia="en-GB"/>
              <w14:ligatures w14:val="standardContextual"/>
            </w:rPr>
          </w:pPr>
          <w:hyperlink w:anchor="_Toc233026683" w:history="1">
            <w:r w:rsidRPr="00D627F8">
              <w:rPr>
                <w:rStyle w:val="Hyperlink"/>
                <w:rFonts w:ascii="Arial" w:hAnsi="Arial" w:cs="Arial"/>
                <w:noProof/>
              </w:rPr>
              <w:t>Section 4: Evidence-Based Lifestyle Recommendations</w:t>
            </w:r>
            <w:r w:rsidRPr="00D627F8">
              <w:rPr>
                <w:rFonts w:ascii="Arial" w:hAnsi="Arial" w:cs="Arial"/>
                <w:noProof/>
                <w:webHidden/>
              </w:rPr>
              <w:tab/>
            </w:r>
            <w:r w:rsidRPr="00D627F8">
              <w:rPr>
                <w:rFonts w:ascii="Arial" w:hAnsi="Arial" w:cs="Arial"/>
                <w:noProof/>
                <w:webHidden/>
              </w:rPr>
              <w:fldChar w:fldCharType="begin"/>
            </w:r>
            <w:r w:rsidRPr="00D627F8">
              <w:rPr>
                <w:rFonts w:ascii="Arial" w:hAnsi="Arial" w:cs="Arial"/>
                <w:noProof/>
                <w:webHidden/>
              </w:rPr>
              <w:instrText xml:space="preserve"> PAGEREF _Toc233026683 \h </w:instrText>
            </w:r>
            <w:r w:rsidRPr="00D627F8">
              <w:rPr>
                <w:rFonts w:ascii="Arial" w:hAnsi="Arial" w:cs="Arial"/>
                <w:noProof/>
                <w:webHidden/>
              </w:rPr>
            </w:r>
            <w:r w:rsidRPr="00D627F8">
              <w:rPr>
                <w:rFonts w:ascii="Arial" w:hAnsi="Arial" w:cs="Arial"/>
                <w:noProof/>
                <w:webHidden/>
              </w:rPr>
              <w:fldChar w:fldCharType="separate"/>
            </w:r>
            <w:r w:rsidR="00221DFD" w:rsidRPr="00D627F8">
              <w:rPr>
                <w:rFonts w:ascii="Arial" w:hAnsi="Arial" w:cs="Arial"/>
                <w:noProof/>
                <w:webHidden/>
              </w:rPr>
              <w:t>7</w:t>
            </w:r>
            <w:r w:rsidRPr="00D627F8">
              <w:rPr>
                <w:rFonts w:ascii="Arial" w:hAnsi="Arial" w:cs="Arial"/>
                <w:noProof/>
                <w:webHidden/>
              </w:rPr>
              <w:fldChar w:fldCharType="end"/>
            </w:r>
          </w:hyperlink>
        </w:p>
        <w:p w14:paraId="6C1A9F6B" w14:textId="24290953" w:rsidR="00D0337B" w:rsidRPr="00D627F8" w:rsidRDefault="00D0337B" w:rsidP="00D627F8">
          <w:pPr>
            <w:pStyle w:val="TOC2"/>
            <w:tabs>
              <w:tab w:val="right" w:leader="dot" w:pos="8630"/>
            </w:tabs>
            <w:spacing w:line="360" w:lineRule="auto"/>
            <w:jc w:val="both"/>
            <w:rPr>
              <w:rFonts w:ascii="Arial" w:hAnsi="Arial" w:cs="Arial"/>
              <w:noProof/>
              <w:kern w:val="2"/>
              <w:lang w:val="en-GB" w:eastAsia="en-GB"/>
              <w14:ligatures w14:val="standardContextual"/>
            </w:rPr>
          </w:pPr>
          <w:hyperlink w:anchor="_Toc233026684" w:history="1">
            <w:r w:rsidRPr="00D627F8">
              <w:rPr>
                <w:rStyle w:val="Hyperlink"/>
                <w:rFonts w:ascii="Arial" w:hAnsi="Arial" w:cs="Arial"/>
                <w:noProof/>
              </w:rPr>
              <w:t>Diet</w:t>
            </w:r>
            <w:r w:rsidRPr="00D627F8">
              <w:rPr>
                <w:rFonts w:ascii="Arial" w:hAnsi="Arial" w:cs="Arial"/>
                <w:noProof/>
                <w:webHidden/>
              </w:rPr>
              <w:tab/>
            </w:r>
            <w:r w:rsidRPr="00D627F8">
              <w:rPr>
                <w:rFonts w:ascii="Arial" w:hAnsi="Arial" w:cs="Arial"/>
                <w:noProof/>
                <w:webHidden/>
              </w:rPr>
              <w:fldChar w:fldCharType="begin"/>
            </w:r>
            <w:r w:rsidRPr="00D627F8">
              <w:rPr>
                <w:rFonts w:ascii="Arial" w:hAnsi="Arial" w:cs="Arial"/>
                <w:noProof/>
                <w:webHidden/>
              </w:rPr>
              <w:instrText xml:space="preserve"> PAGEREF _Toc233026684 \h </w:instrText>
            </w:r>
            <w:r w:rsidRPr="00D627F8">
              <w:rPr>
                <w:rFonts w:ascii="Arial" w:hAnsi="Arial" w:cs="Arial"/>
                <w:noProof/>
                <w:webHidden/>
              </w:rPr>
            </w:r>
            <w:r w:rsidRPr="00D627F8">
              <w:rPr>
                <w:rFonts w:ascii="Arial" w:hAnsi="Arial" w:cs="Arial"/>
                <w:noProof/>
                <w:webHidden/>
              </w:rPr>
              <w:fldChar w:fldCharType="separate"/>
            </w:r>
            <w:r w:rsidR="00221DFD" w:rsidRPr="00D627F8">
              <w:rPr>
                <w:rFonts w:ascii="Arial" w:hAnsi="Arial" w:cs="Arial"/>
                <w:noProof/>
                <w:webHidden/>
              </w:rPr>
              <w:t>7</w:t>
            </w:r>
            <w:r w:rsidRPr="00D627F8">
              <w:rPr>
                <w:rFonts w:ascii="Arial" w:hAnsi="Arial" w:cs="Arial"/>
                <w:noProof/>
                <w:webHidden/>
              </w:rPr>
              <w:fldChar w:fldCharType="end"/>
            </w:r>
          </w:hyperlink>
        </w:p>
        <w:p w14:paraId="5462AE2D" w14:textId="15419B11" w:rsidR="00D0337B" w:rsidRPr="00D627F8" w:rsidRDefault="00D0337B" w:rsidP="00D627F8">
          <w:pPr>
            <w:pStyle w:val="TOC2"/>
            <w:tabs>
              <w:tab w:val="right" w:leader="dot" w:pos="8630"/>
            </w:tabs>
            <w:spacing w:line="360" w:lineRule="auto"/>
            <w:jc w:val="both"/>
            <w:rPr>
              <w:rFonts w:ascii="Arial" w:hAnsi="Arial" w:cs="Arial"/>
              <w:noProof/>
              <w:kern w:val="2"/>
              <w:lang w:val="en-GB" w:eastAsia="en-GB"/>
              <w14:ligatures w14:val="standardContextual"/>
            </w:rPr>
          </w:pPr>
          <w:hyperlink w:anchor="_Toc233026685" w:history="1">
            <w:r w:rsidRPr="00D627F8">
              <w:rPr>
                <w:rStyle w:val="Hyperlink"/>
                <w:rFonts w:ascii="Arial" w:hAnsi="Arial" w:cs="Arial"/>
                <w:noProof/>
              </w:rPr>
              <w:t>Weight Management</w:t>
            </w:r>
            <w:r w:rsidRPr="00D627F8">
              <w:rPr>
                <w:rFonts w:ascii="Arial" w:hAnsi="Arial" w:cs="Arial"/>
                <w:noProof/>
                <w:webHidden/>
              </w:rPr>
              <w:tab/>
            </w:r>
            <w:r w:rsidRPr="00D627F8">
              <w:rPr>
                <w:rFonts w:ascii="Arial" w:hAnsi="Arial" w:cs="Arial"/>
                <w:noProof/>
                <w:webHidden/>
              </w:rPr>
              <w:fldChar w:fldCharType="begin"/>
            </w:r>
            <w:r w:rsidRPr="00D627F8">
              <w:rPr>
                <w:rFonts w:ascii="Arial" w:hAnsi="Arial" w:cs="Arial"/>
                <w:noProof/>
                <w:webHidden/>
              </w:rPr>
              <w:instrText xml:space="preserve"> PAGEREF _Toc233026685 \h </w:instrText>
            </w:r>
            <w:r w:rsidRPr="00D627F8">
              <w:rPr>
                <w:rFonts w:ascii="Arial" w:hAnsi="Arial" w:cs="Arial"/>
                <w:noProof/>
                <w:webHidden/>
              </w:rPr>
            </w:r>
            <w:r w:rsidRPr="00D627F8">
              <w:rPr>
                <w:rFonts w:ascii="Arial" w:hAnsi="Arial" w:cs="Arial"/>
                <w:noProof/>
                <w:webHidden/>
              </w:rPr>
              <w:fldChar w:fldCharType="separate"/>
            </w:r>
            <w:r w:rsidR="00221DFD" w:rsidRPr="00D627F8">
              <w:rPr>
                <w:rFonts w:ascii="Arial" w:hAnsi="Arial" w:cs="Arial"/>
                <w:noProof/>
                <w:webHidden/>
              </w:rPr>
              <w:t>7</w:t>
            </w:r>
            <w:r w:rsidRPr="00D627F8">
              <w:rPr>
                <w:rFonts w:ascii="Arial" w:hAnsi="Arial" w:cs="Arial"/>
                <w:noProof/>
                <w:webHidden/>
              </w:rPr>
              <w:fldChar w:fldCharType="end"/>
            </w:r>
          </w:hyperlink>
        </w:p>
        <w:p w14:paraId="68C0DA2C" w14:textId="7C3CDD52" w:rsidR="00D0337B" w:rsidRPr="00D627F8" w:rsidRDefault="00D0337B" w:rsidP="00D627F8">
          <w:pPr>
            <w:pStyle w:val="TOC2"/>
            <w:tabs>
              <w:tab w:val="right" w:leader="dot" w:pos="8630"/>
            </w:tabs>
            <w:spacing w:line="360" w:lineRule="auto"/>
            <w:jc w:val="both"/>
            <w:rPr>
              <w:rFonts w:ascii="Arial" w:hAnsi="Arial" w:cs="Arial"/>
              <w:noProof/>
              <w:kern w:val="2"/>
              <w:lang w:val="en-GB" w:eastAsia="en-GB"/>
              <w14:ligatures w14:val="standardContextual"/>
            </w:rPr>
          </w:pPr>
          <w:hyperlink w:anchor="_Toc233026686" w:history="1">
            <w:r w:rsidRPr="00D627F8">
              <w:rPr>
                <w:rStyle w:val="Hyperlink"/>
                <w:rFonts w:ascii="Arial" w:hAnsi="Arial" w:cs="Arial"/>
                <w:noProof/>
              </w:rPr>
              <w:t>Physical Activity</w:t>
            </w:r>
            <w:r w:rsidRPr="00D627F8">
              <w:rPr>
                <w:rFonts w:ascii="Arial" w:hAnsi="Arial" w:cs="Arial"/>
                <w:noProof/>
                <w:webHidden/>
              </w:rPr>
              <w:tab/>
            </w:r>
            <w:r w:rsidRPr="00D627F8">
              <w:rPr>
                <w:rFonts w:ascii="Arial" w:hAnsi="Arial" w:cs="Arial"/>
                <w:noProof/>
                <w:webHidden/>
              </w:rPr>
              <w:fldChar w:fldCharType="begin"/>
            </w:r>
            <w:r w:rsidRPr="00D627F8">
              <w:rPr>
                <w:rFonts w:ascii="Arial" w:hAnsi="Arial" w:cs="Arial"/>
                <w:noProof/>
                <w:webHidden/>
              </w:rPr>
              <w:instrText xml:space="preserve"> PAGEREF _Toc233026686 \h </w:instrText>
            </w:r>
            <w:r w:rsidRPr="00D627F8">
              <w:rPr>
                <w:rFonts w:ascii="Arial" w:hAnsi="Arial" w:cs="Arial"/>
                <w:noProof/>
                <w:webHidden/>
              </w:rPr>
            </w:r>
            <w:r w:rsidRPr="00D627F8">
              <w:rPr>
                <w:rFonts w:ascii="Arial" w:hAnsi="Arial" w:cs="Arial"/>
                <w:noProof/>
                <w:webHidden/>
              </w:rPr>
              <w:fldChar w:fldCharType="separate"/>
            </w:r>
            <w:r w:rsidR="00221DFD" w:rsidRPr="00D627F8">
              <w:rPr>
                <w:rFonts w:ascii="Arial" w:hAnsi="Arial" w:cs="Arial"/>
                <w:noProof/>
                <w:webHidden/>
              </w:rPr>
              <w:t>7</w:t>
            </w:r>
            <w:r w:rsidRPr="00D627F8">
              <w:rPr>
                <w:rFonts w:ascii="Arial" w:hAnsi="Arial" w:cs="Arial"/>
                <w:noProof/>
                <w:webHidden/>
              </w:rPr>
              <w:fldChar w:fldCharType="end"/>
            </w:r>
          </w:hyperlink>
        </w:p>
        <w:p w14:paraId="497EC46B" w14:textId="13C039B7" w:rsidR="00D0337B" w:rsidRPr="00D627F8" w:rsidRDefault="00D0337B" w:rsidP="00D627F8">
          <w:pPr>
            <w:pStyle w:val="TOC2"/>
            <w:tabs>
              <w:tab w:val="right" w:leader="dot" w:pos="8630"/>
            </w:tabs>
            <w:spacing w:line="360" w:lineRule="auto"/>
            <w:jc w:val="both"/>
            <w:rPr>
              <w:rFonts w:ascii="Arial" w:hAnsi="Arial" w:cs="Arial"/>
              <w:noProof/>
              <w:kern w:val="2"/>
              <w:lang w:val="en-GB" w:eastAsia="en-GB"/>
              <w14:ligatures w14:val="standardContextual"/>
            </w:rPr>
          </w:pPr>
          <w:hyperlink w:anchor="_Toc233026687" w:history="1">
            <w:r w:rsidRPr="00D627F8">
              <w:rPr>
                <w:rStyle w:val="Hyperlink"/>
                <w:rFonts w:ascii="Arial" w:hAnsi="Arial" w:cs="Arial"/>
                <w:noProof/>
              </w:rPr>
              <w:t>Smoking Cessation</w:t>
            </w:r>
            <w:r w:rsidRPr="00D627F8">
              <w:rPr>
                <w:rFonts w:ascii="Arial" w:hAnsi="Arial" w:cs="Arial"/>
                <w:noProof/>
                <w:webHidden/>
              </w:rPr>
              <w:tab/>
            </w:r>
            <w:r w:rsidRPr="00D627F8">
              <w:rPr>
                <w:rFonts w:ascii="Arial" w:hAnsi="Arial" w:cs="Arial"/>
                <w:noProof/>
                <w:webHidden/>
              </w:rPr>
              <w:fldChar w:fldCharType="begin"/>
            </w:r>
            <w:r w:rsidRPr="00D627F8">
              <w:rPr>
                <w:rFonts w:ascii="Arial" w:hAnsi="Arial" w:cs="Arial"/>
                <w:noProof/>
                <w:webHidden/>
              </w:rPr>
              <w:instrText xml:space="preserve"> PAGEREF _Toc233026687 \h </w:instrText>
            </w:r>
            <w:r w:rsidRPr="00D627F8">
              <w:rPr>
                <w:rFonts w:ascii="Arial" w:hAnsi="Arial" w:cs="Arial"/>
                <w:noProof/>
                <w:webHidden/>
              </w:rPr>
            </w:r>
            <w:r w:rsidRPr="00D627F8">
              <w:rPr>
                <w:rFonts w:ascii="Arial" w:hAnsi="Arial" w:cs="Arial"/>
                <w:noProof/>
                <w:webHidden/>
              </w:rPr>
              <w:fldChar w:fldCharType="separate"/>
            </w:r>
            <w:r w:rsidR="00221DFD" w:rsidRPr="00D627F8">
              <w:rPr>
                <w:rFonts w:ascii="Arial" w:hAnsi="Arial" w:cs="Arial"/>
                <w:noProof/>
                <w:webHidden/>
              </w:rPr>
              <w:t>8</w:t>
            </w:r>
            <w:r w:rsidRPr="00D627F8">
              <w:rPr>
                <w:rFonts w:ascii="Arial" w:hAnsi="Arial" w:cs="Arial"/>
                <w:noProof/>
                <w:webHidden/>
              </w:rPr>
              <w:fldChar w:fldCharType="end"/>
            </w:r>
          </w:hyperlink>
        </w:p>
        <w:p w14:paraId="1F420F12" w14:textId="5F77B726" w:rsidR="00D0337B" w:rsidRPr="00D627F8" w:rsidRDefault="00D0337B" w:rsidP="00D627F8">
          <w:pPr>
            <w:pStyle w:val="TOC1"/>
            <w:tabs>
              <w:tab w:val="right" w:leader="dot" w:pos="8630"/>
            </w:tabs>
            <w:spacing w:line="360" w:lineRule="auto"/>
            <w:jc w:val="both"/>
            <w:rPr>
              <w:rFonts w:ascii="Arial" w:hAnsi="Arial" w:cs="Arial"/>
              <w:noProof/>
              <w:kern w:val="2"/>
              <w:lang w:val="en-GB" w:eastAsia="en-GB"/>
              <w14:ligatures w14:val="standardContextual"/>
            </w:rPr>
          </w:pPr>
          <w:hyperlink w:anchor="_Toc233026688" w:history="1">
            <w:r w:rsidRPr="00D627F8">
              <w:rPr>
                <w:rStyle w:val="Hyperlink"/>
                <w:rFonts w:ascii="Arial" w:hAnsi="Arial" w:cs="Arial"/>
                <w:noProof/>
              </w:rPr>
              <w:t>Conclusion</w:t>
            </w:r>
            <w:r w:rsidRPr="00D627F8">
              <w:rPr>
                <w:rFonts w:ascii="Arial" w:hAnsi="Arial" w:cs="Arial"/>
                <w:noProof/>
                <w:webHidden/>
              </w:rPr>
              <w:tab/>
            </w:r>
            <w:r w:rsidRPr="00D627F8">
              <w:rPr>
                <w:rFonts w:ascii="Arial" w:hAnsi="Arial" w:cs="Arial"/>
                <w:noProof/>
                <w:webHidden/>
              </w:rPr>
              <w:fldChar w:fldCharType="begin"/>
            </w:r>
            <w:r w:rsidRPr="00D627F8">
              <w:rPr>
                <w:rFonts w:ascii="Arial" w:hAnsi="Arial" w:cs="Arial"/>
                <w:noProof/>
                <w:webHidden/>
              </w:rPr>
              <w:instrText xml:space="preserve"> PAGEREF _Toc233026688 \h </w:instrText>
            </w:r>
            <w:r w:rsidRPr="00D627F8">
              <w:rPr>
                <w:rFonts w:ascii="Arial" w:hAnsi="Arial" w:cs="Arial"/>
                <w:noProof/>
                <w:webHidden/>
              </w:rPr>
            </w:r>
            <w:r w:rsidRPr="00D627F8">
              <w:rPr>
                <w:rFonts w:ascii="Arial" w:hAnsi="Arial" w:cs="Arial"/>
                <w:noProof/>
                <w:webHidden/>
              </w:rPr>
              <w:fldChar w:fldCharType="separate"/>
            </w:r>
            <w:r w:rsidR="00221DFD" w:rsidRPr="00D627F8">
              <w:rPr>
                <w:rFonts w:ascii="Arial" w:hAnsi="Arial" w:cs="Arial"/>
                <w:noProof/>
                <w:webHidden/>
              </w:rPr>
              <w:t>8</w:t>
            </w:r>
            <w:r w:rsidRPr="00D627F8">
              <w:rPr>
                <w:rFonts w:ascii="Arial" w:hAnsi="Arial" w:cs="Arial"/>
                <w:noProof/>
                <w:webHidden/>
              </w:rPr>
              <w:fldChar w:fldCharType="end"/>
            </w:r>
          </w:hyperlink>
        </w:p>
        <w:p w14:paraId="4448E2FB" w14:textId="15946BF7" w:rsidR="00D0337B" w:rsidRPr="00D627F8" w:rsidRDefault="00D0337B" w:rsidP="00D627F8">
          <w:pPr>
            <w:pStyle w:val="TOC1"/>
            <w:tabs>
              <w:tab w:val="right" w:leader="dot" w:pos="8630"/>
            </w:tabs>
            <w:spacing w:line="360" w:lineRule="auto"/>
            <w:jc w:val="both"/>
            <w:rPr>
              <w:rFonts w:ascii="Arial" w:hAnsi="Arial" w:cs="Arial"/>
              <w:noProof/>
              <w:kern w:val="2"/>
              <w:lang w:val="en-GB" w:eastAsia="en-GB"/>
              <w14:ligatures w14:val="standardContextual"/>
            </w:rPr>
          </w:pPr>
          <w:hyperlink w:anchor="_Toc233026689" w:history="1">
            <w:r w:rsidRPr="00D627F8">
              <w:rPr>
                <w:rStyle w:val="Hyperlink"/>
                <w:rFonts w:ascii="Arial" w:hAnsi="Arial" w:cs="Arial"/>
                <w:noProof/>
              </w:rPr>
              <w:t>References</w:t>
            </w:r>
            <w:r w:rsidRPr="00D627F8">
              <w:rPr>
                <w:rFonts w:ascii="Arial" w:hAnsi="Arial" w:cs="Arial"/>
                <w:noProof/>
                <w:webHidden/>
              </w:rPr>
              <w:tab/>
            </w:r>
            <w:r w:rsidRPr="00D627F8">
              <w:rPr>
                <w:rFonts w:ascii="Arial" w:hAnsi="Arial" w:cs="Arial"/>
                <w:noProof/>
                <w:webHidden/>
              </w:rPr>
              <w:fldChar w:fldCharType="begin"/>
            </w:r>
            <w:r w:rsidRPr="00D627F8">
              <w:rPr>
                <w:rFonts w:ascii="Arial" w:hAnsi="Arial" w:cs="Arial"/>
                <w:noProof/>
                <w:webHidden/>
              </w:rPr>
              <w:instrText xml:space="preserve"> PAGEREF _Toc233026689 \h </w:instrText>
            </w:r>
            <w:r w:rsidRPr="00D627F8">
              <w:rPr>
                <w:rFonts w:ascii="Arial" w:hAnsi="Arial" w:cs="Arial"/>
                <w:noProof/>
                <w:webHidden/>
              </w:rPr>
            </w:r>
            <w:r w:rsidRPr="00D627F8">
              <w:rPr>
                <w:rFonts w:ascii="Arial" w:hAnsi="Arial" w:cs="Arial"/>
                <w:noProof/>
                <w:webHidden/>
              </w:rPr>
              <w:fldChar w:fldCharType="separate"/>
            </w:r>
            <w:r w:rsidR="00221DFD" w:rsidRPr="00D627F8">
              <w:rPr>
                <w:rFonts w:ascii="Arial" w:hAnsi="Arial" w:cs="Arial"/>
                <w:noProof/>
                <w:webHidden/>
              </w:rPr>
              <w:t>10</w:t>
            </w:r>
            <w:r w:rsidRPr="00D627F8">
              <w:rPr>
                <w:rFonts w:ascii="Arial" w:hAnsi="Arial" w:cs="Arial"/>
                <w:noProof/>
                <w:webHidden/>
              </w:rPr>
              <w:fldChar w:fldCharType="end"/>
            </w:r>
          </w:hyperlink>
        </w:p>
        <w:p w14:paraId="1E4F4F54" w14:textId="3B388EED" w:rsidR="00C2376F" w:rsidRPr="00D627F8" w:rsidRDefault="00C2376F" w:rsidP="00D627F8">
          <w:pPr>
            <w:spacing w:line="360" w:lineRule="auto"/>
            <w:rPr>
              <w:rFonts w:ascii="Arial" w:hAnsi="Arial" w:cs="Arial"/>
            </w:rPr>
          </w:pPr>
          <w:r w:rsidRPr="00D627F8">
            <w:rPr>
              <w:rFonts w:ascii="Arial" w:hAnsi="Arial" w:cs="Arial"/>
              <w:b/>
              <w:bCs/>
              <w:noProof/>
            </w:rPr>
            <w:fldChar w:fldCharType="end"/>
          </w:r>
        </w:p>
      </w:sdtContent>
    </w:sdt>
    <w:p w14:paraId="28462FF2" w14:textId="080F278F" w:rsidR="00B47E33" w:rsidRPr="00D627F8" w:rsidRDefault="000C2FE2" w:rsidP="00D627F8">
      <w:pPr>
        <w:pStyle w:val="TOCHeading"/>
        <w:spacing w:line="360" w:lineRule="auto"/>
        <w:rPr>
          <w:rFonts w:ascii="Arial" w:hAnsi="Arial" w:cs="Arial"/>
          <w:color w:val="auto"/>
          <w:sz w:val="22"/>
          <w:szCs w:val="22"/>
        </w:rPr>
      </w:pPr>
      <w:r w:rsidRPr="00D627F8">
        <w:rPr>
          <w:rFonts w:ascii="Arial" w:hAnsi="Arial" w:cs="Arial"/>
          <w:color w:val="auto"/>
          <w:sz w:val="22"/>
          <w:szCs w:val="22"/>
        </w:rPr>
        <w:t>Table of Figures</w:t>
      </w:r>
    </w:p>
    <w:p w14:paraId="4DB726D4" w14:textId="1AA3C393" w:rsidR="004A557C" w:rsidRPr="00D627F8" w:rsidRDefault="004A557C" w:rsidP="00D627F8">
      <w:pPr>
        <w:pStyle w:val="TableofFigures"/>
        <w:tabs>
          <w:tab w:val="right" w:leader="dot" w:pos="8630"/>
        </w:tabs>
        <w:spacing w:line="360" w:lineRule="auto"/>
        <w:jc w:val="both"/>
        <w:rPr>
          <w:rFonts w:ascii="Arial" w:hAnsi="Arial" w:cs="Arial"/>
          <w:noProof/>
        </w:rPr>
      </w:pPr>
      <w:r w:rsidRPr="00D627F8">
        <w:rPr>
          <w:rFonts w:ascii="Arial" w:hAnsi="Arial" w:cs="Arial"/>
        </w:rPr>
        <w:fldChar w:fldCharType="begin"/>
      </w:r>
      <w:r w:rsidRPr="00D627F8">
        <w:rPr>
          <w:rFonts w:ascii="Arial" w:hAnsi="Arial" w:cs="Arial"/>
        </w:rPr>
        <w:instrText xml:space="preserve"> TOC \h \z \c "Figure" </w:instrText>
      </w:r>
      <w:r w:rsidRPr="00D627F8">
        <w:rPr>
          <w:rFonts w:ascii="Arial" w:hAnsi="Arial" w:cs="Arial"/>
        </w:rPr>
        <w:fldChar w:fldCharType="separate"/>
      </w:r>
      <w:hyperlink w:anchor="_Toc233026979" w:history="1">
        <w:r w:rsidRPr="00D627F8">
          <w:rPr>
            <w:rStyle w:val="Hyperlink"/>
            <w:rFonts w:ascii="Arial" w:hAnsi="Arial" w:cs="Arial"/>
            <w:i/>
            <w:iCs/>
            <w:noProof/>
          </w:rPr>
          <w:t>Figure 1</w:t>
        </w:r>
        <w:r w:rsidRPr="00D627F8">
          <w:rPr>
            <w:rStyle w:val="Hyperlink"/>
            <w:rFonts w:ascii="Arial" w:hAnsi="Arial" w:cs="Arial"/>
            <w:i/>
            <w:noProof/>
          </w:rPr>
          <w:t>: Blood glucose regulation through negative feedback mechanisms. Adapted from: Marieb and Hoehn (2019).</w:t>
        </w:r>
        <w:r w:rsidRPr="00D627F8">
          <w:rPr>
            <w:rFonts w:ascii="Arial" w:hAnsi="Arial" w:cs="Arial"/>
            <w:noProof/>
            <w:webHidden/>
          </w:rPr>
          <w:tab/>
        </w:r>
        <w:r w:rsidRPr="00D627F8">
          <w:rPr>
            <w:rFonts w:ascii="Arial" w:hAnsi="Arial" w:cs="Arial"/>
            <w:noProof/>
            <w:webHidden/>
          </w:rPr>
          <w:fldChar w:fldCharType="begin"/>
        </w:r>
        <w:r w:rsidRPr="00D627F8">
          <w:rPr>
            <w:rFonts w:ascii="Arial" w:hAnsi="Arial" w:cs="Arial"/>
            <w:noProof/>
            <w:webHidden/>
          </w:rPr>
          <w:instrText xml:space="preserve"> PAGEREF _Toc233026979 \h </w:instrText>
        </w:r>
        <w:r w:rsidRPr="00D627F8">
          <w:rPr>
            <w:rFonts w:ascii="Arial" w:hAnsi="Arial" w:cs="Arial"/>
            <w:noProof/>
            <w:webHidden/>
          </w:rPr>
        </w:r>
        <w:r w:rsidRPr="00D627F8">
          <w:rPr>
            <w:rFonts w:ascii="Arial" w:hAnsi="Arial" w:cs="Arial"/>
            <w:noProof/>
            <w:webHidden/>
          </w:rPr>
          <w:fldChar w:fldCharType="separate"/>
        </w:r>
        <w:r w:rsidRPr="00D627F8">
          <w:rPr>
            <w:rFonts w:ascii="Arial" w:hAnsi="Arial" w:cs="Arial"/>
            <w:noProof/>
            <w:webHidden/>
          </w:rPr>
          <w:t>4</w:t>
        </w:r>
        <w:r w:rsidRPr="00D627F8">
          <w:rPr>
            <w:rFonts w:ascii="Arial" w:hAnsi="Arial" w:cs="Arial"/>
            <w:noProof/>
            <w:webHidden/>
          </w:rPr>
          <w:fldChar w:fldCharType="end"/>
        </w:r>
      </w:hyperlink>
    </w:p>
    <w:p w14:paraId="2C617CB9" w14:textId="0659776C" w:rsidR="00DD52DF" w:rsidRPr="00D627F8" w:rsidRDefault="004A557C" w:rsidP="00D627F8">
      <w:pPr>
        <w:pStyle w:val="Caption"/>
        <w:spacing w:line="360" w:lineRule="auto"/>
        <w:rPr>
          <w:rFonts w:ascii="Arial" w:hAnsi="Arial" w:cs="Arial"/>
          <w:sz w:val="22"/>
          <w:szCs w:val="22"/>
        </w:rPr>
      </w:pPr>
      <w:r w:rsidRPr="00D627F8">
        <w:rPr>
          <w:rFonts w:ascii="Arial" w:hAnsi="Arial" w:cs="Arial"/>
          <w:sz w:val="22"/>
          <w:szCs w:val="22"/>
        </w:rPr>
        <w:fldChar w:fldCharType="end"/>
      </w:r>
      <w:r w:rsidRPr="00D627F8">
        <w:rPr>
          <w:rFonts w:ascii="Arial" w:hAnsi="Arial" w:cs="Arial"/>
          <w:sz w:val="22"/>
          <w:szCs w:val="22"/>
        </w:rPr>
        <w:br w:type="page"/>
      </w:r>
    </w:p>
    <w:p w14:paraId="32FA844C" w14:textId="77777777" w:rsidR="00DD52DF" w:rsidRPr="00D627F8" w:rsidRDefault="00000000" w:rsidP="00D627F8">
      <w:pPr>
        <w:pStyle w:val="Heading1"/>
        <w:spacing w:line="360" w:lineRule="auto"/>
        <w:jc w:val="both"/>
        <w:rPr>
          <w:rFonts w:ascii="Arial" w:hAnsi="Arial" w:cs="Arial"/>
          <w:color w:val="auto"/>
          <w:sz w:val="22"/>
          <w:szCs w:val="22"/>
        </w:rPr>
      </w:pPr>
      <w:bookmarkStart w:id="0" w:name="_Toc233026679"/>
      <w:r w:rsidRPr="00D627F8">
        <w:rPr>
          <w:rFonts w:ascii="Arial" w:hAnsi="Arial" w:cs="Arial"/>
          <w:color w:val="auto"/>
          <w:sz w:val="22"/>
          <w:szCs w:val="22"/>
        </w:rPr>
        <w:lastRenderedPageBreak/>
        <w:t>Introduction</w:t>
      </w:r>
      <w:bookmarkEnd w:id="0"/>
    </w:p>
    <w:p w14:paraId="4FB22F33" w14:textId="1763950C" w:rsidR="00DD52DF" w:rsidRPr="00D627F8" w:rsidRDefault="00000000" w:rsidP="00D627F8">
      <w:pPr>
        <w:spacing w:after="180" w:line="360" w:lineRule="auto"/>
        <w:jc w:val="both"/>
        <w:rPr>
          <w:rFonts w:ascii="Arial" w:hAnsi="Arial" w:cs="Arial"/>
        </w:rPr>
      </w:pPr>
      <w:r w:rsidRPr="00D627F8">
        <w:rPr>
          <w:rFonts w:ascii="Arial" w:hAnsi="Arial" w:cs="Arial"/>
        </w:rPr>
        <w:t xml:space="preserve">Type 2 diabetes is one of the most common conditions managed in GP surgeries across the UK. Diabetes UK (2023) reports that over 4.3 million people in the UK have been diagnosed with diabetes, with around nine in ten of those cases being Type 2. Globally, the International Diabetes Federation (2021) puts the figure at 537 million </w:t>
      </w:r>
      <w:r w:rsidR="00E6616C" w:rsidRPr="00D627F8">
        <w:rPr>
          <w:rFonts w:ascii="Arial" w:hAnsi="Arial" w:cs="Arial"/>
        </w:rPr>
        <w:t>adults,</w:t>
      </w:r>
      <w:r w:rsidRPr="00D627F8">
        <w:rPr>
          <w:rFonts w:ascii="Arial" w:hAnsi="Arial" w:cs="Arial"/>
        </w:rPr>
        <w:t xml:space="preserve"> </w:t>
      </w:r>
      <w:r w:rsidR="00E6616C" w:rsidRPr="00D627F8">
        <w:rPr>
          <w:rFonts w:ascii="Arial" w:hAnsi="Arial" w:cs="Arial"/>
        </w:rPr>
        <w:t xml:space="preserve">which is </w:t>
      </w:r>
      <w:r w:rsidRPr="00D627F8">
        <w:rPr>
          <w:rFonts w:ascii="Arial" w:hAnsi="Arial" w:cs="Arial"/>
        </w:rPr>
        <w:t>a scale the World Health Organization (2023) describes as a major threat to public health. Unlike Type 1 diabetes, where the immune system destroys the cells that produce insulin, Type 2 develops when the body gradually stops responding to insulin properly and the pancreas can no longer keep up with the demand (NHS, 2023).</w:t>
      </w:r>
    </w:p>
    <w:p w14:paraId="01C99E55" w14:textId="77777777" w:rsidR="00DD52DF" w:rsidRPr="00D627F8" w:rsidRDefault="00000000" w:rsidP="00D627F8">
      <w:pPr>
        <w:spacing w:after="180" w:line="360" w:lineRule="auto"/>
        <w:jc w:val="both"/>
        <w:rPr>
          <w:rFonts w:ascii="Arial" w:hAnsi="Arial" w:cs="Arial"/>
        </w:rPr>
      </w:pPr>
      <w:r w:rsidRPr="00D627F8">
        <w:rPr>
          <w:rFonts w:ascii="Arial" w:hAnsi="Arial" w:cs="Arial"/>
        </w:rPr>
        <w:t xml:space="preserve">Some risk factors cannot be changed. Risk increases from around age 40 onwards, and people with a family history of diabetes, or from South Asian, Black African, or Caribbean backgrounds, face a higher risk – often at lower body weights than would otherwise be expected (NICE, 2022). More relevant in a clinical setting are the risk factors that can be addressed: carrying excess weight around the stomach, being physically inactive, eating a diet high in sugar and refined carbohydrates, and smoking (Holt </w:t>
      </w:r>
      <w:r w:rsidRPr="00D627F8">
        <w:rPr>
          <w:rFonts w:ascii="Arial" w:hAnsi="Arial" w:cs="Arial"/>
          <w:b/>
          <w:bCs/>
        </w:rPr>
        <w:t>et</w:t>
      </w:r>
      <w:r w:rsidRPr="00D627F8">
        <w:rPr>
          <w:rFonts w:ascii="Arial" w:hAnsi="Arial" w:cs="Arial"/>
        </w:rPr>
        <w:t xml:space="preserve"> </w:t>
      </w:r>
      <w:r w:rsidRPr="00D627F8">
        <w:rPr>
          <w:rFonts w:ascii="Arial" w:hAnsi="Arial" w:cs="Arial"/>
          <w:b/>
          <w:bCs/>
        </w:rPr>
        <w:t>al</w:t>
      </w:r>
      <w:r w:rsidRPr="00D627F8">
        <w:rPr>
          <w:rFonts w:ascii="Arial" w:hAnsi="Arial" w:cs="Arial"/>
        </w:rPr>
        <w:t>., 2017). These offer genuine opportunities for prevention and management.</w:t>
      </w:r>
    </w:p>
    <w:p w14:paraId="2ECBDE73" w14:textId="77777777" w:rsidR="00DD52DF" w:rsidRPr="00D627F8" w:rsidRDefault="00000000" w:rsidP="00D627F8">
      <w:pPr>
        <w:spacing w:after="180" w:line="360" w:lineRule="auto"/>
        <w:jc w:val="both"/>
        <w:rPr>
          <w:rFonts w:ascii="Arial" w:hAnsi="Arial" w:cs="Arial"/>
        </w:rPr>
      </w:pPr>
      <w:r w:rsidRPr="00D627F8">
        <w:rPr>
          <w:rFonts w:ascii="Arial" w:hAnsi="Arial" w:cs="Arial"/>
        </w:rPr>
        <w:t xml:space="preserve">This report is written from the perspective of a practice nurse at a local GP surgery, with the aim of helping newly diagnosed patients understand what Type 2 diabetes means for their body, why monitoring matters, and what lifestyle changes can make a real difference. Evidence shows that patients who understand their condition are better placed to self-manage it effectively (Davies </w:t>
      </w:r>
      <w:r w:rsidRPr="00D627F8">
        <w:rPr>
          <w:rFonts w:ascii="Arial" w:hAnsi="Arial" w:cs="Arial"/>
          <w:b/>
          <w:bCs/>
        </w:rPr>
        <w:t>et</w:t>
      </w:r>
      <w:r w:rsidRPr="00D627F8">
        <w:rPr>
          <w:rFonts w:ascii="Arial" w:hAnsi="Arial" w:cs="Arial"/>
        </w:rPr>
        <w:t xml:space="preserve"> </w:t>
      </w:r>
      <w:r w:rsidRPr="00D627F8">
        <w:rPr>
          <w:rFonts w:ascii="Arial" w:hAnsi="Arial" w:cs="Arial"/>
          <w:b/>
          <w:bCs/>
        </w:rPr>
        <w:t>al</w:t>
      </w:r>
      <w:r w:rsidRPr="00D627F8">
        <w:rPr>
          <w:rFonts w:ascii="Arial" w:hAnsi="Arial" w:cs="Arial"/>
        </w:rPr>
        <w:t>., 2008), which makes patient education a clinical priority rather than an optional extra.</w:t>
      </w:r>
    </w:p>
    <w:p w14:paraId="36927F5B" w14:textId="77777777" w:rsidR="00E83FFF" w:rsidRPr="00D627F8" w:rsidRDefault="00000000" w:rsidP="00D627F8">
      <w:pPr>
        <w:pStyle w:val="Heading1"/>
        <w:spacing w:line="360" w:lineRule="auto"/>
        <w:jc w:val="both"/>
        <w:rPr>
          <w:rFonts w:ascii="Arial" w:hAnsi="Arial" w:cs="Arial"/>
          <w:color w:val="auto"/>
          <w:sz w:val="22"/>
          <w:szCs w:val="22"/>
        </w:rPr>
      </w:pPr>
      <w:bookmarkStart w:id="1" w:name="_Toc233026680"/>
      <w:r w:rsidRPr="00D627F8">
        <w:rPr>
          <w:rFonts w:ascii="Arial" w:hAnsi="Arial" w:cs="Arial"/>
          <w:color w:val="auto"/>
          <w:sz w:val="22"/>
          <w:szCs w:val="22"/>
        </w:rPr>
        <w:t>Section 1: Anatomy and Physiology</w:t>
      </w:r>
      <w:bookmarkEnd w:id="1"/>
      <w:r w:rsidRPr="00D627F8">
        <w:rPr>
          <w:rFonts w:ascii="Arial" w:hAnsi="Arial" w:cs="Arial"/>
          <w:color w:val="auto"/>
          <w:sz w:val="22"/>
          <w:szCs w:val="22"/>
        </w:rPr>
        <w:t xml:space="preserve"> </w:t>
      </w:r>
    </w:p>
    <w:p w14:paraId="4BBACC84" w14:textId="0AFF6775" w:rsidR="00DD52DF" w:rsidRPr="00D627F8" w:rsidRDefault="00000000" w:rsidP="00D627F8">
      <w:pPr>
        <w:spacing w:after="180" w:line="360" w:lineRule="auto"/>
        <w:jc w:val="both"/>
        <w:rPr>
          <w:rFonts w:ascii="Arial" w:hAnsi="Arial" w:cs="Arial"/>
        </w:rPr>
      </w:pPr>
      <w:r w:rsidRPr="00D627F8">
        <w:rPr>
          <w:rFonts w:ascii="Arial" w:hAnsi="Arial" w:cs="Arial"/>
        </w:rPr>
        <w:t>To understand Type 2 diabetes, it helps to first look at how a healthy body keeps blood sugar under control. Glucose</w:t>
      </w:r>
      <w:r w:rsidR="002C0B78" w:rsidRPr="00D627F8">
        <w:rPr>
          <w:rFonts w:ascii="Arial" w:hAnsi="Arial" w:cs="Arial"/>
        </w:rPr>
        <w:t>, which is</w:t>
      </w:r>
      <w:r w:rsidRPr="00D627F8">
        <w:rPr>
          <w:rFonts w:ascii="Arial" w:hAnsi="Arial" w:cs="Arial"/>
        </w:rPr>
        <w:t xml:space="preserve"> the sugar derived from carbohydrates in food</w:t>
      </w:r>
      <w:r w:rsidR="002C0B78" w:rsidRPr="00D627F8">
        <w:rPr>
          <w:rFonts w:ascii="Arial" w:hAnsi="Arial" w:cs="Arial"/>
        </w:rPr>
        <w:t xml:space="preserve">, </w:t>
      </w:r>
      <w:r w:rsidRPr="00D627F8">
        <w:rPr>
          <w:rFonts w:ascii="Arial" w:hAnsi="Arial" w:cs="Arial"/>
        </w:rPr>
        <w:t>is the main source of energy for every cell in the body. In a healthy person at rest, blood glucose typically sits between 4.0 and 5.5 mmol/L. It rises briefly after eating, then returns to that range. Staying within this window is essential for normal physical and mental function, and the body has a tightly controlled system to achieve it (Tortora and Derrickson, 2017).</w:t>
      </w:r>
    </w:p>
    <w:p w14:paraId="5844D192" w14:textId="140767D9" w:rsidR="00DD52DF" w:rsidRPr="00D627F8" w:rsidRDefault="00000000" w:rsidP="00D627F8">
      <w:pPr>
        <w:spacing w:after="180" w:line="360" w:lineRule="auto"/>
        <w:jc w:val="both"/>
        <w:rPr>
          <w:rFonts w:ascii="Arial" w:hAnsi="Arial" w:cs="Arial"/>
        </w:rPr>
      </w:pPr>
      <w:r w:rsidRPr="00D627F8">
        <w:rPr>
          <w:rFonts w:ascii="Arial" w:hAnsi="Arial" w:cs="Arial"/>
        </w:rPr>
        <w:lastRenderedPageBreak/>
        <w:t xml:space="preserve">The organ at the centre of this system is the pancreas, located just behind the stomach. Inside it are small clusters of hormone-producing cells called the islets of Langerhans, containing two key cell types: beta (β) cells, which release insulin, and alpha (α) cells, which release glucagon (Marieb and Hoehn, 2019). These two hormones work in opposite directions to maintain balance. When blood sugar rises after a meal, β-cells release insulin into the bloodstream. This signals muscle and fat cells to absorb glucose via a transporter protein called GLUT4 (Holt </w:t>
      </w:r>
      <w:r w:rsidRPr="00D627F8">
        <w:rPr>
          <w:rFonts w:ascii="Arial" w:hAnsi="Arial" w:cs="Arial"/>
          <w:b/>
          <w:bCs/>
        </w:rPr>
        <w:t>et</w:t>
      </w:r>
      <w:r w:rsidRPr="00D627F8">
        <w:rPr>
          <w:rFonts w:ascii="Arial" w:hAnsi="Arial" w:cs="Arial"/>
        </w:rPr>
        <w:t xml:space="preserve"> </w:t>
      </w:r>
      <w:r w:rsidRPr="00D627F8">
        <w:rPr>
          <w:rFonts w:ascii="Arial" w:hAnsi="Arial" w:cs="Arial"/>
          <w:b/>
          <w:bCs/>
        </w:rPr>
        <w:t>al</w:t>
      </w:r>
      <w:r w:rsidRPr="00D627F8">
        <w:rPr>
          <w:rFonts w:ascii="Arial" w:hAnsi="Arial" w:cs="Arial"/>
        </w:rPr>
        <w:t>., 2017). At the same time, insulin signals the liver to convert any surplus glucose into glycogen for storage</w:t>
      </w:r>
      <w:r w:rsidR="00B2617D" w:rsidRPr="00D627F8">
        <w:rPr>
          <w:rFonts w:ascii="Arial" w:hAnsi="Arial" w:cs="Arial"/>
        </w:rPr>
        <w:t xml:space="preserve">. This is </w:t>
      </w:r>
      <w:r w:rsidRPr="00D627F8">
        <w:rPr>
          <w:rFonts w:ascii="Arial" w:hAnsi="Arial" w:cs="Arial"/>
        </w:rPr>
        <w:t>a process that uses a different transporter, GLUT2, which is always present in liver cells regardless of insulin levels. Together, these responses bring blood sugar back down. When blood sugar falls too low between meals, α-cells release glucagon, which tells the liver to break down its stored glycogen and release glucose back into the bloodstream. This continuous two-way feedback process is shown in Figure 1 below.</w:t>
      </w:r>
    </w:p>
    <w:p w14:paraId="2DFEA366" w14:textId="77777777" w:rsidR="00DD52DF" w:rsidRPr="00D627F8" w:rsidRDefault="00000000" w:rsidP="00D627F8">
      <w:pPr>
        <w:spacing w:before="160" w:after="40" w:line="360" w:lineRule="auto"/>
        <w:jc w:val="center"/>
        <w:rPr>
          <w:rFonts w:ascii="Arial" w:hAnsi="Arial" w:cs="Arial"/>
        </w:rPr>
      </w:pPr>
      <w:r w:rsidRPr="00D627F8">
        <w:rPr>
          <w:rFonts w:ascii="Arial" w:hAnsi="Arial" w:cs="Arial"/>
          <w:noProof/>
        </w:rPr>
        <w:drawing>
          <wp:inline distT="0" distB="0" distL="0" distR="0" wp14:anchorId="40680593" wp14:editId="71AABD54">
            <wp:extent cx="5303520" cy="35484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lood_glucose_diagram.png"/>
                    <pic:cNvPicPr/>
                  </pic:nvPicPr>
                  <pic:blipFill>
                    <a:blip r:embed="rId8"/>
                    <a:stretch>
                      <a:fillRect/>
                    </a:stretch>
                  </pic:blipFill>
                  <pic:spPr>
                    <a:xfrm>
                      <a:off x="0" y="0"/>
                      <a:ext cx="5303520" cy="3548477"/>
                    </a:xfrm>
                    <a:prstGeom prst="rect">
                      <a:avLst/>
                    </a:prstGeom>
                  </pic:spPr>
                </pic:pic>
              </a:graphicData>
            </a:graphic>
          </wp:inline>
        </w:drawing>
      </w:r>
    </w:p>
    <w:p w14:paraId="1CCF3E19" w14:textId="2EE0A803" w:rsidR="00DD52DF" w:rsidRPr="00D627F8" w:rsidRDefault="004A557C" w:rsidP="00D627F8">
      <w:pPr>
        <w:spacing w:before="80" w:after="240" w:line="360" w:lineRule="auto"/>
        <w:jc w:val="center"/>
        <w:rPr>
          <w:rFonts w:ascii="Arial" w:hAnsi="Arial" w:cs="Arial"/>
        </w:rPr>
      </w:pPr>
      <w:bookmarkStart w:id="2" w:name="_Toc233026979"/>
      <w:r w:rsidRPr="00D627F8">
        <w:rPr>
          <w:rFonts w:ascii="Arial" w:hAnsi="Arial" w:cs="Arial"/>
          <w:i/>
          <w:iCs/>
        </w:rPr>
        <w:t xml:space="preserve">Figure </w:t>
      </w:r>
      <w:r w:rsidRPr="00D627F8">
        <w:rPr>
          <w:rFonts w:ascii="Arial" w:hAnsi="Arial" w:cs="Arial"/>
          <w:i/>
          <w:iCs/>
        </w:rPr>
        <w:fldChar w:fldCharType="begin"/>
      </w:r>
      <w:r w:rsidRPr="00D627F8">
        <w:rPr>
          <w:rFonts w:ascii="Arial" w:hAnsi="Arial" w:cs="Arial"/>
          <w:i/>
          <w:iCs/>
        </w:rPr>
        <w:instrText xml:space="preserve"> SEQ Figure \* ARABIC </w:instrText>
      </w:r>
      <w:r w:rsidRPr="00D627F8">
        <w:rPr>
          <w:rFonts w:ascii="Arial" w:hAnsi="Arial" w:cs="Arial"/>
          <w:i/>
          <w:iCs/>
        </w:rPr>
        <w:fldChar w:fldCharType="separate"/>
      </w:r>
      <w:r w:rsidRPr="00D627F8">
        <w:rPr>
          <w:rFonts w:ascii="Arial" w:hAnsi="Arial" w:cs="Arial"/>
          <w:i/>
          <w:iCs/>
          <w:noProof/>
        </w:rPr>
        <w:t>1</w:t>
      </w:r>
      <w:r w:rsidRPr="00D627F8">
        <w:rPr>
          <w:rFonts w:ascii="Arial" w:hAnsi="Arial" w:cs="Arial"/>
          <w:i/>
          <w:iCs/>
        </w:rPr>
        <w:fldChar w:fldCharType="end"/>
      </w:r>
      <w:r w:rsidRPr="00D627F8">
        <w:rPr>
          <w:rFonts w:ascii="Arial" w:hAnsi="Arial" w:cs="Arial"/>
          <w:i/>
        </w:rPr>
        <w:t>: Blood glucose regulation through negative feedback mechanisms. Adapted from: Marieb and Hoehn (2019).</w:t>
      </w:r>
      <w:bookmarkEnd w:id="2"/>
    </w:p>
    <w:p w14:paraId="0DD99077" w14:textId="7830CDB7" w:rsidR="00B450A0" w:rsidRPr="00D627F8" w:rsidRDefault="009F7239" w:rsidP="00D627F8">
      <w:pPr>
        <w:spacing w:after="180" w:line="360" w:lineRule="auto"/>
        <w:jc w:val="both"/>
        <w:rPr>
          <w:rFonts w:ascii="Arial" w:hAnsi="Arial" w:cs="Arial"/>
        </w:rPr>
      </w:pPr>
      <w:r w:rsidRPr="00D627F8">
        <w:rPr>
          <w:rFonts w:ascii="Arial" w:hAnsi="Arial" w:cs="Arial"/>
        </w:rPr>
        <w:t>Once inside a cell, glucose is converted into energy through cellular respiration. When oxygen is available, this involves glycolysis, followed by the Krebs cycle and oxidative phosphorylation in the mitochondria, producing up to 36–38 molecules of ATP</w:t>
      </w:r>
      <w:r w:rsidR="00271FBD" w:rsidRPr="00D627F8">
        <w:rPr>
          <w:rFonts w:ascii="Arial" w:hAnsi="Arial" w:cs="Arial"/>
        </w:rPr>
        <w:t xml:space="preserve">, which is </w:t>
      </w:r>
      <w:r w:rsidRPr="00D627F8">
        <w:rPr>
          <w:rFonts w:ascii="Arial" w:hAnsi="Arial" w:cs="Arial"/>
        </w:rPr>
        <w:t xml:space="preserve"> </w:t>
      </w:r>
      <w:r w:rsidRPr="00D627F8">
        <w:rPr>
          <w:rFonts w:ascii="Arial" w:hAnsi="Arial" w:cs="Arial"/>
        </w:rPr>
        <w:lastRenderedPageBreak/>
        <w:t>the body's energy currency</w:t>
      </w:r>
      <w:r w:rsidR="00271FBD" w:rsidRPr="00D627F8">
        <w:rPr>
          <w:rFonts w:ascii="Arial" w:hAnsi="Arial" w:cs="Arial"/>
        </w:rPr>
        <w:t xml:space="preserve">, </w:t>
      </w:r>
      <w:r w:rsidRPr="00D627F8">
        <w:rPr>
          <w:rFonts w:ascii="Arial" w:hAnsi="Arial" w:cs="Arial"/>
        </w:rPr>
        <w:t>per glucose molecule (Tortora and Derrickson, 2017). Without oxygen, cells can only complete the first stage and produce just 2 ATP per glucose. This matters directly for patients with diabetes: the vascular damage caused by poorly controlled blood sugar restricts oxygen delivery to tissues, which severely limits how efficiently those cells can produce energy and continue to function.</w:t>
      </w:r>
    </w:p>
    <w:p w14:paraId="2713F2C7" w14:textId="3C2C647A" w:rsidR="00ED075D" w:rsidRPr="00D627F8" w:rsidRDefault="00000000" w:rsidP="00D627F8">
      <w:pPr>
        <w:pStyle w:val="Heading1"/>
        <w:spacing w:line="360" w:lineRule="auto"/>
        <w:jc w:val="both"/>
        <w:rPr>
          <w:rFonts w:ascii="Arial" w:hAnsi="Arial" w:cs="Arial"/>
          <w:color w:val="auto"/>
          <w:sz w:val="22"/>
          <w:szCs w:val="22"/>
        </w:rPr>
      </w:pPr>
      <w:bookmarkStart w:id="3" w:name="_Toc233026681"/>
      <w:r w:rsidRPr="00D627F8">
        <w:rPr>
          <w:rFonts w:ascii="Arial" w:hAnsi="Arial" w:cs="Arial"/>
          <w:color w:val="auto"/>
          <w:sz w:val="22"/>
          <w:szCs w:val="22"/>
        </w:rPr>
        <w:t xml:space="preserve">Section 2: </w:t>
      </w:r>
      <w:r w:rsidR="00ED075D" w:rsidRPr="00D627F8">
        <w:rPr>
          <w:rFonts w:ascii="Arial" w:hAnsi="Arial" w:cs="Arial"/>
          <w:color w:val="auto"/>
          <w:sz w:val="22"/>
          <w:szCs w:val="22"/>
        </w:rPr>
        <w:t>Pathophysiology</w:t>
      </w:r>
      <w:r w:rsidR="00A34C45" w:rsidRPr="00D627F8">
        <w:rPr>
          <w:rFonts w:ascii="Arial" w:hAnsi="Arial" w:cs="Arial"/>
          <w:color w:val="auto"/>
          <w:sz w:val="22"/>
          <w:szCs w:val="22"/>
        </w:rPr>
        <w:t xml:space="preserve"> and</w:t>
      </w:r>
      <w:r w:rsidR="00664617" w:rsidRPr="00D627F8">
        <w:rPr>
          <w:rFonts w:ascii="Arial" w:hAnsi="Arial" w:cs="Arial"/>
          <w:color w:val="auto"/>
          <w:sz w:val="22"/>
          <w:szCs w:val="22"/>
        </w:rPr>
        <w:t xml:space="preserve"> Impact</w:t>
      </w:r>
      <w:bookmarkEnd w:id="3"/>
    </w:p>
    <w:p w14:paraId="44CFBD3D" w14:textId="6FEECC11" w:rsidR="00DD52DF" w:rsidRPr="00D627F8" w:rsidRDefault="00000000" w:rsidP="00D627F8">
      <w:pPr>
        <w:spacing w:after="180" w:line="360" w:lineRule="auto"/>
        <w:jc w:val="both"/>
        <w:rPr>
          <w:rFonts w:ascii="Arial" w:hAnsi="Arial" w:cs="Arial"/>
        </w:rPr>
      </w:pPr>
      <w:r w:rsidRPr="00D627F8">
        <w:rPr>
          <w:rFonts w:ascii="Arial" w:hAnsi="Arial" w:cs="Arial"/>
        </w:rPr>
        <w:t>In Type 2 diabetes, the regulation system described above gradually stops working. The process usually begins with insulin resistance</w:t>
      </w:r>
      <w:r w:rsidR="000156B6" w:rsidRPr="00D627F8">
        <w:rPr>
          <w:rFonts w:ascii="Arial" w:hAnsi="Arial" w:cs="Arial"/>
        </w:rPr>
        <w:t>. This is</w:t>
      </w:r>
      <w:r w:rsidRPr="00D627F8">
        <w:rPr>
          <w:rFonts w:ascii="Arial" w:hAnsi="Arial" w:cs="Arial"/>
        </w:rPr>
        <w:t xml:space="preserve"> where </w:t>
      </w:r>
      <w:r w:rsidR="00BD7C01">
        <w:rPr>
          <w:rFonts w:ascii="Arial" w:hAnsi="Arial" w:cs="Arial"/>
        </w:rPr>
        <w:t>liver</w:t>
      </w:r>
      <w:r w:rsidR="00C63DB9">
        <w:rPr>
          <w:rFonts w:ascii="Arial" w:hAnsi="Arial" w:cs="Arial"/>
        </w:rPr>
        <w:t xml:space="preserve"> </w:t>
      </w:r>
      <w:r w:rsidR="00BD7C01">
        <w:rPr>
          <w:rFonts w:ascii="Arial" w:hAnsi="Arial" w:cs="Arial"/>
        </w:rPr>
        <w:t>cells, fa</w:t>
      </w:r>
      <w:r w:rsidR="00C63DB9">
        <w:rPr>
          <w:rFonts w:ascii="Arial" w:hAnsi="Arial" w:cs="Arial"/>
        </w:rPr>
        <w:t xml:space="preserve">t and muscles </w:t>
      </w:r>
      <w:r w:rsidRPr="00D627F8">
        <w:rPr>
          <w:rFonts w:ascii="Arial" w:hAnsi="Arial" w:cs="Arial"/>
        </w:rPr>
        <w:t xml:space="preserve">no longer respond properly to insulin signals. Excess fat stored around the abdomen plays a major role here: these fat cells release inflammatory chemicals that directly interfere with insulin signalling pathways, reducing how effectively glucose is absorbed from the blood (Holt </w:t>
      </w:r>
      <w:r w:rsidRPr="00D627F8">
        <w:rPr>
          <w:rFonts w:ascii="Arial" w:hAnsi="Arial" w:cs="Arial"/>
          <w:b/>
          <w:bCs/>
        </w:rPr>
        <w:t>et</w:t>
      </w:r>
      <w:r w:rsidRPr="00D627F8">
        <w:rPr>
          <w:rFonts w:ascii="Arial" w:hAnsi="Arial" w:cs="Arial"/>
        </w:rPr>
        <w:t xml:space="preserve"> </w:t>
      </w:r>
      <w:r w:rsidRPr="00D627F8">
        <w:rPr>
          <w:rFonts w:ascii="Arial" w:hAnsi="Arial" w:cs="Arial"/>
          <w:b/>
          <w:bCs/>
        </w:rPr>
        <w:t>al</w:t>
      </w:r>
      <w:r w:rsidRPr="00D627F8">
        <w:rPr>
          <w:rFonts w:ascii="Arial" w:hAnsi="Arial" w:cs="Arial"/>
        </w:rPr>
        <w:t>., 2017).</w:t>
      </w:r>
    </w:p>
    <w:p w14:paraId="709BA9D8" w14:textId="3DED34D0" w:rsidR="00DD52DF" w:rsidRPr="00D627F8" w:rsidRDefault="007354F9" w:rsidP="00D627F8">
      <w:pPr>
        <w:spacing w:after="180" w:line="360" w:lineRule="auto"/>
        <w:jc w:val="both"/>
        <w:rPr>
          <w:rFonts w:ascii="Arial" w:hAnsi="Arial" w:cs="Arial"/>
        </w:rPr>
      </w:pPr>
      <w:r w:rsidRPr="00D627F8">
        <w:rPr>
          <w:rFonts w:ascii="Arial" w:hAnsi="Arial" w:cs="Arial"/>
        </w:rPr>
        <w:t>First, the pancreas compensates by producing more insulin to keep blood sugar at a safe level. This is a state known as hyperinsulinaemia. Over time, this sustained effort exhausts the beta cells, and insulin output begins to fall. As secretion declines while resistance remains, blood sugar climbs and stays high</w:t>
      </w:r>
      <w:r w:rsidR="00A4708B" w:rsidRPr="00D627F8">
        <w:rPr>
          <w:rFonts w:ascii="Arial" w:hAnsi="Arial" w:cs="Arial"/>
        </w:rPr>
        <w:t xml:space="preserve">. This is </w:t>
      </w:r>
      <w:r w:rsidRPr="00D627F8">
        <w:rPr>
          <w:rFonts w:ascii="Arial" w:hAnsi="Arial" w:cs="Arial"/>
        </w:rPr>
        <w:t xml:space="preserve">a condition called chronic </w:t>
      </w:r>
      <w:proofErr w:type="spellStart"/>
      <w:r w:rsidRPr="00D627F8">
        <w:rPr>
          <w:rFonts w:ascii="Arial" w:hAnsi="Arial" w:cs="Arial"/>
        </w:rPr>
        <w:t>hyperglycaemia</w:t>
      </w:r>
      <w:proofErr w:type="spellEnd"/>
      <w:r w:rsidRPr="00D627F8">
        <w:rPr>
          <w:rFonts w:ascii="Arial" w:hAnsi="Arial" w:cs="Arial"/>
        </w:rPr>
        <w:t xml:space="preserve"> (Taylor, 2013). According to NICE (2022), a formal diagnosis of Type 2 diabetes is made when fasting blood glucose reaches 7.0 mmol/L or above, or when HbA1c is 48 mmol/mol on two separate tests. Critically, many patients will have had elevated blood sugar for months or years before reaching these thresholds, during which complications may already be starting to develop.</w:t>
      </w:r>
    </w:p>
    <w:p w14:paraId="1ECFB7C3" w14:textId="246B00C4" w:rsidR="00DD52DF" w:rsidRPr="00D627F8" w:rsidRDefault="00000000" w:rsidP="00D627F8">
      <w:pPr>
        <w:spacing w:after="180" w:line="360" w:lineRule="auto"/>
        <w:jc w:val="both"/>
        <w:rPr>
          <w:rFonts w:ascii="Arial" w:hAnsi="Arial" w:cs="Arial"/>
        </w:rPr>
      </w:pPr>
      <w:r w:rsidRPr="00D627F8">
        <w:rPr>
          <w:rFonts w:ascii="Arial" w:hAnsi="Arial" w:cs="Arial"/>
        </w:rPr>
        <w:t>Persistently high blood sugar causes damage throughout the body. Excess glucose sticks to proteins in blood vessel walls and nerve fibres through a process called glycation, gradually weakening their structure. Damage to small blood vessels</w:t>
      </w:r>
      <w:r w:rsidR="00A4708B" w:rsidRPr="00D627F8">
        <w:rPr>
          <w:rFonts w:ascii="Arial" w:hAnsi="Arial" w:cs="Arial"/>
        </w:rPr>
        <w:t xml:space="preserve">, </w:t>
      </w:r>
      <w:r w:rsidRPr="00D627F8">
        <w:rPr>
          <w:rFonts w:ascii="Arial" w:hAnsi="Arial" w:cs="Arial"/>
        </w:rPr>
        <w:t>microvascular disease</w:t>
      </w:r>
      <w:r w:rsidR="00A4708B" w:rsidRPr="00D627F8">
        <w:rPr>
          <w:rFonts w:ascii="Arial" w:hAnsi="Arial" w:cs="Arial"/>
        </w:rPr>
        <w:t xml:space="preserve">, </w:t>
      </w:r>
      <w:r w:rsidRPr="00D627F8">
        <w:rPr>
          <w:rFonts w:ascii="Arial" w:hAnsi="Arial" w:cs="Arial"/>
        </w:rPr>
        <w:t>leads to complications with the eyes (retinopathy), kidneys (nephropathy), and nerves (neuropathy). Damage to larger vessels raises the risk of heart disease, stroke, and poor circulation in the legs (International Diabetes Federation, 2021). This damage tends to build up silently over many years with few obvious symptoms, which is exactly why early management is so important.</w:t>
      </w:r>
    </w:p>
    <w:p w14:paraId="41295587" w14:textId="236AB186" w:rsidR="00117B91" w:rsidRPr="00D627F8" w:rsidRDefault="00000000" w:rsidP="00D627F8">
      <w:pPr>
        <w:spacing w:after="180" w:line="360" w:lineRule="auto"/>
        <w:jc w:val="both"/>
        <w:rPr>
          <w:rFonts w:ascii="Arial" w:hAnsi="Arial" w:cs="Arial"/>
        </w:rPr>
      </w:pPr>
      <w:r w:rsidRPr="00D627F8">
        <w:rPr>
          <w:rFonts w:ascii="Arial" w:hAnsi="Arial" w:cs="Arial"/>
        </w:rPr>
        <w:t xml:space="preserve">The lifestyle choices a person makes have a direct bearing on how quickly these problems develop. A diet high in sugary or refined foods causes repeated blood sugar </w:t>
      </w:r>
      <w:r w:rsidRPr="00D627F8">
        <w:rPr>
          <w:rFonts w:ascii="Arial" w:hAnsi="Arial" w:cs="Arial"/>
        </w:rPr>
        <w:lastRenderedPageBreak/>
        <w:t xml:space="preserve">spikes, placing constant strain on the insulin response. Physical inactivity reduces the body's natural ability to clear glucose from the blood; exercise, by contrast, activates a route into muscle cells that does not need insulin at all, which is especially helpful when the normal pathway is impaired (Colberg </w:t>
      </w:r>
      <w:r w:rsidRPr="00D627F8">
        <w:rPr>
          <w:rFonts w:ascii="Arial" w:hAnsi="Arial" w:cs="Arial"/>
          <w:b/>
          <w:bCs/>
        </w:rPr>
        <w:t>et</w:t>
      </w:r>
      <w:r w:rsidRPr="00D627F8">
        <w:rPr>
          <w:rFonts w:ascii="Arial" w:hAnsi="Arial" w:cs="Arial"/>
        </w:rPr>
        <w:t xml:space="preserve"> </w:t>
      </w:r>
      <w:r w:rsidRPr="00D627F8">
        <w:rPr>
          <w:rFonts w:ascii="Arial" w:hAnsi="Arial" w:cs="Arial"/>
          <w:b/>
          <w:bCs/>
        </w:rPr>
        <w:t>al</w:t>
      </w:r>
      <w:r w:rsidRPr="00D627F8">
        <w:rPr>
          <w:rFonts w:ascii="Arial" w:hAnsi="Arial" w:cs="Arial"/>
        </w:rPr>
        <w:t>., 2016). Smoking adds further harm by increasing insulin resistance and damaging blood vessels on top of the damage diabetes is already causing (NICE, 2022).</w:t>
      </w:r>
    </w:p>
    <w:p w14:paraId="4B93CA88" w14:textId="2B6AF442" w:rsidR="00E268FA" w:rsidRPr="00D627F8" w:rsidRDefault="00000000" w:rsidP="00D627F8">
      <w:pPr>
        <w:pStyle w:val="Heading1"/>
        <w:spacing w:line="360" w:lineRule="auto"/>
        <w:jc w:val="both"/>
        <w:rPr>
          <w:rFonts w:ascii="Arial" w:hAnsi="Arial" w:cs="Arial"/>
          <w:color w:val="auto"/>
          <w:sz w:val="22"/>
          <w:szCs w:val="22"/>
        </w:rPr>
      </w:pPr>
      <w:bookmarkStart w:id="4" w:name="_Toc233026682"/>
      <w:r w:rsidRPr="00D627F8">
        <w:rPr>
          <w:rFonts w:ascii="Arial" w:hAnsi="Arial" w:cs="Arial"/>
          <w:color w:val="auto"/>
          <w:sz w:val="22"/>
          <w:szCs w:val="22"/>
        </w:rPr>
        <w:t xml:space="preserve">Section 3: Monitoring </w:t>
      </w:r>
      <w:r w:rsidR="00E268FA" w:rsidRPr="00D627F8">
        <w:rPr>
          <w:rFonts w:ascii="Arial" w:hAnsi="Arial" w:cs="Arial"/>
          <w:color w:val="auto"/>
          <w:sz w:val="22"/>
          <w:szCs w:val="22"/>
        </w:rPr>
        <w:t>and Data Use</w:t>
      </w:r>
      <w:bookmarkEnd w:id="4"/>
    </w:p>
    <w:p w14:paraId="0B789DB9" w14:textId="4133958C" w:rsidR="00DD52DF" w:rsidRPr="00D627F8" w:rsidRDefault="00000000" w:rsidP="00D627F8">
      <w:pPr>
        <w:spacing w:after="180" w:line="360" w:lineRule="auto"/>
        <w:jc w:val="both"/>
        <w:rPr>
          <w:rFonts w:ascii="Arial" w:hAnsi="Arial" w:cs="Arial"/>
        </w:rPr>
      </w:pPr>
      <w:r w:rsidRPr="00D627F8">
        <w:rPr>
          <w:rFonts w:ascii="Arial" w:hAnsi="Arial" w:cs="Arial"/>
        </w:rPr>
        <w:t>Keeping a regular record of blood sugar levels is one of the most practical tools available for managing Type 2 diabetes day to day. The most direct approach is self-monitoring of blood glucose (SMBG)</w:t>
      </w:r>
      <w:r w:rsidR="00744C84" w:rsidRPr="00D627F8">
        <w:rPr>
          <w:rFonts w:ascii="Arial" w:hAnsi="Arial" w:cs="Arial"/>
        </w:rPr>
        <w:t>. This is</w:t>
      </w:r>
      <w:r w:rsidRPr="00D627F8">
        <w:rPr>
          <w:rFonts w:ascii="Arial" w:hAnsi="Arial" w:cs="Arial"/>
        </w:rPr>
        <w:t xml:space="preserve"> a simple finger-prick test using a handheld glucometer that gives an immediate reading in mmol/L. This can show, in real time, how a particular meal, a bout of exercise, stress, or an illness is affecting blood sugar. It is worth noting, however, that NICE (2022) </w:t>
      </w:r>
      <w:r w:rsidR="009F45E0">
        <w:rPr>
          <w:rFonts w:ascii="Arial" w:hAnsi="Arial" w:cs="Arial"/>
        </w:rPr>
        <w:t>highlighted that routine SMBG is not recommendab</w:t>
      </w:r>
      <w:r w:rsidR="000D08EE">
        <w:rPr>
          <w:rFonts w:ascii="Arial" w:hAnsi="Arial" w:cs="Arial"/>
        </w:rPr>
        <w:t>le</w:t>
      </w:r>
      <w:r w:rsidRPr="00D627F8">
        <w:rPr>
          <w:rFonts w:ascii="Arial" w:hAnsi="Arial" w:cs="Arial"/>
        </w:rPr>
        <w:t xml:space="preserve"> for all patients with Type 2 diabetes who are not on insulin</w:t>
      </w:r>
      <w:r w:rsidR="004534DE" w:rsidRPr="00D627F8">
        <w:rPr>
          <w:rFonts w:ascii="Arial" w:hAnsi="Arial" w:cs="Arial"/>
        </w:rPr>
        <w:t>. T</w:t>
      </w:r>
      <w:r w:rsidRPr="00D627F8">
        <w:rPr>
          <w:rFonts w:ascii="Arial" w:hAnsi="Arial" w:cs="Arial"/>
        </w:rPr>
        <w:t>he evidence suggests it is most beneficial when results are regularly reviewed and acted upon with a healthcare professional, rather than simply recorded.</w:t>
      </w:r>
    </w:p>
    <w:p w14:paraId="2D477E73" w14:textId="77777777" w:rsidR="00DD52DF" w:rsidRPr="00D627F8" w:rsidRDefault="00000000" w:rsidP="00D627F8">
      <w:pPr>
        <w:spacing w:after="180" w:line="360" w:lineRule="auto"/>
        <w:jc w:val="both"/>
        <w:rPr>
          <w:rFonts w:ascii="Arial" w:hAnsi="Arial" w:cs="Arial"/>
        </w:rPr>
      </w:pPr>
      <w:r w:rsidRPr="00D627F8">
        <w:rPr>
          <w:rFonts w:ascii="Arial" w:hAnsi="Arial" w:cs="Arial"/>
        </w:rPr>
        <w:t>The HbA1c blood test offers a longer view. When blood sugar is high, glucose attaches to haemoglobin in red blood cells. Since these cells survive for roughly two to three months, measuring the proportion with glucose attached gives a reliable three-month average of blood sugar control. NICE (2022) recommends that most patients managing their condition through lifestyle changes or metformin aim for an HbA1c of 48 mmol/mol (6.5%), as staying near this target significantly reduces the risk of the complications described in Section 2.</w:t>
      </w:r>
    </w:p>
    <w:p w14:paraId="469B238E" w14:textId="136E884B" w:rsidR="00DC2945" w:rsidRPr="00D627F8" w:rsidRDefault="00000000" w:rsidP="00D627F8">
      <w:pPr>
        <w:spacing w:after="180" w:line="360" w:lineRule="auto"/>
        <w:jc w:val="both"/>
        <w:rPr>
          <w:rFonts w:ascii="Arial" w:hAnsi="Arial" w:cs="Arial"/>
        </w:rPr>
      </w:pPr>
      <w:r w:rsidRPr="00D627F8">
        <w:rPr>
          <w:rFonts w:ascii="Arial" w:hAnsi="Arial" w:cs="Arial"/>
        </w:rPr>
        <w:t xml:space="preserve">Blood sugar data also serves an important function at a wider NHS level. The National Diabetes Audit (NHS England, 2023) collects HbA1c and other care data from GP practices across England, enabling benchmarking and identification of gaps in care. Structured education programmes such as DESMOND (Diabetes Education and Self-Management for Ongoing and Newly Diagnosed) have been shown through randomised controlled trial evidence to improve patients' understanding and engagement with their condition (Davies </w:t>
      </w:r>
      <w:r w:rsidRPr="00D627F8">
        <w:rPr>
          <w:rFonts w:ascii="Arial" w:hAnsi="Arial" w:cs="Arial"/>
          <w:b/>
          <w:bCs/>
        </w:rPr>
        <w:t>et</w:t>
      </w:r>
      <w:r w:rsidRPr="00D627F8">
        <w:rPr>
          <w:rFonts w:ascii="Arial" w:hAnsi="Arial" w:cs="Arial"/>
        </w:rPr>
        <w:t xml:space="preserve"> </w:t>
      </w:r>
      <w:r w:rsidRPr="00D627F8">
        <w:rPr>
          <w:rFonts w:ascii="Arial" w:hAnsi="Arial" w:cs="Arial"/>
          <w:b/>
          <w:bCs/>
        </w:rPr>
        <w:t>al</w:t>
      </w:r>
      <w:r w:rsidRPr="00D627F8">
        <w:rPr>
          <w:rFonts w:ascii="Arial" w:hAnsi="Arial" w:cs="Arial"/>
        </w:rPr>
        <w:t>., 2008), and are recommended by NICE as part of initial diabetes care. This is a clear example of how routine health data shapes the design and delivery of care at both individual and system level.</w:t>
      </w:r>
    </w:p>
    <w:p w14:paraId="43918B7C" w14:textId="05E894A5" w:rsidR="00DD52DF" w:rsidRPr="00D627F8" w:rsidRDefault="00000000" w:rsidP="00D627F8">
      <w:pPr>
        <w:pStyle w:val="Heading1"/>
        <w:spacing w:line="360" w:lineRule="auto"/>
        <w:jc w:val="both"/>
        <w:rPr>
          <w:rFonts w:ascii="Arial" w:hAnsi="Arial" w:cs="Arial"/>
          <w:color w:val="auto"/>
          <w:sz w:val="22"/>
          <w:szCs w:val="22"/>
        </w:rPr>
      </w:pPr>
      <w:bookmarkStart w:id="5" w:name="_Toc233026683"/>
      <w:r w:rsidRPr="00D627F8">
        <w:rPr>
          <w:rFonts w:ascii="Arial" w:hAnsi="Arial" w:cs="Arial"/>
          <w:color w:val="auto"/>
          <w:sz w:val="22"/>
          <w:szCs w:val="22"/>
        </w:rPr>
        <w:lastRenderedPageBreak/>
        <w:t xml:space="preserve">Section 4: </w:t>
      </w:r>
      <w:r w:rsidR="006D4EBE" w:rsidRPr="00D627F8">
        <w:rPr>
          <w:rFonts w:ascii="Arial" w:hAnsi="Arial" w:cs="Arial"/>
          <w:color w:val="auto"/>
          <w:sz w:val="22"/>
          <w:szCs w:val="22"/>
        </w:rPr>
        <w:t xml:space="preserve">Evidence-Based </w:t>
      </w:r>
      <w:r w:rsidRPr="00D627F8">
        <w:rPr>
          <w:rFonts w:ascii="Arial" w:hAnsi="Arial" w:cs="Arial"/>
          <w:color w:val="auto"/>
          <w:sz w:val="22"/>
          <w:szCs w:val="22"/>
        </w:rPr>
        <w:t xml:space="preserve">Lifestyle </w:t>
      </w:r>
      <w:r w:rsidR="006D4EBE" w:rsidRPr="00D627F8">
        <w:rPr>
          <w:rFonts w:ascii="Arial" w:hAnsi="Arial" w:cs="Arial"/>
          <w:color w:val="auto"/>
          <w:sz w:val="22"/>
          <w:szCs w:val="22"/>
        </w:rPr>
        <w:t>Recommendations</w:t>
      </w:r>
      <w:bookmarkEnd w:id="5"/>
    </w:p>
    <w:p w14:paraId="41A0E7BE" w14:textId="1E1CD31E" w:rsidR="00DD52DF" w:rsidRPr="00D627F8" w:rsidRDefault="00000000" w:rsidP="00D627F8">
      <w:pPr>
        <w:spacing w:after="180" w:line="360" w:lineRule="auto"/>
        <w:jc w:val="both"/>
        <w:rPr>
          <w:rFonts w:ascii="Arial" w:hAnsi="Arial" w:cs="Arial"/>
        </w:rPr>
      </w:pPr>
      <w:r w:rsidRPr="00D627F8">
        <w:rPr>
          <w:rFonts w:ascii="Arial" w:hAnsi="Arial" w:cs="Arial"/>
        </w:rPr>
        <w:t>The evidence base strongly supports lifestyle modification as the most effective first-line approach to managing Type 2 diabetes and in the right circumstances, it can lead to full clinical remission. The following recommendations are grounded in NICE guidelines and current research.</w:t>
      </w:r>
    </w:p>
    <w:p w14:paraId="54E739BE" w14:textId="77777777" w:rsidR="00DD52DF" w:rsidRPr="00D627F8" w:rsidRDefault="00000000" w:rsidP="00D627F8">
      <w:pPr>
        <w:pStyle w:val="Heading2"/>
        <w:spacing w:line="360" w:lineRule="auto"/>
        <w:jc w:val="both"/>
        <w:rPr>
          <w:rFonts w:ascii="Arial" w:hAnsi="Arial" w:cs="Arial"/>
          <w:color w:val="auto"/>
          <w:sz w:val="22"/>
          <w:szCs w:val="22"/>
        </w:rPr>
      </w:pPr>
      <w:bookmarkStart w:id="6" w:name="_Toc233026684"/>
      <w:r w:rsidRPr="00D627F8">
        <w:rPr>
          <w:rFonts w:ascii="Arial" w:hAnsi="Arial" w:cs="Arial"/>
          <w:color w:val="auto"/>
          <w:sz w:val="22"/>
          <w:szCs w:val="22"/>
        </w:rPr>
        <w:t>Diet</w:t>
      </w:r>
      <w:bookmarkEnd w:id="6"/>
    </w:p>
    <w:p w14:paraId="459F0012" w14:textId="0634C104" w:rsidR="00DD52DF" w:rsidRPr="00D627F8" w:rsidRDefault="00000000" w:rsidP="00D627F8">
      <w:pPr>
        <w:spacing w:after="180" w:line="360" w:lineRule="auto"/>
        <w:jc w:val="both"/>
        <w:rPr>
          <w:rFonts w:ascii="Arial" w:hAnsi="Arial" w:cs="Arial"/>
        </w:rPr>
      </w:pPr>
      <w:r w:rsidRPr="00D627F8">
        <w:rPr>
          <w:rFonts w:ascii="Arial" w:hAnsi="Arial" w:cs="Arial"/>
        </w:rPr>
        <w:t xml:space="preserve">NICE (2022) recommends individualised dietary advice, ideally from a registered dietitian, focused on reducing calorie intake, cutting refined carbohydrates and added sugars, and increasing dietary </w:t>
      </w:r>
      <w:proofErr w:type="spellStart"/>
      <w:r w:rsidRPr="00D627F8">
        <w:rPr>
          <w:rFonts w:ascii="Arial" w:hAnsi="Arial" w:cs="Arial"/>
        </w:rPr>
        <w:t>fibre</w:t>
      </w:r>
      <w:proofErr w:type="spellEnd"/>
      <w:r w:rsidR="000B660B" w:rsidRPr="00D627F8">
        <w:rPr>
          <w:rFonts w:ascii="Arial" w:hAnsi="Arial" w:cs="Arial"/>
        </w:rPr>
        <w:t xml:space="preserve"> such as a</w:t>
      </w:r>
      <w:r w:rsidR="00A150B5" w:rsidRPr="00D627F8">
        <w:rPr>
          <w:rFonts w:ascii="Arial" w:hAnsi="Arial" w:cs="Arial"/>
        </w:rPr>
        <w:t>vocado, oranges, pears</w:t>
      </w:r>
      <w:r w:rsidRPr="00D627F8">
        <w:rPr>
          <w:rFonts w:ascii="Arial" w:hAnsi="Arial" w:cs="Arial"/>
        </w:rPr>
        <w:t>. In practical terms, this might mean swapping white bread or white rice for wholegrain alternatives, replacing sugary breakfast cereals with porridge, and building meals around vegetables, pulses, and lean protein. The Mediterranean diet – rich in these foods alongside fish and olive oil – has strong evidence for improving blood sugar control and reducing cardiovascular risk (Holt</w:t>
      </w:r>
      <w:r w:rsidRPr="00D627F8">
        <w:rPr>
          <w:rFonts w:ascii="Arial" w:hAnsi="Arial" w:cs="Arial"/>
          <w:b/>
          <w:bCs/>
        </w:rPr>
        <w:t xml:space="preserve"> et al</w:t>
      </w:r>
      <w:r w:rsidRPr="00D627F8">
        <w:rPr>
          <w:rFonts w:ascii="Arial" w:hAnsi="Arial" w:cs="Arial"/>
        </w:rPr>
        <w:t>., 2017), and is increasingly referenced in clinical guidance.</w:t>
      </w:r>
    </w:p>
    <w:p w14:paraId="7FD28867" w14:textId="77777777" w:rsidR="00DD52DF" w:rsidRPr="00D627F8" w:rsidRDefault="00000000" w:rsidP="00D627F8">
      <w:pPr>
        <w:pStyle w:val="Heading2"/>
        <w:spacing w:line="360" w:lineRule="auto"/>
        <w:jc w:val="both"/>
        <w:rPr>
          <w:rFonts w:ascii="Arial" w:hAnsi="Arial" w:cs="Arial"/>
          <w:color w:val="auto"/>
          <w:sz w:val="22"/>
          <w:szCs w:val="22"/>
        </w:rPr>
      </w:pPr>
      <w:bookmarkStart w:id="7" w:name="_Toc233026685"/>
      <w:r w:rsidRPr="00D627F8">
        <w:rPr>
          <w:rFonts w:ascii="Arial" w:hAnsi="Arial" w:cs="Arial"/>
          <w:color w:val="auto"/>
          <w:sz w:val="22"/>
          <w:szCs w:val="22"/>
        </w:rPr>
        <w:t>Weight Management</w:t>
      </w:r>
      <w:bookmarkEnd w:id="7"/>
    </w:p>
    <w:p w14:paraId="4AC7DDC4" w14:textId="76856DAC" w:rsidR="00DD52DF" w:rsidRPr="00D627F8" w:rsidRDefault="00000000" w:rsidP="00D627F8">
      <w:pPr>
        <w:spacing w:after="180" w:line="360" w:lineRule="auto"/>
        <w:jc w:val="both"/>
        <w:rPr>
          <w:rFonts w:ascii="Arial" w:hAnsi="Arial" w:cs="Arial"/>
        </w:rPr>
      </w:pPr>
      <w:r w:rsidRPr="00D627F8">
        <w:rPr>
          <w:rFonts w:ascii="Arial" w:hAnsi="Arial" w:cs="Arial"/>
        </w:rPr>
        <w:t xml:space="preserve">Since excess abdominal fat is a primary driver of insulin resistance, losing even a modest amount of weight can have a significant impact </w:t>
      </w:r>
      <w:r w:rsidR="00855B7F" w:rsidRPr="00D627F8">
        <w:rPr>
          <w:rFonts w:ascii="Arial" w:hAnsi="Arial" w:cs="Arial"/>
        </w:rPr>
        <w:t>(</w:t>
      </w:r>
      <w:r w:rsidRPr="00D627F8">
        <w:rPr>
          <w:rFonts w:ascii="Arial" w:hAnsi="Arial" w:cs="Arial"/>
        </w:rPr>
        <w:t xml:space="preserve">Lean </w:t>
      </w:r>
      <w:r w:rsidRPr="00D627F8">
        <w:rPr>
          <w:rFonts w:ascii="Arial" w:hAnsi="Arial" w:cs="Arial"/>
          <w:b/>
          <w:bCs/>
        </w:rPr>
        <w:t>et</w:t>
      </w:r>
      <w:r w:rsidRPr="00D627F8">
        <w:rPr>
          <w:rFonts w:ascii="Arial" w:hAnsi="Arial" w:cs="Arial"/>
        </w:rPr>
        <w:t xml:space="preserve"> </w:t>
      </w:r>
      <w:r w:rsidRPr="00D627F8">
        <w:rPr>
          <w:rFonts w:ascii="Arial" w:hAnsi="Arial" w:cs="Arial"/>
          <w:b/>
          <w:bCs/>
        </w:rPr>
        <w:t>al</w:t>
      </w:r>
      <w:r w:rsidRPr="00D627F8">
        <w:rPr>
          <w:rFonts w:ascii="Arial" w:hAnsi="Arial" w:cs="Arial"/>
        </w:rPr>
        <w:t>.</w:t>
      </w:r>
      <w:r w:rsidR="00855B7F" w:rsidRPr="00D627F8">
        <w:rPr>
          <w:rFonts w:ascii="Arial" w:hAnsi="Arial" w:cs="Arial"/>
        </w:rPr>
        <w:t xml:space="preserve">, </w:t>
      </w:r>
      <w:r w:rsidRPr="00D627F8">
        <w:rPr>
          <w:rFonts w:ascii="Arial" w:hAnsi="Arial" w:cs="Arial"/>
        </w:rPr>
        <w:t xml:space="preserve">2018) found that a reduction of five to ten per cent of body weight led to meaningful improvements in both insulin sensitivity and HbA1c. The </w:t>
      </w:r>
      <w:r w:rsidR="00EC2CDC">
        <w:rPr>
          <w:rFonts w:ascii="Arial" w:hAnsi="Arial" w:cs="Arial"/>
        </w:rPr>
        <w:t>d</w:t>
      </w:r>
      <w:r w:rsidR="00EC2CDC" w:rsidRPr="00D627F8">
        <w:rPr>
          <w:rFonts w:ascii="Arial" w:hAnsi="Arial" w:cs="Arial"/>
        </w:rPr>
        <w:t>irect</w:t>
      </w:r>
      <w:r w:rsidRPr="00D627F8">
        <w:rPr>
          <w:rFonts w:ascii="Arial" w:hAnsi="Arial" w:cs="Arial"/>
        </w:rPr>
        <w:t xml:space="preserve"> trial</w:t>
      </w:r>
      <w:r w:rsidR="00AD6F6D" w:rsidRPr="00D627F8">
        <w:rPr>
          <w:rFonts w:ascii="Arial" w:hAnsi="Arial" w:cs="Arial"/>
        </w:rPr>
        <w:t>,</w:t>
      </w:r>
      <w:r w:rsidRPr="00D627F8">
        <w:rPr>
          <w:rFonts w:ascii="Arial" w:hAnsi="Arial" w:cs="Arial"/>
        </w:rPr>
        <w:t xml:space="preserve"> </w:t>
      </w:r>
      <w:r w:rsidR="00AD6F6D" w:rsidRPr="00D627F8">
        <w:rPr>
          <w:rFonts w:ascii="Arial" w:hAnsi="Arial" w:cs="Arial"/>
        </w:rPr>
        <w:t>which is</w:t>
      </w:r>
      <w:r w:rsidRPr="00D627F8">
        <w:rPr>
          <w:rFonts w:ascii="Arial" w:hAnsi="Arial" w:cs="Arial"/>
        </w:rPr>
        <w:t xml:space="preserve"> conducted in UK primary care</w:t>
      </w:r>
      <w:r w:rsidR="00AD6F6D" w:rsidRPr="00D627F8">
        <w:rPr>
          <w:rFonts w:ascii="Arial" w:hAnsi="Arial" w:cs="Arial"/>
        </w:rPr>
        <w:t>,</w:t>
      </w:r>
      <w:r w:rsidRPr="00D627F8">
        <w:rPr>
          <w:rFonts w:ascii="Arial" w:hAnsi="Arial" w:cs="Arial"/>
        </w:rPr>
        <w:t xml:space="preserve"> showed that a structured low</w:t>
      </w:r>
      <w:r w:rsidR="00EC2CDC">
        <w:rPr>
          <w:rFonts w:ascii="Arial" w:hAnsi="Arial" w:cs="Arial"/>
        </w:rPr>
        <w:t xml:space="preserve">  </w:t>
      </w:r>
      <w:r w:rsidRPr="00D627F8">
        <w:rPr>
          <w:rFonts w:ascii="Arial" w:hAnsi="Arial" w:cs="Arial"/>
        </w:rPr>
        <w:t>calorie programme achieved diabetes remission in 46 per cent of participants at twelve months. It is honest to acknowledge, however, that 54 per cent did not achieve remission, and the programme required intensive clinical support that is not uniformly available. Even where remission is not the outcome, meaningful blood sugar improvements remain achievable through sustained weight loss.</w:t>
      </w:r>
    </w:p>
    <w:p w14:paraId="709375E7" w14:textId="77777777" w:rsidR="00DD52DF" w:rsidRDefault="00000000" w:rsidP="00D627F8">
      <w:pPr>
        <w:pStyle w:val="Heading2"/>
        <w:spacing w:line="360" w:lineRule="auto"/>
        <w:jc w:val="both"/>
        <w:rPr>
          <w:rFonts w:ascii="Arial" w:hAnsi="Arial" w:cs="Arial"/>
          <w:color w:val="auto"/>
          <w:sz w:val="22"/>
          <w:szCs w:val="22"/>
        </w:rPr>
      </w:pPr>
      <w:bookmarkStart w:id="8" w:name="_Toc233026686"/>
      <w:r w:rsidRPr="00D627F8">
        <w:rPr>
          <w:rFonts w:ascii="Arial" w:hAnsi="Arial" w:cs="Arial"/>
          <w:color w:val="auto"/>
          <w:sz w:val="22"/>
          <w:szCs w:val="22"/>
        </w:rPr>
        <w:t>Physical Activity</w:t>
      </w:r>
      <w:bookmarkEnd w:id="8"/>
    </w:p>
    <w:p w14:paraId="1E885C70" w14:textId="64C48C5F" w:rsidR="00972334" w:rsidRPr="00A77EE8" w:rsidRDefault="00A77EE8" w:rsidP="00A77EE8">
      <w:pPr>
        <w:spacing w:line="360" w:lineRule="auto"/>
        <w:rPr>
          <w:rFonts w:ascii="Arial" w:hAnsi="Arial" w:cs="Arial"/>
        </w:rPr>
      </w:pPr>
      <w:r w:rsidRPr="00A77EE8">
        <w:rPr>
          <w:rFonts w:ascii="Arial" w:hAnsi="Arial" w:cs="Arial"/>
        </w:rPr>
        <w:t>Exercise has another benefit for those with Type 2 diabetes. Physical activity triggers a process that allows cells in muscles to absorb glucose without the need for insulin (Colberg et al., 2016). </w:t>
      </w:r>
      <w:r w:rsidRPr="00A77EE8">
        <w:rPr>
          <w:rFonts w:ascii="Arial" w:hAnsi="Arial" w:cs="Arial"/>
        </w:rPr>
        <w:t>Therefore,</w:t>
      </w:r>
      <w:r w:rsidRPr="00A77EE8">
        <w:rPr>
          <w:rFonts w:ascii="Arial" w:hAnsi="Arial" w:cs="Arial"/>
        </w:rPr>
        <w:t xml:space="preserve"> exercise helps to address the root problem of insulin resistance. The Diabetes Prevention Program Research Group (2002) found that structured lifestyle programmes that included exercise and nutrition education reduced the incidence of Type 2 diabetes by 58 per cent in high-risk participants. At least 150 minutes of moderate intensity exercise per week plus muscle strengthening activities on </w:t>
      </w:r>
      <w:r w:rsidRPr="00A77EE8">
        <w:rPr>
          <w:rFonts w:ascii="Arial" w:hAnsi="Arial" w:cs="Arial"/>
        </w:rPr>
        <w:lastRenderedPageBreak/>
        <w:t>2 days per week is recommended (NICE, 20 22). However, above all exercise needs to be something that the patient enjoys. People are more likely to continue with exercise long-term if they participate in activities that they enjoy.</w:t>
      </w:r>
    </w:p>
    <w:p w14:paraId="154DC43A" w14:textId="77777777" w:rsidR="00DD52DF" w:rsidRPr="00D627F8" w:rsidRDefault="00000000" w:rsidP="00D627F8">
      <w:pPr>
        <w:pStyle w:val="Heading2"/>
        <w:spacing w:line="360" w:lineRule="auto"/>
        <w:jc w:val="both"/>
        <w:rPr>
          <w:rFonts w:ascii="Arial" w:hAnsi="Arial" w:cs="Arial"/>
          <w:color w:val="auto"/>
          <w:sz w:val="22"/>
          <w:szCs w:val="22"/>
        </w:rPr>
      </w:pPr>
      <w:bookmarkStart w:id="9" w:name="_Toc233026687"/>
      <w:r w:rsidRPr="00D627F8">
        <w:rPr>
          <w:rFonts w:ascii="Arial" w:hAnsi="Arial" w:cs="Arial"/>
          <w:color w:val="auto"/>
          <w:sz w:val="22"/>
          <w:szCs w:val="22"/>
        </w:rPr>
        <w:t>Smoking Cessation</w:t>
      </w:r>
      <w:bookmarkEnd w:id="9"/>
    </w:p>
    <w:p w14:paraId="636D9CF7" w14:textId="050EABE6" w:rsidR="00DD52DF" w:rsidRPr="00D627F8" w:rsidRDefault="00000000" w:rsidP="00D627F8">
      <w:pPr>
        <w:spacing w:after="180" w:line="360" w:lineRule="auto"/>
        <w:jc w:val="both"/>
        <w:rPr>
          <w:rFonts w:ascii="Arial" w:hAnsi="Arial" w:cs="Arial"/>
        </w:rPr>
      </w:pPr>
      <w:r w:rsidRPr="00D627F8">
        <w:rPr>
          <w:rFonts w:ascii="Arial" w:hAnsi="Arial" w:cs="Arial"/>
        </w:rPr>
        <w:t>For patients who smoke, quitting is one of the most important steps they can take. Smoking increases insulin resistance, damages blood vessels, and compounds cardiovascular risk significantly beyond the harm caused by diabetes alone (NICE, 2022</w:t>
      </w:r>
      <w:r w:rsidR="00DC070E" w:rsidRPr="00D627F8">
        <w:rPr>
          <w:rFonts w:ascii="Arial" w:hAnsi="Arial" w:cs="Arial"/>
        </w:rPr>
        <w:t>). Nicotine</w:t>
      </w:r>
      <w:r w:rsidR="0033317A" w:rsidRPr="00D627F8">
        <w:rPr>
          <w:rFonts w:ascii="Arial" w:hAnsi="Arial" w:cs="Arial"/>
        </w:rPr>
        <w:t xml:space="preserve"> replacement therapy</w:t>
      </w:r>
      <w:r w:rsidR="00DC070E">
        <w:rPr>
          <w:rFonts w:ascii="Arial" w:hAnsi="Arial" w:cs="Arial"/>
        </w:rPr>
        <w:t>,</w:t>
      </w:r>
      <w:r w:rsidRPr="00D627F8">
        <w:rPr>
          <w:rFonts w:ascii="Arial" w:hAnsi="Arial" w:cs="Arial"/>
        </w:rPr>
        <w:t xml:space="preserve"> </w:t>
      </w:r>
      <w:r w:rsidR="0033317A" w:rsidRPr="00D627F8">
        <w:rPr>
          <w:rFonts w:ascii="Arial" w:hAnsi="Arial" w:cs="Arial"/>
        </w:rPr>
        <w:t>NHS Stop Smoking services</w:t>
      </w:r>
      <w:r w:rsidR="0033317A" w:rsidRPr="00D627F8">
        <w:rPr>
          <w:rFonts w:ascii="Arial" w:hAnsi="Arial" w:cs="Arial"/>
        </w:rPr>
        <w:t xml:space="preserve"> </w:t>
      </w:r>
      <w:r w:rsidRPr="00D627F8">
        <w:rPr>
          <w:rFonts w:ascii="Arial" w:hAnsi="Arial" w:cs="Arial"/>
        </w:rPr>
        <w:t xml:space="preserve">and </w:t>
      </w:r>
      <w:r w:rsidR="00DC070E" w:rsidRPr="00D627F8">
        <w:rPr>
          <w:rFonts w:ascii="Arial" w:hAnsi="Arial" w:cs="Arial"/>
        </w:rPr>
        <w:t>varenicline</w:t>
      </w:r>
      <w:r w:rsidR="00DC070E" w:rsidRPr="00D627F8">
        <w:rPr>
          <w:rFonts w:ascii="Arial" w:hAnsi="Arial" w:cs="Arial"/>
        </w:rPr>
        <w:t xml:space="preserve"> </w:t>
      </w:r>
      <w:r w:rsidRPr="00D627F8">
        <w:rPr>
          <w:rFonts w:ascii="Arial" w:hAnsi="Arial" w:cs="Arial"/>
        </w:rPr>
        <w:t xml:space="preserve">all have strong evidence behind them, with combination approaches tending to be the most effective (NICE, 2022). A brief, non-judgmental conversation at each appointment </w:t>
      </w:r>
      <w:r w:rsidR="00735B4D" w:rsidRPr="00D627F8">
        <w:rPr>
          <w:rFonts w:ascii="Arial" w:hAnsi="Arial" w:cs="Arial"/>
        </w:rPr>
        <w:t xml:space="preserve">as well </w:t>
      </w:r>
      <w:r w:rsidRPr="00D627F8">
        <w:rPr>
          <w:rFonts w:ascii="Arial" w:hAnsi="Arial" w:cs="Arial"/>
        </w:rPr>
        <w:t>a</w:t>
      </w:r>
      <w:r w:rsidR="00735B4D" w:rsidRPr="00D627F8">
        <w:rPr>
          <w:rFonts w:ascii="Arial" w:hAnsi="Arial" w:cs="Arial"/>
        </w:rPr>
        <w:t>s</w:t>
      </w:r>
      <w:r w:rsidRPr="00D627F8">
        <w:rPr>
          <w:rFonts w:ascii="Arial" w:hAnsi="Arial" w:cs="Arial"/>
        </w:rPr>
        <w:t xml:space="preserve"> referral to a cessation service can make a genuine difference.</w:t>
      </w:r>
    </w:p>
    <w:p w14:paraId="7F2B9CE6" w14:textId="77777777" w:rsidR="00DD52DF" w:rsidRPr="00D627F8" w:rsidRDefault="00000000" w:rsidP="00D627F8">
      <w:pPr>
        <w:pStyle w:val="Heading1"/>
        <w:spacing w:line="360" w:lineRule="auto"/>
        <w:jc w:val="both"/>
        <w:rPr>
          <w:rFonts w:ascii="Arial" w:hAnsi="Arial" w:cs="Arial"/>
          <w:color w:val="auto"/>
          <w:sz w:val="22"/>
          <w:szCs w:val="22"/>
        </w:rPr>
      </w:pPr>
      <w:bookmarkStart w:id="10" w:name="_Toc233026688"/>
      <w:r w:rsidRPr="00D627F8">
        <w:rPr>
          <w:rFonts w:ascii="Arial" w:hAnsi="Arial" w:cs="Arial"/>
          <w:color w:val="auto"/>
          <w:sz w:val="22"/>
          <w:szCs w:val="22"/>
        </w:rPr>
        <w:t>Conclusion</w:t>
      </w:r>
      <w:bookmarkEnd w:id="10"/>
    </w:p>
    <w:p w14:paraId="472F1658" w14:textId="2D9B0BDB" w:rsidR="00DD52DF" w:rsidRPr="00D627F8" w:rsidRDefault="00000000" w:rsidP="00D627F8">
      <w:pPr>
        <w:spacing w:after="180" w:line="360" w:lineRule="auto"/>
        <w:jc w:val="both"/>
        <w:rPr>
          <w:rFonts w:ascii="Arial" w:hAnsi="Arial" w:cs="Arial"/>
        </w:rPr>
      </w:pPr>
      <w:r w:rsidRPr="00D627F8">
        <w:rPr>
          <w:rFonts w:ascii="Arial" w:hAnsi="Arial" w:cs="Arial"/>
        </w:rPr>
        <w:t>Type 2 diabetes is a serious condition, but one that responds well to informed self-management and, in some cases, can be put into remission entirely. As this report has set out, it develops when the body's blood sugar regulation breaks down</w:t>
      </w:r>
      <w:r w:rsidR="00B663EB" w:rsidRPr="00D627F8">
        <w:rPr>
          <w:rFonts w:ascii="Arial" w:hAnsi="Arial" w:cs="Arial"/>
        </w:rPr>
        <w:t>,</w:t>
      </w:r>
      <w:r w:rsidRPr="00D627F8">
        <w:rPr>
          <w:rFonts w:ascii="Arial" w:hAnsi="Arial" w:cs="Arial"/>
        </w:rPr>
        <w:t xml:space="preserve"> starting with insulin resistance and progressing to chronic hyperglycaemia that silently damages blood vessels and nerves. The earlier this is identified and addressed, the better the long-term outlook.</w:t>
      </w:r>
    </w:p>
    <w:p w14:paraId="7479124B" w14:textId="3E4D1582" w:rsidR="00DD52DF" w:rsidRPr="00D627F8" w:rsidRDefault="00000000" w:rsidP="00D627F8">
      <w:pPr>
        <w:spacing w:after="180" w:line="360" w:lineRule="auto"/>
        <w:jc w:val="both"/>
        <w:rPr>
          <w:rFonts w:ascii="Arial" w:hAnsi="Arial" w:cs="Arial"/>
        </w:rPr>
      </w:pPr>
      <w:r w:rsidRPr="00D627F8">
        <w:rPr>
          <w:rFonts w:ascii="Arial" w:hAnsi="Arial" w:cs="Arial"/>
        </w:rPr>
        <w:t xml:space="preserve">Regular monitoring through self-testing and HbA1c checks gives patients and their clinical team the information needed to stay on top of things and spot problems early. The lifestyle evidence is genuinely </w:t>
      </w:r>
      <w:r w:rsidR="00E75E03" w:rsidRPr="00D627F8">
        <w:rPr>
          <w:rFonts w:ascii="Arial" w:hAnsi="Arial" w:cs="Arial"/>
        </w:rPr>
        <w:t>encouraging</w:t>
      </w:r>
      <w:r w:rsidRPr="00D627F8">
        <w:rPr>
          <w:rFonts w:ascii="Arial" w:hAnsi="Arial" w:cs="Arial"/>
        </w:rPr>
        <w:t xml:space="preserve"> dietary changes, physical activity, weight management, and stopping smoking can together transform a patient's trajectory. The DiRECT trial has shown that remission is not just a theoretical goal. It must be acknowledged, however, that access to intensive support is not equal across all settings, and not every patient will achieve full </w:t>
      </w:r>
      <w:r w:rsidR="00E75E03" w:rsidRPr="00D627F8">
        <w:rPr>
          <w:rFonts w:ascii="Arial" w:hAnsi="Arial" w:cs="Arial"/>
        </w:rPr>
        <w:t>remission,</w:t>
      </w:r>
      <w:r w:rsidRPr="00D627F8">
        <w:rPr>
          <w:rFonts w:ascii="Arial" w:hAnsi="Arial" w:cs="Arial"/>
        </w:rPr>
        <w:t xml:space="preserve"> but clinically meaningful improvements are within reach for most.</w:t>
      </w:r>
    </w:p>
    <w:p w14:paraId="63BFCFC3" w14:textId="2CA99452" w:rsidR="00DD52DF" w:rsidRPr="00D627F8" w:rsidRDefault="00000000" w:rsidP="00D627F8">
      <w:pPr>
        <w:spacing w:after="180" w:line="360" w:lineRule="auto"/>
        <w:jc w:val="both"/>
        <w:rPr>
          <w:rFonts w:ascii="Arial" w:hAnsi="Arial" w:cs="Arial"/>
        </w:rPr>
      </w:pPr>
      <w:r w:rsidRPr="00D627F8">
        <w:rPr>
          <w:rFonts w:ascii="Arial" w:hAnsi="Arial" w:cs="Arial"/>
        </w:rPr>
        <w:t>The practice nurse's role in all of this goes beyond taking readings and filling out forms. Delivering clear, empathetic patient education</w:t>
      </w:r>
      <w:r w:rsidR="00B663EB" w:rsidRPr="00D627F8">
        <w:rPr>
          <w:rFonts w:ascii="Arial" w:hAnsi="Arial" w:cs="Arial"/>
        </w:rPr>
        <w:t xml:space="preserve">, </w:t>
      </w:r>
      <w:r w:rsidRPr="00D627F8">
        <w:rPr>
          <w:rFonts w:ascii="Arial" w:hAnsi="Arial" w:cs="Arial"/>
        </w:rPr>
        <w:t>in language that actually makes sense to the person in front of you</w:t>
      </w:r>
      <w:r w:rsidR="00B663EB" w:rsidRPr="00D627F8">
        <w:rPr>
          <w:rFonts w:ascii="Arial" w:hAnsi="Arial" w:cs="Arial"/>
        </w:rPr>
        <w:t xml:space="preserve">, </w:t>
      </w:r>
      <w:r w:rsidRPr="00D627F8">
        <w:rPr>
          <w:rFonts w:ascii="Arial" w:hAnsi="Arial" w:cs="Arial"/>
        </w:rPr>
        <w:t xml:space="preserve">is a clinical intervention in its own right. When patients understand what is happening in their own body and why a particular change matters, they are far more likely to make it and keep it up. Empowering patients </w:t>
      </w:r>
      <w:r w:rsidR="00EE49A4">
        <w:rPr>
          <w:rFonts w:ascii="Arial" w:hAnsi="Arial" w:cs="Arial"/>
        </w:rPr>
        <w:t xml:space="preserve">to actively </w:t>
      </w:r>
      <w:r w:rsidR="00EE49A4">
        <w:rPr>
          <w:rFonts w:ascii="Arial" w:hAnsi="Arial" w:cs="Arial"/>
        </w:rPr>
        <w:lastRenderedPageBreak/>
        <w:t xml:space="preserve">participate in their own </w:t>
      </w:r>
      <w:r w:rsidRPr="00D627F8">
        <w:rPr>
          <w:rFonts w:ascii="Arial" w:hAnsi="Arial" w:cs="Arial"/>
        </w:rPr>
        <w:t>care is ultimately one of the most valuable things a practice nurse can offer.</w:t>
      </w:r>
    </w:p>
    <w:p w14:paraId="50926A3E" w14:textId="77777777" w:rsidR="00DD52DF" w:rsidRPr="00D627F8" w:rsidRDefault="00000000" w:rsidP="00D627F8">
      <w:pPr>
        <w:spacing w:line="360" w:lineRule="auto"/>
        <w:jc w:val="both"/>
        <w:rPr>
          <w:rFonts w:ascii="Arial" w:hAnsi="Arial" w:cs="Arial"/>
        </w:rPr>
      </w:pPr>
      <w:r w:rsidRPr="00D627F8">
        <w:rPr>
          <w:rFonts w:ascii="Arial" w:hAnsi="Arial" w:cs="Arial"/>
        </w:rPr>
        <w:br w:type="page"/>
      </w:r>
    </w:p>
    <w:p w14:paraId="1C02B6C6" w14:textId="2B70133E" w:rsidR="00DD52DF" w:rsidRPr="00D627F8" w:rsidRDefault="00936EA8" w:rsidP="00D627F8">
      <w:pPr>
        <w:pStyle w:val="Heading1"/>
        <w:spacing w:line="360" w:lineRule="auto"/>
        <w:jc w:val="both"/>
        <w:rPr>
          <w:rFonts w:ascii="Arial" w:hAnsi="Arial" w:cs="Arial"/>
          <w:color w:val="auto"/>
          <w:sz w:val="22"/>
          <w:szCs w:val="22"/>
        </w:rPr>
      </w:pPr>
      <w:bookmarkStart w:id="11" w:name="_Toc233026689"/>
      <w:r w:rsidRPr="00D627F8">
        <w:rPr>
          <w:rFonts w:ascii="Arial" w:hAnsi="Arial" w:cs="Arial"/>
          <w:color w:val="auto"/>
          <w:sz w:val="22"/>
          <w:szCs w:val="22"/>
        </w:rPr>
        <w:lastRenderedPageBreak/>
        <w:t>References</w:t>
      </w:r>
      <w:bookmarkEnd w:id="11"/>
    </w:p>
    <w:p w14:paraId="2F2A9323" w14:textId="77777777" w:rsidR="00DD52DF" w:rsidRPr="00D627F8" w:rsidRDefault="00000000" w:rsidP="00D627F8">
      <w:pPr>
        <w:spacing w:after="120" w:line="360" w:lineRule="auto"/>
        <w:ind w:left="720" w:hanging="720"/>
        <w:jc w:val="both"/>
        <w:rPr>
          <w:rFonts w:ascii="Arial" w:hAnsi="Arial" w:cs="Arial"/>
        </w:rPr>
      </w:pPr>
      <w:r w:rsidRPr="00D627F8">
        <w:rPr>
          <w:rFonts w:ascii="Arial" w:hAnsi="Arial" w:cs="Arial"/>
        </w:rPr>
        <w:t>Colberg, S.R., Sigal, R.J., Yardley, J.E., Riddell, M.C., Dunstan, D.W., Dempsey, P.C., Horton, E.S., Castorino, K. and Tate, D.F. (2016) 'Physical activity/exercise and diabetes: a position statement of the American Diabetes Association', Diabetes Care, 39(11), pp. 2065–2079. Available at: https://doi.org/10.2337/dc16-1728 (Accessed: 5 June 2026).</w:t>
      </w:r>
    </w:p>
    <w:p w14:paraId="0F5B6AF4" w14:textId="77777777" w:rsidR="00DD52DF" w:rsidRPr="00D627F8" w:rsidRDefault="00000000" w:rsidP="00D627F8">
      <w:pPr>
        <w:spacing w:after="120" w:line="360" w:lineRule="auto"/>
        <w:ind w:left="720" w:hanging="720"/>
        <w:jc w:val="both"/>
        <w:rPr>
          <w:rFonts w:ascii="Arial" w:hAnsi="Arial" w:cs="Arial"/>
        </w:rPr>
      </w:pPr>
      <w:r w:rsidRPr="00D627F8">
        <w:rPr>
          <w:rFonts w:ascii="Arial" w:hAnsi="Arial" w:cs="Arial"/>
        </w:rPr>
        <w:t>Davies, M.J., Heller, S., Skinner, T.C., Campbell, M.J., Carey, M.E., Cradock, S., Dallosso, H.M., Daly, H., Doherty, Y., Eaton, S., Fox, C., Oliver, L., Rantell, K., Rayman, G. and Khunti, K. (2008) 'Effectiveness of the diabetes education and self management for ongoing and newly diagnosed (DESMOND) programme for people with newly diagnosed type 2 diabetes: cluster randomised controlled trial', BMJ, 336(7642), pp. 491–495. Available at: https://doi.org/10.1136/bmj.39474.922025.BE (Accessed: 5 June 2026).</w:t>
      </w:r>
    </w:p>
    <w:p w14:paraId="4122BFD3" w14:textId="77777777" w:rsidR="00DD52DF" w:rsidRPr="00D627F8" w:rsidRDefault="00000000" w:rsidP="00D627F8">
      <w:pPr>
        <w:spacing w:after="120" w:line="360" w:lineRule="auto"/>
        <w:ind w:left="720" w:hanging="720"/>
        <w:jc w:val="both"/>
        <w:rPr>
          <w:rFonts w:ascii="Arial" w:hAnsi="Arial" w:cs="Arial"/>
        </w:rPr>
      </w:pPr>
      <w:r w:rsidRPr="00D627F8">
        <w:rPr>
          <w:rFonts w:ascii="Arial" w:hAnsi="Arial" w:cs="Arial"/>
        </w:rPr>
        <w:t>Diabetes Prevention Program Research Group (2002) 'Reduction in the incidence of type 2 diabetes with lifestyle intervention or metformin', New England Journal of Medicine, 346(6), pp. 393–403. Available at: https://doi.org/10.1056/NEJMoa012512 (Accessed: 5 June 2026).</w:t>
      </w:r>
    </w:p>
    <w:p w14:paraId="6D25C96E" w14:textId="77777777" w:rsidR="00DD52DF" w:rsidRPr="00D627F8" w:rsidRDefault="00000000" w:rsidP="00D627F8">
      <w:pPr>
        <w:spacing w:after="120" w:line="360" w:lineRule="auto"/>
        <w:ind w:left="720" w:hanging="720"/>
        <w:jc w:val="both"/>
        <w:rPr>
          <w:rFonts w:ascii="Arial" w:hAnsi="Arial" w:cs="Arial"/>
        </w:rPr>
      </w:pPr>
      <w:r w:rsidRPr="00D627F8">
        <w:rPr>
          <w:rFonts w:ascii="Arial" w:hAnsi="Arial" w:cs="Arial"/>
        </w:rPr>
        <w:t>Diabetes UK (2023) State of the Nation 2023: England. London: Diabetes UK. Available at: https://www.diabetes.org.uk/resources/resources-to-improve-your-practice/state-of-the-nation (Accessed: 5 June 2026).</w:t>
      </w:r>
    </w:p>
    <w:p w14:paraId="5DAD819D" w14:textId="77777777" w:rsidR="00DD52DF" w:rsidRPr="00D627F8" w:rsidRDefault="00000000" w:rsidP="00D627F8">
      <w:pPr>
        <w:spacing w:after="120" w:line="360" w:lineRule="auto"/>
        <w:ind w:left="720" w:hanging="720"/>
        <w:jc w:val="both"/>
        <w:rPr>
          <w:rFonts w:ascii="Arial" w:hAnsi="Arial" w:cs="Arial"/>
        </w:rPr>
      </w:pPr>
      <w:r w:rsidRPr="00D627F8">
        <w:rPr>
          <w:rFonts w:ascii="Arial" w:hAnsi="Arial" w:cs="Arial"/>
        </w:rPr>
        <w:t>Holt, R.I.G., Cockram, C., Flyvbjerg, A. and Goldstein, B.J. (eds.) (2017) Textbook of Diabetes. 5th edn. Oxford: Wiley Blackwell.</w:t>
      </w:r>
    </w:p>
    <w:p w14:paraId="6452393A" w14:textId="77777777" w:rsidR="00DD52DF" w:rsidRPr="00D627F8" w:rsidRDefault="00000000" w:rsidP="00D627F8">
      <w:pPr>
        <w:spacing w:after="120" w:line="360" w:lineRule="auto"/>
        <w:ind w:left="720" w:hanging="720"/>
        <w:jc w:val="both"/>
        <w:rPr>
          <w:rFonts w:ascii="Arial" w:hAnsi="Arial" w:cs="Arial"/>
        </w:rPr>
      </w:pPr>
      <w:r w:rsidRPr="00D627F8">
        <w:rPr>
          <w:rFonts w:ascii="Arial" w:hAnsi="Arial" w:cs="Arial"/>
        </w:rPr>
        <w:t>International Diabetes Federation (2021) IDF Diabetes Atlas. 10th edn. Brussels: International Diabetes Federation. Available at: https://diabetesatlas.org (Accessed: 5 June 2026).</w:t>
      </w:r>
    </w:p>
    <w:p w14:paraId="416A5411" w14:textId="77777777" w:rsidR="00DD52DF" w:rsidRPr="00D627F8" w:rsidRDefault="00000000" w:rsidP="00D627F8">
      <w:pPr>
        <w:spacing w:after="120" w:line="360" w:lineRule="auto"/>
        <w:ind w:left="720" w:hanging="720"/>
        <w:jc w:val="both"/>
        <w:rPr>
          <w:rFonts w:ascii="Arial" w:hAnsi="Arial" w:cs="Arial"/>
        </w:rPr>
      </w:pPr>
      <w:r w:rsidRPr="00D627F8">
        <w:rPr>
          <w:rFonts w:ascii="Arial" w:hAnsi="Arial" w:cs="Arial"/>
        </w:rPr>
        <w:t>Lean, M.E.J., Leslie, W.S., Barnes, A.C., Brosnahan, N., Thom, G., McCombie, L., Peters, C., Zhyzhneuskaya, S., Al-Mrabeh, A., Hollingsworth, K.G., Rodrigues, A.M., Rehackova, L., Adamson, A.J., Sniehotta, F.F., Mathers, J.C., Ross, H.M., McIlvenna, Y., Stefanetti, R., Trenell, M., Welsh, P., Kean, S., Ford, I., McConnachie, A., Sattar, N. and Taylor, R. (2018) 'Primary care-led weight management for remission of type 2 diabetes (DiRECT): an open-label, cluster-</w:t>
      </w:r>
      <w:r w:rsidRPr="00D627F8">
        <w:rPr>
          <w:rFonts w:ascii="Arial" w:hAnsi="Arial" w:cs="Arial"/>
        </w:rPr>
        <w:lastRenderedPageBreak/>
        <w:t>randomised trial', The Lancet, 391(10120), pp. 541–551. Available at: https://doi.org/10.1016/S0140-6736(17)33102-1 (Accessed: 5 June 2026).</w:t>
      </w:r>
    </w:p>
    <w:p w14:paraId="2727DC88" w14:textId="77777777" w:rsidR="00DD52DF" w:rsidRPr="00D627F8" w:rsidRDefault="00000000" w:rsidP="00D627F8">
      <w:pPr>
        <w:spacing w:after="120" w:line="360" w:lineRule="auto"/>
        <w:ind w:left="720" w:hanging="720"/>
        <w:jc w:val="both"/>
        <w:rPr>
          <w:rFonts w:ascii="Arial" w:hAnsi="Arial" w:cs="Arial"/>
        </w:rPr>
      </w:pPr>
      <w:r w:rsidRPr="00D627F8">
        <w:rPr>
          <w:rFonts w:ascii="Arial" w:hAnsi="Arial" w:cs="Arial"/>
        </w:rPr>
        <w:t>Marieb, E.N. and Hoehn, K. (2019) Human Anatomy and Physiology. 11th edn. Harlow: Pearson Education Limited.</w:t>
      </w:r>
    </w:p>
    <w:p w14:paraId="3F440467" w14:textId="77777777" w:rsidR="00DD52DF" w:rsidRPr="00D627F8" w:rsidRDefault="00000000" w:rsidP="00D627F8">
      <w:pPr>
        <w:spacing w:after="120" w:line="360" w:lineRule="auto"/>
        <w:ind w:left="720" w:hanging="720"/>
        <w:jc w:val="both"/>
        <w:rPr>
          <w:rFonts w:ascii="Arial" w:hAnsi="Arial" w:cs="Arial"/>
        </w:rPr>
      </w:pPr>
      <w:r w:rsidRPr="00D627F8">
        <w:rPr>
          <w:rFonts w:ascii="Arial" w:hAnsi="Arial" w:cs="Arial"/>
        </w:rPr>
        <w:t>NHS (2023) Type 2 diabetes. Available at: https://www.nhs.uk/conditions/type-2-diabetes/ (Accessed: 5 June 2026).</w:t>
      </w:r>
    </w:p>
    <w:p w14:paraId="2F69C9B2" w14:textId="77777777" w:rsidR="00DD52DF" w:rsidRPr="00D627F8" w:rsidRDefault="00000000" w:rsidP="00D627F8">
      <w:pPr>
        <w:spacing w:after="120" w:line="360" w:lineRule="auto"/>
        <w:ind w:left="720" w:hanging="720"/>
        <w:jc w:val="both"/>
        <w:rPr>
          <w:rFonts w:ascii="Arial" w:hAnsi="Arial" w:cs="Arial"/>
        </w:rPr>
      </w:pPr>
      <w:r w:rsidRPr="00D627F8">
        <w:rPr>
          <w:rFonts w:ascii="Arial" w:hAnsi="Arial" w:cs="Arial"/>
        </w:rPr>
        <w:t>NHS England (2023) National Diabetes Audit 2021–22: Report 1 – Care Processes and Treatment Targets. Leeds: NHS England. Available at: https://digital.nhs.uk/data-and-information/publications/statistical/national-diabetes-audit (Accessed: 5 June 2026).</w:t>
      </w:r>
    </w:p>
    <w:p w14:paraId="086B892F" w14:textId="77777777" w:rsidR="00DD52DF" w:rsidRPr="00D627F8" w:rsidRDefault="00000000" w:rsidP="00D627F8">
      <w:pPr>
        <w:spacing w:after="120" w:line="360" w:lineRule="auto"/>
        <w:ind w:left="720" w:hanging="720"/>
        <w:jc w:val="both"/>
        <w:rPr>
          <w:rFonts w:ascii="Arial" w:hAnsi="Arial" w:cs="Arial"/>
        </w:rPr>
      </w:pPr>
      <w:r w:rsidRPr="00D627F8">
        <w:rPr>
          <w:rFonts w:ascii="Arial" w:hAnsi="Arial" w:cs="Arial"/>
        </w:rPr>
        <w:t>NICE (2022) Type 2 diabetes in adults: management. NICE guideline [NG28]. London: National Institute for Health and Care Excellence. Available at: https://www.nice.org.uk/guidance/ng28 (Accessed: 5 June 2026).</w:t>
      </w:r>
    </w:p>
    <w:p w14:paraId="207A898C" w14:textId="77777777" w:rsidR="00DD52DF" w:rsidRPr="00D627F8" w:rsidRDefault="00000000" w:rsidP="00D627F8">
      <w:pPr>
        <w:spacing w:after="120" w:line="360" w:lineRule="auto"/>
        <w:ind w:left="720" w:hanging="720"/>
        <w:jc w:val="both"/>
        <w:rPr>
          <w:rFonts w:ascii="Arial" w:hAnsi="Arial" w:cs="Arial"/>
        </w:rPr>
      </w:pPr>
      <w:r w:rsidRPr="00D627F8">
        <w:rPr>
          <w:rFonts w:ascii="Arial" w:hAnsi="Arial" w:cs="Arial"/>
        </w:rPr>
        <w:t>Taylor, R. (2013) 'Type 2 diabetes: etiology and reversibility', Diabetes Care, 36(4), pp. 1047–1055. Available at: https://doi.org/10.2337/dc12-1805 (Accessed: 5 June 2026).</w:t>
      </w:r>
    </w:p>
    <w:p w14:paraId="17FB7F8D" w14:textId="77777777" w:rsidR="00DD52DF" w:rsidRPr="00D627F8" w:rsidRDefault="00000000" w:rsidP="00D627F8">
      <w:pPr>
        <w:spacing w:after="120" w:line="360" w:lineRule="auto"/>
        <w:ind w:left="720" w:hanging="720"/>
        <w:jc w:val="both"/>
        <w:rPr>
          <w:rFonts w:ascii="Arial" w:hAnsi="Arial" w:cs="Arial"/>
        </w:rPr>
      </w:pPr>
      <w:r w:rsidRPr="00D627F8">
        <w:rPr>
          <w:rFonts w:ascii="Arial" w:hAnsi="Arial" w:cs="Arial"/>
        </w:rPr>
        <w:t>Tortora, G.J. and Derrickson, B. (2017) Principles of Anatomy and Physiology. 15th edn. Hoboken: Wiley.</w:t>
      </w:r>
    </w:p>
    <w:p w14:paraId="265906D6" w14:textId="77777777" w:rsidR="00DD52DF" w:rsidRPr="00936EA8" w:rsidRDefault="00000000" w:rsidP="00D627F8">
      <w:pPr>
        <w:spacing w:after="120" w:line="360" w:lineRule="auto"/>
        <w:ind w:left="720" w:hanging="720"/>
        <w:jc w:val="both"/>
        <w:rPr>
          <w:rFonts w:ascii="Arial" w:hAnsi="Arial" w:cs="Arial"/>
        </w:rPr>
      </w:pPr>
      <w:r w:rsidRPr="00D627F8">
        <w:rPr>
          <w:rFonts w:ascii="Arial" w:hAnsi="Arial" w:cs="Arial"/>
        </w:rPr>
        <w:t>World Health Organization (2023) Diabetes. Geneva: World Health Organization. Available at: https://www.who.int/news-room/fact-sheets/detail/diabetes</w:t>
      </w:r>
      <w:r w:rsidRPr="00936EA8">
        <w:rPr>
          <w:rFonts w:ascii="Arial" w:hAnsi="Arial" w:cs="Arial"/>
        </w:rPr>
        <w:t xml:space="preserve"> (Accessed: 5 June 2026).</w:t>
      </w:r>
    </w:p>
    <w:sectPr w:rsidR="00DD52DF" w:rsidRPr="00936EA8"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54C2B" w14:textId="77777777" w:rsidR="00C00838" w:rsidRDefault="00C00838" w:rsidP="00012406">
      <w:pPr>
        <w:spacing w:after="0" w:line="240" w:lineRule="auto"/>
      </w:pPr>
      <w:r>
        <w:separator/>
      </w:r>
    </w:p>
  </w:endnote>
  <w:endnote w:type="continuationSeparator" w:id="0">
    <w:p w14:paraId="03697E2A" w14:textId="77777777" w:rsidR="00C00838" w:rsidRDefault="00C00838" w:rsidP="00012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08B6D" w14:textId="77777777" w:rsidR="00C00838" w:rsidRDefault="00C00838" w:rsidP="00012406">
      <w:pPr>
        <w:spacing w:after="0" w:line="240" w:lineRule="auto"/>
      </w:pPr>
      <w:r>
        <w:separator/>
      </w:r>
    </w:p>
  </w:footnote>
  <w:footnote w:type="continuationSeparator" w:id="0">
    <w:p w14:paraId="5C7985D4" w14:textId="77777777" w:rsidR="00C00838" w:rsidRDefault="00C00838" w:rsidP="000124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17833256">
    <w:abstractNumId w:val="8"/>
  </w:num>
  <w:num w:numId="2" w16cid:durableId="1987969107">
    <w:abstractNumId w:val="6"/>
  </w:num>
  <w:num w:numId="3" w16cid:durableId="1049497534">
    <w:abstractNumId w:val="5"/>
  </w:num>
  <w:num w:numId="4" w16cid:durableId="191890706">
    <w:abstractNumId w:val="4"/>
  </w:num>
  <w:num w:numId="5" w16cid:durableId="1031490767">
    <w:abstractNumId w:val="7"/>
  </w:num>
  <w:num w:numId="6" w16cid:durableId="843087630">
    <w:abstractNumId w:val="3"/>
  </w:num>
  <w:num w:numId="7" w16cid:durableId="276832839">
    <w:abstractNumId w:val="2"/>
  </w:num>
  <w:num w:numId="8" w16cid:durableId="1042706015">
    <w:abstractNumId w:val="1"/>
  </w:num>
  <w:num w:numId="9" w16cid:durableId="916935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2406"/>
    <w:rsid w:val="000156B6"/>
    <w:rsid w:val="00034616"/>
    <w:rsid w:val="0003561D"/>
    <w:rsid w:val="00041D7B"/>
    <w:rsid w:val="0006063C"/>
    <w:rsid w:val="0009588D"/>
    <w:rsid w:val="000B660B"/>
    <w:rsid w:val="000C2FE2"/>
    <w:rsid w:val="000D08EE"/>
    <w:rsid w:val="00117B91"/>
    <w:rsid w:val="0015074B"/>
    <w:rsid w:val="001A516B"/>
    <w:rsid w:val="001E0FF4"/>
    <w:rsid w:val="00206FB6"/>
    <w:rsid w:val="00221DFD"/>
    <w:rsid w:val="00271FBD"/>
    <w:rsid w:val="0029639D"/>
    <w:rsid w:val="002C0B78"/>
    <w:rsid w:val="003031F9"/>
    <w:rsid w:val="00326F90"/>
    <w:rsid w:val="0033317A"/>
    <w:rsid w:val="0043146A"/>
    <w:rsid w:val="004534DE"/>
    <w:rsid w:val="004940D3"/>
    <w:rsid w:val="004A557C"/>
    <w:rsid w:val="004B269F"/>
    <w:rsid w:val="004F1039"/>
    <w:rsid w:val="005B6E9C"/>
    <w:rsid w:val="005E3823"/>
    <w:rsid w:val="00664617"/>
    <w:rsid w:val="00680438"/>
    <w:rsid w:val="006B7C9D"/>
    <w:rsid w:val="006D4EBE"/>
    <w:rsid w:val="006F6DFB"/>
    <w:rsid w:val="007354F9"/>
    <w:rsid w:val="00735B4D"/>
    <w:rsid w:val="00744C84"/>
    <w:rsid w:val="007D7038"/>
    <w:rsid w:val="007D7212"/>
    <w:rsid w:val="00855B7F"/>
    <w:rsid w:val="0088602B"/>
    <w:rsid w:val="00936EA8"/>
    <w:rsid w:val="00972334"/>
    <w:rsid w:val="00975255"/>
    <w:rsid w:val="009C467E"/>
    <w:rsid w:val="009C4CBA"/>
    <w:rsid w:val="009F45E0"/>
    <w:rsid w:val="009F7239"/>
    <w:rsid w:val="00A150B5"/>
    <w:rsid w:val="00A34C45"/>
    <w:rsid w:val="00A4423D"/>
    <w:rsid w:val="00A4708B"/>
    <w:rsid w:val="00A704DA"/>
    <w:rsid w:val="00A71F2F"/>
    <w:rsid w:val="00A77EE8"/>
    <w:rsid w:val="00AA1D8D"/>
    <w:rsid w:val="00AD6F6D"/>
    <w:rsid w:val="00B11C8B"/>
    <w:rsid w:val="00B12A50"/>
    <w:rsid w:val="00B2617D"/>
    <w:rsid w:val="00B450A0"/>
    <w:rsid w:val="00B47730"/>
    <w:rsid w:val="00B47E33"/>
    <w:rsid w:val="00B572CE"/>
    <w:rsid w:val="00B663EB"/>
    <w:rsid w:val="00BB18F7"/>
    <w:rsid w:val="00BC6597"/>
    <w:rsid w:val="00BD019A"/>
    <w:rsid w:val="00BD606E"/>
    <w:rsid w:val="00BD7C01"/>
    <w:rsid w:val="00C00838"/>
    <w:rsid w:val="00C17D5F"/>
    <w:rsid w:val="00C2376F"/>
    <w:rsid w:val="00C5797A"/>
    <w:rsid w:val="00C63DB9"/>
    <w:rsid w:val="00CB0664"/>
    <w:rsid w:val="00CD515B"/>
    <w:rsid w:val="00D0337B"/>
    <w:rsid w:val="00D627F8"/>
    <w:rsid w:val="00DC070E"/>
    <w:rsid w:val="00DC2945"/>
    <w:rsid w:val="00DD52DF"/>
    <w:rsid w:val="00DE5557"/>
    <w:rsid w:val="00E268FA"/>
    <w:rsid w:val="00E37A6E"/>
    <w:rsid w:val="00E6616C"/>
    <w:rsid w:val="00E720B0"/>
    <w:rsid w:val="00E75E03"/>
    <w:rsid w:val="00E83FFF"/>
    <w:rsid w:val="00EA7068"/>
    <w:rsid w:val="00EC2CDC"/>
    <w:rsid w:val="00ED075D"/>
    <w:rsid w:val="00EE49A4"/>
    <w:rsid w:val="00EF6E15"/>
    <w:rsid w:val="00F077F3"/>
    <w:rsid w:val="00FC693F"/>
    <w:rsid w:val="00FF070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B01BB6"/>
  <w14:defaultImageDpi w14:val="300"/>
  <w15:docId w15:val="{8886F380-9B47-4671-BC5B-6D9632C1B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C2376F"/>
    <w:pPr>
      <w:spacing w:after="100"/>
    </w:pPr>
  </w:style>
  <w:style w:type="paragraph" w:styleId="TOC2">
    <w:name w:val="toc 2"/>
    <w:basedOn w:val="Normal"/>
    <w:next w:val="Normal"/>
    <w:autoRedefine/>
    <w:uiPriority w:val="39"/>
    <w:unhideWhenUsed/>
    <w:rsid w:val="00C2376F"/>
    <w:pPr>
      <w:spacing w:after="100"/>
      <w:ind w:left="220"/>
    </w:pPr>
  </w:style>
  <w:style w:type="character" w:styleId="Hyperlink">
    <w:name w:val="Hyperlink"/>
    <w:basedOn w:val="DefaultParagraphFont"/>
    <w:uiPriority w:val="99"/>
    <w:unhideWhenUsed/>
    <w:rsid w:val="00C2376F"/>
    <w:rPr>
      <w:color w:val="0000FF" w:themeColor="hyperlink"/>
      <w:u w:val="single"/>
    </w:rPr>
  </w:style>
  <w:style w:type="paragraph" w:styleId="TableofFigures">
    <w:name w:val="table of figures"/>
    <w:basedOn w:val="Normal"/>
    <w:next w:val="Normal"/>
    <w:uiPriority w:val="99"/>
    <w:unhideWhenUsed/>
    <w:rsid w:val="004A557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2107</TotalTime>
  <Pages>11</Pages>
  <Words>2760</Words>
  <Characters>15733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18457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neema njonjo</cp:lastModifiedBy>
  <cp:revision>83</cp:revision>
  <dcterms:created xsi:type="dcterms:W3CDTF">2026-06-19T09:58:00Z</dcterms:created>
  <dcterms:modified xsi:type="dcterms:W3CDTF">2026-06-23T22:50:00Z</dcterms:modified>
  <cp:category/>
</cp:coreProperties>
</file>