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5B090" w14:textId="77777777" w:rsidR="00316AAA" w:rsidRDefault="00316AAA" w:rsidP="00316AAA">
      <w:pPr>
        <w:jc w:val="center"/>
        <w:rPr>
          <w:rFonts w:ascii="Arial" w:hAnsi="Arial" w:cs="Arial"/>
          <w:b/>
          <w:bCs/>
          <w:color w:val="000000" w:themeColor="text1"/>
          <w:sz w:val="52"/>
          <w:szCs w:val="52"/>
        </w:rPr>
      </w:pPr>
    </w:p>
    <w:p w14:paraId="67F2F006" w14:textId="77777777" w:rsidR="00316AAA" w:rsidRDefault="00316AAA" w:rsidP="00316AAA">
      <w:pPr>
        <w:jc w:val="center"/>
        <w:rPr>
          <w:rFonts w:ascii="Arial" w:hAnsi="Arial" w:cs="Arial"/>
          <w:b/>
          <w:bCs/>
          <w:color w:val="000000" w:themeColor="text1"/>
          <w:sz w:val="52"/>
          <w:szCs w:val="52"/>
        </w:rPr>
      </w:pPr>
    </w:p>
    <w:p w14:paraId="05B69C3F" w14:textId="77777777" w:rsidR="00316AAA" w:rsidRDefault="00316AAA" w:rsidP="00316AAA">
      <w:pPr>
        <w:jc w:val="center"/>
        <w:rPr>
          <w:rFonts w:ascii="Arial" w:hAnsi="Arial" w:cs="Arial"/>
          <w:b/>
          <w:bCs/>
          <w:color w:val="000000" w:themeColor="text1"/>
          <w:sz w:val="52"/>
          <w:szCs w:val="52"/>
        </w:rPr>
      </w:pPr>
    </w:p>
    <w:p w14:paraId="4A06ACA8" w14:textId="6DEF0598" w:rsidR="00316AAA" w:rsidRPr="00E11B76" w:rsidRDefault="00316AAA" w:rsidP="00316AAA">
      <w:pPr>
        <w:jc w:val="center"/>
        <w:rPr>
          <w:rFonts w:ascii="Arial" w:hAnsi="Arial" w:cs="Arial"/>
          <w:b/>
          <w:bCs/>
          <w:color w:val="000000" w:themeColor="text1"/>
          <w:sz w:val="52"/>
          <w:szCs w:val="52"/>
        </w:rPr>
      </w:pPr>
      <w:r w:rsidRPr="00E11B76">
        <w:rPr>
          <w:rFonts w:ascii="Arial" w:hAnsi="Arial" w:cs="Arial"/>
          <w:b/>
          <w:bCs/>
          <w:color w:val="000000" w:themeColor="text1"/>
          <w:sz w:val="52"/>
          <w:szCs w:val="52"/>
        </w:rPr>
        <w:t>BA Business Management</w:t>
      </w:r>
    </w:p>
    <w:p w14:paraId="7D1A9812" w14:textId="77777777" w:rsidR="00316AAA" w:rsidRPr="00E11B76" w:rsidRDefault="00316AAA" w:rsidP="00316AAA">
      <w:pPr>
        <w:jc w:val="center"/>
        <w:rPr>
          <w:rFonts w:ascii="Arial" w:hAnsi="Arial" w:cs="Arial"/>
          <w:b/>
          <w:bCs/>
          <w:color w:val="000000" w:themeColor="text1"/>
          <w:sz w:val="40"/>
          <w:szCs w:val="40"/>
        </w:rPr>
      </w:pPr>
      <w:r w:rsidRPr="00E11B76">
        <w:rPr>
          <w:rFonts w:ascii="Arial" w:hAnsi="Arial" w:cs="Arial"/>
          <w:b/>
          <w:bCs/>
          <w:color w:val="000000" w:themeColor="text1"/>
          <w:sz w:val="44"/>
          <w:szCs w:val="44"/>
        </w:rPr>
        <w:t xml:space="preserve">Module: </w:t>
      </w:r>
      <w:r w:rsidRPr="00E11B76">
        <w:rPr>
          <w:rFonts w:ascii="Arial" w:hAnsi="Arial" w:cs="Arial"/>
          <w:b/>
          <w:bCs/>
          <w:color w:val="000000" w:themeColor="text1"/>
          <w:sz w:val="40"/>
          <w:szCs w:val="40"/>
        </w:rPr>
        <w:t>Management Accounting</w:t>
      </w:r>
    </w:p>
    <w:p w14:paraId="0048F217" w14:textId="77777777" w:rsidR="00316AAA" w:rsidRPr="00E11B76" w:rsidRDefault="00316AAA" w:rsidP="00316AAA">
      <w:pPr>
        <w:jc w:val="center"/>
        <w:rPr>
          <w:rFonts w:ascii="Arial" w:hAnsi="Arial" w:cs="Arial"/>
          <w:b/>
          <w:bCs/>
          <w:color w:val="000000" w:themeColor="text1"/>
          <w:sz w:val="44"/>
          <w:szCs w:val="44"/>
        </w:rPr>
      </w:pPr>
    </w:p>
    <w:p w14:paraId="751C8B35" w14:textId="0D7ACF0B" w:rsidR="00316AAA" w:rsidRPr="00E11B76" w:rsidRDefault="00316AAA" w:rsidP="00316AAA">
      <w:pPr>
        <w:rPr>
          <w:rFonts w:ascii="Arial" w:hAnsi="Arial" w:cs="Arial"/>
          <w:b/>
          <w:bCs/>
          <w:color w:val="000000" w:themeColor="text1"/>
          <w:sz w:val="36"/>
          <w:szCs w:val="36"/>
        </w:rPr>
      </w:pPr>
      <w:r>
        <w:rPr>
          <w:rFonts w:ascii="Arial" w:hAnsi="Arial" w:cs="Arial"/>
          <w:b/>
          <w:bCs/>
          <w:color w:val="000000" w:themeColor="text1"/>
          <w:sz w:val="36"/>
          <w:szCs w:val="36"/>
        </w:rPr>
        <w:t xml:space="preserve">                 </w:t>
      </w:r>
      <w:r w:rsidRPr="00E11B76">
        <w:rPr>
          <w:rFonts w:ascii="Arial" w:hAnsi="Arial" w:cs="Arial"/>
          <w:b/>
          <w:bCs/>
          <w:color w:val="000000" w:themeColor="text1"/>
          <w:sz w:val="36"/>
          <w:szCs w:val="36"/>
        </w:rPr>
        <w:t>Assignment Title: Individual Report</w:t>
      </w:r>
    </w:p>
    <w:p w14:paraId="63156D73" w14:textId="77777777" w:rsidR="00316AAA" w:rsidRPr="00E11B76" w:rsidRDefault="00316AAA" w:rsidP="00316AAA">
      <w:pPr>
        <w:jc w:val="center"/>
        <w:rPr>
          <w:rFonts w:ascii="Arial" w:hAnsi="Arial" w:cs="Arial"/>
          <w:b/>
          <w:bCs/>
          <w:color w:val="000000" w:themeColor="text1"/>
          <w:sz w:val="40"/>
          <w:szCs w:val="40"/>
        </w:rPr>
      </w:pPr>
    </w:p>
    <w:p w14:paraId="4814B369" w14:textId="77777777" w:rsidR="00316AAA" w:rsidRPr="00E11B76" w:rsidRDefault="00316AAA" w:rsidP="00316AAA">
      <w:pPr>
        <w:rPr>
          <w:rFonts w:ascii="Arial" w:hAnsi="Arial" w:cs="Arial"/>
          <w:b/>
          <w:bCs/>
          <w:color w:val="000000" w:themeColor="text1"/>
          <w:sz w:val="28"/>
          <w:szCs w:val="28"/>
        </w:rPr>
      </w:pPr>
    </w:p>
    <w:p w14:paraId="5D33ACCB" w14:textId="77777777" w:rsidR="00316AAA" w:rsidRPr="00E11B76" w:rsidRDefault="00316AAA" w:rsidP="00316AAA">
      <w:pPr>
        <w:jc w:val="center"/>
        <w:rPr>
          <w:rFonts w:ascii="Arial" w:hAnsi="Arial" w:cs="Arial"/>
          <w:b/>
          <w:bCs/>
          <w:color w:val="000000" w:themeColor="text1"/>
          <w:sz w:val="28"/>
          <w:szCs w:val="28"/>
        </w:rPr>
      </w:pPr>
    </w:p>
    <w:p w14:paraId="2278C5EF" w14:textId="77777777" w:rsidR="00316AAA" w:rsidRPr="00E11B76" w:rsidRDefault="00316AAA" w:rsidP="00316AAA">
      <w:pPr>
        <w:jc w:val="center"/>
        <w:rPr>
          <w:rFonts w:ascii="Arial" w:hAnsi="Arial" w:cs="Arial"/>
          <w:b/>
          <w:bCs/>
          <w:color w:val="000000" w:themeColor="text1"/>
          <w:sz w:val="28"/>
          <w:szCs w:val="28"/>
        </w:rPr>
      </w:pPr>
    </w:p>
    <w:p w14:paraId="408E9DDB" w14:textId="77777777" w:rsidR="00316AAA" w:rsidRDefault="00316AAA" w:rsidP="00316AAA">
      <w:pPr>
        <w:rPr>
          <w:rFonts w:ascii="Arial" w:hAnsi="Arial" w:cs="Arial"/>
          <w:b/>
          <w:bCs/>
          <w:color w:val="000000" w:themeColor="text1"/>
          <w:sz w:val="32"/>
          <w:szCs w:val="32"/>
        </w:rPr>
      </w:pPr>
    </w:p>
    <w:p w14:paraId="5DD80BA8" w14:textId="77777777" w:rsidR="00316AAA" w:rsidRDefault="00316AAA" w:rsidP="00316AAA">
      <w:pPr>
        <w:rPr>
          <w:rFonts w:ascii="Arial" w:hAnsi="Arial" w:cs="Arial"/>
          <w:b/>
          <w:bCs/>
          <w:color w:val="000000" w:themeColor="text1"/>
          <w:sz w:val="32"/>
          <w:szCs w:val="32"/>
        </w:rPr>
      </w:pPr>
    </w:p>
    <w:p w14:paraId="04D51D52" w14:textId="77777777" w:rsidR="00316AAA" w:rsidRDefault="00316AAA" w:rsidP="00316AAA">
      <w:pPr>
        <w:rPr>
          <w:rFonts w:ascii="Arial" w:hAnsi="Arial" w:cs="Arial"/>
          <w:b/>
          <w:bCs/>
          <w:color w:val="000000" w:themeColor="text1"/>
          <w:sz w:val="32"/>
          <w:szCs w:val="32"/>
        </w:rPr>
      </w:pPr>
    </w:p>
    <w:p w14:paraId="6C61BCCA" w14:textId="77777777" w:rsidR="00316AAA" w:rsidRDefault="00316AAA" w:rsidP="00316AAA">
      <w:pPr>
        <w:rPr>
          <w:rFonts w:ascii="Arial" w:hAnsi="Arial" w:cs="Arial"/>
          <w:b/>
          <w:bCs/>
          <w:color w:val="000000" w:themeColor="text1"/>
          <w:sz w:val="32"/>
          <w:szCs w:val="32"/>
        </w:rPr>
      </w:pPr>
    </w:p>
    <w:p w14:paraId="66A2A747" w14:textId="77777777" w:rsidR="00316AAA" w:rsidRDefault="00316AAA" w:rsidP="00316AAA">
      <w:pPr>
        <w:rPr>
          <w:rFonts w:ascii="Arial" w:hAnsi="Arial" w:cs="Arial"/>
          <w:b/>
          <w:bCs/>
          <w:color w:val="000000" w:themeColor="text1"/>
          <w:sz w:val="32"/>
          <w:szCs w:val="32"/>
        </w:rPr>
      </w:pPr>
    </w:p>
    <w:p w14:paraId="359D051B" w14:textId="77777777" w:rsidR="00316AAA" w:rsidRDefault="00316AAA" w:rsidP="00316AAA">
      <w:pPr>
        <w:rPr>
          <w:rFonts w:ascii="Arial" w:hAnsi="Arial" w:cs="Arial"/>
          <w:b/>
          <w:bCs/>
          <w:color w:val="000000" w:themeColor="text1"/>
          <w:sz w:val="32"/>
          <w:szCs w:val="32"/>
        </w:rPr>
      </w:pPr>
    </w:p>
    <w:p w14:paraId="0E4E21AB" w14:textId="4F9763D5" w:rsidR="00316AAA" w:rsidRPr="00E11B76" w:rsidRDefault="00316AAA" w:rsidP="00316AAA">
      <w:pPr>
        <w:rPr>
          <w:rFonts w:ascii="Arial" w:hAnsi="Arial" w:cs="Arial"/>
          <w:b/>
          <w:bCs/>
          <w:color w:val="000000" w:themeColor="text1"/>
          <w:sz w:val="32"/>
          <w:szCs w:val="32"/>
        </w:rPr>
      </w:pPr>
      <w:r w:rsidRPr="00E11B76">
        <w:rPr>
          <w:rFonts w:ascii="Arial" w:hAnsi="Arial" w:cs="Arial"/>
          <w:b/>
          <w:bCs/>
          <w:color w:val="000000" w:themeColor="text1"/>
          <w:sz w:val="32"/>
          <w:szCs w:val="32"/>
        </w:rPr>
        <w:t xml:space="preserve">Student Name: Ana </w:t>
      </w:r>
      <w:proofErr w:type="spellStart"/>
      <w:r w:rsidRPr="00E11B76">
        <w:rPr>
          <w:rFonts w:ascii="Arial" w:hAnsi="Arial" w:cs="Arial"/>
          <w:b/>
          <w:bCs/>
          <w:color w:val="000000" w:themeColor="text1"/>
          <w:sz w:val="32"/>
          <w:szCs w:val="32"/>
        </w:rPr>
        <w:t>Gurduz</w:t>
      </w:r>
      <w:proofErr w:type="spellEnd"/>
    </w:p>
    <w:p w14:paraId="666E474E" w14:textId="77777777" w:rsidR="00316AAA" w:rsidRPr="00E11B76" w:rsidRDefault="00316AAA" w:rsidP="00316AAA">
      <w:pPr>
        <w:rPr>
          <w:rFonts w:ascii="Arial" w:hAnsi="Arial" w:cs="Arial"/>
          <w:b/>
          <w:bCs/>
          <w:color w:val="000000" w:themeColor="text1"/>
          <w:sz w:val="32"/>
          <w:szCs w:val="32"/>
        </w:rPr>
      </w:pPr>
      <w:r w:rsidRPr="00E11B76">
        <w:rPr>
          <w:rFonts w:ascii="Arial" w:hAnsi="Arial" w:cs="Arial"/>
          <w:b/>
          <w:bCs/>
          <w:color w:val="000000" w:themeColor="text1"/>
          <w:sz w:val="32"/>
          <w:szCs w:val="32"/>
        </w:rPr>
        <w:t>Student ID: 2029605</w:t>
      </w:r>
    </w:p>
    <w:p w14:paraId="2FB25F4B" w14:textId="77777777" w:rsidR="00316AAA" w:rsidRPr="00E11B76" w:rsidRDefault="00316AAA" w:rsidP="00316AAA">
      <w:pPr>
        <w:rPr>
          <w:rFonts w:ascii="Arial" w:hAnsi="Arial" w:cs="Arial"/>
          <w:b/>
          <w:bCs/>
          <w:color w:val="000000" w:themeColor="text1"/>
          <w:sz w:val="32"/>
          <w:szCs w:val="32"/>
        </w:rPr>
      </w:pPr>
      <w:r w:rsidRPr="00E11B76">
        <w:rPr>
          <w:rFonts w:ascii="Arial" w:hAnsi="Arial" w:cs="Arial"/>
          <w:b/>
          <w:bCs/>
          <w:color w:val="000000" w:themeColor="text1"/>
          <w:sz w:val="32"/>
          <w:szCs w:val="32"/>
        </w:rPr>
        <w:t>Module code: LCBB5002</w:t>
      </w:r>
    </w:p>
    <w:p w14:paraId="68FE7F8F" w14:textId="77777777" w:rsidR="00316AAA" w:rsidRPr="00E11B76" w:rsidRDefault="00316AAA" w:rsidP="00316AAA">
      <w:pPr>
        <w:rPr>
          <w:rFonts w:ascii="Arial" w:hAnsi="Arial" w:cs="Arial"/>
          <w:b/>
          <w:bCs/>
          <w:color w:val="000000" w:themeColor="text1"/>
          <w:sz w:val="32"/>
          <w:szCs w:val="32"/>
        </w:rPr>
      </w:pPr>
      <w:r w:rsidRPr="00E11B76">
        <w:rPr>
          <w:rFonts w:ascii="Arial" w:hAnsi="Arial" w:cs="Arial"/>
          <w:b/>
          <w:bCs/>
          <w:color w:val="000000" w:themeColor="text1"/>
          <w:sz w:val="32"/>
          <w:szCs w:val="32"/>
        </w:rPr>
        <w:t xml:space="preserve">Lecturer: </w:t>
      </w:r>
      <w:proofErr w:type="spellStart"/>
      <w:r w:rsidRPr="00E11B76">
        <w:rPr>
          <w:rFonts w:ascii="Arial" w:hAnsi="Arial" w:cs="Arial"/>
          <w:b/>
          <w:bCs/>
          <w:color w:val="000000" w:themeColor="text1"/>
          <w:sz w:val="32"/>
          <w:szCs w:val="32"/>
        </w:rPr>
        <w:t>Muno</w:t>
      </w:r>
      <w:proofErr w:type="spellEnd"/>
      <w:r w:rsidRPr="00E11B76">
        <w:rPr>
          <w:rFonts w:ascii="Arial" w:hAnsi="Arial" w:cs="Arial"/>
          <w:b/>
          <w:bCs/>
          <w:color w:val="000000" w:themeColor="text1"/>
          <w:sz w:val="32"/>
          <w:szCs w:val="32"/>
        </w:rPr>
        <w:t xml:space="preserve"> </w:t>
      </w:r>
      <w:proofErr w:type="spellStart"/>
      <w:r w:rsidRPr="00E11B76">
        <w:rPr>
          <w:rFonts w:ascii="Arial" w:hAnsi="Arial" w:cs="Arial"/>
          <w:b/>
          <w:bCs/>
          <w:color w:val="000000" w:themeColor="text1"/>
          <w:sz w:val="32"/>
          <w:szCs w:val="32"/>
        </w:rPr>
        <w:t>Zuwirai</w:t>
      </w:r>
      <w:proofErr w:type="spellEnd"/>
    </w:p>
    <w:p w14:paraId="5CC1D1AB" w14:textId="77777777" w:rsidR="00761CC8" w:rsidRDefault="00761CC8" w:rsidP="00761CC8">
      <w:pPr>
        <w:spacing w:line="360" w:lineRule="auto"/>
        <w:jc w:val="center"/>
        <w:rPr>
          <w:rFonts w:ascii="Arial" w:hAnsi="Arial" w:cs="Arial"/>
          <w:b/>
          <w:bCs/>
        </w:rPr>
      </w:pPr>
    </w:p>
    <w:p w14:paraId="12956F5B" w14:textId="77777777" w:rsidR="00761CC8" w:rsidRDefault="00761CC8" w:rsidP="00761CC8">
      <w:pPr>
        <w:spacing w:line="360" w:lineRule="auto"/>
        <w:jc w:val="center"/>
        <w:rPr>
          <w:rFonts w:ascii="Arial" w:eastAsia="SimSun" w:hAnsi="Arial" w:cs="Arial"/>
          <w:b/>
          <w:bCs/>
          <w:lang w:val="en-GB"/>
        </w:rPr>
      </w:pPr>
      <w:r>
        <w:rPr>
          <w:rFonts w:ascii="Arial" w:hAnsi="Arial" w:cs="Arial"/>
          <w:b/>
          <w:bCs/>
          <w:lang w:val="en-GB"/>
        </w:rPr>
        <w:br w:type="page"/>
      </w:r>
    </w:p>
    <w:p w14:paraId="09DDAE8F" w14:textId="77777777" w:rsidR="00761CC8" w:rsidRDefault="00761CC8" w:rsidP="00761CC8">
      <w:pPr>
        <w:pStyle w:val="TOCHeading"/>
        <w:spacing w:line="360" w:lineRule="auto"/>
        <w:rPr>
          <w:rFonts w:ascii="Arial" w:hAnsi="Arial" w:cs="Arial"/>
          <w:b/>
          <w:bCs/>
          <w:color w:val="auto"/>
          <w:sz w:val="22"/>
          <w:szCs w:val="22"/>
        </w:rPr>
      </w:pPr>
      <w:r>
        <w:rPr>
          <w:rFonts w:ascii="Arial" w:hAnsi="Arial" w:cs="Arial"/>
          <w:b/>
          <w:bCs/>
          <w:color w:val="auto"/>
          <w:sz w:val="22"/>
          <w:szCs w:val="22"/>
        </w:rPr>
        <w:lastRenderedPageBreak/>
        <w:t>Table of Contents</w:t>
      </w:r>
    </w:p>
    <w:p w14:paraId="187E55C7" w14:textId="77777777" w:rsidR="00761CC8" w:rsidRDefault="00761CC8" w:rsidP="00761CC8">
      <w:pPr>
        <w:pStyle w:val="TOC1"/>
        <w:tabs>
          <w:tab w:val="right" w:leader="dot" w:pos="9350"/>
        </w:tabs>
        <w:spacing w:line="360" w:lineRule="auto"/>
        <w:rPr>
          <w:rFonts w:ascii="Arial" w:eastAsia="SimSun"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4" w:anchor="_Toc107582483" w:history="1">
        <w:r>
          <w:rPr>
            <w:rStyle w:val="Hyperlink"/>
            <w:rFonts w:ascii="Arial" w:hAnsi="Arial" w:cs="Arial"/>
            <w:noProof/>
            <w:color w:val="auto"/>
          </w:rPr>
          <w:t>Introduction</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_Toc107582483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Pr>
            <w:rStyle w:val="Hyperlink"/>
            <w:rFonts w:ascii="Arial" w:hAnsi="Arial" w:cs="Arial"/>
            <w:noProof/>
            <w:webHidden/>
            <w:color w:val="auto"/>
          </w:rPr>
          <w:t>3</w:t>
        </w:r>
        <w:r>
          <w:rPr>
            <w:rStyle w:val="Hyperlink"/>
            <w:rFonts w:ascii="Arial" w:hAnsi="Arial" w:cs="Arial"/>
            <w:noProof/>
            <w:webHidden/>
            <w:color w:val="auto"/>
          </w:rPr>
          <w:fldChar w:fldCharType="end"/>
        </w:r>
      </w:hyperlink>
    </w:p>
    <w:p w14:paraId="41AD851D" w14:textId="77777777" w:rsidR="00761CC8" w:rsidRDefault="00CD07D9" w:rsidP="00761CC8">
      <w:pPr>
        <w:pStyle w:val="TOC1"/>
        <w:tabs>
          <w:tab w:val="right" w:leader="dot" w:pos="9350"/>
        </w:tabs>
        <w:spacing w:line="360" w:lineRule="auto"/>
        <w:rPr>
          <w:rFonts w:ascii="Arial" w:eastAsia="SimSun" w:hAnsi="Arial" w:cs="Arial"/>
          <w:noProof/>
        </w:rPr>
      </w:pPr>
      <w:hyperlink r:id="rId5" w:anchor="_Toc107582484" w:history="1">
        <w:r w:rsidR="00761CC8">
          <w:rPr>
            <w:rStyle w:val="Hyperlink"/>
            <w:rFonts w:ascii="Arial" w:eastAsia="DengXian Light" w:hAnsi="Arial" w:cs="Arial"/>
            <w:noProof/>
            <w:color w:val="auto"/>
          </w:rPr>
          <w:t>Task-1</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_Toc107582484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4</w:t>
        </w:r>
        <w:r w:rsidR="00761CC8">
          <w:rPr>
            <w:rStyle w:val="Hyperlink"/>
            <w:rFonts w:ascii="Arial" w:hAnsi="Arial" w:cs="Arial"/>
            <w:noProof/>
            <w:webHidden/>
            <w:color w:val="auto"/>
          </w:rPr>
          <w:fldChar w:fldCharType="end"/>
        </w:r>
      </w:hyperlink>
    </w:p>
    <w:p w14:paraId="38D890DD" w14:textId="77777777" w:rsidR="00761CC8" w:rsidRDefault="00CD07D9" w:rsidP="00761CC8">
      <w:pPr>
        <w:pStyle w:val="TOC2"/>
        <w:tabs>
          <w:tab w:val="right" w:leader="dot" w:pos="9350"/>
        </w:tabs>
        <w:spacing w:line="360" w:lineRule="auto"/>
        <w:rPr>
          <w:rFonts w:ascii="Arial" w:eastAsia="SimSun" w:hAnsi="Arial" w:cs="Arial"/>
          <w:noProof/>
        </w:rPr>
      </w:pPr>
      <w:hyperlink r:id="rId6" w:anchor="_Toc107582485" w:history="1">
        <w:r w:rsidR="00761CC8">
          <w:rPr>
            <w:rStyle w:val="Hyperlink"/>
            <w:rFonts w:ascii="Arial" w:eastAsia="DengXian Light" w:hAnsi="Arial" w:cs="Arial"/>
            <w:noProof/>
            <w:color w:val="auto"/>
          </w:rPr>
          <w:t>Marginal Costing Income Statement for December 2021</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_Toc107582485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4</w:t>
        </w:r>
        <w:r w:rsidR="00761CC8">
          <w:rPr>
            <w:rStyle w:val="Hyperlink"/>
            <w:rFonts w:ascii="Arial" w:hAnsi="Arial" w:cs="Arial"/>
            <w:noProof/>
            <w:webHidden/>
            <w:color w:val="auto"/>
          </w:rPr>
          <w:fldChar w:fldCharType="end"/>
        </w:r>
      </w:hyperlink>
    </w:p>
    <w:p w14:paraId="673A3444" w14:textId="77777777" w:rsidR="00761CC8" w:rsidRDefault="00CD07D9" w:rsidP="00761CC8">
      <w:pPr>
        <w:pStyle w:val="TOC2"/>
        <w:tabs>
          <w:tab w:val="right" w:leader="dot" w:pos="9350"/>
        </w:tabs>
        <w:spacing w:line="360" w:lineRule="auto"/>
        <w:rPr>
          <w:rFonts w:ascii="Arial" w:eastAsia="SimSun" w:hAnsi="Arial" w:cs="Arial"/>
          <w:noProof/>
        </w:rPr>
      </w:pPr>
      <w:hyperlink r:id="rId7" w:anchor="_Toc107582486" w:history="1">
        <w:r w:rsidR="00761CC8">
          <w:rPr>
            <w:rStyle w:val="Hyperlink"/>
            <w:rFonts w:ascii="Arial" w:eastAsia="DengXian Light" w:hAnsi="Arial" w:cs="Arial"/>
            <w:noProof/>
            <w:color w:val="auto"/>
          </w:rPr>
          <w:t>Making Decision whether to Stop the Production of Hoists</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_Toc107582486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5</w:t>
        </w:r>
        <w:r w:rsidR="00761CC8">
          <w:rPr>
            <w:rStyle w:val="Hyperlink"/>
            <w:rFonts w:ascii="Arial" w:hAnsi="Arial" w:cs="Arial"/>
            <w:noProof/>
            <w:webHidden/>
            <w:color w:val="auto"/>
          </w:rPr>
          <w:fldChar w:fldCharType="end"/>
        </w:r>
      </w:hyperlink>
    </w:p>
    <w:p w14:paraId="3EF40792" w14:textId="77777777" w:rsidR="00761CC8" w:rsidRDefault="00CD07D9" w:rsidP="00761CC8">
      <w:pPr>
        <w:pStyle w:val="TOC2"/>
        <w:tabs>
          <w:tab w:val="right" w:leader="dot" w:pos="9350"/>
        </w:tabs>
        <w:spacing w:line="360" w:lineRule="auto"/>
        <w:rPr>
          <w:rFonts w:ascii="Arial" w:eastAsia="SimSun" w:hAnsi="Arial" w:cs="Arial"/>
          <w:noProof/>
        </w:rPr>
      </w:pPr>
      <w:hyperlink r:id="rId8" w:anchor="_Toc107582487" w:history="1">
        <w:r w:rsidR="00761CC8">
          <w:rPr>
            <w:rStyle w:val="Hyperlink"/>
            <w:rFonts w:ascii="Arial" w:eastAsia="DengXian Light" w:hAnsi="Arial" w:cs="Arial"/>
            <w:noProof/>
            <w:color w:val="auto"/>
          </w:rPr>
          <w:t>Making Decision whether should Stop Producing Mobile Beds</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_Toc107582487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6</w:t>
        </w:r>
        <w:r w:rsidR="00761CC8">
          <w:rPr>
            <w:rStyle w:val="Hyperlink"/>
            <w:rFonts w:ascii="Arial" w:hAnsi="Arial" w:cs="Arial"/>
            <w:noProof/>
            <w:webHidden/>
            <w:color w:val="auto"/>
          </w:rPr>
          <w:fldChar w:fldCharType="end"/>
        </w:r>
      </w:hyperlink>
    </w:p>
    <w:p w14:paraId="32D330F9" w14:textId="77777777" w:rsidR="00761CC8" w:rsidRDefault="00CD07D9" w:rsidP="00761CC8">
      <w:pPr>
        <w:pStyle w:val="TOC2"/>
        <w:tabs>
          <w:tab w:val="right" w:leader="dot" w:pos="9350"/>
        </w:tabs>
        <w:spacing w:line="360" w:lineRule="auto"/>
        <w:rPr>
          <w:rFonts w:ascii="Arial" w:eastAsia="SimSun" w:hAnsi="Arial" w:cs="Arial"/>
          <w:noProof/>
        </w:rPr>
      </w:pPr>
      <w:hyperlink r:id="rId9" w:anchor="_Toc107582488" w:history="1">
        <w:r w:rsidR="00761CC8">
          <w:rPr>
            <w:rStyle w:val="Hyperlink"/>
            <w:rFonts w:ascii="Arial" w:eastAsia="DengXian Light" w:hAnsi="Arial" w:cs="Arial"/>
            <w:noProof/>
            <w:color w:val="auto"/>
          </w:rPr>
          <w:t>Dussion and Comparison of Marginal Costing with Absorption Costing</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_Toc107582488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7</w:t>
        </w:r>
        <w:r w:rsidR="00761CC8">
          <w:rPr>
            <w:rStyle w:val="Hyperlink"/>
            <w:rFonts w:ascii="Arial" w:hAnsi="Arial" w:cs="Arial"/>
            <w:noProof/>
            <w:webHidden/>
            <w:color w:val="auto"/>
          </w:rPr>
          <w:fldChar w:fldCharType="end"/>
        </w:r>
      </w:hyperlink>
    </w:p>
    <w:p w14:paraId="6B0A9E7D" w14:textId="77777777" w:rsidR="00761CC8" w:rsidRDefault="00CD07D9" w:rsidP="00761CC8">
      <w:pPr>
        <w:pStyle w:val="TOC1"/>
        <w:tabs>
          <w:tab w:val="right" w:leader="dot" w:pos="9350"/>
        </w:tabs>
        <w:spacing w:line="360" w:lineRule="auto"/>
        <w:rPr>
          <w:rFonts w:ascii="Arial" w:eastAsia="SimSun" w:hAnsi="Arial" w:cs="Arial"/>
          <w:noProof/>
        </w:rPr>
      </w:pPr>
      <w:hyperlink r:id="rId10" w:anchor="_Toc107582489" w:history="1">
        <w:r w:rsidR="00761CC8">
          <w:rPr>
            <w:rStyle w:val="Hyperlink"/>
            <w:rFonts w:ascii="Arial" w:hAnsi="Arial" w:cs="Arial"/>
            <w:noProof/>
            <w:color w:val="auto"/>
          </w:rPr>
          <w:t>Task:2</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_Toc107582489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8</w:t>
        </w:r>
        <w:r w:rsidR="00761CC8">
          <w:rPr>
            <w:rStyle w:val="Hyperlink"/>
            <w:rFonts w:ascii="Arial" w:hAnsi="Arial" w:cs="Arial"/>
            <w:noProof/>
            <w:webHidden/>
            <w:color w:val="auto"/>
          </w:rPr>
          <w:fldChar w:fldCharType="end"/>
        </w:r>
      </w:hyperlink>
    </w:p>
    <w:p w14:paraId="116F200B" w14:textId="77777777" w:rsidR="00761CC8" w:rsidRDefault="00CD07D9" w:rsidP="00761CC8">
      <w:pPr>
        <w:pStyle w:val="TOC2"/>
        <w:tabs>
          <w:tab w:val="right" w:leader="dot" w:pos="9350"/>
        </w:tabs>
        <w:spacing w:line="360" w:lineRule="auto"/>
        <w:rPr>
          <w:rFonts w:ascii="Arial" w:eastAsia="SimSun" w:hAnsi="Arial" w:cs="Arial"/>
          <w:noProof/>
        </w:rPr>
      </w:pPr>
      <w:hyperlink r:id="rId11" w:anchor="_Toc107582490" w:history="1">
        <w:r w:rsidR="00761CC8">
          <w:rPr>
            <w:rStyle w:val="Hyperlink"/>
            <w:rFonts w:ascii="Arial" w:hAnsi="Arial" w:cs="Arial"/>
            <w:noProof/>
            <w:color w:val="auto"/>
          </w:rPr>
          <w:t>Calculating BEP of Bux Deli’s Plate Sold</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_Toc107582490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8</w:t>
        </w:r>
        <w:r w:rsidR="00761CC8">
          <w:rPr>
            <w:rStyle w:val="Hyperlink"/>
            <w:rFonts w:ascii="Arial" w:hAnsi="Arial" w:cs="Arial"/>
            <w:noProof/>
            <w:webHidden/>
            <w:color w:val="auto"/>
          </w:rPr>
          <w:fldChar w:fldCharType="end"/>
        </w:r>
      </w:hyperlink>
    </w:p>
    <w:p w14:paraId="6F2CF892" w14:textId="77777777" w:rsidR="00761CC8" w:rsidRDefault="00CD07D9" w:rsidP="00761CC8">
      <w:pPr>
        <w:pStyle w:val="TOC2"/>
        <w:tabs>
          <w:tab w:val="right" w:leader="dot" w:pos="9350"/>
        </w:tabs>
        <w:spacing w:line="360" w:lineRule="auto"/>
        <w:rPr>
          <w:rFonts w:ascii="Arial" w:eastAsia="SimSun" w:hAnsi="Arial" w:cs="Arial"/>
          <w:noProof/>
        </w:rPr>
      </w:pPr>
      <w:hyperlink r:id="rId12" w:anchor="_Toc107582491" w:history="1">
        <w:r w:rsidR="00761CC8">
          <w:rPr>
            <w:rStyle w:val="Hyperlink"/>
            <w:rFonts w:ascii="Arial" w:hAnsi="Arial" w:cs="Arial"/>
            <w:noProof/>
            <w:color w:val="auto"/>
          </w:rPr>
          <w:t>Break-even after Additional Space Fixed Cost</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_Toc107582491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9</w:t>
        </w:r>
        <w:r w:rsidR="00761CC8">
          <w:rPr>
            <w:rStyle w:val="Hyperlink"/>
            <w:rFonts w:ascii="Arial" w:hAnsi="Arial" w:cs="Arial"/>
            <w:noProof/>
            <w:webHidden/>
            <w:color w:val="auto"/>
          </w:rPr>
          <w:fldChar w:fldCharType="end"/>
        </w:r>
      </w:hyperlink>
    </w:p>
    <w:p w14:paraId="2B48EA2F" w14:textId="77777777" w:rsidR="00761CC8" w:rsidRDefault="00CD07D9" w:rsidP="00761CC8">
      <w:pPr>
        <w:pStyle w:val="TOC2"/>
        <w:tabs>
          <w:tab w:val="right" w:leader="dot" w:pos="9350"/>
        </w:tabs>
        <w:spacing w:line="360" w:lineRule="auto"/>
        <w:rPr>
          <w:rFonts w:ascii="Arial" w:eastAsia="SimSun" w:hAnsi="Arial" w:cs="Arial"/>
          <w:noProof/>
        </w:rPr>
      </w:pPr>
      <w:hyperlink r:id="rId13" w:anchor="_Toc107582492" w:history="1">
        <w:r w:rsidR="00761CC8">
          <w:rPr>
            <w:rStyle w:val="Hyperlink"/>
            <w:rFonts w:ascii="Arial" w:hAnsi="Arial" w:cs="Arial"/>
            <w:noProof/>
            <w:color w:val="auto"/>
          </w:rPr>
          <w:t>Calculation of Optimum number of Plate Sold to Make a Profit</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_Toc107582492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9</w:t>
        </w:r>
        <w:r w:rsidR="00761CC8">
          <w:rPr>
            <w:rStyle w:val="Hyperlink"/>
            <w:rFonts w:ascii="Arial" w:hAnsi="Arial" w:cs="Arial"/>
            <w:noProof/>
            <w:webHidden/>
            <w:color w:val="auto"/>
          </w:rPr>
          <w:fldChar w:fldCharType="end"/>
        </w:r>
      </w:hyperlink>
    </w:p>
    <w:p w14:paraId="274CCB57" w14:textId="77777777" w:rsidR="00761CC8" w:rsidRDefault="00CD07D9" w:rsidP="00761CC8">
      <w:pPr>
        <w:pStyle w:val="TOC1"/>
        <w:tabs>
          <w:tab w:val="right" w:leader="dot" w:pos="9350"/>
        </w:tabs>
        <w:spacing w:line="360" w:lineRule="auto"/>
        <w:rPr>
          <w:rFonts w:ascii="Arial" w:eastAsia="SimSun" w:hAnsi="Arial" w:cs="Arial"/>
          <w:noProof/>
        </w:rPr>
      </w:pPr>
      <w:hyperlink r:id="rId14" w:anchor="_Toc107582493" w:history="1">
        <w:r w:rsidR="00761CC8">
          <w:rPr>
            <w:rStyle w:val="Hyperlink"/>
            <w:rFonts w:ascii="Arial" w:hAnsi="Arial" w:cs="Arial"/>
            <w:noProof/>
            <w:color w:val="auto"/>
          </w:rPr>
          <w:t>Conclusion</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_Toc107582493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10</w:t>
        </w:r>
        <w:r w:rsidR="00761CC8">
          <w:rPr>
            <w:rStyle w:val="Hyperlink"/>
            <w:rFonts w:ascii="Arial" w:hAnsi="Arial" w:cs="Arial"/>
            <w:noProof/>
            <w:webHidden/>
            <w:color w:val="auto"/>
          </w:rPr>
          <w:fldChar w:fldCharType="end"/>
        </w:r>
      </w:hyperlink>
    </w:p>
    <w:p w14:paraId="4821A045" w14:textId="77777777" w:rsidR="00761CC8" w:rsidRDefault="00CD07D9" w:rsidP="00761CC8">
      <w:pPr>
        <w:pStyle w:val="TOC1"/>
        <w:tabs>
          <w:tab w:val="right" w:leader="dot" w:pos="9350"/>
        </w:tabs>
        <w:spacing w:line="360" w:lineRule="auto"/>
        <w:rPr>
          <w:rFonts w:ascii="Arial" w:eastAsia="SimSun" w:hAnsi="Arial" w:cs="Arial"/>
          <w:noProof/>
        </w:rPr>
      </w:pPr>
      <w:hyperlink r:id="rId15" w:anchor="_Toc107582494" w:history="1">
        <w:r w:rsidR="00761CC8">
          <w:rPr>
            <w:rStyle w:val="Hyperlink"/>
            <w:rFonts w:ascii="Arial" w:hAnsi="Arial" w:cs="Arial"/>
            <w:noProof/>
            <w:color w:val="auto"/>
          </w:rPr>
          <w:t>References</w:t>
        </w:r>
        <w:r w:rsidR="00761CC8">
          <w:rPr>
            <w:rStyle w:val="Hyperlink"/>
            <w:rFonts w:ascii="Arial" w:hAnsi="Arial" w:cs="Arial"/>
            <w:noProof/>
            <w:webHidden/>
            <w:color w:val="auto"/>
          </w:rPr>
          <w:tab/>
        </w:r>
        <w:r w:rsidR="00761CC8">
          <w:rPr>
            <w:rStyle w:val="Hyperlink"/>
            <w:rFonts w:ascii="Arial" w:hAnsi="Arial" w:cs="Arial"/>
            <w:noProof/>
            <w:webHidden/>
            <w:color w:val="auto"/>
          </w:rPr>
          <w:fldChar w:fldCharType="begin"/>
        </w:r>
        <w:r w:rsidR="00761CC8">
          <w:rPr>
            <w:rStyle w:val="Hyperlink"/>
            <w:rFonts w:ascii="Arial" w:hAnsi="Arial" w:cs="Arial"/>
            <w:noProof/>
            <w:webHidden/>
            <w:color w:val="auto"/>
          </w:rPr>
          <w:instrText xml:space="preserve"> PAGEREF _Toc107582494 \h </w:instrText>
        </w:r>
        <w:r w:rsidR="00761CC8">
          <w:rPr>
            <w:rStyle w:val="Hyperlink"/>
            <w:rFonts w:ascii="Arial" w:hAnsi="Arial" w:cs="Arial"/>
            <w:noProof/>
            <w:webHidden/>
            <w:color w:val="auto"/>
          </w:rPr>
        </w:r>
        <w:r w:rsidR="00761CC8">
          <w:rPr>
            <w:rStyle w:val="Hyperlink"/>
            <w:rFonts w:ascii="Arial" w:hAnsi="Arial" w:cs="Arial"/>
            <w:noProof/>
            <w:webHidden/>
            <w:color w:val="auto"/>
          </w:rPr>
          <w:fldChar w:fldCharType="separate"/>
        </w:r>
        <w:r w:rsidR="00761CC8">
          <w:rPr>
            <w:rStyle w:val="Hyperlink"/>
            <w:rFonts w:ascii="Arial" w:hAnsi="Arial" w:cs="Arial"/>
            <w:noProof/>
            <w:webHidden/>
            <w:color w:val="auto"/>
          </w:rPr>
          <w:t>11</w:t>
        </w:r>
        <w:r w:rsidR="00761CC8">
          <w:rPr>
            <w:rStyle w:val="Hyperlink"/>
            <w:rFonts w:ascii="Arial" w:hAnsi="Arial" w:cs="Arial"/>
            <w:noProof/>
            <w:webHidden/>
            <w:color w:val="auto"/>
          </w:rPr>
          <w:fldChar w:fldCharType="end"/>
        </w:r>
      </w:hyperlink>
    </w:p>
    <w:p w14:paraId="4D0E64D6" w14:textId="77777777" w:rsidR="00761CC8" w:rsidRDefault="00761CC8" w:rsidP="00761CC8">
      <w:pPr>
        <w:spacing w:line="360" w:lineRule="auto"/>
        <w:rPr>
          <w:rFonts w:ascii="Arial" w:hAnsi="Arial" w:cs="Arial"/>
        </w:rPr>
      </w:pPr>
      <w:r>
        <w:rPr>
          <w:rFonts w:ascii="Arial" w:hAnsi="Arial" w:cs="Arial"/>
          <w:b/>
          <w:bCs/>
          <w:noProof/>
        </w:rPr>
        <w:fldChar w:fldCharType="end"/>
      </w:r>
    </w:p>
    <w:p w14:paraId="3C3F438E" w14:textId="77777777" w:rsidR="00761CC8" w:rsidRDefault="00761CC8" w:rsidP="00761CC8">
      <w:pPr>
        <w:spacing w:line="360" w:lineRule="auto"/>
        <w:rPr>
          <w:rFonts w:ascii="Arial" w:eastAsia="SimSun" w:hAnsi="Arial" w:cs="Arial"/>
          <w:b/>
          <w:bCs/>
          <w:lang w:val="en-GB"/>
        </w:rPr>
      </w:pPr>
      <w:r>
        <w:rPr>
          <w:rFonts w:ascii="Arial" w:hAnsi="Arial" w:cs="Arial"/>
          <w:b/>
          <w:bCs/>
          <w:lang w:val="en-GB"/>
        </w:rPr>
        <w:br w:type="page"/>
      </w:r>
    </w:p>
    <w:p w14:paraId="620F61F2" w14:textId="77777777" w:rsidR="00761CC8" w:rsidRDefault="00761CC8" w:rsidP="00761CC8">
      <w:pPr>
        <w:pStyle w:val="Heading1"/>
        <w:spacing w:line="360" w:lineRule="auto"/>
        <w:rPr>
          <w:rFonts w:ascii="Arial" w:hAnsi="Arial" w:cs="Arial"/>
          <w:b/>
          <w:bCs/>
          <w:color w:val="auto"/>
          <w:sz w:val="22"/>
          <w:szCs w:val="22"/>
        </w:rPr>
      </w:pPr>
      <w:bookmarkStart w:id="0" w:name="_Toc107582337"/>
      <w:bookmarkStart w:id="1" w:name="_Toc107582442"/>
      <w:bookmarkStart w:id="2" w:name="_Toc107582483"/>
      <w:r>
        <w:rPr>
          <w:rFonts w:ascii="Arial" w:hAnsi="Arial" w:cs="Arial"/>
          <w:b/>
          <w:bCs/>
          <w:color w:val="auto"/>
          <w:sz w:val="22"/>
          <w:szCs w:val="22"/>
        </w:rPr>
        <w:lastRenderedPageBreak/>
        <w:t>Introduction</w:t>
      </w:r>
      <w:bookmarkEnd w:id="0"/>
      <w:bookmarkEnd w:id="1"/>
      <w:bookmarkEnd w:id="2"/>
    </w:p>
    <w:p w14:paraId="032D6612" w14:textId="77777777" w:rsidR="00761CC8" w:rsidRDefault="00761CC8" w:rsidP="00761CC8">
      <w:pPr>
        <w:spacing w:line="360" w:lineRule="auto"/>
        <w:rPr>
          <w:rFonts w:ascii="Arial" w:hAnsi="Arial" w:cs="Arial"/>
          <w:b/>
          <w:bCs/>
        </w:rPr>
      </w:pPr>
    </w:p>
    <w:p w14:paraId="7FB17C41" w14:textId="63C4F43E" w:rsidR="00761CC8" w:rsidRDefault="00761CC8" w:rsidP="00761CC8">
      <w:pPr>
        <w:spacing w:line="360" w:lineRule="auto"/>
        <w:jc w:val="both"/>
        <w:rPr>
          <w:rFonts w:ascii="Arial" w:eastAsia="DengXian Light" w:hAnsi="Arial" w:cs="Arial"/>
          <w:b/>
          <w:bCs/>
          <w:u w:val="thick"/>
        </w:rPr>
      </w:pPr>
      <w:r>
        <w:rPr>
          <w:rFonts w:ascii="Arial" w:hAnsi="Arial" w:cs="Arial"/>
        </w:rPr>
        <w:t xml:space="preserve">Three different types of specialized personal mobility equipment are produced and sold by MSG directly to care facilities and the National Health Service (NHS) in the UK. The previous few years have seen a drop in MSG's profitability. Given the significant capital expenditure, MSG's directors are thinking about how to make this mediocre performance better. </w:t>
      </w:r>
      <w:r>
        <w:rPr>
          <w:rFonts w:ascii="Arial" w:hAnsi="Arial" w:cs="Arial"/>
          <w:lang w:val="en-GB"/>
        </w:rPr>
        <w:t xml:space="preserve">This report is all about management accounting decisions on two different business organisations. The first one is Mobility Solution Group and the other one is </w:t>
      </w:r>
      <w:proofErr w:type="spellStart"/>
      <w:r>
        <w:rPr>
          <w:rFonts w:ascii="Arial" w:hAnsi="Arial" w:cs="Arial"/>
          <w:lang w:val="en-GB"/>
        </w:rPr>
        <w:t>Bux</w:t>
      </w:r>
      <w:proofErr w:type="spellEnd"/>
      <w:r>
        <w:rPr>
          <w:rFonts w:ascii="Arial" w:hAnsi="Arial" w:cs="Arial"/>
          <w:lang w:val="en-GB"/>
        </w:rPr>
        <w:t xml:space="preserve"> Dell. In the first part of the report, the income statement of MSG has been prepared </w:t>
      </w:r>
      <w:r w:rsidR="00CD07D9">
        <w:rPr>
          <w:rFonts w:ascii="Arial" w:hAnsi="Arial" w:cs="Arial"/>
          <w:lang w:val="en-GB"/>
        </w:rPr>
        <w:t>based on</w:t>
      </w:r>
      <w:r>
        <w:rPr>
          <w:rFonts w:ascii="Arial" w:hAnsi="Arial" w:cs="Arial"/>
          <w:lang w:val="en-GB"/>
        </w:rPr>
        <w:t xml:space="preserve"> marginal cost accounting method </w:t>
      </w:r>
      <w:proofErr w:type="gramStart"/>
      <w:r>
        <w:rPr>
          <w:rFonts w:ascii="Arial" w:hAnsi="Arial" w:cs="Arial"/>
          <w:lang w:val="en-GB"/>
        </w:rPr>
        <w:t>and also</w:t>
      </w:r>
      <w:proofErr w:type="gramEnd"/>
      <w:r>
        <w:rPr>
          <w:rFonts w:ascii="Arial" w:hAnsi="Arial" w:cs="Arial"/>
          <w:lang w:val="en-GB"/>
        </w:rPr>
        <w:t xml:space="preserve"> been discussed some according to instructions. And in the later part, the break-even analysis has been accomplished </w:t>
      </w:r>
      <w:r>
        <w:rPr>
          <w:rFonts w:ascii="Arial" w:hAnsi="Arial" w:cs="Arial"/>
        </w:rPr>
        <w:t xml:space="preserve">also. </w:t>
      </w:r>
    </w:p>
    <w:p w14:paraId="56F8C0E7" w14:textId="77777777" w:rsidR="00761CC8" w:rsidRDefault="00761CC8" w:rsidP="00761CC8">
      <w:pPr>
        <w:spacing w:line="360" w:lineRule="auto"/>
        <w:jc w:val="both"/>
        <w:rPr>
          <w:rFonts w:ascii="Arial" w:eastAsia="DengXian Light" w:hAnsi="Arial" w:cs="Arial"/>
          <w:b/>
          <w:bCs/>
          <w:u w:val="thick"/>
        </w:rPr>
      </w:pPr>
    </w:p>
    <w:p w14:paraId="200D2F11" w14:textId="77777777" w:rsidR="00761CC8" w:rsidRDefault="00761CC8" w:rsidP="00761CC8">
      <w:pPr>
        <w:spacing w:line="360" w:lineRule="auto"/>
        <w:rPr>
          <w:rFonts w:ascii="Arial" w:eastAsia="DengXian Light" w:hAnsi="Arial" w:cs="Arial"/>
          <w:b/>
          <w:bCs/>
          <w:u w:val="thick"/>
        </w:rPr>
      </w:pPr>
    </w:p>
    <w:p w14:paraId="34D36E27" w14:textId="77777777" w:rsidR="00761CC8" w:rsidRDefault="00761CC8" w:rsidP="00761CC8">
      <w:pPr>
        <w:spacing w:line="360" w:lineRule="auto"/>
        <w:rPr>
          <w:rFonts w:ascii="Arial" w:eastAsia="DengXian Light" w:hAnsi="Arial" w:cs="Arial"/>
          <w:b/>
          <w:bCs/>
          <w:u w:val="thick"/>
        </w:rPr>
      </w:pPr>
    </w:p>
    <w:p w14:paraId="2E3592E1" w14:textId="77777777" w:rsidR="00761CC8" w:rsidRDefault="00761CC8" w:rsidP="00761CC8">
      <w:pPr>
        <w:spacing w:line="360" w:lineRule="auto"/>
        <w:rPr>
          <w:rFonts w:ascii="Arial" w:eastAsia="DengXian Light" w:hAnsi="Arial" w:cs="Arial"/>
          <w:b/>
          <w:bCs/>
          <w:u w:val="thick"/>
        </w:rPr>
      </w:pPr>
    </w:p>
    <w:p w14:paraId="58508ADE" w14:textId="77777777" w:rsidR="00761CC8" w:rsidRDefault="00761CC8" w:rsidP="00761CC8">
      <w:pPr>
        <w:spacing w:line="360" w:lineRule="auto"/>
        <w:rPr>
          <w:rFonts w:ascii="Arial" w:eastAsia="DengXian Light" w:hAnsi="Arial" w:cs="Arial"/>
          <w:b/>
          <w:bCs/>
          <w:u w:val="thick"/>
        </w:rPr>
      </w:pPr>
    </w:p>
    <w:p w14:paraId="24EC4B47" w14:textId="77777777" w:rsidR="00761CC8" w:rsidRDefault="00761CC8" w:rsidP="00761CC8">
      <w:pPr>
        <w:spacing w:line="360" w:lineRule="auto"/>
        <w:rPr>
          <w:rFonts w:ascii="Arial" w:eastAsia="DengXian Light" w:hAnsi="Arial" w:cs="Arial"/>
          <w:b/>
          <w:bCs/>
          <w:u w:val="thick"/>
        </w:rPr>
      </w:pPr>
    </w:p>
    <w:p w14:paraId="1810BA76" w14:textId="77777777" w:rsidR="00761CC8" w:rsidRDefault="00761CC8" w:rsidP="00761CC8">
      <w:pPr>
        <w:spacing w:line="360" w:lineRule="auto"/>
        <w:rPr>
          <w:rFonts w:ascii="Arial" w:eastAsia="DengXian Light" w:hAnsi="Arial" w:cs="Arial"/>
          <w:b/>
          <w:bCs/>
          <w:u w:val="thick"/>
        </w:rPr>
      </w:pPr>
    </w:p>
    <w:p w14:paraId="54CE0846" w14:textId="77777777" w:rsidR="00761CC8" w:rsidRDefault="00761CC8" w:rsidP="00761CC8">
      <w:pPr>
        <w:spacing w:line="360" w:lineRule="auto"/>
        <w:rPr>
          <w:rFonts w:ascii="Arial" w:eastAsia="DengXian Light" w:hAnsi="Arial" w:cs="Arial"/>
          <w:b/>
          <w:bCs/>
          <w:u w:val="thick"/>
        </w:rPr>
      </w:pPr>
    </w:p>
    <w:p w14:paraId="7F20433D" w14:textId="77777777" w:rsidR="00761CC8" w:rsidRDefault="00761CC8" w:rsidP="00761CC8">
      <w:pPr>
        <w:spacing w:line="360" w:lineRule="auto"/>
        <w:rPr>
          <w:rFonts w:ascii="Arial" w:eastAsia="DengXian Light" w:hAnsi="Arial" w:cs="Arial"/>
          <w:b/>
          <w:bCs/>
          <w:u w:val="thick"/>
        </w:rPr>
      </w:pPr>
    </w:p>
    <w:p w14:paraId="13C064E3" w14:textId="77777777" w:rsidR="00761CC8" w:rsidRDefault="00761CC8" w:rsidP="00761CC8">
      <w:pPr>
        <w:spacing w:line="360" w:lineRule="auto"/>
        <w:rPr>
          <w:rFonts w:ascii="Arial" w:eastAsia="DengXian Light" w:hAnsi="Arial" w:cs="Arial"/>
          <w:b/>
          <w:bCs/>
          <w:u w:val="thick"/>
        </w:rPr>
      </w:pPr>
    </w:p>
    <w:p w14:paraId="56EB1754" w14:textId="77777777" w:rsidR="00761CC8" w:rsidRDefault="00761CC8" w:rsidP="00761CC8">
      <w:pPr>
        <w:spacing w:line="360" w:lineRule="auto"/>
        <w:rPr>
          <w:rFonts w:ascii="Arial" w:eastAsia="DengXian Light" w:hAnsi="Arial" w:cs="Arial"/>
          <w:b/>
          <w:bCs/>
          <w:u w:val="thick"/>
        </w:rPr>
      </w:pPr>
    </w:p>
    <w:p w14:paraId="13EADA91" w14:textId="77777777" w:rsidR="00761CC8" w:rsidRDefault="00761CC8" w:rsidP="00761CC8">
      <w:pPr>
        <w:spacing w:line="360" w:lineRule="auto"/>
        <w:rPr>
          <w:rFonts w:ascii="Arial" w:eastAsia="DengXian Light" w:hAnsi="Arial" w:cs="Arial"/>
          <w:b/>
          <w:bCs/>
          <w:u w:val="thick"/>
        </w:rPr>
      </w:pPr>
    </w:p>
    <w:p w14:paraId="33CFB97A" w14:textId="77777777" w:rsidR="00761CC8" w:rsidRDefault="00761CC8" w:rsidP="00761CC8">
      <w:pPr>
        <w:spacing w:line="360" w:lineRule="auto"/>
        <w:rPr>
          <w:rFonts w:ascii="Arial" w:eastAsia="DengXian Light" w:hAnsi="Arial" w:cs="Arial"/>
          <w:b/>
          <w:bCs/>
          <w:u w:val="thick"/>
        </w:rPr>
      </w:pPr>
    </w:p>
    <w:p w14:paraId="430B5E21" w14:textId="77777777" w:rsidR="00761CC8" w:rsidRDefault="00761CC8" w:rsidP="00761CC8">
      <w:pPr>
        <w:spacing w:line="360" w:lineRule="auto"/>
        <w:rPr>
          <w:rFonts w:ascii="Arial" w:eastAsia="DengXian Light" w:hAnsi="Arial" w:cs="Arial"/>
          <w:b/>
          <w:bCs/>
          <w:u w:val="thick"/>
        </w:rPr>
      </w:pPr>
    </w:p>
    <w:p w14:paraId="2626E58A" w14:textId="77777777" w:rsidR="00761CC8" w:rsidRDefault="00761CC8" w:rsidP="00761CC8">
      <w:pPr>
        <w:spacing w:line="360" w:lineRule="auto"/>
        <w:rPr>
          <w:rFonts w:ascii="Arial" w:eastAsia="DengXian Light" w:hAnsi="Arial" w:cs="Arial"/>
          <w:b/>
          <w:bCs/>
          <w:u w:val="thick"/>
        </w:rPr>
      </w:pPr>
    </w:p>
    <w:p w14:paraId="3D40B8E6" w14:textId="77777777" w:rsidR="00761CC8" w:rsidRDefault="00761CC8" w:rsidP="00761CC8">
      <w:pPr>
        <w:spacing w:line="360" w:lineRule="auto"/>
        <w:rPr>
          <w:rFonts w:ascii="Arial" w:eastAsia="DengXian Light" w:hAnsi="Arial" w:cs="Arial"/>
          <w:b/>
          <w:bCs/>
          <w:u w:val="thick"/>
        </w:rPr>
      </w:pPr>
    </w:p>
    <w:p w14:paraId="77021A41" w14:textId="77777777" w:rsidR="00761CC8" w:rsidRDefault="00761CC8" w:rsidP="00761CC8">
      <w:pPr>
        <w:pStyle w:val="Heading1"/>
        <w:spacing w:line="360" w:lineRule="auto"/>
        <w:jc w:val="center"/>
        <w:rPr>
          <w:rFonts w:ascii="Arial" w:eastAsia="DengXian Light" w:hAnsi="Arial" w:cs="Arial"/>
          <w:b/>
          <w:bCs/>
          <w:color w:val="auto"/>
          <w:sz w:val="22"/>
          <w:szCs w:val="22"/>
          <w:u w:val="single"/>
        </w:rPr>
      </w:pPr>
      <w:bookmarkStart w:id="3" w:name="_Toc107582338"/>
      <w:bookmarkStart w:id="4" w:name="_Toc107582443"/>
      <w:bookmarkStart w:id="5" w:name="_Toc107582484"/>
      <w:r>
        <w:rPr>
          <w:rFonts w:ascii="Arial" w:eastAsia="DengXian Light" w:hAnsi="Arial" w:cs="Arial"/>
          <w:b/>
          <w:bCs/>
          <w:color w:val="auto"/>
          <w:sz w:val="22"/>
          <w:szCs w:val="22"/>
          <w:u w:val="single"/>
        </w:rPr>
        <w:lastRenderedPageBreak/>
        <w:t>Task-1</w:t>
      </w:r>
      <w:bookmarkEnd w:id="3"/>
      <w:bookmarkEnd w:id="4"/>
      <w:bookmarkEnd w:id="5"/>
    </w:p>
    <w:p w14:paraId="26B6337D" w14:textId="77777777" w:rsidR="00761CC8" w:rsidRDefault="00761CC8" w:rsidP="00761CC8">
      <w:pPr>
        <w:keepNext/>
        <w:keepLines/>
        <w:spacing w:before="40" w:after="0" w:line="360" w:lineRule="auto"/>
        <w:outlineLvl w:val="1"/>
        <w:rPr>
          <w:rFonts w:ascii="Arial" w:eastAsia="DengXian Light" w:hAnsi="Arial" w:cs="Arial"/>
          <w:b/>
          <w:bCs/>
        </w:rPr>
      </w:pPr>
      <w:bookmarkStart w:id="6" w:name="_Toc107582339"/>
      <w:bookmarkStart w:id="7" w:name="_Toc107582444"/>
      <w:bookmarkStart w:id="8" w:name="_Toc107582485"/>
      <w:r>
        <w:rPr>
          <w:rFonts w:ascii="Arial" w:eastAsia="DengXian Light" w:hAnsi="Arial" w:cs="Arial"/>
          <w:b/>
          <w:bCs/>
        </w:rPr>
        <w:t>Marginal Costing Income Statement for December 2021</w:t>
      </w:r>
      <w:bookmarkEnd w:id="6"/>
      <w:bookmarkEnd w:id="7"/>
      <w:bookmarkEnd w:id="8"/>
    </w:p>
    <w:p w14:paraId="36E21043" w14:textId="77777777" w:rsidR="00761CC8" w:rsidRDefault="00761CC8" w:rsidP="00761CC8">
      <w:pPr>
        <w:spacing w:line="360" w:lineRule="auto"/>
        <w:jc w:val="both"/>
        <w:rPr>
          <w:rFonts w:ascii="Arial" w:hAnsi="Arial" w:cs="Arial"/>
        </w:rPr>
      </w:pPr>
      <w:r>
        <w:rPr>
          <w:rFonts w:ascii="Arial" w:hAnsi="Arial" w:cs="Arial"/>
        </w:rPr>
        <w:t>In marginal costing, product cost is determined exclusively by the variable costs of its production (Bailey,2011). The following format is utilized to determine Mobile Solution group's variable costing of products sold across all three product lines and the entire organization:</w:t>
      </w:r>
    </w:p>
    <w:tbl>
      <w:tblPr>
        <w:tblStyle w:val="GridTable1Light-Accent51"/>
        <w:tblW w:w="9427" w:type="dxa"/>
        <w:tblInd w:w="0" w:type="dxa"/>
        <w:tblLook w:val="04A0" w:firstRow="1" w:lastRow="0" w:firstColumn="1" w:lastColumn="0" w:noHBand="0" w:noVBand="1"/>
      </w:tblPr>
      <w:tblGrid>
        <w:gridCol w:w="3550"/>
        <w:gridCol w:w="267"/>
        <w:gridCol w:w="1621"/>
        <w:gridCol w:w="1297"/>
        <w:gridCol w:w="1346"/>
        <w:gridCol w:w="1346"/>
      </w:tblGrid>
      <w:tr w:rsidR="00761CC8" w14:paraId="7F23B1EE" w14:textId="77777777" w:rsidTr="00761CC8">
        <w:trPr>
          <w:cnfStyle w:val="100000000000" w:firstRow="1" w:lastRow="0" w:firstColumn="0" w:lastColumn="0" w:oddVBand="0" w:evenVBand="0" w:oddHBand="0"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3817" w:type="dxa"/>
            <w:gridSpan w:val="2"/>
            <w:tcBorders>
              <w:top w:val="single" w:sz="4" w:space="0" w:color="BDD6EE"/>
              <w:left w:val="single" w:sz="4" w:space="0" w:color="BDD6EE"/>
              <w:right w:val="single" w:sz="4" w:space="0" w:color="BDD6EE"/>
            </w:tcBorders>
            <w:noWrap/>
            <w:hideMark/>
          </w:tcPr>
          <w:p w14:paraId="1996A99E" w14:textId="77777777" w:rsidR="00761CC8" w:rsidRDefault="00761CC8">
            <w:pPr>
              <w:spacing w:line="360" w:lineRule="auto"/>
              <w:jc w:val="both"/>
              <w:rPr>
                <w:rFonts w:ascii="Arial" w:eastAsia="Times New Roman" w:hAnsi="Arial" w:cs="Arial"/>
              </w:rPr>
            </w:pPr>
            <w:r>
              <w:rPr>
                <w:rFonts w:ascii="Arial" w:eastAsia="Times New Roman" w:hAnsi="Arial" w:cs="Arial"/>
              </w:rPr>
              <w:t>Particulars</w:t>
            </w:r>
          </w:p>
        </w:tc>
        <w:tc>
          <w:tcPr>
            <w:tcW w:w="1620" w:type="dxa"/>
            <w:tcBorders>
              <w:top w:val="single" w:sz="4" w:space="0" w:color="BDD6EE"/>
              <w:left w:val="single" w:sz="4" w:space="0" w:color="BDD6EE"/>
              <w:right w:val="single" w:sz="4" w:space="0" w:color="BDD6EE"/>
            </w:tcBorders>
            <w:noWrap/>
            <w:hideMark/>
          </w:tcPr>
          <w:p w14:paraId="43F5CC9E"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Wheelchairs</w:t>
            </w:r>
          </w:p>
        </w:tc>
        <w:tc>
          <w:tcPr>
            <w:tcW w:w="1297" w:type="dxa"/>
            <w:tcBorders>
              <w:top w:val="single" w:sz="4" w:space="0" w:color="BDD6EE"/>
              <w:left w:val="single" w:sz="4" w:space="0" w:color="BDD6EE"/>
              <w:right w:val="single" w:sz="4" w:space="0" w:color="BDD6EE"/>
            </w:tcBorders>
            <w:noWrap/>
            <w:hideMark/>
          </w:tcPr>
          <w:p w14:paraId="47B7A868"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Hoists</w:t>
            </w:r>
          </w:p>
        </w:tc>
        <w:tc>
          <w:tcPr>
            <w:tcW w:w="1346" w:type="dxa"/>
            <w:tcBorders>
              <w:top w:val="single" w:sz="4" w:space="0" w:color="BDD6EE"/>
              <w:left w:val="single" w:sz="4" w:space="0" w:color="BDD6EE"/>
              <w:right w:val="single" w:sz="4" w:space="0" w:color="BDD6EE"/>
            </w:tcBorders>
            <w:noWrap/>
            <w:hideMark/>
          </w:tcPr>
          <w:p w14:paraId="6BC483E8"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roofErr w:type="spellStart"/>
            <w:r>
              <w:rPr>
                <w:rFonts w:ascii="Arial" w:eastAsia="Times New Roman" w:hAnsi="Arial" w:cs="Arial"/>
              </w:rPr>
              <w:t>Monile</w:t>
            </w:r>
            <w:proofErr w:type="spellEnd"/>
            <w:r>
              <w:rPr>
                <w:rFonts w:ascii="Arial" w:eastAsia="Times New Roman" w:hAnsi="Arial" w:cs="Arial"/>
              </w:rPr>
              <w:t xml:space="preserve"> Beds</w:t>
            </w:r>
          </w:p>
        </w:tc>
        <w:tc>
          <w:tcPr>
            <w:tcW w:w="1346" w:type="dxa"/>
            <w:tcBorders>
              <w:top w:val="single" w:sz="4" w:space="0" w:color="BDD6EE"/>
              <w:left w:val="single" w:sz="4" w:space="0" w:color="BDD6EE"/>
              <w:right w:val="single" w:sz="4" w:space="0" w:color="BDD6EE"/>
            </w:tcBorders>
            <w:noWrap/>
            <w:hideMark/>
          </w:tcPr>
          <w:p w14:paraId="6D054B39"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Total</w:t>
            </w:r>
          </w:p>
        </w:tc>
      </w:tr>
      <w:tr w:rsidR="00761CC8" w14:paraId="4942430A" w14:textId="77777777" w:rsidTr="00761CC8">
        <w:trPr>
          <w:trHeight w:val="484"/>
        </w:trPr>
        <w:tc>
          <w:tcPr>
            <w:cnfStyle w:val="001000000000" w:firstRow="0" w:lastRow="0" w:firstColumn="1" w:lastColumn="0" w:oddVBand="0" w:evenVBand="0" w:oddHBand="0" w:evenHBand="0" w:firstRowFirstColumn="0" w:firstRowLastColumn="0" w:lastRowFirstColumn="0" w:lastRowLastColumn="0"/>
            <w:tcW w:w="5438" w:type="dxa"/>
            <w:gridSpan w:val="3"/>
            <w:tcBorders>
              <w:top w:val="single" w:sz="4" w:space="0" w:color="BDD6EE"/>
              <w:left w:val="single" w:sz="4" w:space="0" w:color="BDD6EE"/>
              <w:bottom w:val="single" w:sz="4" w:space="0" w:color="BDD6EE"/>
              <w:right w:val="single" w:sz="4" w:space="0" w:color="BDD6EE"/>
            </w:tcBorders>
            <w:noWrap/>
            <w:hideMark/>
          </w:tcPr>
          <w:p w14:paraId="176DEAC7" w14:textId="77777777" w:rsidR="00761CC8" w:rsidRDefault="00761CC8">
            <w:pPr>
              <w:spacing w:line="360" w:lineRule="auto"/>
              <w:jc w:val="both"/>
              <w:rPr>
                <w:rFonts w:ascii="Arial" w:eastAsia="Times New Roman" w:hAnsi="Arial" w:cs="Arial"/>
              </w:rPr>
            </w:pPr>
            <w:r>
              <w:rPr>
                <w:rFonts w:ascii="Arial" w:eastAsia="Times New Roman" w:hAnsi="Arial" w:cs="Arial"/>
              </w:rPr>
              <w:t>Variable Costs of Goods Sold</w:t>
            </w:r>
          </w:p>
        </w:tc>
        <w:tc>
          <w:tcPr>
            <w:tcW w:w="1297" w:type="dxa"/>
            <w:tcBorders>
              <w:top w:val="single" w:sz="4" w:space="0" w:color="BDD6EE"/>
              <w:left w:val="single" w:sz="4" w:space="0" w:color="BDD6EE"/>
              <w:bottom w:val="single" w:sz="4" w:space="0" w:color="BDD6EE"/>
              <w:right w:val="single" w:sz="4" w:space="0" w:color="BDD6EE"/>
            </w:tcBorders>
            <w:noWrap/>
            <w:hideMark/>
          </w:tcPr>
          <w:p w14:paraId="6ED49CBF"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346" w:type="dxa"/>
            <w:tcBorders>
              <w:top w:val="single" w:sz="4" w:space="0" w:color="BDD6EE"/>
              <w:left w:val="single" w:sz="4" w:space="0" w:color="BDD6EE"/>
              <w:bottom w:val="single" w:sz="4" w:space="0" w:color="BDD6EE"/>
              <w:right w:val="single" w:sz="4" w:space="0" w:color="BDD6EE"/>
            </w:tcBorders>
            <w:noWrap/>
            <w:hideMark/>
          </w:tcPr>
          <w:p w14:paraId="6D8E3E06"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c>
          <w:tcPr>
            <w:tcW w:w="1346" w:type="dxa"/>
            <w:tcBorders>
              <w:top w:val="single" w:sz="4" w:space="0" w:color="BDD6EE"/>
              <w:left w:val="single" w:sz="4" w:space="0" w:color="BDD6EE"/>
              <w:bottom w:val="single" w:sz="4" w:space="0" w:color="BDD6EE"/>
              <w:right w:val="single" w:sz="4" w:space="0" w:color="BDD6EE"/>
            </w:tcBorders>
            <w:noWrap/>
            <w:hideMark/>
          </w:tcPr>
          <w:p w14:paraId="04EE6917"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r>
      <w:tr w:rsidR="00761CC8" w14:paraId="5A99CBE0" w14:textId="77777777" w:rsidTr="00761CC8">
        <w:trPr>
          <w:trHeight w:val="484"/>
        </w:trPr>
        <w:tc>
          <w:tcPr>
            <w:cnfStyle w:val="001000000000" w:firstRow="0" w:lastRow="0" w:firstColumn="1" w:lastColumn="0" w:oddVBand="0" w:evenVBand="0" w:oddHBand="0" w:evenHBand="0" w:firstRowFirstColumn="0" w:firstRowLastColumn="0" w:lastRowFirstColumn="0" w:lastRowLastColumn="0"/>
            <w:tcW w:w="3550" w:type="dxa"/>
            <w:tcBorders>
              <w:top w:val="single" w:sz="4" w:space="0" w:color="BDD6EE"/>
              <w:left w:val="single" w:sz="4" w:space="0" w:color="BDD6EE"/>
              <w:bottom w:val="single" w:sz="4" w:space="0" w:color="BDD6EE"/>
              <w:right w:val="single" w:sz="4" w:space="0" w:color="BDD6EE"/>
            </w:tcBorders>
            <w:noWrap/>
            <w:hideMark/>
          </w:tcPr>
          <w:p w14:paraId="0E12AC81"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Material </w:t>
            </w:r>
          </w:p>
        </w:tc>
        <w:tc>
          <w:tcPr>
            <w:tcW w:w="267" w:type="dxa"/>
            <w:tcBorders>
              <w:top w:val="single" w:sz="4" w:space="0" w:color="BDD6EE"/>
              <w:left w:val="single" w:sz="4" w:space="0" w:color="BDD6EE"/>
              <w:bottom w:val="single" w:sz="4" w:space="0" w:color="BDD6EE"/>
              <w:right w:val="single" w:sz="4" w:space="0" w:color="BDD6EE"/>
            </w:tcBorders>
            <w:noWrap/>
            <w:hideMark/>
          </w:tcPr>
          <w:p w14:paraId="7D708A7B"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620" w:type="dxa"/>
            <w:tcBorders>
              <w:top w:val="single" w:sz="4" w:space="0" w:color="BDD6EE"/>
              <w:left w:val="single" w:sz="4" w:space="0" w:color="BDD6EE"/>
              <w:bottom w:val="single" w:sz="4" w:space="0" w:color="BDD6EE"/>
              <w:right w:val="single" w:sz="4" w:space="0" w:color="BDD6EE"/>
            </w:tcBorders>
            <w:noWrap/>
            <w:hideMark/>
          </w:tcPr>
          <w:p w14:paraId="617D84A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4,180.00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27579B38"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4,905.00 </w:t>
            </w:r>
          </w:p>
        </w:tc>
        <w:tc>
          <w:tcPr>
            <w:tcW w:w="1346" w:type="dxa"/>
            <w:tcBorders>
              <w:top w:val="single" w:sz="4" w:space="0" w:color="BDD6EE"/>
              <w:left w:val="single" w:sz="4" w:space="0" w:color="BDD6EE"/>
              <w:bottom w:val="single" w:sz="4" w:space="0" w:color="BDD6EE"/>
              <w:right w:val="single" w:sz="4" w:space="0" w:color="BDD6EE"/>
            </w:tcBorders>
            <w:noWrap/>
            <w:hideMark/>
          </w:tcPr>
          <w:p w14:paraId="66EA79E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5,390.00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4C5456F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14,475.00 </w:t>
            </w:r>
          </w:p>
        </w:tc>
      </w:tr>
      <w:tr w:rsidR="00761CC8" w14:paraId="5C86E2F4" w14:textId="77777777" w:rsidTr="00761CC8">
        <w:trPr>
          <w:trHeight w:val="484"/>
        </w:trPr>
        <w:tc>
          <w:tcPr>
            <w:cnfStyle w:val="001000000000" w:firstRow="0" w:lastRow="0" w:firstColumn="1" w:lastColumn="0" w:oddVBand="0" w:evenVBand="0" w:oddHBand="0" w:evenHBand="0" w:firstRowFirstColumn="0" w:firstRowLastColumn="0" w:lastRowFirstColumn="0" w:lastRowLastColumn="0"/>
            <w:tcW w:w="3550" w:type="dxa"/>
            <w:tcBorders>
              <w:top w:val="single" w:sz="4" w:space="0" w:color="BDD6EE"/>
              <w:left w:val="single" w:sz="4" w:space="0" w:color="BDD6EE"/>
              <w:bottom w:val="single" w:sz="4" w:space="0" w:color="BDD6EE"/>
              <w:right w:val="single" w:sz="4" w:space="0" w:color="BDD6EE"/>
            </w:tcBorders>
            <w:noWrap/>
            <w:hideMark/>
          </w:tcPr>
          <w:p w14:paraId="592F3168" w14:textId="77777777" w:rsidR="00761CC8" w:rsidRDefault="00761CC8">
            <w:pPr>
              <w:spacing w:line="360" w:lineRule="auto"/>
              <w:jc w:val="both"/>
              <w:rPr>
                <w:rFonts w:ascii="Arial" w:eastAsia="Times New Roman" w:hAnsi="Arial" w:cs="Arial"/>
              </w:rPr>
            </w:pPr>
            <w:proofErr w:type="spellStart"/>
            <w:r>
              <w:rPr>
                <w:rFonts w:ascii="Arial" w:eastAsia="Times New Roman" w:hAnsi="Arial" w:cs="Arial"/>
              </w:rPr>
              <w:t>Labour</w:t>
            </w:r>
            <w:proofErr w:type="spellEnd"/>
          </w:p>
        </w:tc>
        <w:tc>
          <w:tcPr>
            <w:tcW w:w="267" w:type="dxa"/>
            <w:tcBorders>
              <w:top w:val="single" w:sz="4" w:space="0" w:color="BDD6EE"/>
              <w:left w:val="single" w:sz="4" w:space="0" w:color="BDD6EE"/>
              <w:bottom w:val="single" w:sz="4" w:space="0" w:color="BDD6EE"/>
              <w:right w:val="single" w:sz="4" w:space="0" w:color="BDD6EE"/>
            </w:tcBorders>
            <w:noWrap/>
            <w:hideMark/>
          </w:tcPr>
          <w:p w14:paraId="0287453E"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620" w:type="dxa"/>
            <w:tcBorders>
              <w:top w:val="single" w:sz="4" w:space="0" w:color="BDD6EE"/>
              <w:left w:val="single" w:sz="4" w:space="0" w:color="BDD6EE"/>
              <w:bottom w:val="single" w:sz="4" w:space="0" w:color="BDD6EE"/>
              <w:right w:val="single" w:sz="4" w:space="0" w:color="BDD6EE"/>
            </w:tcBorders>
            <w:noWrap/>
            <w:hideMark/>
          </w:tcPr>
          <w:p w14:paraId="1A780290"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1,470.00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09071A2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2,535.00 </w:t>
            </w:r>
          </w:p>
        </w:tc>
        <w:tc>
          <w:tcPr>
            <w:tcW w:w="1346" w:type="dxa"/>
            <w:tcBorders>
              <w:top w:val="single" w:sz="4" w:space="0" w:color="BDD6EE"/>
              <w:left w:val="single" w:sz="4" w:space="0" w:color="BDD6EE"/>
              <w:bottom w:val="single" w:sz="4" w:space="0" w:color="BDD6EE"/>
              <w:right w:val="single" w:sz="4" w:space="0" w:color="BDD6EE"/>
            </w:tcBorders>
            <w:noWrap/>
            <w:hideMark/>
          </w:tcPr>
          <w:p w14:paraId="7082C106"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2,760.00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6333FD3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6,765.00 </w:t>
            </w:r>
          </w:p>
        </w:tc>
      </w:tr>
      <w:tr w:rsidR="00761CC8" w14:paraId="5D4F0EE7" w14:textId="77777777" w:rsidTr="00761CC8">
        <w:trPr>
          <w:trHeight w:val="484"/>
        </w:trPr>
        <w:tc>
          <w:tcPr>
            <w:cnfStyle w:val="001000000000" w:firstRow="0" w:lastRow="0" w:firstColumn="1" w:lastColumn="0" w:oddVBand="0" w:evenVBand="0" w:oddHBand="0" w:evenHBand="0" w:firstRowFirstColumn="0" w:firstRowLastColumn="0" w:lastRowFirstColumn="0" w:lastRowLastColumn="0"/>
            <w:tcW w:w="3817" w:type="dxa"/>
            <w:gridSpan w:val="2"/>
            <w:tcBorders>
              <w:top w:val="single" w:sz="4" w:space="0" w:color="BDD6EE"/>
              <w:left w:val="single" w:sz="4" w:space="0" w:color="BDD6EE"/>
              <w:bottom w:val="single" w:sz="4" w:space="0" w:color="BDD6EE"/>
              <w:right w:val="single" w:sz="4" w:space="0" w:color="BDD6EE"/>
            </w:tcBorders>
            <w:noWrap/>
            <w:hideMark/>
          </w:tcPr>
          <w:p w14:paraId="3DBD83A8" w14:textId="77777777" w:rsidR="00761CC8" w:rsidRDefault="00761CC8">
            <w:pPr>
              <w:spacing w:line="360" w:lineRule="auto"/>
              <w:jc w:val="both"/>
              <w:rPr>
                <w:rFonts w:ascii="Arial" w:eastAsia="Times New Roman" w:hAnsi="Arial" w:cs="Arial"/>
              </w:rPr>
            </w:pPr>
            <w:r>
              <w:rPr>
                <w:rFonts w:ascii="Arial" w:eastAsia="Times New Roman" w:hAnsi="Arial" w:cs="Arial"/>
              </w:rPr>
              <w:t>Total Variable Costs of Goods Sold</w:t>
            </w:r>
          </w:p>
        </w:tc>
        <w:tc>
          <w:tcPr>
            <w:tcW w:w="1620" w:type="dxa"/>
            <w:tcBorders>
              <w:top w:val="single" w:sz="4" w:space="0" w:color="BDD6EE"/>
              <w:left w:val="single" w:sz="4" w:space="0" w:color="BDD6EE"/>
              <w:bottom w:val="single" w:sz="4" w:space="0" w:color="BDD6EE"/>
              <w:right w:val="single" w:sz="4" w:space="0" w:color="BDD6EE"/>
            </w:tcBorders>
            <w:noWrap/>
            <w:hideMark/>
          </w:tcPr>
          <w:p w14:paraId="2A7095C8"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5,650.00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3C2ED3A7"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7,440.00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6B7A77C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8,150.00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5451B30E"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21,240.00 </w:t>
            </w:r>
          </w:p>
        </w:tc>
      </w:tr>
    </w:tbl>
    <w:p w14:paraId="3CFBA68F" w14:textId="77777777" w:rsidR="00761CC8" w:rsidRDefault="00761CC8" w:rsidP="00761CC8">
      <w:pPr>
        <w:spacing w:line="360" w:lineRule="auto"/>
        <w:jc w:val="both"/>
        <w:rPr>
          <w:rFonts w:ascii="Arial" w:hAnsi="Arial" w:cs="Arial"/>
        </w:rPr>
      </w:pPr>
      <w:r>
        <w:rPr>
          <w:rFonts w:ascii="Arial" w:hAnsi="Arial" w:cs="Arial"/>
        </w:rPr>
        <w:t>After putting everything together, the income statement based on variable costs would look like the below:</w:t>
      </w:r>
    </w:p>
    <w:p w14:paraId="1D319258" w14:textId="77777777" w:rsidR="00761CC8" w:rsidRDefault="00761CC8" w:rsidP="00761CC8">
      <w:pPr>
        <w:spacing w:line="360" w:lineRule="auto"/>
        <w:jc w:val="center"/>
        <w:rPr>
          <w:rFonts w:ascii="Arial" w:hAnsi="Arial" w:cs="Arial"/>
          <w:b/>
          <w:bCs/>
        </w:rPr>
      </w:pPr>
      <w:r>
        <w:rPr>
          <w:rFonts w:ascii="Arial" w:hAnsi="Arial" w:cs="Arial"/>
          <w:b/>
          <w:bCs/>
        </w:rPr>
        <w:t>Mobile Solution Group</w:t>
      </w:r>
    </w:p>
    <w:p w14:paraId="11C7FE02" w14:textId="77777777" w:rsidR="00761CC8" w:rsidRDefault="00761CC8" w:rsidP="00761CC8">
      <w:pPr>
        <w:spacing w:line="360" w:lineRule="auto"/>
        <w:jc w:val="center"/>
        <w:rPr>
          <w:rFonts w:ascii="Arial" w:hAnsi="Arial" w:cs="Arial"/>
          <w:b/>
          <w:bCs/>
        </w:rPr>
      </w:pPr>
      <w:r>
        <w:rPr>
          <w:rFonts w:ascii="Arial" w:hAnsi="Arial" w:cs="Arial"/>
          <w:b/>
          <w:bCs/>
        </w:rPr>
        <w:t>Marginal Costing Income Statement</w:t>
      </w:r>
    </w:p>
    <w:p w14:paraId="40684381" w14:textId="77777777" w:rsidR="00761CC8" w:rsidRDefault="00761CC8" w:rsidP="00761CC8">
      <w:pPr>
        <w:spacing w:line="360" w:lineRule="auto"/>
        <w:jc w:val="center"/>
        <w:rPr>
          <w:rFonts w:ascii="Arial" w:hAnsi="Arial" w:cs="Arial"/>
          <w:b/>
          <w:bCs/>
        </w:rPr>
      </w:pPr>
      <w:r>
        <w:rPr>
          <w:rFonts w:ascii="Arial" w:hAnsi="Arial" w:cs="Arial"/>
          <w:b/>
          <w:bCs/>
        </w:rPr>
        <w:t>For the Year Ended December 2021</w:t>
      </w:r>
    </w:p>
    <w:tbl>
      <w:tblPr>
        <w:tblStyle w:val="GridTable1Light-Accent61"/>
        <w:tblW w:w="9421" w:type="dxa"/>
        <w:tblInd w:w="0" w:type="dxa"/>
        <w:tblLook w:val="04A0" w:firstRow="1" w:lastRow="0" w:firstColumn="1" w:lastColumn="0" w:noHBand="0" w:noVBand="1"/>
      </w:tblPr>
      <w:tblGrid>
        <w:gridCol w:w="3084"/>
        <w:gridCol w:w="284"/>
        <w:gridCol w:w="1726"/>
        <w:gridCol w:w="1446"/>
        <w:gridCol w:w="1435"/>
        <w:gridCol w:w="1446"/>
      </w:tblGrid>
      <w:tr w:rsidR="00761CC8" w14:paraId="6B63723C" w14:textId="77777777" w:rsidTr="00761CC8">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right w:val="single" w:sz="4" w:space="0" w:color="C5E0B3"/>
            </w:tcBorders>
            <w:noWrap/>
            <w:hideMark/>
          </w:tcPr>
          <w:p w14:paraId="7AF28F37" w14:textId="77777777" w:rsidR="00761CC8" w:rsidRDefault="00761CC8">
            <w:pPr>
              <w:spacing w:line="360" w:lineRule="auto"/>
              <w:jc w:val="both"/>
              <w:rPr>
                <w:rFonts w:ascii="Arial" w:eastAsia="Times New Roman" w:hAnsi="Arial" w:cs="Arial"/>
              </w:rPr>
            </w:pPr>
            <w:r>
              <w:rPr>
                <w:rFonts w:ascii="Arial" w:eastAsia="Times New Roman" w:hAnsi="Arial" w:cs="Arial"/>
              </w:rPr>
              <w:t>Particulars</w:t>
            </w:r>
          </w:p>
        </w:tc>
        <w:tc>
          <w:tcPr>
            <w:tcW w:w="1726" w:type="dxa"/>
            <w:tcBorders>
              <w:top w:val="single" w:sz="4" w:space="0" w:color="C5E0B3"/>
              <w:left w:val="single" w:sz="4" w:space="0" w:color="C5E0B3"/>
              <w:right w:val="single" w:sz="4" w:space="0" w:color="C5E0B3"/>
            </w:tcBorders>
            <w:noWrap/>
            <w:hideMark/>
          </w:tcPr>
          <w:p w14:paraId="466D2BA3"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Wheelchairs</w:t>
            </w:r>
          </w:p>
          <w:p w14:paraId="652FF364"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c>
          <w:tcPr>
            <w:tcW w:w="1446" w:type="dxa"/>
            <w:tcBorders>
              <w:top w:val="single" w:sz="4" w:space="0" w:color="C5E0B3"/>
              <w:left w:val="single" w:sz="4" w:space="0" w:color="C5E0B3"/>
              <w:right w:val="single" w:sz="4" w:space="0" w:color="C5E0B3"/>
            </w:tcBorders>
            <w:noWrap/>
            <w:hideMark/>
          </w:tcPr>
          <w:p w14:paraId="7B9921BC"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Hoists</w:t>
            </w:r>
          </w:p>
          <w:p w14:paraId="3CB02468"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c>
          <w:tcPr>
            <w:tcW w:w="1435" w:type="dxa"/>
            <w:tcBorders>
              <w:top w:val="single" w:sz="4" w:space="0" w:color="C5E0B3"/>
              <w:left w:val="single" w:sz="4" w:space="0" w:color="C5E0B3"/>
              <w:right w:val="single" w:sz="4" w:space="0" w:color="C5E0B3"/>
            </w:tcBorders>
            <w:noWrap/>
            <w:hideMark/>
          </w:tcPr>
          <w:p w14:paraId="4C716E0A"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Mobile Beds</w:t>
            </w:r>
          </w:p>
          <w:p w14:paraId="369761AE"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c>
          <w:tcPr>
            <w:tcW w:w="1446" w:type="dxa"/>
            <w:tcBorders>
              <w:top w:val="single" w:sz="4" w:space="0" w:color="C5E0B3"/>
              <w:left w:val="single" w:sz="4" w:space="0" w:color="C5E0B3"/>
              <w:right w:val="single" w:sz="4" w:space="0" w:color="C5E0B3"/>
            </w:tcBorders>
            <w:noWrap/>
            <w:hideMark/>
          </w:tcPr>
          <w:p w14:paraId="688B2733"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Total</w:t>
            </w:r>
          </w:p>
          <w:p w14:paraId="3D6BCB4F"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r>
      <w:tr w:rsidR="00761CC8" w14:paraId="4B63CB11"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084" w:type="dxa"/>
            <w:tcBorders>
              <w:top w:val="single" w:sz="4" w:space="0" w:color="C5E0B3"/>
              <w:left w:val="single" w:sz="4" w:space="0" w:color="C5E0B3"/>
              <w:bottom w:val="single" w:sz="4" w:space="0" w:color="C5E0B3"/>
              <w:right w:val="single" w:sz="4" w:space="0" w:color="C5E0B3"/>
            </w:tcBorders>
            <w:noWrap/>
            <w:hideMark/>
          </w:tcPr>
          <w:p w14:paraId="61224E26" w14:textId="77777777" w:rsidR="00761CC8" w:rsidRDefault="00761CC8">
            <w:pPr>
              <w:spacing w:line="360" w:lineRule="auto"/>
              <w:jc w:val="both"/>
              <w:rPr>
                <w:rFonts w:ascii="Arial" w:eastAsia="Times New Roman" w:hAnsi="Arial" w:cs="Arial"/>
              </w:rPr>
            </w:pPr>
            <w:r>
              <w:rPr>
                <w:rFonts w:ascii="Arial" w:eastAsia="Times New Roman" w:hAnsi="Arial" w:cs="Arial"/>
              </w:rPr>
              <w:t>Sales</w:t>
            </w:r>
          </w:p>
        </w:tc>
        <w:tc>
          <w:tcPr>
            <w:tcW w:w="284" w:type="dxa"/>
            <w:tcBorders>
              <w:top w:val="single" w:sz="4" w:space="0" w:color="C5E0B3"/>
              <w:left w:val="single" w:sz="4" w:space="0" w:color="C5E0B3"/>
              <w:bottom w:val="single" w:sz="4" w:space="0" w:color="C5E0B3"/>
              <w:right w:val="single" w:sz="4" w:space="0" w:color="C5E0B3"/>
            </w:tcBorders>
            <w:noWrap/>
            <w:hideMark/>
          </w:tcPr>
          <w:p w14:paraId="7C1CE670"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726" w:type="dxa"/>
            <w:tcBorders>
              <w:top w:val="single" w:sz="4" w:space="0" w:color="C5E0B3"/>
              <w:left w:val="single" w:sz="4" w:space="0" w:color="C5E0B3"/>
              <w:bottom w:val="single" w:sz="4" w:space="0" w:color="C5E0B3"/>
              <w:right w:val="single" w:sz="4" w:space="0" w:color="C5E0B3"/>
            </w:tcBorders>
            <w:noWrap/>
            <w:hideMark/>
          </w:tcPr>
          <w:p w14:paraId="7BC1405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8,800.00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3FCE019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7,300.00 </w:t>
            </w:r>
          </w:p>
        </w:tc>
        <w:tc>
          <w:tcPr>
            <w:tcW w:w="1435" w:type="dxa"/>
            <w:tcBorders>
              <w:top w:val="single" w:sz="4" w:space="0" w:color="C5E0B3"/>
              <w:left w:val="single" w:sz="4" w:space="0" w:color="C5E0B3"/>
              <w:bottom w:val="single" w:sz="4" w:space="0" w:color="C5E0B3"/>
              <w:right w:val="single" w:sz="4" w:space="0" w:color="C5E0B3"/>
            </w:tcBorders>
            <w:noWrap/>
            <w:hideMark/>
          </w:tcPr>
          <w:p w14:paraId="5D1F589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10,600.00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169774A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26,700.00 </w:t>
            </w:r>
          </w:p>
        </w:tc>
      </w:tr>
      <w:tr w:rsidR="00761CC8" w14:paraId="007F3242"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4E722A2F" w14:textId="77777777" w:rsidR="00761CC8" w:rsidRDefault="00761CC8">
            <w:pPr>
              <w:spacing w:line="360" w:lineRule="auto"/>
              <w:jc w:val="both"/>
              <w:rPr>
                <w:rFonts w:ascii="Arial" w:eastAsia="Times New Roman" w:hAnsi="Arial" w:cs="Arial"/>
              </w:rPr>
            </w:pPr>
            <w:r>
              <w:rPr>
                <w:rFonts w:ascii="Arial" w:eastAsia="Times New Roman" w:hAnsi="Arial" w:cs="Arial"/>
              </w:rPr>
              <w:t>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0CC93334"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1DBE1B79"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c>
          <w:tcPr>
            <w:tcW w:w="1435" w:type="dxa"/>
            <w:tcBorders>
              <w:top w:val="single" w:sz="4" w:space="0" w:color="C5E0B3"/>
              <w:left w:val="single" w:sz="4" w:space="0" w:color="C5E0B3"/>
              <w:bottom w:val="single" w:sz="4" w:space="0" w:color="C5E0B3"/>
              <w:right w:val="single" w:sz="4" w:space="0" w:color="C5E0B3"/>
            </w:tcBorders>
            <w:noWrap/>
            <w:hideMark/>
          </w:tcPr>
          <w:p w14:paraId="2130B2AC"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64432F6C"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r>
      <w:tr w:rsidR="00761CC8" w14:paraId="0C0E05BF"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2AB7B04C" w14:textId="77777777" w:rsidR="00761CC8" w:rsidRDefault="00761CC8">
            <w:pPr>
              <w:spacing w:line="360" w:lineRule="auto"/>
              <w:jc w:val="both"/>
              <w:rPr>
                <w:rFonts w:ascii="Arial" w:eastAsia="Times New Roman" w:hAnsi="Arial" w:cs="Arial"/>
              </w:rPr>
            </w:pPr>
            <w:r>
              <w:rPr>
                <w:rFonts w:ascii="Arial" w:eastAsia="Times New Roman" w:hAnsi="Arial" w:cs="Arial"/>
              </w:rPr>
              <w:t>Variable Costs of Goods Sold</w:t>
            </w:r>
          </w:p>
        </w:tc>
        <w:tc>
          <w:tcPr>
            <w:tcW w:w="1726" w:type="dxa"/>
            <w:tcBorders>
              <w:top w:val="single" w:sz="4" w:space="0" w:color="C5E0B3"/>
              <w:left w:val="single" w:sz="4" w:space="0" w:color="C5E0B3"/>
              <w:bottom w:val="single" w:sz="4" w:space="0" w:color="C5E0B3"/>
              <w:right w:val="single" w:sz="4" w:space="0" w:color="C5E0B3"/>
            </w:tcBorders>
            <w:noWrap/>
            <w:hideMark/>
          </w:tcPr>
          <w:p w14:paraId="63F30E6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5,650.00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7E7D677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7,440.00 </w:t>
            </w:r>
          </w:p>
        </w:tc>
        <w:tc>
          <w:tcPr>
            <w:tcW w:w="1435" w:type="dxa"/>
            <w:tcBorders>
              <w:top w:val="single" w:sz="4" w:space="0" w:color="C5E0B3"/>
              <w:left w:val="single" w:sz="4" w:space="0" w:color="C5E0B3"/>
              <w:bottom w:val="single" w:sz="4" w:space="0" w:color="C5E0B3"/>
              <w:right w:val="single" w:sz="4" w:space="0" w:color="C5E0B3"/>
            </w:tcBorders>
            <w:noWrap/>
            <w:hideMark/>
          </w:tcPr>
          <w:p w14:paraId="2BF8208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8,150.00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6905515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21,240.00 </w:t>
            </w:r>
          </w:p>
        </w:tc>
      </w:tr>
      <w:tr w:rsidR="00761CC8" w14:paraId="45FF2962"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10FF1807" w14:textId="77777777" w:rsidR="00761CC8" w:rsidRDefault="00761CC8">
            <w:pPr>
              <w:spacing w:line="360" w:lineRule="auto"/>
              <w:jc w:val="both"/>
              <w:rPr>
                <w:rFonts w:ascii="Arial" w:eastAsia="Times New Roman" w:hAnsi="Arial" w:cs="Arial"/>
              </w:rPr>
            </w:pPr>
            <w:r>
              <w:rPr>
                <w:rFonts w:ascii="Arial" w:eastAsia="Times New Roman" w:hAnsi="Arial" w:cs="Arial"/>
              </w:rPr>
              <w:t>Other 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25497B6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320.68 </w:t>
            </w:r>
          </w:p>
        </w:tc>
        <w:tc>
          <w:tcPr>
            <w:tcW w:w="1446" w:type="dxa"/>
            <w:tcBorders>
              <w:top w:val="single" w:sz="4" w:space="0" w:color="C5E0B3"/>
              <w:left w:val="single" w:sz="4" w:space="0" w:color="C5E0B3"/>
              <w:bottom w:val="single" w:sz="4" w:space="0" w:color="C5E0B3"/>
              <w:right w:val="single" w:sz="4" w:space="0" w:color="C5E0B3"/>
            </w:tcBorders>
            <w:noWrap/>
            <w:hideMark/>
          </w:tcPr>
          <w:p w14:paraId="0F0F83A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69.85 </w:t>
            </w:r>
          </w:p>
        </w:tc>
        <w:tc>
          <w:tcPr>
            <w:tcW w:w="1435" w:type="dxa"/>
            <w:tcBorders>
              <w:top w:val="single" w:sz="4" w:space="0" w:color="C5E0B3"/>
              <w:left w:val="single" w:sz="4" w:space="0" w:color="C5E0B3"/>
              <w:bottom w:val="single" w:sz="4" w:space="0" w:color="C5E0B3"/>
              <w:right w:val="single" w:sz="4" w:space="0" w:color="C5E0B3"/>
            </w:tcBorders>
            <w:noWrap/>
            <w:hideMark/>
          </w:tcPr>
          <w:p w14:paraId="613B16E1"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80.52 </w:t>
            </w:r>
          </w:p>
        </w:tc>
        <w:tc>
          <w:tcPr>
            <w:tcW w:w="1446" w:type="dxa"/>
            <w:tcBorders>
              <w:top w:val="single" w:sz="4" w:space="0" w:color="C5E0B3"/>
              <w:left w:val="single" w:sz="4" w:space="0" w:color="C5E0B3"/>
              <w:bottom w:val="single" w:sz="4" w:space="0" w:color="C5E0B3"/>
              <w:right w:val="single" w:sz="4" w:space="0" w:color="C5E0B3"/>
            </w:tcBorders>
            <w:noWrap/>
            <w:hideMark/>
          </w:tcPr>
          <w:p w14:paraId="32E994D3"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471.05 </w:t>
            </w:r>
          </w:p>
        </w:tc>
      </w:tr>
      <w:tr w:rsidR="00761CC8" w14:paraId="0CF7530F"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68E3806C" w14:textId="77777777" w:rsidR="00761CC8" w:rsidRDefault="00761CC8">
            <w:pPr>
              <w:spacing w:line="360" w:lineRule="auto"/>
              <w:jc w:val="both"/>
              <w:rPr>
                <w:rFonts w:ascii="Arial" w:eastAsia="Times New Roman" w:hAnsi="Arial" w:cs="Arial"/>
              </w:rPr>
            </w:pPr>
            <w:r>
              <w:rPr>
                <w:rFonts w:ascii="Arial" w:eastAsia="Times New Roman" w:hAnsi="Arial" w:cs="Arial"/>
              </w:rPr>
              <w:t>Total 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7AC297AE"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5,970.68 </w:t>
            </w:r>
          </w:p>
        </w:tc>
        <w:tc>
          <w:tcPr>
            <w:tcW w:w="1446" w:type="dxa"/>
            <w:tcBorders>
              <w:top w:val="single" w:sz="4" w:space="0" w:color="C5E0B3"/>
              <w:left w:val="single" w:sz="4" w:space="0" w:color="C5E0B3"/>
              <w:bottom w:val="single" w:sz="4" w:space="0" w:color="C5E0B3"/>
              <w:right w:val="single" w:sz="4" w:space="0" w:color="C5E0B3"/>
            </w:tcBorders>
            <w:noWrap/>
            <w:hideMark/>
          </w:tcPr>
          <w:p w14:paraId="1641F65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7,509.85 </w:t>
            </w:r>
          </w:p>
        </w:tc>
        <w:tc>
          <w:tcPr>
            <w:tcW w:w="1435" w:type="dxa"/>
            <w:tcBorders>
              <w:top w:val="single" w:sz="4" w:space="0" w:color="C5E0B3"/>
              <w:left w:val="single" w:sz="4" w:space="0" w:color="C5E0B3"/>
              <w:bottom w:val="single" w:sz="4" w:space="0" w:color="C5E0B3"/>
              <w:right w:val="single" w:sz="4" w:space="0" w:color="C5E0B3"/>
            </w:tcBorders>
            <w:noWrap/>
            <w:hideMark/>
          </w:tcPr>
          <w:p w14:paraId="7B94DC8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8,230.52 </w:t>
            </w:r>
          </w:p>
        </w:tc>
        <w:tc>
          <w:tcPr>
            <w:tcW w:w="1446" w:type="dxa"/>
            <w:tcBorders>
              <w:top w:val="single" w:sz="4" w:space="0" w:color="C5E0B3"/>
              <w:left w:val="single" w:sz="4" w:space="0" w:color="C5E0B3"/>
              <w:bottom w:val="single" w:sz="4" w:space="0" w:color="C5E0B3"/>
              <w:right w:val="single" w:sz="4" w:space="0" w:color="C5E0B3"/>
            </w:tcBorders>
            <w:noWrap/>
            <w:hideMark/>
          </w:tcPr>
          <w:p w14:paraId="18DDB862"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21,711.05 </w:t>
            </w:r>
          </w:p>
        </w:tc>
      </w:tr>
      <w:tr w:rsidR="00761CC8" w14:paraId="4B4F1E7F"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073A168F" w14:textId="77777777" w:rsidR="00761CC8" w:rsidRDefault="00761CC8">
            <w:pPr>
              <w:spacing w:line="360" w:lineRule="auto"/>
              <w:jc w:val="both"/>
              <w:rPr>
                <w:rFonts w:ascii="Arial" w:eastAsia="Times New Roman" w:hAnsi="Arial" w:cs="Arial"/>
              </w:rPr>
            </w:pPr>
            <w:r>
              <w:rPr>
                <w:rFonts w:ascii="Arial" w:eastAsia="Times New Roman" w:hAnsi="Arial" w:cs="Arial"/>
              </w:rPr>
              <w:t>Contribution Margin</w:t>
            </w:r>
          </w:p>
        </w:tc>
        <w:tc>
          <w:tcPr>
            <w:tcW w:w="1726" w:type="dxa"/>
            <w:tcBorders>
              <w:top w:val="single" w:sz="4" w:space="0" w:color="C5E0B3"/>
              <w:left w:val="single" w:sz="4" w:space="0" w:color="C5E0B3"/>
              <w:bottom w:val="single" w:sz="4" w:space="0" w:color="C5E0B3"/>
              <w:right w:val="single" w:sz="4" w:space="0" w:color="C5E0B3"/>
            </w:tcBorders>
            <w:noWrap/>
            <w:hideMark/>
          </w:tcPr>
          <w:p w14:paraId="5A801096"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2,829.32 </w:t>
            </w:r>
          </w:p>
        </w:tc>
        <w:tc>
          <w:tcPr>
            <w:tcW w:w="1446" w:type="dxa"/>
            <w:tcBorders>
              <w:top w:val="single" w:sz="4" w:space="0" w:color="C5E0B3"/>
              <w:left w:val="single" w:sz="4" w:space="0" w:color="C5E0B3"/>
              <w:bottom w:val="single" w:sz="4" w:space="0" w:color="C5E0B3"/>
              <w:right w:val="single" w:sz="4" w:space="0" w:color="C5E0B3"/>
            </w:tcBorders>
            <w:noWrap/>
            <w:hideMark/>
          </w:tcPr>
          <w:p w14:paraId="7E0943DF"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(209.85)</w:t>
            </w:r>
          </w:p>
        </w:tc>
        <w:tc>
          <w:tcPr>
            <w:tcW w:w="1435" w:type="dxa"/>
            <w:tcBorders>
              <w:top w:val="single" w:sz="4" w:space="0" w:color="C5E0B3"/>
              <w:left w:val="single" w:sz="4" w:space="0" w:color="C5E0B3"/>
              <w:bottom w:val="single" w:sz="4" w:space="0" w:color="C5E0B3"/>
              <w:right w:val="single" w:sz="4" w:space="0" w:color="C5E0B3"/>
            </w:tcBorders>
            <w:noWrap/>
            <w:hideMark/>
          </w:tcPr>
          <w:p w14:paraId="447DCC1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2,369.48 </w:t>
            </w:r>
          </w:p>
        </w:tc>
        <w:tc>
          <w:tcPr>
            <w:tcW w:w="1446" w:type="dxa"/>
            <w:tcBorders>
              <w:top w:val="single" w:sz="4" w:space="0" w:color="C5E0B3"/>
              <w:left w:val="single" w:sz="4" w:space="0" w:color="C5E0B3"/>
              <w:bottom w:val="single" w:sz="4" w:space="0" w:color="C5E0B3"/>
              <w:right w:val="single" w:sz="4" w:space="0" w:color="C5E0B3"/>
            </w:tcBorders>
            <w:noWrap/>
            <w:hideMark/>
          </w:tcPr>
          <w:p w14:paraId="290BF8A8"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4,988.95 </w:t>
            </w:r>
          </w:p>
        </w:tc>
      </w:tr>
      <w:tr w:rsidR="00761CC8" w14:paraId="261B3AFE"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3551C355" w14:textId="77777777" w:rsidR="00761CC8" w:rsidRDefault="00761CC8">
            <w:pPr>
              <w:spacing w:line="360" w:lineRule="auto"/>
              <w:jc w:val="both"/>
              <w:rPr>
                <w:rFonts w:ascii="Arial" w:eastAsia="Times New Roman" w:hAnsi="Arial" w:cs="Arial"/>
              </w:rPr>
            </w:pPr>
            <w:r>
              <w:rPr>
                <w:rFonts w:ascii="Arial" w:eastAsia="Times New Roman" w:hAnsi="Arial" w:cs="Arial"/>
              </w:rPr>
              <w:t>Fixed Overhead</w:t>
            </w:r>
          </w:p>
        </w:tc>
        <w:tc>
          <w:tcPr>
            <w:tcW w:w="1726" w:type="dxa"/>
            <w:tcBorders>
              <w:top w:val="single" w:sz="4" w:space="0" w:color="C5E0B3"/>
              <w:left w:val="single" w:sz="4" w:space="0" w:color="C5E0B3"/>
              <w:bottom w:val="single" w:sz="4" w:space="0" w:color="C5E0B3"/>
              <w:right w:val="single" w:sz="4" w:space="0" w:color="C5E0B3"/>
            </w:tcBorders>
            <w:noWrap/>
          </w:tcPr>
          <w:p w14:paraId="1CBF5B83"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46" w:type="dxa"/>
            <w:tcBorders>
              <w:top w:val="single" w:sz="4" w:space="0" w:color="C5E0B3"/>
              <w:left w:val="single" w:sz="4" w:space="0" w:color="C5E0B3"/>
              <w:bottom w:val="single" w:sz="4" w:space="0" w:color="C5E0B3"/>
              <w:right w:val="single" w:sz="4" w:space="0" w:color="C5E0B3"/>
            </w:tcBorders>
            <w:noWrap/>
          </w:tcPr>
          <w:p w14:paraId="74267CF0"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35" w:type="dxa"/>
            <w:tcBorders>
              <w:top w:val="single" w:sz="4" w:space="0" w:color="C5E0B3"/>
              <w:left w:val="single" w:sz="4" w:space="0" w:color="C5E0B3"/>
              <w:bottom w:val="single" w:sz="4" w:space="0" w:color="C5E0B3"/>
              <w:right w:val="single" w:sz="4" w:space="0" w:color="C5E0B3"/>
            </w:tcBorders>
            <w:noWrap/>
          </w:tcPr>
          <w:p w14:paraId="039406EA"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60D9FF12"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6,500.00 </w:t>
            </w:r>
          </w:p>
        </w:tc>
      </w:tr>
      <w:tr w:rsidR="00761CC8" w14:paraId="69EED0A8" w14:textId="77777777" w:rsidTr="00761CC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7DB2F9DC" w14:textId="77777777" w:rsidR="00761CC8" w:rsidRDefault="00761CC8">
            <w:pPr>
              <w:spacing w:line="360" w:lineRule="auto"/>
              <w:jc w:val="both"/>
              <w:rPr>
                <w:rFonts w:ascii="Arial" w:eastAsia="Times New Roman" w:hAnsi="Arial" w:cs="Arial"/>
              </w:rPr>
            </w:pPr>
            <w:r>
              <w:rPr>
                <w:rFonts w:ascii="Arial" w:eastAsia="Times New Roman" w:hAnsi="Arial" w:cs="Arial"/>
              </w:rPr>
              <w:t>Net Operating Income</w:t>
            </w:r>
          </w:p>
        </w:tc>
        <w:tc>
          <w:tcPr>
            <w:tcW w:w="1726" w:type="dxa"/>
            <w:tcBorders>
              <w:top w:val="single" w:sz="4" w:space="0" w:color="C5E0B3"/>
              <w:left w:val="single" w:sz="4" w:space="0" w:color="C5E0B3"/>
              <w:bottom w:val="single" w:sz="4" w:space="0" w:color="C5E0B3"/>
              <w:right w:val="single" w:sz="4" w:space="0" w:color="C5E0B3"/>
            </w:tcBorders>
            <w:noWrap/>
          </w:tcPr>
          <w:p w14:paraId="56287A16"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46" w:type="dxa"/>
            <w:tcBorders>
              <w:top w:val="single" w:sz="4" w:space="0" w:color="C5E0B3"/>
              <w:left w:val="single" w:sz="4" w:space="0" w:color="C5E0B3"/>
              <w:bottom w:val="single" w:sz="4" w:space="0" w:color="C5E0B3"/>
              <w:right w:val="single" w:sz="4" w:space="0" w:color="C5E0B3"/>
            </w:tcBorders>
            <w:noWrap/>
          </w:tcPr>
          <w:p w14:paraId="69E07FE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35" w:type="dxa"/>
            <w:tcBorders>
              <w:top w:val="single" w:sz="4" w:space="0" w:color="C5E0B3"/>
              <w:left w:val="single" w:sz="4" w:space="0" w:color="C5E0B3"/>
              <w:bottom w:val="single" w:sz="4" w:space="0" w:color="C5E0B3"/>
              <w:right w:val="single" w:sz="4" w:space="0" w:color="C5E0B3"/>
            </w:tcBorders>
            <w:noWrap/>
          </w:tcPr>
          <w:p w14:paraId="64986A1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462A904E"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(1,511.05)</w:t>
            </w:r>
          </w:p>
        </w:tc>
      </w:tr>
    </w:tbl>
    <w:p w14:paraId="09C7B273" w14:textId="77777777" w:rsidR="00761CC8" w:rsidRDefault="00761CC8" w:rsidP="00761CC8">
      <w:pPr>
        <w:spacing w:line="360" w:lineRule="auto"/>
        <w:jc w:val="both"/>
        <w:rPr>
          <w:rFonts w:ascii="Arial" w:hAnsi="Arial" w:cs="Arial"/>
          <w:lang w:val="en-GB"/>
        </w:rPr>
      </w:pPr>
    </w:p>
    <w:p w14:paraId="4D158B17" w14:textId="77777777" w:rsidR="00761CC8" w:rsidRDefault="00761CC8" w:rsidP="00761CC8">
      <w:pPr>
        <w:spacing w:line="360" w:lineRule="auto"/>
        <w:jc w:val="both"/>
        <w:rPr>
          <w:rFonts w:ascii="Arial" w:hAnsi="Arial" w:cs="Arial"/>
        </w:rPr>
      </w:pPr>
      <w:r>
        <w:rPr>
          <w:rFonts w:ascii="Arial" w:hAnsi="Arial" w:cs="Arial"/>
        </w:rPr>
        <w:lastRenderedPageBreak/>
        <w:t xml:space="preserve">Losses in net operating income are incurred by Hoists and Mobile Beds. Wheelchairs and Hoists each have a sales volume of ten units; however, only wheelchairs are profitable, while hoists do not generate a profit from their sales. This occurs since the Hoists product line has lower sales per unit compared to the Wheelchairs product line when both product lines have the same number of sales units. Additionally, the cost of material and </w:t>
      </w:r>
      <w:proofErr w:type="spellStart"/>
      <w:r>
        <w:rPr>
          <w:rFonts w:ascii="Arial" w:hAnsi="Arial" w:cs="Arial"/>
        </w:rPr>
        <w:t>labour</w:t>
      </w:r>
      <w:proofErr w:type="spellEnd"/>
      <w:r>
        <w:rPr>
          <w:rFonts w:ascii="Arial" w:hAnsi="Arial" w:cs="Arial"/>
        </w:rPr>
        <w:t xml:space="preserve"> per unit is greater for hoists. Since the variable expenses associated with the Hoists product line are greater than those associated with the Wheelchairs product line, the Hoists product line has a negative contribution margin when compared to the Wheelchairs product line, which has a positive contribution margin. Mobile Beds has a positive contribution margin; but, due to greater fixed costs, the company's net operating income is negative. This is the case even though Mobile Beds has a positive contribution margin. As a result, to turn a profit, Mobile Beds needs to increase their number of sales.</w:t>
      </w:r>
    </w:p>
    <w:p w14:paraId="4E85DCBA" w14:textId="77777777" w:rsidR="00761CC8" w:rsidRDefault="00761CC8" w:rsidP="00761CC8">
      <w:pPr>
        <w:keepNext/>
        <w:keepLines/>
        <w:spacing w:before="40" w:after="0" w:line="360" w:lineRule="auto"/>
        <w:outlineLvl w:val="1"/>
        <w:rPr>
          <w:rFonts w:ascii="Arial" w:eastAsia="DengXian Light" w:hAnsi="Arial" w:cs="Arial"/>
          <w:b/>
          <w:bCs/>
        </w:rPr>
      </w:pPr>
      <w:r>
        <w:rPr>
          <w:rFonts w:ascii="Arial" w:eastAsia="DengXian Light" w:hAnsi="Arial" w:cs="Arial"/>
        </w:rPr>
        <w:t xml:space="preserve"> </w:t>
      </w:r>
      <w:bookmarkStart w:id="9" w:name="_Toc107582340"/>
      <w:bookmarkStart w:id="10" w:name="_Toc107582445"/>
      <w:bookmarkStart w:id="11" w:name="_Toc107582486"/>
      <w:r>
        <w:rPr>
          <w:rFonts w:ascii="Arial" w:eastAsia="DengXian Light" w:hAnsi="Arial" w:cs="Arial"/>
          <w:b/>
          <w:bCs/>
        </w:rPr>
        <w:t>Making Decision whether to Stop the Production of Hoists</w:t>
      </w:r>
      <w:bookmarkEnd w:id="9"/>
      <w:bookmarkEnd w:id="10"/>
      <w:bookmarkEnd w:id="11"/>
    </w:p>
    <w:p w14:paraId="0071B094" w14:textId="77777777" w:rsidR="00761CC8" w:rsidRDefault="00761CC8" w:rsidP="00761CC8">
      <w:pPr>
        <w:keepNext/>
        <w:keepLines/>
        <w:spacing w:before="40" w:after="0" w:line="360" w:lineRule="auto"/>
        <w:outlineLvl w:val="1"/>
        <w:rPr>
          <w:rFonts w:ascii="Arial" w:eastAsia="DengXian Light" w:hAnsi="Arial" w:cs="Arial"/>
          <w:b/>
          <w:bCs/>
        </w:rPr>
      </w:pPr>
    </w:p>
    <w:p w14:paraId="248FCB8C" w14:textId="77777777" w:rsidR="00761CC8" w:rsidRDefault="00761CC8" w:rsidP="00761CC8">
      <w:pPr>
        <w:spacing w:line="360" w:lineRule="auto"/>
        <w:jc w:val="both"/>
        <w:rPr>
          <w:rFonts w:ascii="Arial" w:hAnsi="Arial" w:cs="Arial"/>
        </w:rPr>
      </w:pPr>
      <w:r>
        <w:rPr>
          <w:rFonts w:ascii="Arial" w:hAnsi="Arial" w:cs="Arial"/>
        </w:rPr>
        <w:t>If the contribution margin of a product is negative, then it indicates that the corporation will make a loss on each individual unit of that product that it creates and sells. (Cleary and Quinn, 2016) In this scenario, the corporation has two choices: either it can choose to stop manufacturing the product altogether, or it can choose to hike the price of the product. Even though Hoists has a negative contribution margin, the product should not be discontinued. The reasoning behind that is elaborated upon below. Wheelchairs and Hoists are sold separately but that are used together, with each one creating a need for the other. Technology companies that focus on a single product are now teaming up with other businesses that offer services or products that are complimentary to their own. Therefore, rather than concentrating on a single product, the company ought to preserve its Hoists product line to either sustain the same level of sales achieved by Wheelchairs or to attract a new customer base in the foreseeable future. It will also serve to prevent new competitors from entering the market. The following is a statement of the marginal costing:</w:t>
      </w:r>
    </w:p>
    <w:p w14:paraId="3B809307" w14:textId="77777777" w:rsidR="00761CC8" w:rsidRDefault="00761CC8" w:rsidP="00761CC8">
      <w:pPr>
        <w:spacing w:line="360" w:lineRule="auto"/>
        <w:rPr>
          <w:rFonts w:ascii="Arial" w:hAnsi="Arial" w:cs="Arial"/>
        </w:rPr>
      </w:pPr>
    </w:p>
    <w:p w14:paraId="4E95385D" w14:textId="77777777" w:rsidR="00761CC8" w:rsidRDefault="00761CC8" w:rsidP="00761CC8">
      <w:pPr>
        <w:spacing w:line="360" w:lineRule="auto"/>
        <w:rPr>
          <w:rFonts w:ascii="Arial" w:hAnsi="Arial" w:cs="Arial"/>
        </w:rPr>
      </w:pPr>
    </w:p>
    <w:p w14:paraId="4DA02E96" w14:textId="77777777" w:rsidR="00761CC8" w:rsidRDefault="00761CC8" w:rsidP="00761CC8">
      <w:pPr>
        <w:spacing w:line="360" w:lineRule="auto"/>
        <w:rPr>
          <w:rFonts w:ascii="Arial" w:hAnsi="Arial" w:cs="Arial"/>
          <w:b/>
          <w:bCs/>
        </w:rPr>
      </w:pPr>
    </w:p>
    <w:p w14:paraId="0CC9CBE3" w14:textId="77777777" w:rsidR="00237395" w:rsidRDefault="00237395" w:rsidP="00761CC8">
      <w:pPr>
        <w:spacing w:line="360" w:lineRule="auto"/>
        <w:jc w:val="center"/>
        <w:rPr>
          <w:rFonts w:ascii="Arial" w:hAnsi="Arial" w:cs="Arial"/>
          <w:b/>
          <w:bCs/>
        </w:rPr>
      </w:pPr>
    </w:p>
    <w:p w14:paraId="6346FCDF" w14:textId="77777777" w:rsidR="00237395" w:rsidRDefault="00237395" w:rsidP="00761CC8">
      <w:pPr>
        <w:spacing w:line="360" w:lineRule="auto"/>
        <w:jc w:val="center"/>
        <w:rPr>
          <w:rFonts w:ascii="Arial" w:hAnsi="Arial" w:cs="Arial"/>
          <w:b/>
          <w:bCs/>
        </w:rPr>
      </w:pPr>
    </w:p>
    <w:p w14:paraId="37C7EDC6" w14:textId="77777777" w:rsidR="00237395" w:rsidRDefault="00237395" w:rsidP="00761CC8">
      <w:pPr>
        <w:spacing w:line="360" w:lineRule="auto"/>
        <w:jc w:val="center"/>
        <w:rPr>
          <w:rFonts w:ascii="Arial" w:hAnsi="Arial" w:cs="Arial"/>
          <w:b/>
          <w:bCs/>
        </w:rPr>
      </w:pPr>
    </w:p>
    <w:p w14:paraId="1528126D" w14:textId="355FD054" w:rsidR="00761CC8" w:rsidRDefault="00761CC8" w:rsidP="00761CC8">
      <w:pPr>
        <w:spacing w:line="360" w:lineRule="auto"/>
        <w:jc w:val="center"/>
        <w:rPr>
          <w:rFonts w:ascii="Arial" w:hAnsi="Arial" w:cs="Arial"/>
          <w:b/>
          <w:bCs/>
        </w:rPr>
      </w:pPr>
      <w:r>
        <w:rPr>
          <w:rFonts w:ascii="Arial" w:hAnsi="Arial" w:cs="Arial"/>
          <w:b/>
          <w:bCs/>
        </w:rPr>
        <w:lastRenderedPageBreak/>
        <w:t>Mobile Solution Group</w:t>
      </w:r>
    </w:p>
    <w:p w14:paraId="3D57A296" w14:textId="77777777" w:rsidR="00761CC8" w:rsidRDefault="00761CC8" w:rsidP="00761CC8">
      <w:pPr>
        <w:spacing w:line="360" w:lineRule="auto"/>
        <w:jc w:val="center"/>
        <w:rPr>
          <w:rFonts w:ascii="Arial" w:hAnsi="Arial" w:cs="Arial"/>
          <w:b/>
          <w:bCs/>
        </w:rPr>
      </w:pPr>
      <w:r>
        <w:rPr>
          <w:rFonts w:ascii="Arial" w:hAnsi="Arial" w:cs="Arial"/>
          <w:b/>
          <w:bCs/>
        </w:rPr>
        <w:t>Marginal Costing Income Statement (considering two product line)</w:t>
      </w:r>
    </w:p>
    <w:p w14:paraId="660516CD" w14:textId="77777777" w:rsidR="00761CC8" w:rsidRDefault="00761CC8" w:rsidP="00761CC8">
      <w:pPr>
        <w:spacing w:line="360" w:lineRule="auto"/>
        <w:jc w:val="center"/>
        <w:rPr>
          <w:rFonts w:ascii="Arial" w:hAnsi="Arial" w:cs="Arial"/>
          <w:b/>
          <w:bCs/>
        </w:rPr>
      </w:pPr>
      <w:r>
        <w:rPr>
          <w:rFonts w:ascii="Arial" w:hAnsi="Arial" w:cs="Arial"/>
          <w:b/>
          <w:bCs/>
        </w:rPr>
        <w:t>For the Year Ended December 2021</w:t>
      </w:r>
    </w:p>
    <w:p w14:paraId="6C48AD28" w14:textId="77777777" w:rsidR="00761CC8" w:rsidRDefault="00761CC8" w:rsidP="00761CC8">
      <w:pPr>
        <w:spacing w:line="360" w:lineRule="auto"/>
        <w:jc w:val="both"/>
        <w:rPr>
          <w:rFonts w:ascii="Arial" w:hAnsi="Arial" w:cs="Arial"/>
        </w:rPr>
      </w:pPr>
    </w:p>
    <w:tbl>
      <w:tblPr>
        <w:tblStyle w:val="GridTable1Light-Accent51"/>
        <w:tblW w:w="9589" w:type="dxa"/>
        <w:tblInd w:w="0" w:type="dxa"/>
        <w:tblLook w:val="01E0" w:firstRow="1" w:lastRow="1" w:firstColumn="1" w:lastColumn="1" w:noHBand="0" w:noVBand="0"/>
      </w:tblPr>
      <w:tblGrid>
        <w:gridCol w:w="3597"/>
        <w:gridCol w:w="332"/>
        <w:gridCol w:w="2014"/>
        <w:gridCol w:w="1823"/>
        <w:gridCol w:w="1823"/>
      </w:tblGrid>
      <w:tr w:rsidR="00761CC8" w14:paraId="34A74E14" w14:textId="77777777" w:rsidTr="00761CC8">
        <w:trPr>
          <w:cnfStyle w:val="100000000000" w:firstRow="1" w:lastRow="0" w:firstColumn="0" w:lastColumn="0" w:oddVBand="0" w:evenVBand="0" w:oddHBand="0"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right w:val="single" w:sz="4" w:space="0" w:color="BDD6EE"/>
            </w:tcBorders>
            <w:noWrap/>
            <w:hideMark/>
          </w:tcPr>
          <w:p w14:paraId="3B27CCF2" w14:textId="77777777" w:rsidR="00761CC8" w:rsidRDefault="00761CC8">
            <w:pPr>
              <w:spacing w:line="360" w:lineRule="auto"/>
              <w:jc w:val="both"/>
              <w:rPr>
                <w:rFonts w:ascii="Arial" w:eastAsia="Times New Roman" w:hAnsi="Arial" w:cs="Arial"/>
              </w:rPr>
            </w:pPr>
            <w:r>
              <w:rPr>
                <w:rFonts w:ascii="Arial" w:eastAsia="Times New Roman" w:hAnsi="Arial" w:cs="Arial"/>
              </w:rPr>
              <w:t>Particulars</w:t>
            </w:r>
          </w:p>
        </w:tc>
        <w:tc>
          <w:tcPr>
            <w:tcW w:w="2014" w:type="dxa"/>
            <w:tcBorders>
              <w:top w:val="single" w:sz="4" w:space="0" w:color="BDD6EE"/>
              <w:left w:val="single" w:sz="4" w:space="0" w:color="BDD6EE"/>
              <w:right w:val="single" w:sz="4" w:space="0" w:color="BDD6EE"/>
            </w:tcBorders>
            <w:noWrap/>
            <w:hideMark/>
          </w:tcPr>
          <w:p w14:paraId="00EE2BAC"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Wheelchairs</w:t>
            </w:r>
          </w:p>
          <w:p w14:paraId="4C0E0B19"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c>
          <w:tcPr>
            <w:tcW w:w="1823" w:type="dxa"/>
            <w:tcBorders>
              <w:top w:val="single" w:sz="4" w:space="0" w:color="BDD6EE"/>
              <w:left w:val="single" w:sz="4" w:space="0" w:color="BDD6EE"/>
              <w:right w:val="single" w:sz="4" w:space="0" w:color="BDD6EE"/>
            </w:tcBorders>
            <w:noWrap/>
            <w:hideMark/>
          </w:tcPr>
          <w:p w14:paraId="51CC9EF7"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Mobile Beds</w:t>
            </w:r>
          </w:p>
          <w:p w14:paraId="31FB49B7"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right w:val="single" w:sz="4" w:space="0" w:color="BDD6EE"/>
            </w:tcBorders>
            <w:noWrap/>
            <w:hideMark/>
          </w:tcPr>
          <w:p w14:paraId="1047BF1C" w14:textId="77777777" w:rsidR="00761CC8" w:rsidRDefault="00761CC8">
            <w:pPr>
              <w:spacing w:line="360" w:lineRule="auto"/>
              <w:jc w:val="both"/>
              <w:rPr>
                <w:rFonts w:ascii="Arial" w:eastAsia="Times New Roman" w:hAnsi="Arial" w:cs="Arial"/>
              </w:rPr>
            </w:pPr>
            <w:r>
              <w:rPr>
                <w:rFonts w:ascii="Arial" w:eastAsia="Times New Roman" w:hAnsi="Arial" w:cs="Arial"/>
              </w:rPr>
              <w:t>Total</w:t>
            </w:r>
          </w:p>
          <w:p w14:paraId="2B7B4F8B"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Amounts in </w:t>
            </w:r>
            <w:r>
              <w:rPr>
                <w:rFonts w:ascii="Arial" w:hAnsi="Arial" w:cs="Arial"/>
                <w:shd w:val="clear" w:color="auto" w:fill="FFFFFF"/>
              </w:rPr>
              <w:t>£</w:t>
            </w:r>
          </w:p>
        </w:tc>
      </w:tr>
      <w:tr w:rsidR="00761CC8" w14:paraId="591A81F3"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597" w:type="dxa"/>
            <w:tcBorders>
              <w:top w:val="single" w:sz="4" w:space="0" w:color="BDD6EE"/>
              <w:left w:val="single" w:sz="4" w:space="0" w:color="BDD6EE"/>
              <w:bottom w:val="single" w:sz="4" w:space="0" w:color="BDD6EE"/>
              <w:right w:val="single" w:sz="4" w:space="0" w:color="BDD6EE"/>
            </w:tcBorders>
            <w:noWrap/>
            <w:hideMark/>
          </w:tcPr>
          <w:p w14:paraId="116B3327" w14:textId="77777777" w:rsidR="00761CC8" w:rsidRDefault="00761CC8">
            <w:pPr>
              <w:spacing w:line="360" w:lineRule="auto"/>
              <w:jc w:val="both"/>
              <w:rPr>
                <w:rFonts w:ascii="Arial" w:eastAsia="Times New Roman" w:hAnsi="Arial" w:cs="Arial"/>
              </w:rPr>
            </w:pPr>
            <w:r>
              <w:rPr>
                <w:rFonts w:ascii="Arial" w:eastAsia="Times New Roman" w:hAnsi="Arial" w:cs="Arial"/>
              </w:rPr>
              <w:t>Sales</w:t>
            </w:r>
          </w:p>
        </w:tc>
        <w:tc>
          <w:tcPr>
            <w:tcW w:w="332" w:type="dxa"/>
            <w:tcBorders>
              <w:top w:val="single" w:sz="4" w:space="0" w:color="BDD6EE"/>
              <w:left w:val="single" w:sz="4" w:space="0" w:color="BDD6EE"/>
              <w:bottom w:val="single" w:sz="4" w:space="0" w:color="BDD6EE"/>
              <w:right w:val="single" w:sz="4" w:space="0" w:color="BDD6EE"/>
            </w:tcBorders>
            <w:noWrap/>
            <w:hideMark/>
          </w:tcPr>
          <w:p w14:paraId="5896297F"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2014" w:type="dxa"/>
            <w:tcBorders>
              <w:top w:val="single" w:sz="4" w:space="0" w:color="BDD6EE"/>
              <w:left w:val="single" w:sz="4" w:space="0" w:color="BDD6EE"/>
              <w:bottom w:val="single" w:sz="4" w:space="0" w:color="BDD6EE"/>
              <w:right w:val="single" w:sz="4" w:space="0" w:color="BDD6EE"/>
            </w:tcBorders>
            <w:noWrap/>
            <w:hideMark/>
          </w:tcPr>
          <w:p w14:paraId="13C2CE2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8,800.00 </w:t>
            </w:r>
          </w:p>
        </w:tc>
        <w:tc>
          <w:tcPr>
            <w:tcW w:w="1823" w:type="dxa"/>
            <w:tcBorders>
              <w:top w:val="single" w:sz="4" w:space="0" w:color="BDD6EE"/>
              <w:left w:val="single" w:sz="4" w:space="0" w:color="BDD6EE"/>
              <w:bottom w:val="single" w:sz="4" w:space="0" w:color="BDD6EE"/>
              <w:right w:val="single" w:sz="4" w:space="0" w:color="BDD6EE"/>
            </w:tcBorders>
            <w:noWrap/>
            <w:hideMark/>
          </w:tcPr>
          <w:p w14:paraId="336C2A1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10,600.00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57970EAA"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19,400.00 </w:t>
            </w:r>
          </w:p>
        </w:tc>
      </w:tr>
      <w:tr w:rsidR="00761CC8" w14:paraId="492D043E"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68F81A39" w14:textId="77777777" w:rsidR="00761CC8" w:rsidRDefault="00761CC8">
            <w:pPr>
              <w:spacing w:line="360" w:lineRule="auto"/>
              <w:jc w:val="both"/>
              <w:rPr>
                <w:rFonts w:ascii="Arial" w:eastAsia="Times New Roman" w:hAnsi="Arial" w:cs="Arial"/>
              </w:rPr>
            </w:pPr>
            <w:r>
              <w:rPr>
                <w:rFonts w:ascii="Arial" w:eastAsia="Times New Roman" w:hAnsi="Arial" w:cs="Arial"/>
              </w:rPr>
              <w:t>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1112D979"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23" w:type="dxa"/>
            <w:tcBorders>
              <w:top w:val="single" w:sz="4" w:space="0" w:color="BDD6EE"/>
              <w:left w:val="single" w:sz="4" w:space="0" w:color="BDD6EE"/>
              <w:bottom w:val="single" w:sz="4" w:space="0" w:color="BDD6EE"/>
              <w:right w:val="single" w:sz="4" w:space="0" w:color="BDD6EE"/>
            </w:tcBorders>
            <w:noWrap/>
            <w:hideMark/>
          </w:tcPr>
          <w:p w14:paraId="1B2DA57D"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41327E88" w14:textId="77777777" w:rsidR="00761CC8" w:rsidRDefault="00761CC8">
            <w:pPr>
              <w:spacing w:line="240" w:lineRule="auto"/>
              <w:rPr>
                <w:sz w:val="20"/>
                <w:szCs w:val="20"/>
                <w:lang w:val="en-GB" w:eastAsia="en-GB"/>
              </w:rPr>
            </w:pPr>
          </w:p>
        </w:tc>
      </w:tr>
      <w:tr w:rsidR="00761CC8" w14:paraId="50BCD4A9"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5F089A62" w14:textId="77777777" w:rsidR="00761CC8" w:rsidRDefault="00761CC8">
            <w:pPr>
              <w:spacing w:line="360" w:lineRule="auto"/>
              <w:jc w:val="both"/>
              <w:rPr>
                <w:rFonts w:ascii="Arial" w:eastAsia="Times New Roman" w:hAnsi="Arial" w:cs="Arial"/>
              </w:rPr>
            </w:pPr>
            <w:r>
              <w:rPr>
                <w:rFonts w:ascii="Arial" w:eastAsia="Times New Roman" w:hAnsi="Arial" w:cs="Arial"/>
              </w:rPr>
              <w:t>Variable Costs of Goods Sold</w:t>
            </w:r>
          </w:p>
        </w:tc>
        <w:tc>
          <w:tcPr>
            <w:tcW w:w="2014" w:type="dxa"/>
            <w:tcBorders>
              <w:top w:val="single" w:sz="4" w:space="0" w:color="BDD6EE"/>
              <w:left w:val="single" w:sz="4" w:space="0" w:color="BDD6EE"/>
              <w:bottom w:val="single" w:sz="4" w:space="0" w:color="BDD6EE"/>
              <w:right w:val="single" w:sz="4" w:space="0" w:color="BDD6EE"/>
            </w:tcBorders>
            <w:noWrap/>
            <w:hideMark/>
          </w:tcPr>
          <w:p w14:paraId="681795F7"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5,650.00 </w:t>
            </w:r>
          </w:p>
        </w:tc>
        <w:tc>
          <w:tcPr>
            <w:tcW w:w="1823" w:type="dxa"/>
            <w:tcBorders>
              <w:top w:val="single" w:sz="4" w:space="0" w:color="BDD6EE"/>
              <w:left w:val="single" w:sz="4" w:space="0" w:color="BDD6EE"/>
              <w:bottom w:val="single" w:sz="4" w:space="0" w:color="BDD6EE"/>
              <w:right w:val="single" w:sz="4" w:space="0" w:color="BDD6EE"/>
            </w:tcBorders>
            <w:noWrap/>
            <w:hideMark/>
          </w:tcPr>
          <w:p w14:paraId="6BE101F0"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8,150.00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321452E4"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13,800.00 </w:t>
            </w:r>
          </w:p>
        </w:tc>
      </w:tr>
      <w:tr w:rsidR="00761CC8" w14:paraId="35622FB8"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77373D72" w14:textId="77777777" w:rsidR="00761CC8" w:rsidRDefault="00761CC8">
            <w:pPr>
              <w:spacing w:line="360" w:lineRule="auto"/>
              <w:jc w:val="both"/>
              <w:rPr>
                <w:rFonts w:ascii="Arial" w:eastAsia="Times New Roman" w:hAnsi="Arial" w:cs="Arial"/>
              </w:rPr>
            </w:pPr>
            <w:r>
              <w:rPr>
                <w:rFonts w:ascii="Arial" w:eastAsia="Times New Roman" w:hAnsi="Arial" w:cs="Arial"/>
              </w:rPr>
              <w:t>Other 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1D3D276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320.68 </w:t>
            </w:r>
          </w:p>
        </w:tc>
        <w:tc>
          <w:tcPr>
            <w:tcW w:w="1823" w:type="dxa"/>
            <w:tcBorders>
              <w:top w:val="single" w:sz="4" w:space="0" w:color="BDD6EE"/>
              <w:left w:val="single" w:sz="4" w:space="0" w:color="BDD6EE"/>
              <w:bottom w:val="single" w:sz="4" w:space="0" w:color="BDD6EE"/>
              <w:right w:val="single" w:sz="4" w:space="0" w:color="BDD6EE"/>
            </w:tcBorders>
            <w:noWrap/>
            <w:hideMark/>
          </w:tcPr>
          <w:p w14:paraId="4E1CED3C"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80.52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46C602B2"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401.20 </w:t>
            </w:r>
          </w:p>
        </w:tc>
      </w:tr>
      <w:tr w:rsidR="00761CC8" w14:paraId="2FE3DD77"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12CD8382" w14:textId="77777777" w:rsidR="00761CC8" w:rsidRDefault="00761CC8">
            <w:pPr>
              <w:spacing w:line="360" w:lineRule="auto"/>
              <w:jc w:val="both"/>
              <w:rPr>
                <w:rFonts w:ascii="Arial" w:eastAsia="Times New Roman" w:hAnsi="Arial" w:cs="Arial"/>
              </w:rPr>
            </w:pPr>
            <w:r>
              <w:rPr>
                <w:rFonts w:ascii="Arial" w:eastAsia="Times New Roman" w:hAnsi="Arial" w:cs="Arial"/>
              </w:rPr>
              <w:t>Total 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713AC7A6"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5,970.68 </w:t>
            </w:r>
          </w:p>
        </w:tc>
        <w:tc>
          <w:tcPr>
            <w:tcW w:w="1823" w:type="dxa"/>
            <w:tcBorders>
              <w:top w:val="single" w:sz="4" w:space="0" w:color="BDD6EE"/>
              <w:left w:val="single" w:sz="4" w:space="0" w:color="BDD6EE"/>
              <w:bottom w:val="single" w:sz="4" w:space="0" w:color="BDD6EE"/>
              <w:right w:val="single" w:sz="4" w:space="0" w:color="BDD6EE"/>
            </w:tcBorders>
            <w:noWrap/>
            <w:hideMark/>
          </w:tcPr>
          <w:p w14:paraId="770A18B2"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8,230.52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59626C5C"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14,201.20 </w:t>
            </w:r>
          </w:p>
        </w:tc>
      </w:tr>
      <w:tr w:rsidR="00761CC8" w14:paraId="043A9448"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53B3E21D" w14:textId="77777777" w:rsidR="00761CC8" w:rsidRDefault="00761CC8">
            <w:pPr>
              <w:spacing w:line="360" w:lineRule="auto"/>
              <w:jc w:val="both"/>
              <w:rPr>
                <w:rFonts w:ascii="Arial" w:eastAsia="Times New Roman" w:hAnsi="Arial" w:cs="Arial"/>
              </w:rPr>
            </w:pPr>
            <w:r>
              <w:rPr>
                <w:rFonts w:ascii="Arial" w:eastAsia="Times New Roman" w:hAnsi="Arial" w:cs="Arial"/>
              </w:rPr>
              <w:t>Contribution Margin</w:t>
            </w:r>
          </w:p>
        </w:tc>
        <w:tc>
          <w:tcPr>
            <w:tcW w:w="2014" w:type="dxa"/>
            <w:tcBorders>
              <w:top w:val="single" w:sz="4" w:space="0" w:color="BDD6EE"/>
              <w:left w:val="single" w:sz="4" w:space="0" w:color="BDD6EE"/>
              <w:bottom w:val="single" w:sz="4" w:space="0" w:color="BDD6EE"/>
              <w:right w:val="single" w:sz="4" w:space="0" w:color="BDD6EE"/>
            </w:tcBorders>
            <w:noWrap/>
            <w:hideMark/>
          </w:tcPr>
          <w:p w14:paraId="36F6621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2,829.32 </w:t>
            </w:r>
          </w:p>
        </w:tc>
        <w:tc>
          <w:tcPr>
            <w:tcW w:w="1823" w:type="dxa"/>
            <w:tcBorders>
              <w:top w:val="single" w:sz="4" w:space="0" w:color="BDD6EE"/>
              <w:left w:val="single" w:sz="4" w:space="0" w:color="BDD6EE"/>
              <w:bottom w:val="single" w:sz="4" w:space="0" w:color="BDD6EE"/>
              <w:right w:val="single" w:sz="4" w:space="0" w:color="BDD6EE"/>
            </w:tcBorders>
            <w:noWrap/>
            <w:hideMark/>
          </w:tcPr>
          <w:p w14:paraId="251E6B0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2,369.48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1AFD588B"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5,198.80 </w:t>
            </w:r>
          </w:p>
        </w:tc>
      </w:tr>
      <w:tr w:rsidR="00761CC8" w14:paraId="1600FE0B" w14:textId="77777777" w:rsidTr="00761CC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56574215" w14:textId="77777777" w:rsidR="00761CC8" w:rsidRDefault="00761CC8">
            <w:pPr>
              <w:spacing w:line="360" w:lineRule="auto"/>
              <w:jc w:val="both"/>
              <w:rPr>
                <w:rFonts w:ascii="Arial" w:eastAsia="Times New Roman" w:hAnsi="Arial" w:cs="Arial"/>
              </w:rPr>
            </w:pPr>
            <w:r>
              <w:rPr>
                <w:rFonts w:ascii="Arial" w:eastAsia="Times New Roman" w:hAnsi="Arial" w:cs="Arial"/>
              </w:rPr>
              <w:t>Fixed Overhead</w:t>
            </w:r>
          </w:p>
        </w:tc>
        <w:tc>
          <w:tcPr>
            <w:tcW w:w="2014" w:type="dxa"/>
            <w:tcBorders>
              <w:top w:val="single" w:sz="4" w:space="0" w:color="BDD6EE"/>
              <w:left w:val="single" w:sz="4" w:space="0" w:color="BDD6EE"/>
              <w:bottom w:val="single" w:sz="4" w:space="0" w:color="BDD6EE"/>
              <w:right w:val="single" w:sz="4" w:space="0" w:color="BDD6EE"/>
            </w:tcBorders>
            <w:noWrap/>
            <w:hideMark/>
          </w:tcPr>
          <w:p w14:paraId="6C8EF4BF"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823" w:type="dxa"/>
            <w:tcBorders>
              <w:top w:val="single" w:sz="4" w:space="0" w:color="BDD6EE"/>
              <w:left w:val="single" w:sz="4" w:space="0" w:color="BDD6EE"/>
              <w:bottom w:val="single" w:sz="4" w:space="0" w:color="BDD6EE"/>
              <w:right w:val="single" w:sz="4" w:space="0" w:color="BDD6EE"/>
            </w:tcBorders>
            <w:noWrap/>
            <w:hideMark/>
          </w:tcPr>
          <w:p w14:paraId="43502A6A"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7577F50E"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6500</w:t>
            </w:r>
          </w:p>
        </w:tc>
      </w:tr>
      <w:tr w:rsidR="00761CC8" w14:paraId="22A4CA86" w14:textId="77777777" w:rsidTr="00761CC8">
        <w:trPr>
          <w:cnfStyle w:val="010000000000" w:firstRow="0" w:lastRow="1" w:firstColumn="0" w:lastColumn="0" w:oddVBand="0" w:evenVBand="0" w:oddHBand="0"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left w:val="single" w:sz="4" w:space="0" w:color="BDD6EE"/>
              <w:bottom w:val="single" w:sz="4" w:space="0" w:color="BDD6EE"/>
              <w:right w:val="single" w:sz="4" w:space="0" w:color="BDD6EE"/>
            </w:tcBorders>
            <w:noWrap/>
            <w:hideMark/>
          </w:tcPr>
          <w:p w14:paraId="3F1EAB76" w14:textId="77777777" w:rsidR="00761CC8" w:rsidRDefault="00761CC8">
            <w:pPr>
              <w:spacing w:line="360" w:lineRule="auto"/>
              <w:jc w:val="both"/>
              <w:rPr>
                <w:rFonts w:ascii="Arial" w:eastAsia="Times New Roman" w:hAnsi="Arial" w:cs="Arial"/>
              </w:rPr>
            </w:pPr>
            <w:r>
              <w:rPr>
                <w:rFonts w:ascii="Arial" w:eastAsia="Times New Roman" w:hAnsi="Arial" w:cs="Arial"/>
              </w:rPr>
              <w:t>Net Operating Income</w:t>
            </w:r>
          </w:p>
        </w:tc>
        <w:tc>
          <w:tcPr>
            <w:tcW w:w="2014" w:type="dxa"/>
            <w:tcBorders>
              <w:left w:val="single" w:sz="4" w:space="0" w:color="BDD6EE"/>
              <w:bottom w:val="single" w:sz="4" w:space="0" w:color="BDD6EE"/>
              <w:right w:val="single" w:sz="4" w:space="0" w:color="BDD6EE"/>
            </w:tcBorders>
            <w:noWrap/>
            <w:hideMark/>
          </w:tcPr>
          <w:p w14:paraId="16A4A1F1" w14:textId="77777777" w:rsidR="00761CC8" w:rsidRDefault="00761CC8">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823" w:type="dxa"/>
            <w:tcBorders>
              <w:left w:val="single" w:sz="4" w:space="0" w:color="BDD6EE"/>
              <w:bottom w:val="single" w:sz="4" w:space="0" w:color="BDD6EE"/>
              <w:right w:val="single" w:sz="4" w:space="0" w:color="BDD6EE"/>
            </w:tcBorders>
            <w:noWrap/>
            <w:hideMark/>
          </w:tcPr>
          <w:p w14:paraId="44E54662" w14:textId="77777777" w:rsidR="00761CC8" w:rsidRDefault="00761CC8">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cnfStyle w:val="000100000000" w:firstRow="0" w:lastRow="0" w:firstColumn="0" w:lastColumn="1" w:oddVBand="0" w:evenVBand="0" w:oddHBand="0" w:evenHBand="0" w:firstRowFirstColumn="0" w:firstRowLastColumn="0" w:lastRowFirstColumn="0" w:lastRowLastColumn="0"/>
            <w:tcW w:w="1823" w:type="dxa"/>
            <w:tcBorders>
              <w:left w:val="single" w:sz="4" w:space="0" w:color="BDD6EE"/>
              <w:bottom w:val="single" w:sz="4" w:space="0" w:color="BDD6EE"/>
              <w:right w:val="single" w:sz="4" w:space="0" w:color="BDD6EE"/>
            </w:tcBorders>
            <w:noWrap/>
            <w:hideMark/>
          </w:tcPr>
          <w:p w14:paraId="2ACA0168" w14:textId="77777777" w:rsidR="00761CC8" w:rsidRDefault="00761CC8">
            <w:pPr>
              <w:spacing w:line="360" w:lineRule="auto"/>
              <w:jc w:val="both"/>
              <w:rPr>
                <w:rFonts w:ascii="Arial" w:eastAsia="Times New Roman" w:hAnsi="Arial" w:cs="Arial"/>
              </w:rPr>
            </w:pPr>
            <w:r>
              <w:rPr>
                <w:rFonts w:ascii="Arial" w:eastAsia="Times New Roman" w:hAnsi="Arial" w:cs="Arial"/>
              </w:rPr>
              <w:t xml:space="preserve">         -1301.2</w:t>
            </w:r>
          </w:p>
        </w:tc>
      </w:tr>
    </w:tbl>
    <w:p w14:paraId="26FA450E" w14:textId="77777777" w:rsidR="00761CC8" w:rsidRDefault="00761CC8" w:rsidP="00761CC8">
      <w:pPr>
        <w:spacing w:line="360" w:lineRule="auto"/>
        <w:jc w:val="both"/>
        <w:rPr>
          <w:rFonts w:ascii="Arial" w:hAnsi="Arial" w:cs="Arial"/>
          <w:lang w:val="en-GB"/>
        </w:rPr>
      </w:pPr>
    </w:p>
    <w:p w14:paraId="6A3803C6" w14:textId="77777777" w:rsidR="00761CC8" w:rsidRDefault="00761CC8" w:rsidP="00761CC8">
      <w:pPr>
        <w:pStyle w:val="Heading2"/>
        <w:spacing w:line="360" w:lineRule="auto"/>
        <w:rPr>
          <w:rFonts w:ascii="Arial" w:eastAsia="DengXian Light" w:hAnsi="Arial" w:cs="Arial"/>
          <w:b/>
          <w:bCs/>
          <w:color w:val="auto"/>
          <w:sz w:val="22"/>
          <w:szCs w:val="22"/>
        </w:rPr>
      </w:pPr>
      <w:bookmarkStart w:id="12" w:name="_Toc107582341"/>
      <w:bookmarkStart w:id="13" w:name="_Toc107582446"/>
      <w:bookmarkStart w:id="14" w:name="_Toc107582487"/>
      <w:r>
        <w:rPr>
          <w:rFonts w:ascii="Arial" w:eastAsia="DengXian Light" w:hAnsi="Arial" w:cs="Arial"/>
          <w:b/>
          <w:bCs/>
          <w:color w:val="auto"/>
          <w:sz w:val="22"/>
          <w:szCs w:val="22"/>
        </w:rPr>
        <w:t>Making Decision whether should Stop Producing Mobile Beds</w:t>
      </w:r>
      <w:bookmarkEnd w:id="12"/>
      <w:bookmarkEnd w:id="13"/>
      <w:bookmarkEnd w:id="14"/>
    </w:p>
    <w:p w14:paraId="01F5AD08" w14:textId="77777777" w:rsidR="00761CC8" w:rsidRDefault="00761CC8" w:rsidP="00761CC8">
      <w:pPr>
        <w:spacing w:line="360" w:lineRule="auto"/>
        <w:rPr>
          <w:rFonts w:ascii="Arial" w:eastAsia="DengXian Light" w:hAnsi="Arial" w:cs="Arial"/>
          <w:b/>
          <w:bCs/>
        </w:rPr>
      </w:pPr>
    </w:p>
    <w:p w14:paraId="48FBC72D" w14:textId="7B1987C7" w:rsidR="00761CC8" w:rsidRDefault="00761CC8" w:rsidP="00761CC8">
      <w:pPr>
        <w:spacing w:line="360" w:lineRule="auto"/>
        <w:jc w:val="both"/>
        <w:rPr>
          <w:rFonts w:ascii="Arial" w:eastAsia="DengXian Light" w:hAnsi="Arial" w:cs="Arial"/>
        </w:rPr>
      </w:pPr>
      <w:r>
        <w:rPr>
          <w:rFonts w:ascii="Arial" w:eastAsia="DengXian Light" w:hAnsi="Arial" w:cs="Arial"/>
        </w:rPr>
        <w:t xml:space="preserve">Mobile Bed product line's contribution margin is positive, the board of </w:t>
      </w:r>
      <w:r w:rsidR="00237395">
        <w:rPr>
          <w:rFonts w:ascii="Arial" w:eastAsia="DengXian Light" w:hAnsi="Arial" w:cs="Arial"/>
        </w:rPr>
        <w:t>director can</w:t>
      </w:r>
      <w:r>
        <w:rPr>
          <w:rFonts w:ascii="Arial" w:eastAsia="DengXian Light" w:hAnsi="Arial" w:cs="Arial"/>
        </w:rPr>
        <w:t xml:space="preserve"> consider keeping the product line. As number of units sold increases, it will contribute to the net profit by the contribution margin of </w:t>
      </w:r>
      <w:r>
        <w:rPr>
          <w:rFonts w:ascii="Arial" w:hAnsi="Arial" w:cs="Arial"/>
          <w:shd w:val="clear" w:color="auto" w:fill="FFFFFF"/>
        </w:rPr>
        <w:t>£</w:t>
      </w:r>
      <w:r>
        <w:rPr>
          <w:rFonts w:ascii="Arial" w:eastAsia="DengXian Light" w:hAnsi="Arial" w:cs="Arial"/>
        </w:rPr>
        <w:t xml:space="preserve">2369.48 for each unit sold. </w:t>
      </w:r>
    </w:p>
    <w:p w14:paraId="00CE6E71" w14:textId="77777777" w:rsidR="00237395" w:rsidRDefault="00716339" w:rsidP="00716339">
      <w:pPr>
        <w:spacing w:line="360" w:lineRule="auto"/>
        <w:rPr>
          <w:rFonts w:ascii="Arial" w:eastAsia="DengXian Light" w:hAnsi="Arial" w:cs="Arial"/>
        </w:rPr>
      </w:pPr>
      <w:r>
        <w:rPr>
          <w:rFonts w:ascii="Arial" w:eastAsia="DengXian Light" w:hAnsi="Arial" w:cs="Arial"/>
        </w:rPr>
        <w:t xml:space="preserve">                                                 </w:t>
      </w:r>
    </w:p>
    <w:p w14:paraId="77D0927A" w14:textId="77777777" w:rsidR="00237395" w:rsidRDefault="00237395" w:rsidP="00716339">
      <w:pPr>
        <w:spacing w:line="360" w:lineRule="auto"/>
        <w:rPr>
          <w:rFonts w:ascii="Arial" w:eastAsia="DengXian Light" w:hAnsi="Arial" w:cs="Arial"/>
        </w:rPr>
      </w:pPr>
    </w:p>
    <w:p w14:paraId="178B1704" w14:textId="77777777" w:rsidR="00237395" w:rsidRDefault="00237395" w:rsidP="00716339">
      <w:pPr>
        <w:spacing w:line="360" w:lineRule="auto"/>
        <w:rPr>
          <w:rFonts w:ascii="Arial" w:eastAsia="DengXian Light" w:hAnsi="Arial" w:cs="Arial"/>
        </w:rPr>
      </w:pPr>
    </w:p>
    <w:p w14:paraId="3F2973DD" w14:textId="77777777" w:rsidR="00237395" w:rsidRDefault="00237395" w:rsidP="00716339">
      <w:pPr>
        <w:spacing w:line="360" w:lineRule="auto"/>
        <w:rPr>
          <w:rFonts w:ascii="Arial" w:eastAsia="DengXian Light" w:hAnsi="Arial" w:cs="Arial"/>
        </w:rPr>
      </w:pPr>
    </w:p>
    <w:p w14:paraId="4BED2176" w14:textId="77777777" w:rsidR="00237395" w:rsidRDefault="00237395" w:rsidP="00716339">
      <w:pPr>
        <w:spacing w:line="360" w:lineRule="auto"/>
        <w:rPr>
          <w:rFonts w:ascii="Arial" w:eastAsia="DengXian Light" w:hAnsi="Arial" w:cs="Arial"/>
        </w:rPr>
      </w:pPr>
    </w:p>
    <w:p w14:paraId="4AB92566" w14:textId="77777777" w:rsidR="00237395" w:rsidRDefault="00237395" w:rsidP="00716339">
      <w:pPr>
        <w:spacing w:line="360" w:lineRule="auto"/>
        <w:rPr>
          <w:rFonts w:ascii="Arial" w:eastAsia="DengXian Light" w:hAnsi="Arial" w:cs="Arial"/>
        </w:rPr>
      </w:pPr>
    </w:p>
    <w:p w14:paraId="23A382C1" w14:textId="51641C01" w:rsidR="00761CC8" w:rsidRDefault="00237395" w:rsidP="00716339">
      <w:pPr>
        <w:spacing w:line="360" w:lineRule="auto"/>
        <w:rPr>
          <w:rFonts w:ascii="Arial" w:hAnsi="Arial" w:cs="Arial"/>
          <w:b/>
          <w:bCs/>
        </w:rPr>
      </w:pPr>
      <w:r>
        <w:rPr>
          <w:rFonts w:ascii="Arial" w:eastAsia="DengXian Light" w:hAnsi="Arial" w:cs="Arial"/>
        </w:rPr>
        <w:lastRenderedPageBreak/>
        <w:t xml:space="preserve">                                               </w:t>
      </w:r>
      <w:r w:rsidR="00716339">
        <w:rPr>
          <w:rFonts w:ascii="Arial" w:eastAsia="DengXian Light" w:hAnsi="Arial" w:cs="Arial"/>
        </w:rPr>
        <w:t xml:space="preserve"> </w:t>
      </w:r>
      <w:r w:rsidR="00761CC8">
        <w:rPr>
          <w:rFonts w:ascii="Arial" w:hAnsi="Arial" w:cs="Arial"/>
          <w:b/>
          <w:bCs/>
        </w:rPr>
        <w:t>Mobile Solution Group</w:t>
      </w:r>
    </w:p>
    <w:p w14:paraId="52DBEB59" w14:textId="77777777" w:rsidR="00761CC8" w:rsidRDefault="00761CC8" w:rsidP="00761CC8">
      <w:pPr>
        <w:spacing w:line="360" w:lineRule="auto"/>
        <w:jc w:val="center"/>
        <w:rPr>
          <w:rFonts w:ascii="Arial" w:hAnsi="Arial" w:cs="Arial"/>
          <w:b/>
          <w:bCs/>
        </w:rPr>
      </w:pPr>
      <w:r>
        <w:rPr>
          <w:rFonts w:ascii="Arial" w:hAnsi="Arial" w:cs="Arial"/>
          <w:b/>
          <w:bCs/>
        </w:rPr>
        <w:t>Marginal Costing Income Statement (considering two product line)</w:t>
      </w:r>
    </w:p>
    <w:p w14:paraId="59E088E0" w14:textId="77777777" w:rsidR="00761CC8" w:rsidRDefault="00761CC8" w:rsidP="00761CC8">
      <w:pPr>
        <w:spacing w:line="360" w:lineRule="auto"/>
        <w:jc w:val="center"/>
        <w:rPr>
          <w:rFonts w:ascii="Arial" w:hAnsi="Arial" w:cs="Arial"/>
          <w:b/>
          <w:bCs/>
        </w:rPr>
      </w:pPr>
      <w:r>
        <w:rPr>
          <w:rFonts w:ascii="Arial" w:hAnsi="Arial" w:cs="Arial"/>
          <w:b/>
          <w:bCs/>
        </w:rPr>
        <w:t>For the Year Ended December 2021</w:t>
      </w:r>
    </w:p>
    <w:tbl>
      <w:tblPr>
        <w:tblStyle w:val="GridTable1Light-Accent51"/>
        <w:tblW w:w="9167" w:type="dxa"/>
        <w:jc w:val="center"/>
        <w:tblInd w:w="0" w:type="dxa"/>
        <w:tblLook w:val="04A0" w:firstRow="1" w:lastRow="0" w:firstColumn="1" w:lastColumn="0" w:noHBand="0" w:noVBand="1"/>
      </w:tblPr>
      <w:tblGrid>
        <w:gridCol w:w="3489"/>
        <w:gridCol w:w="321"/>
        <w:gridCol w:w="1953"/>
        <w:gridCol w:w="1535"/>
        <w:gridCol w:w="1869"/>
      </w:tblGrid>
      <w:tr w:rsidR="00761CC8" w14:paraId="35BEDC99" w14:textId="77777777" w:rsidTr="00761CC8">
        <w:trPr>
          <w:cnfStyle w:val="100000000000" w:firstRow="1" w:lastRow="0" w:firstColumn="0" w:lastColumn="0" w:oddVBand="0" w:evenVBand="0" w:oddHBand="0" w:evenHBand="0" w:firstRowFirstColumn="0" w:firstRowLastColumn="0" w:lastRowFirstColumn="0" w:lastRowLastColumn="0"/>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right w:val="single" w:sz="4" w:space="0" w:color="BDD6EE"/>
            </w:tcBorders>
            <w:noWrap/>
            <w:hideMark/>
          </w:tcPr>
          <w:p w14:paraId="15EFE786" w14:textId="77777777" w:rsidR="00761CC8" w:rsidRDefault="00761CC8">
            <w:pPr>
              <w:spacing w:line="360" w:lineRule="auto"/>
              <w:jc w:val="both"/>
              <w:rPr>
                <w:rFonts w:ascii="Arial" w:eastAsia="Times New Roman" w:hAnsi="Arial" w:cs="Arial"/>
              </w:rPr>
            </w:pPr>
            <w:r>
              <w:rPr>
                <w:rFonts w:ascii="Arial" w:eastAsia="Times New Roman" w:hAnsi="Arial" w:cs="Arial"/>
              </w:rPr>
              <w:t>Particulars</w:t>
            </w:r>
          </w:p>
        </w:tc>
        <w:tc>
          <w:tcPr>
            <w:tcW w:w="1953" w:type="dxa"/>
            <w:tcBorders>
              <w:top w:val="single" w:sz="4" w:space="0" w:color="BDD6EE"/>
              <w:left w:val="single" w:sz="4" w:space="0" w:color="BDD6EE"/>
              <w:right w:val="single" w:sz="4" w:space="0" w:color="BDD6EE"/>
            </w:tcBorders>
            <w:noWrap/>
            <w:hideMark/>
          </w:tcPr>
          <w:p w14:paraId="2F91B39B"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Wheelchairs</w:t>
            </w:r>
          </w:p>
        </w:tc>
        <w:tc>
          <w:tcPr>
            <w:tcW w:w="1535" w:type="dxa"/>
            <w:tcBorders>
              <w:top w:val="single" w:sz="4" w:space="0" w:color="BDD6EE"/>
              <w:left w:val="single" w:sz="4" w:space="0" w:color="BDD6EE"/>
              <w:right w:val="single" w:sz="4" w:space="0" w:color="BDD6EE"/>
            </w:tcBorders>
            <w:noWrap/>
            <w:hideMark/>
          </w:tcPr>
          <w:p w14:paraId="03A4166E"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Hoists</w:t>
            </w:r>
          </w:p>
        </w:tc>
        <w:tc>
          <w:tcPr>
            <w:tcW w:w="1869" w:type="dxa"/>
            <w:tcBorders>
              <w:top w:val="single" w:sz="4" w:space="0" w:color="BDD6EE"/>
              <w:left w:val="single" w:sz="4" w:space="0" w:color="BDD6EE"/>
              <w:right w:val="single" w:sz="4" w:space="0" w:color="BDD6EE"/>
            </w:tcBorders>
            <w:noWrap/>
            <w:hideMark/>
          </w:tcPr>
          <w:p w14:paraId="48FD3AA0" w14:textId="77777777" w:rsidR="00761CC8" w:rsidRDefault="00761CC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Total</w:t>
            </w:r>
          </w:p>
        </w:tc>
      </w:tr>
      <w:tr w:rsidR="00761CC8" w14:paraId="3A815A23"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489" w:type="dxa"/>
            <w:tcBorders>
              <w:top w:val="single" w:sz="4" w:space="0" w:color="BDD6EE"/>
              <w:left w:val="single" w:sz="4" w:space="0" w:color="BDD6EE"/>
              <w:bottom w:val="single" w:sz="4" w:space="0" w:color="BDD6EE"/>
              <w:right w:val="single" w:sz="4" w:space="0" w:color="BDD6EE"/>
            </w:tcBorders>
            <w:noWrap/>
            <w:hideMark/>
          </w:tcPr>
          <w:p w14:paraId="7621B691" w14:textId="77777777" w:rsidR="00761CC8" w:rsidRDefault="00761CC8">
            <w:pPr>
              <w:spacing w:line="360" w:lineRule="auto"/>
              <w:jc w:val="both"/>
              <w:rPr>
                <w:rFonts w:ascii="Arial" w:eastAsia="Times New Roman" w:hAnsi="Arial" w:cs="Arial"/>
              </w:rPr>
            </w:pPr>
            <w:r>
              <w:rPr>
                <w:rFonts w:ascii="Arial" w:eastAsia="Times New Roman" w:hAnsi="Arial" w:cs="Arial"/>
              </w:rPr>
              <w:t>Sales</w:t>
            </w:r>
          </w:p>
        </w:tc>
        <w:tc>
          <w:tcPr>
            <w:tcW w:w="321" w:type="dxa"/>
            <w:tcBorders>
              <w:top w:val="single" w:sz="4" w:space="0" w:color="BDD6EE"/>
              <w:left w:val="single" w:sz="4" w:space="0" w:color="BDD6EE"/>
              <w:bottom w:val="single" w:sz="4" w:space="0" w:color="BDD6EE"/>
              <w:right w:val="single" w:sz="4" w:space="0" w:color="BDD6EE"/>
            </w:tcBorders>
            <w:noWrap/>
            <w:hideMark/>
          </w:tcPr>
          <w:p w14:paraId="0665C27A"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953" w:type="dxa"/>
            <w:tcBorders>
              <w:top w:val="single" w:sz="4" w:space="0" w:color="BDD6EE"/>
              <w:left w:val="single" w:sz="4" w:space="0" w:color="BDD6EE"/>
              <w:bottom w:val="single" w:sz="4" w:space="0" w:color="BDD6EE"/>
              <w:right w:val="single" w:sz="4" w:space="0" w:color="BDD6EE"/>
            </w:tcBorders>
            <w:noWrap/>
            <w:hideMark/>
          </w:tcPr>
          <w:p w14:paraId="08E2881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8,800.00 </w:t>
            </w:r>
          </w:p>
        </w:tc>
        <w:tc>
          <w:tcPr>
            <w:tcW w:w="1535" w:type="dxa"/>
            <w:tcBorders>
              <w:top w:val="single" w:sz="4" w:space="0" w:color="BDD6EE"/>
              <w:left w:val="single" w:sz="4" w:space="0" w:color="BDD6EE"/>
              <w:bottom w:val="single" w:sz="4" w:space="0" w:color="BDD6EE"/>
              <w:right w:val="single" w:sz="4" w:space="0" w:color="BDD6EE"/>
            </w:tcBorders>
            <w:noWrap/>
            <w:hideMark/>
          </w:tcPr>
          <w:p w14:paraId="758B4539"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7,300.00 </w:t>
            </w:r>
          </w:p>
        </w:tc>
        <w:tc>
          <w:tcPr>
            <w:tcW w:w="1869" w:type="dxa"/>
            <w:tcBorders>
              <w:top w:val="single" w:sz="4" w:space="0" w:color="BDD6EE"/>
              <w:left w:val="single" w:sz="4" w:space="0" w:color="BDD6EE"/>
              <w:bottom w:val="single" w:sz="4" w:space="0" w:color="BDD6EE"/>
              <w:right w:val="single" w:sz="4" w:space="0" w:color="BDD6EE"/>
            </w:tcBorders>
            <w:noWrap/>
            <w:hideMark/>
          </w:tcPr>
          <w:p w14:paraId="7AEB935D"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16,100.00 </w:t>
            </w:r>
          </w:p>
        </w:tc>
      </w:tr>
      <w:tr w:rsidR="00761CC8" w14:paraId="47591AAB"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0F6BB43B" w14:textId="77777777" w:rsidR="00761CC8" w:rsidRDefault="00761CC8">
            <w:pPr>
              <w:spacing w:line="360" w:lineRule="auto"/>
              <w:jc w:val="both"/>
              <w:rPr>
                <w:rFonts w:ascii="Arial" w:eastAsia="Times New Roman" w:hAnsi="Arial" w:cs="Arial"/>
              </w:rPr>
            </w:pPr>
            <w:r>
              <w:rPr>
                <w:rFonts w:ascii="Arial" w:eastAsia="Times New Roman" w:hAnsi="Arial" w:cs="Arial"/>
              </w:rPr>
              <w:t>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31EDE1CC" w14:textId="77777777" w:rsidR="00761CC8" w:rsidRDefault="00761C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535" w:type="dxa"/>
            <w:tcBorders>
              <w:top w:val="single" w:sz="4" w:space="0" w:color="BDD6EE"/>
              <w:left w:val="single" w:sz="4" w:space="0" w:color="BDD6EE"/>
              <w:bottom w:val="single" w:sz="4" w:space="0" w:color="BDD6EE"/>
              <w:right w:val="single" w:sz="4" w:space="0" w:color="BDD6EE"/>
            </w:tcBorders>
            <w:noWrap/>
            <w:hideMark/>
          </w:tcPr>
          <w:p w14:paraId="0DFC28F4"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c>
          <w:tcPr>
            <w:tcW w:w="1869" w:type="dxa"/>
            <w:tcBorders>
              <w:top w:val="single" w:sz="4" w:space="0" w:color="BDD6EE"/>
              <w:left w:val="single" w:sz="4" w:space="0" w:color="BDD6EE"/>
              <w:bottom w:val="single" w:sz="4" w:space="0" w:color="BDD6EE"/>
              <w:right w:val="single" w:sz="4" w:space="0" w:color="BDD6EE"/>
            </w:tcBorders>
            <w:noWrap/>
            <w:hideMark/>
          </w:tcPr>
          <w:p w14:paraId="1DBBC3F4" w14:textId="77777777" w:rsidR="00761CC8" w:rsidRDefault="00761CC8">
            <w:pPr>
              <w:spacing w:line="240" w:lineRule="auto"/>
              <w:cnfStyle w:val="000000000000" w:firstRow="0" w:lastRow="0" w:firstColumn="0" w:lastColumn="0" w:oddVBand="0" w:evenVBand="0" w:oddHBand="0" w:evenHBand="0" w:firstRowFirstColumn="0" w:firstRowLastColumn="0" w:lastRowFirstColumn="0" w:lastRowLastColumn="0"/>
              <w:rPr>
                <w:sz w:val="20"/>
                <w:szCs w:val="20"/>
                <w:lang w:val="en-GB" w:eastAsia="en-GB"/>
              </w:rPr>
            </w:pPr>
          </w:p>
        </w:tc>
      </w:tr>
      <w:tr w:rsidR="00761CC8" w14:paraId="34C28657"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4060E059" w14:textId="77777777" w:rsidR="00761CC8" w:rsidRDefault="00761CC8">
            <w:pPr>
              <w:spacing w:line="360" w:lineRule="auto"/>
              <w:jc w:val="both"/>
              <w:rPr>
                <w:rFonts w:ascii="Arial" w:eastAsia="Times New Roman" w:hAnsi="Arial" w:cs="Arial"/>
              </w:rPr>
            </w:pPr>
            <w:r>
              <w:rPr>
                <w:rFonts w:ascii="Arial" w:eastAsia="Times New Roman" w:hAnsi="Arial" w:cs="Arial"/>
              </w:rPr>
              <w:t>Variable Costs of Goods Sold</w:t>
            </w:r>
          </w:p>
        </w:tc>
        <w:tc>
          <w:tcPr>
            <w:tcW w:w="1953" w:type="dxa"/>
            <w:tcBorders>
              <w:top w:val="single" w:sz="4" w:space="0" w:color="BDD6EE"/>
              <w:left w:val="single" w:sz="4" w:space="0" w:color="BDD6EE"/>
              <w:bottom w:val="single" w:sz="4" w:space="0" w:color="BDD6EE"/>
              <w:right w:val="single" w:sz="4" w:space="0" w:color="BDD6EE"/>
            </w:tcBorders>
            <w:noWrap/>
            <w:hideMark/>
          </w:tcPr>
          <w:p w14:paraId="5F8B821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5,650.00 </w:t>
            </w:r>
          </w:p>
        </w:tc>
        <w:tc>
          <w:tcPr>
            <w:tcW w:w="1535" w:type="dxa"/>
            <w:tcBorders>
              <w:top w:val="single" w:sz="4" w:space="0" w:color="BDD6EE"/>
              <w:left w:val="single" w:sz="4" w:space="0" w:color="BDD6EE"/>
              <w:bottom w:val="single" w:sz="4" w:space="0" w:color="BDD6EE"/>
              <w:right w:val="single" w:sz="4" w:space="0" w:color="BDD6EE"/>
            </w:tcBorders>
            <w:noWrap/>
            <w:hideMark/>
          </w:tcPr>
          <w:p w14:paraId="060A51F9"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7,440.00 </w:t>
            </w:r>
          </w:p>
        </w:tc>
        <w:tc>
          <w:tcPr>
            <w:tcW w:w="1869" w:type="dxa"/>
            <w:tcBorders>
              <w:top w:val="single" w:sz="4" w:space="0" w:color="BDD6EE"/>
              <w:left w:val="single" w:sz="4" w:space="0" w:color="BDD6EE"/>
              <w:bottom w:val="single" w:sz="4" w:space="0" w:color="BDD6EE"/>
              <w:right w:val="single" w:sz="4" w:space="0" w:color="BDD6EE"/>
            </w:tcBorders>
            <w:noWrap/>
            <w:hideMark/>
          </w:tcPr>
          <w:p w14:paraId="54F777FA"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13,090.00 </w:t>
            </w:r>
          </w:p>
        </w:tc>
      </w:tr>
      <w:tr w:rsidR="00761CC8" w14:paraId="5588CE1A"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25A88D40" w14:textId="77777777" w:rsidR="00761CC8" w:rsidRDefault="00761CC8">
            <w:pPr>
              <w:spacing w:line="360" w:lineRule="auto"/>
              <w:jc w:val="both"/>
              <w:rPr>
                <w:rFonts w:ascii="Arial" w:eastAsia="Times New Roman" w:hAnsi="Arial" w:cs="Arial"/>
              </w:rPr>
            </w:pPr>
            <w:r>
              <w:rPr>
                <w:rFonts w:ascii="Arial" w:eastAsia="Times New Roman" w:hAnsi="Arial" w:cs="Arial"/>
              </w:rPr>
              <w:t>Other 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4E3F9B5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320.68 </w:t>
            </w:r>
          </w:p>
        </w:tc>
        <w:tc>
          <w:tcPr>
            <w:tcW w:w="1535" w:type="dxa"/>
            <w:tcBorders>
              <w:top w:val="single" w:sz="4" w:space="0" w:color="BDD6EE"/>
              <w:left w:val="single" w:sz="4" w:space="0" w:color="BDD6EE"/>
              <w:bottom w:val="single" w:sz="4" w:space="0" w:color="BDD6EE"/>
              <w:right w:val="single" w:sz="4" w:space="0" w:color="BDD6EE"/>
            </w:tcBorders>
            <w:noWrap/>
            <w:hideMark/>
          </w:tcPr>
          <w:p w14:paraId="7936BF80"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69.85 </w:t>
            </w:r>
          </w:p>
        </w:tc>
        <w:tc>
          <w:tcPr>
            <w:tcW w:w="1869" w:type="dxa"/>
            <w:tcBorders>
              <w:top w:val="single" w:sz="4" w:space="0" w:color="BDD6EE"/>
              <w:left w:val="single" w:sz="4" w:space="0" w:color="BDD6EE"/>
              <w:bottom w:val="single" w:sz="4" w:space="0" w:color="BDD6EE"/>
              <w:right w:val="single" w:sz="4" w:space="0" w:color="BDD6EE"/>
            </w:tcBorders>
            <w:noWrap/>
            <w:hideMark/>
          </w:tcPr>
          <w:p w14:paraId="445D9779"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390.53 </w:t>
            </w:r>
          </w:p>
        </w:tc>
      </w:tr>
      <w:tr w:rsidR="00761CC8" w14:paraId="7560B89B"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7C57B0C8" w14:textId="77777777" w:rsidR="00761CC8" w:rsidRDefault="00761CC8">
            <w:pPr>
              <w:spacing w:line="360" w:lineRule="auto"/>
              <w:jc w:val="both"/>
              <w:rPr>
                <w:rFonts w:ascii="Arial" w:eastAsia="Times New Roman" w:hAnsi="Arial" w:cs="Arial"/>
              </w:rPr>
            </w:pPr>
            <w:r>
              <w:rPr>
                <w:rFonts w:ascii="Arial" w:eastAsia="Times New Roman" w:hAnsi="Arial" w:cs="Arial"/>
              </w:rPr>
              <w:t>Total 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4B25D3BA"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5,970.68 </w:t>
            </w:r>
          </w:p>
        </w:tc>
        <w:tc>
          <w:tcPr>
            <w:tcW w:w="1535" w:type="dxa"/>
            <w:tcBorders>
              <w:top w:val="single" w:sz="4" w:space="0" w:color="BDD6EE"/>
              <w:left w:val="single" w:sz="4" w:space="0" w:color="BDD6EE"/>
              <w:bottom w:val="single" w:sz="4" w:space="0" w:color="BDD6EE"/>
              <w:right w:val="single" w:sz="4" w:space="0" w:color="BDD6EE"/>
            </w:tcBorders>
            <w:noWrap/>
            <w:hideMark/>
          </w:tcPr>
          <w:p w14:paraId="0538762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7,509.85 </w:t>
            </w:r>
          </w:p>
        </w:tc>
        <w:tc>
          <w:tcPr>
            <w:tcW w:w="1869" w:type="dxa"/>
            <w:tcBorders>
              <w:top w:val="single" w:sz="4" w:space="0" w:color="BDD6EE"/>
              <w:left w:val="single" w:sz="4" w:space="0" w:color="BDD6EE"/>
              <w:bottom w:val="single" w:sz="4" w:space="0" w:color="BDD6EE"/>
              <w:right w:val="single" w:sz="4" w:space="0" w:color="BDD6EE"/>
            </w:tcBorders>
            <w:noWrap/>
            <w:hideMark/>
          </w:tcPr>
          <w:p w14:paraId="6219084F"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13,480.53 </w:t>
            </w:r>
          </w:p>
        </w:tc>
      </w:tr>
      <w:tr w:rsidR="00761CC8" w14:paraId="412B0120"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1A970075" w14:textId="77777777" w:rsidR="00761CC8" w:rsidRDefault="00761CC8">
            <w:pPr>
              <w:spacing w:line="360" w:lineRule="auto"/>
              <w:jc w:val="both"/>
              <w:rPr>
                <w:rFonts w:ascii="Arial" w:eastAsia="Times New Roman" w:hAnsi="Arial" w:cs="Arial"/>
              </w:rPr>
            </w:pPr>
            <w:r>
              <w:rPr>
                <w:rFonts w:ascii="Arial" w:eastAsia="Times New Roman" w:hAnsi="Arial" w:cs="Arial"/>
              </w:rPr>
              <w:t>Contribution Margin</w:t>
            </w:r>
          </w:p>
        </w:tc>
        <w:tc>
          <w:tcPr>
            <w:tcW w:w="1953" w:type="dxa"/>
            <w:tcBorders>
              <w:top w:val="single" w:sz="4" w:space="0" w:color="BDD6EE"/>
              <w:left w:val="single" w:sz="4" w:space="0" w:color="BDD6EE"/>
              <w:bottom w:val="single" w:sz="4" w:space="0" w:color="BDD6EE"/>
              <w:right w:val="single" w:sz="4" w:space="0" w:color="BDD6EE"/>
            </w:tcBorders>
            <w:noWrap/>
            <w:hideMark/>
          </w:tcPr>
          <w:p w14:paraId="2DF93C95"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2,829.32 </w:t>
            </w:r>
          </w:p>
        </w:tc>
        <w:tc>
          <w:tcPr>
            <w:tcW w:w="1535" w:type="dxa"/>
            <w:tcBorders>
              <w:top w:val="single" w:sz="4" w:space="0" w:color="BDD6EE"/>
              <w:left w:val="single" w:sz="4" w:space="0" w:color="BDD6EE"/>
              <w:bottom w:val="single" w:sz="4" w:space="0" w:color="BDD6EE"/>
              <w:right w:val="single" w:sz="4" w:space="0" w:color="BDD6EE"/>
            </w:tcBorders>
            <w:noWrap/>
            <w:hideMark/>
          </w:tcPr>
          <w:p w14:paraId="4D95DCD2"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(209.85)</w:t>
            </w:r>
          </w:p>
        </w:tc>
        <w:tc>
          <w:tcPr>
            <w:tcW w:w="1869" w:type="dxa"/>
            <w:tcBorders>
              <w:top w:val="single" w:sz="4" w:space="0" w:color="BDD6EE"/>
              <w:left w:val="single" w:sz="4" w:space="0" w:color="BDD6EE"/>
              <w:bottom w:val="single" w:sz="4" w:space="0" w:color="BDD6EE"/>
              <w:right w:val="single" w:sz="4" w:space="0" w:color="BDD6EE"/>
            </w:tcBorders>
            <w:noWrap/>
            <w:hideMark/>
          </w:tcPr>
          <w:p w14:paraId="09454314"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2,619.47 </w:t>
            </w:r>
          </w:p>
        </w:tc>
      </w:tr>
      <w:tr w:rsidR="00761CC8" w14:paraId="248F73AA"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29D6FE92" w14:textId="77777777" w:rsidR="00761CC8" w:rsidRDefault="00761CC8">
            <w:pPr>
              <w:spacing w:line="360" w:lineRule="auto"/>
              <w:jc w:val="both"/>
              <w:rPr>
                <w:rFonts w:ascii="Arial" w:eastAsia="Times New Roman" w:hAnsi="Arial" w:cs="Arial"/>
              </w:rPr>
            </w:pPr>
            <w:r>
              <w:rPr>
                <w:rFonts w:ascii="Arial" w:eastAsia="Times New Roman" w:hAnsi="Arial" w:cs="Arial"/>
              </w:rPr>
              <w:t>Fixed Overhead</w:t>
            </w:r>
          </w:p>
        </w:tc>
        <w:tc>
          <w:tcPr>
            <w:tcW w:w="1953" w:type="dxa"/>
            <w:tcBorders>
              <w:top w:val="single" w:sz="4" w:space="0" w:color="BDD6EE"/>
              <w:left w:val="single" w:sz="4" w:space="0" w:color="BDD6EE"/>
              <w:bottom w:val="single" w:sz="4" w:space="0" w:color="BDD6EE"/>
              <w:right w:val="single" w:sz="4" w:space="0" w:color="BDD6EE"/>
            </w:tcBorders>
            <w:noWrap/>
            <w:hideMark/>
          </w:tcPr>
          <w:p w14:paraId="37F0E7A1"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535" w:type="dxa"/>
            <w:tcBorders>
              <w:top w:val="single" w:sz="4" w:space="0" w:color="BDD6EE"/>
              <w:left w:val="single" w:sz="4" w:space="0" w:color="BDD6EE"/>
              <w:bottom w:val="single" w:sz="4" w:space="0" w:color="BDD6EE"/>
              <w:right w:val="single" w:sz="4" w:space="0" w:color="BDD6EE"/>
            </w:tcBorders>
            <w:noWrap/>
            <w:hideMark/>
          </w:tcPr>
          <w:p w14:paraId="2FF2D4FF"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869" w:type="dxa"/>
            <w:tcBorders>
              <w:top w:val="single" w:sz="4" w:space="0" w:color="BDD6EE"/>
              <w:left w:val="single" w:sz="4" w:space="0" w:color="BDD6EE"/>
              <w:bottom w:val="single" w:sz="4" w:space="0" w:color="BDD6EE"/>
              <w:right w:val="single" w:sz="4" w:space="0" w:color="BDD6EE"/>
            </w:tcBorders>
            <w:noWrap/>
            <w:hideMark/>
          </w:tcPr>
          <w:p w14:paraId="11E1F562"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6500</w:t>
            </w:r>
          </w:p>
        </w:tc>
      </w:tr>
      <w:tr w:rsidR="00761CC8" w14:paraId="7048A80F" w14:textId="77777777" w:rsidTr="00761CC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2E550A0A" w14:textId="77777777" w:rsidR="00761CC8" w:rsidRDefault="00761CC8">
            <w:pPr>
              <w:spacing w:line="360" w:lineRule="auto"/>
              <w:jc w:val="both"/>
              <w:rPr>
                <w:rFonts w:ascii="Arial" w:eastAsia="Times New Roman" w:hAnsi="Arial" w:cs="Arial"/>
              </w:rPr>
            </w:pPr>
            <w:r>
              <w:rPr>
                <w:rFonts w:ascii="Arial" w:eastAsia="Times New Roman" w:hAnsi="Arial" w:cs="Arial"/>
              </w:rPr>
              <w:t>Net Operating Income</w:t>
            </w:r>
          </w:p>
        </w:tc>
        <w:tc>
          <w:tcPr>
            <w:tcW w:w="1953" w:type="dxa"/>
            <w:tcBorders>
              <w:top w:val="single" w:sz="4" w:space="0" w:color="BDD6EE"/>
              <w:left w:val="single" w:sz="4" w:space="0" w:color="BDD6EE"/>
              <w:bottom w:val="single" w:sz="4" w:space="0" w:color="BDD6EE"/>
              <w:right w:val="single" w:sz="4" w:space="0" w:color="BDD6EE"/>
            </w:tcBorders>
            <w:noWrap/>
            <w:hideMark/>
          </w:tcPr>
          <w:p w14:paraId="0F6EEDD7"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535" w:type="dxa"/>
            <w:tcBorders>
              <w:top w:val="single" w:sz="4" w:space="0" w:color="BDD6EE"/>
              <w:left w:val="single" w:sz="4" w:space="0" w:color="BDD6EE"/>
              <w:bottom w:val="single" w:sz="4" w:space="0" w:color="BDD6EE"/>
              <w:right w:val="single" w:sz="4" w:space="0" w:color="BDD6EE"/>
            </w:tcBorders>
            <w:noWrap/>
            <w:hideMark/>
          </w:tcPr>
          <w:p w14:paraId="2DA6FA2B"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highlight w:val="yellow"/>
              </w:rPr>
            </w:pPr>
            <w:r>
              <w:rPr>
                <w:rFonts w:ascii="Arial" w:eastAsia="Times New Roman" w:hAnsi="Arial" w:cs="Arial"/>
                <w:highlight w:val="yellow"/>
              </w:rPr>
              <w:t xml:space="preserve"> </w:t>
            </w:r>
          </w:p>
        </w:tc>
        <w:tc>
          <w:tcPr>
            <w:tcW w:w="1869" w:type="dxa"/>
            <w:tcBorders>
              <w:top w:val="single" w:sz="4" w:space="0" w:color="BDD6EE"/>
              <w:left w:val="single" w:sz="4" w:space="0" w:color="BDD6EE"/>
              <w:bottom w:val="single" w:sz="4" w:space="0" w:color="BDD6EE"/>
              <w:right w:val="single" w:sz="4" w:space="0" w:color="BDD6EE"/>
            </w:tcBorders>
            <w:noWrap/>
            <w:hideMark/>
          </w:tcPr>
          <w:p w14:paraId="79D80BC6" w14:textId="77777777" w:rsidR="00761CC8" w:rsidRDefault="00761C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Pr>
                <w:rFonts w:ascii="Arial" w:eastAsia="Times New Roman" w:hAnsi="Arial" w:cs="Arial"/>
              </w:rPr>
              <w:t xml:space="preserve">   -3880.53</w:t>
            </w:r>
          </w:p>
        </w:tc>
      </w:tr>
    </w:tbl>
    <w:p w14:paraId="2E642E7A" w14:textId="77777777" w:rsidR="00761CC8" w:rsidRDefault="00761CC8" w:rsidP="00761CC8">
      <w:pPr>
        <w:spacing w:line="360" w:lineRule="auto"/>
        <w:jc w:val="both"/>
        <w:rPr>
          <w:rFonts w:ascii="Arial" w:hAnsi="Arial" w:cs="Arial"/>
          <w:lang w:val="en-GB"/>
        </w:rPr>
      </w:pPr>
    </w:p>
    <w:p w14:paraId="5457CEDE" w14:textId="77777777" w:rsidR="00761CC8" w:rsidRDefault="00761CC8" w:rsidP="00761CC8">
      <w:pPr>
        <w:pStyle w:val="Heading2"/>
        <w:spacing w:line="360" w:lineRule="auto"/>
        <w:rPr>
          <w:rFonts w:ascii="Arial" w:eastAsia="DengXian Light" w:hAnsi="Arial" w:cs="Arial"/>
          <w:b/>
          <w:bCs/>
          <w:color w:val="auto"/>
          <w:sz w:val="22"/>
          <w:szCs w:val="22"/>
        </w:rPr>
      </w:pPr>
      <w:bookmarkStart w:id="15" w:name="_Toc107582342"/>
      <w:bookmarkStart w:id="16" w:name="_Toc107582447"/>
      <w:bookmarkStart w:id="17" w:name="_Toc107582488"/>
      <w:proofErr w:type="spellStart"/>
      <w:r>
        <w:rPr>
          <w:rFonts w:ascii="Arial" w:eastAsia="DengXian Light" w:hAnsi="Arial" w:cs="Arial"/>
          <w:b/>
          <w:bCs/>
          <w:color w:val="auto"/>
          <w:sz w:val="22"/>
          <w:szCs w:val="22"/>
        </w:rPr>
        <w:t>Dussion</w:t>
      </w:r>
      <w:proofErr w:type="spellEnd"/>
      <w:r>
        <w:rPr>
          <w:rFonts w:ascii="Arial" w:eastAsia="DengXian Light" w:hAnsi="Arial" w:cs="Arial"/>
          <w:b/>
          <w:bCs/>
          <w:color w:val="auto"/>
          <w:sz w:val="22"/>
          <w:szCs w:val="22"/>
        </w:rPr>
        <w:t xml:space="preserve"> and Comparison of Marginal Costing with Absorption Costing</w:t>
      </w:r>
      <w:bookmarkEnd w:id="15"/>
      <w:bookmarkEnd w:id="16"/>
      <w:bookmarkEnd w:id="17"/>
    </w:p>
    <w:p w14:paraId="47A7FE9A" w14:textId="6F9E85A7" w:rsidR="00761CC8" w:rsidRDefault="00761CC8" w:rsidP="00761CC8">
      <w:pPr>
        <w:spacing w:line="360" w:lineRule="auto"/>
        <w:jc w:val="both"/>
        <w:rPr>
          <w:rFonts w:ascii="Arial" w:hAnsi="Arial" w:cs="Arial"/>
        </w:rPr>
      </w:pPr>
      <w:r>
        <w:rPr>
          <w:rFonts w:ascii="Arial" w:hAnsi="Arial" w:cs="Arial"/>
        </w:rPr>
        <w:t xml:space="preserve">When calculating the cost of a product using absorption pricing, </w:t>
      </w:r>
      <w:proofErr w:type="gramStart"/>
      <w:r>
        <w:rPr>
          <w:rFonts w:ascii="Arial" w:hAnsi="Arial" w:cs="Arial"/>
        </w:rPr>
        <w:t>all of</w:t>
      </w:r>
      <w:proofErr w:type="gramEnd"/>
      <w:r>
        <w:rPr>
          <w:rFonts w:ascii="Arial" w:hAnsi="Arial" w:cs="Arial"/>
        </w:rPr>
        <w:t xml:space="preserve"> the direct costs involved with production are factored invariable costing can exclude certain direct fixed costs. The process of allocating fixed overhead expenses to </w:t>
      </w:r>
      <w:r w:rsidR="00716339">
        <w:rPr>
          <w:rFonts w:ascii="Arial" w:hAnsi="Arial" w:cs="Arial"/>
        </w:rPr>
        <w:t>all</w:t>
      </w:r>
      <w:r>
        <w:rPr>
          <w:rFonts w:ascii="Arial" w:hAnsi="Arial" w:cs="Arial"/>
        </w:rPr>
        <w:t xml:space="preserve"> the units produced during an accounting period is called "absorption costing (Drury, 2015). "Cost-of-goods-sold (COGS) variable expenses are factored into variable costing, but direct overhead costs remain absent from the calculation. Since variable costing does not consider fixed overhead expenses, it is able to present a more accurate view of the cost per unit as well as the value of the inventory. If a corporation wants to evaluate the prospective profitability of its various product lines, variable costing is preferable to absorption costing since it considers more factors. When just the variable expenses that are directly related to manufacturing are considered, it is much simpler to distinguish the changes in profits that result from producing one item as opposed to another (Edmonds and Old’s, 2013).</w:t>
      </w:r>
    </w:p>
    <w:p w14:paraId="12DF3FA0" w14:textId="77777777" w:rsidR="00761CC8" w:rsidRDefault="00761CC8" w:rsidP="00761CC8">
      <w:pPr>
        <w:spacing w:line="360" w:lineRule="auto"/>
        <w:jc w:val="both"/>
        <w:rPr>
          <w:rFonts w:ascii="Arial" w:hAnsi="Arial" w:cs="Arial"/>
        </w:rPr>
      </w:pPr>
    </w:p>
    <w:p w14:paraId="1998A343" w14:textId="77777777" w:rsidR="00761CC8" w:rsidRDefault="00761CC8" w:rsidP="00761CC8">
      <w:pPr>
        <w:spacing w:line="360" w:lineRule="auto"/>
        <w:jc w:val="both"/>
        <w:rPr>
          <w:rFonts w:ascii="Arial" w:hAnsi="Arial" w:cs="Arial"/>
        </w:rPr>
      </w:pPr>
    </w:p>
    <w:p w14:paraId="0FBBF56B" w14:textId="77777777" w:rsidR="00761CC8" w:rsidRDefault="00761CC8" w:rsidP="00761CC8">
      <w:pPr>
        <w:spacing w:line="360" w:lineRule="auto"/>
        <w:jc w:val="both"/>
        <w:rPr>
          <w:rFonts w:ascii="Arial" w:hAnsi="Arial" w:cs="Arial"/>
        </w:rPr>
      </w:pPr>
    </w:p>
    <w:p w14:paraId="38C2C690" w14:textId="77777777" w:rsidR="00761CC8" w:rsidRDefault="00761CC8" w:rsidP="00761CC8">
      <w:pPr>
        <w:spacing w:line="360" w:lineRule="auto"/>
        <w:jc w:val="both"/>
        <w:rPr>
          <w:rFonts w:ascii="Arial" w:hAnsi="Arial" w:cs="Arial"/>
          <w:lang w:val="en-GB"/>
        </w:rPr>
      </w:pPr>
      <w:r>
        <w:rPr>
          <w:rFonts w:ascii="Arial" w:hAnsi="Arial" w:cs="Arial"/>
          <w:lang w:val="en-GB"/>
        </w:rPr>
        <w:br w:type="page"/>
      </w:r>
    </w:p>
    <w:p w14:paraId="23486119" w14:textId="77777777" w:rsidR="00761CC8" w:rsidRDefault="00761CC8" w:rsidP="00761CC8">
      <w:pPr>
        <w:pStyle w:val="Heading1"/>
        <w:spacing w:line="360" w:lineRule="auto"/>
        <w:jc w:val="center"/>
        <w:rPr>
          <w:rFonts w:ascii="Arial" w:hAnsi="Arial" w:cs="Arial"/>
          <w:b/>
          <w:bCs/>
          <w:color w:val="auto"/>
          <w:sz w:val="22"/>
          <w:szCs w:val="22"/>
          <w:u w:val="thick"/>
        </w:rPr>
      </w:pPr>
      <w:bookmarkStart w:id="18" w:name="_Toc107582343"/>
      <w:bookmarkStart w:id="19" w:name="_Toc107582448"/>
      <w:bookmarkStart w:id="20" w:name="_Toc107582489"/>
      <w:r>
        <w:rPr>
          <w:rFonts w:ascii="Arial" w:hAnsi="Arial" w:cs="Arial"/>
          <w:b/>
          <w:bCs/>
          <w:color w:val="auto"/>
          <w:sz w:val="22"/>
          <w:szCs w:val="22"/>
          <w:u w:val="thick"/>
        </w:rPr>
        <w:lastRenderedPageBreak/>
        <w:t>Task:2</w:t>
      </w:r>
      <w:bookmarkEnd w:id="18"/>
      <w:bookmarkEnd w:id="19"/>
      <w:bookmarkEnd w:id="20"/>
    </w:p>
    <w:p w14:paraId="2AC1CD4E" w14:textId="77777777" w:rsidR="00761CC8" w:rsidRDefault="00761CC8" w:rsidP="00761CC8">
      <w:pPr>
        <w:spacing w:line="360" w:lineRule="auto"/>
        <w:jc w:val="both"/>
        <w:rPr>
          <w:rFonts w:ascii="Arial" w:hAnsi="Arial" w:cs="Arial"/>
        </w:rPr>
      </w:pPr>
      <w:r>
        <w:rPr>
          <w:rFonts w:ascii="Arial" w:hAnsi="Arial" w:cs="Arial"/>
          <w:b/>
          <w:bCs/>
        </w:rPr>
        <w:t>Variable Cost:</w:t>
      </w:r>
      <w:r>
        <w:rPr>
          <w:rFonts w:ascii="Arial" w:hAnsi="Arial" w:cs="Arial"/>
        </w:rPr>
        <w:t xml:space="preserve"> Variable cost is a kind of cost that varies with the level of output. Variable cost is total variable but fixed per unit (</w:t>
      </w:r>
      <w:r>
        <w:rPr>
          <w:rFonts w:ascii="Arial" w:hAnsi="Arial" w:cs="Arial"/>
          <w:shd w:val="clear" w:color="auto" w:fill="FFFFFF"/>
        </w:rPr>
        <w:t>Kaplan and Atkinson, 2014)</w:t>
      </w:r>
      <w:r>
        <w:rPr>
          <w:rFonts w:ascii="Arial" w:hAnsi="Arial" w:cs="Arial"/>
        </w:rPr>
        <w:t>. This cost includes direct material cost and direct labor cost which move parallelly with production level.</w:t>
      </w:r>
    </w:p>
    <w:p w14:paraId="67EDFF47" w14:textId="77777777" w:rsidR="00761CC8" w:rsidRDefault="00761CC8" w:rsidP="00761CC8">
      <w:pPr>
        <w:spacing w:line="360" w:lineRule="auto"/>
        <w:jc w:val="both"/>
        <w:rPr>
          <w:rFonts w:ascii="Arial" w:hAnsi="Arial" w:cs="Arial"/>
        </w:rPr>
      </w:pPr>
      <w:r>
        <w:rPr>
          <w:rFonts w:ascii="Arial" w:hAnsi="Arial" w:cs="Arial"/>
          <w:b/>
          <w:bCs/>
        </w:rPr>
        <w:t>Fixed Cost:</w:t>
      </w:r>
      <w:r>
        <w:rPr>
          <w:rFonts w:ascii="Arial" w:hAnsi="Arial" w:cs="Arial"/>
        </w:rPr>
        <w:t xml:space="preserve"> Fixed cost is that kind of cost that is fixed within a relevant range. Fixed cost is total fixed but variable per unit (</w:t>
      </w:r>
      <w:r>
        <w:rPr>
          <w:rFonts w:ascii="Arial" w:hAnsi="Arial" w:cs="Arial"/>
          <w:shd w:val="clear" w:color="auto" w:fill="FFFFFF"/>
        </w:rPr>
        <w:t>Kaplan and Atkinson, 2014)</w:t>
      </w:r>
      <w:r>
        <w:rPr>
          <w:rFonts w:ascii="Arial" w:hAnsi="Arial" w:cs="Arial"/>
        </w:rPr>
        <w:t>. Fixed cost includes purchase of fixed assets, machineries etc.</w:t>
      </w:r>
    </w:p>
    <w:p w14:paraId="30672DBF" w14:textId="77777777" w:rsidR="00761CC8" w:rsidRDefault="00761CC8" w:rsidP="00761CC8">
      <w:pPr>
        <w:spacing w:line="360" w:lineRule="auto"/>
        <w:jc w:val="both"/>
        <w:rPr>
          <w:rFonts w:ascii="Arial" w:hAnsi="Arial" w:cs="Arial"/>
        </w:rPr>
      </w:pPr>
      <w:r>
        <w:rPr>
          <w:rFonts w:ascii="Arial" w:hAnsi="Arial" w:cs="Arial"/>
          <w:b/>
          <w:bCs/>
        </w:rPr>
        <w:t>Contribution Margin:</w:t>
      </w:r>
      <w:r>
        <w:rPr>
          <w:rFonts w:ascii="Arial" w:hAnsi="Arial" w:cs="Arial"/>
        </w:rPr>
        <w:t xml:space="preserve"> Contribution margin is the amount of firm’s profit that is left over for the fixed expenses (</w:t>
      </w:r>
      <w:r>
        <w:rPr>
          <w:rFonts w:ascii="Arial" w:eastAsia="Times New Roman" w:hAnsi="Arial" w:cs="Arial"/>
        </w:rPr>
        <w:t>Shim and Siegel, 2013)</w:t>
      </w:r>
      <w:r>
        <w:rPr>
          <w:rFonts w:ascii="Arial" w:hAnsi="Arial" w:cs="Arial"/>
        </w:rPr>
        <w:t>. Sales minus variable cost is equal to contribution margin.</w:t>
      </w:r>
    </w:p>
    <w:p w14:paraId="0152C1E5" w14:textId="77777777" w:rsidR="00761CC8" w:rsidRDefault="00761CC8" w:rsidP="00761CC8">
      <w:pPr>
        <w:spacing w:line="360" w:lineRule="auto"/>
        <w:jc w:val="both"/>
        <w:rPr>
          <w:rFonts w:ascii="Arial" w:hAnsi="Arial" w:cs="Arial"/>
        </w:rPr>
      </w:pPr>
      <w:r>
        <w:rPr>
          <w:rFonts w:ascii="Arial" w:hAnsi="Arial" w:cs="Arial"/>
          <w:b/>
          <w:bCs/>
        </w:rPr>
        <w:t>Break-Even-Point:</w:t>
      </w:r>
      <w:r>
        <w:rPr>
          <w:rFonts w:ascii="Arial" w:hAnsi="Arial" w:cs="Arial"/>
        </w:rPr>
        <w:t xml:space="preserve"> Break-even point is the level of units sold where there is neither profit </w:t>
      </w:r>
      <w:proofErr w:type="gramStart"/>
      <w:r>
        <w:rPr>
          <w:rFonts w:ascii="Arial" w:hAnsi="Arial" w:cs="Arial"/>
        </w:rPr>
        <w:t>or</w:t>
      </w:r>
      <w:proofErr w:type="gramEnd"/>
      <w:r>
        <w:rPr>
          <w:rFonts w:ascii="Arial" w:hAnsi="Arial" w:cs="Arial"/>
        </w:rPr>
        <w:t xml:space="preserve"> loss (</w:t>
      </w:r>
      <w:r>
        <w:rPr>
          <w:rFonts w:ascii="Arial" w:hAnsi="Arial" w:cs="Arial"/>
          <w:shd w:val="clear" w:color="auto" w:fill="FFFFFF"/>
        </w:rPr>
        <w:t>Miyamoto, 2014)</w:t>
      </w:r>
      <w:r>
        <w:rPr>
          <w:rFonts w:ascii="Arial" w:hAnsi="Arial" w:cs="Arial"/>
        </w:rPr>
        <w:t xml:space="preserve">. It can be found by dividing fixed cost with per unit contribution margin. </w:t>
      </w:r>
    </w:p>
    <w:p w14:paraId="5EE528EF" w14:textId="77777777" w:rsidR="00761CC8" w:rsidRDefault="00761CC8" w:rsidP="00761CC8">
      <w:pPr>
        <w:pStyle w:val="Heading2"/>
        <w:spacing w:line="360" w:lineRule="auto"/>
        <w:rPr>
          <w:rFonts w:ascii="Arial" w:hAnsi="Arial" w:cs="Arial"/>
          <w:b/>
          <w:bCs/>
          <w:color w:val="auto"/>
          <w:sz w:val="22"/>
          <w:szCs w:val="22"/>
        </w:rPr>
      </w:pPr>
      <w:bookmarkStart w:id="21" w:name="_Toc107582344"/>
      <w:bookmarkStart w:id="22" w:name="_Toc107582449"/>
      <w:bookmarkStart w:id="23" w:name="_Toc107582490"/>
      <w:r>
        <w:rPr>
          <w:rFonts w:ascii="Arial" w:hAnsi="Arial" w:cs="Arial"/>
          <w:b/>
          <w:bCs/>
          <w:color w:val="auto"/>
          <w:sz w:val="22"/>
          <w:szCs w:val="22"/>
        </w:rPr>
        <w:t xml:space="preserve">Calculating BEP of </w:t>
      </w:r>
      <w:proofErr w:type="spellStart"/>
      <w:r>
        <w:rPr>
          <w:rFonts w:ascii="Arial" w:hAnsi="Arial" w:cs="Arial"/>
          <w:b/>
          <w:bCs/>
          <w:color w:val="auto"/>
          <w:sz w:val="22"/>
          <w:szCs w:val="22"/>
        </w:rPr>
        <w:t>Bux</w:t>
      </w:r>
      <w:proofErr w:type="spellEnd"/>
      <w:r>
        <w:rPr>
          <w:rFonts w:ascii="Arial" w:hAnsi="Arial" w:cs="Arial"/>
          <w:b/>
          <w:bCs/>
          <w:color w:val="auto"/>
          <w:sz w:val="22"/>
          <w:szCs w:val="22"/>
        </w:rPr>
        <w:t xml:space="preserve"> Deli’s Plate Sold</w:t>
      </w:r>
      <w:bookmarkEnd w:id="21"/>
      <w:bookmarkEnd w:id="22"/>
      <w:bookmarkEnd w:id="23"/>
    </w:p>
    <w:p w14:paraId="18604241" w14:textId="77777777" w:rsidR="00761CC8" w:rsidRDefault="00761CC8" w:rsidP="00761CC8">
      <w:pPr>
        <w:spacing w:line="360" w:lineRule="auto"/>
        <w:rPr>
          <w:rFonts w:ascii="Arial" w:hAnsi="Arial" w:cs="Arial"/>
        </w:rPr>
      </w:pPr>
      <w:r>
        <w:rPr>
          <w:rFonts w:ascii="Arial" w:hAnsi="Arial" w:cs="Arial"/>
        </w:rPr>
        <w:t xml:space="preserve">Break Even Point = Fixed Cost/ Unit Contribution Margin. Here it’s given, </w:t>
      </w:r>
    </w:p>
    <w:p w14:paraId="3FDA65FF" w14:textId="77777777" w:rsidR="00761CC8" w:rsidRDefault="00761CC8" w:rsidP="00761CC8">
      <w:pPr>
        <w:spacing w:line="360" w:lineRule="auto"/>
        <w:rPr>
          <w:rFonts w:ascii="Arial" w:hAnsi="Arial" w:cs="Arial"/>
        </w:rPr>
      </w:pPr>
      <w:r>
        <w:rPr>
          <w:rFonts w:ascii="Arial" w:hAnsi="Arial" w:cs="Arial"/>
        </w:rPr>
        <w:t>Fixed Cost = £1,500</w:t>
      </w:r>
    </w:p>
    <w:p w14:paraId="3887ABD2" w14:textId="77777777" w:rsidR="00761CC8" w:rsidRDefault="00761CC8" w:rsidP="00761CC8">
      <w:pPr>
        <w:spacing w:line="360" w:lineRule="auto"/>
        <w:rPr>
          <w:rFonts w:ascii="Arial" w:hAnsi="Arial" w:cs="Arial"/>
        </w:rPr>
      </w:pPr>
      <w:r>
        <w:rPr>
          <w:rFonts w:ascii="Arial" w:hAnsi="Arial" w:cs="Arial"/>
        </w:rPr>
        <w:t>Variable costs per unit plate = £20</w:t>
      </w:r>
    </w:p>
    <w:p w14:paraId="47D77C5E" w14:textId="77777777" w:rsidR="00761CC8" w:rsidRDefault="00761CC8" w:rsidP="00761CC8">
      <w:pPr>
        <w:spacing w:line="360" w:lineRule="auto"/>
        <w:rPr>
          <w:rFonts w:ascii="Arial" w:hAnsi="Arial" w:cs="Arial"/>
        </w:rPr>
      </w:pPr>
      <w:r>
        <w:rPr>
          <w:rFonts w:ascii="Arial" w:hAnsi="Arial" w:cs="Arial"/>
        </w:rPr>
        <w:t>Selling Price per plate = £35</w:t>
      </w:r>
    </w:p>
    <w:p w14:paraId="30CAFD43" w14:textId="77777777" w:rsidR="00761CC8" w:rsidRDefault="00761CC8" w:rsidP="00761CC8">
      <w:pPr>
        <w:spacing w:line="360" w:lineRule="auto"/>
        <w:rPr>
          <w:rFonts w:ascii="Arial" w:hAnsi="Arial" w:cs="Arial"/>
        </w:rPr>
      </w:pPr>
      <w:r>
        <w:rPr>
          <w:rFonts w:ascii="Arial" w:hAnsi="Arial" w:cs="Arial"/>
        </w:rPr>
        <w:t xml:space="preserve">Per Unit Contribution Margin = Selling Price per unit – Per unit variable costs </w:t>
      </w:r>
    </w:p>
    <w:p w14:paraId="7662C861" w14:textId="77777777" w:rsidR="00761CC8" w:rsidRDefault="00761CC8" w:rsidP="00761CC8">
      <w:pPr>
        <w:spacing w:line="360" w:lineRule="auto"/>
        <w:rPr>
          <w:rFonts w:ascii="Arial" w:hAnsi="Arial" w:cs="Arial"/>
        </w:rPr>
      </w:pPr>
      <w:r>
        <w:rPr>
          <w:rFonts w:ascii="Arial" w:hAnsi="Arial" w:cs="Arial"/>
        </w:rPr>
        <w:t xml:space="preserve">                                                 = £35 - £20</w:t>
      </w:r>
    </w:p>
    <w:p w14:paraId="46AE37A9" w14:textId="77777777" w:rsidR="00761CC8" w:rsidRDefault="00761CC8" w:rsidP="00761CC8">
      <w:pPr>
        <w:spacing w:line="360" w:lineRule="auto"/>
        <w:rPr>
          <w:rFonts w:ascii="Arial" w:hAnsi="Arial" w:cs="Arial"/>
        </w:rPr>
      </w:pPr>
      <w:r>
        <w:rPr>
          <w:rFonts w:ascii="Arial" w:hAnsi="Arial" w:cs="Arial"/>
        </w:rPr>
        <w:t xml:space="preserve">                                                 = £ 15</w:t>
      </w:r>
    </w:p>
    <w:p w14:paraId="249A2324" w14:textId="77777777" w:rsidR="00761CC8" w:rsidRDefault="00761CC8" w:rsidP="00761CC8">
      <w:pPr>
        <w:spacing w:line="360" w:lineRule="auto"/>
        <w:rPr>
          <w:rFonts w:ascii="Arial" w:hAnsi="Arial" w:cs="Arial"/>
        </w:rPr>
      </w:pPr>
      <w:r>
        <w:rPr>
          <w:rFonts w:ascii="Arial" w:hAnsi="Arial" w:cs="Arial"/>
        </w:rPr>
        <w:t>Break Even Point (Units) = Fixed Cost/Per unit contribution margin</w:t>
      </w:r>
    </w:p>
    <w:p w14:paraId="4842E043" w14:textId="77777777" w:rsidR="00761CC8" w:rsidRDefault="00761CC8" w:rsidP="00761CC8">
      <w:pPr>
        <w:spacing w:line="360" w:lineRule="auto"/>
        <w:rPr>
          <w:rFonts w:ascii="Arial" w:hAnsi="Arial" w:cs="Arial"/>
        </w:rPr>
      </w:pPr>
      <w:r>
        <w:rPr>
          <w:rFonts w:ascii="Arial" w:hAnsi="Arial" w:cs="Arial"/>
        </w:rPr>
        <w:t xml:space="preserve">                                         = £1500/£15</w:t>
      </w:r>
    </w:p>
    <w:p w14:paraId="48A24F6B" w14:textId="77777777" w:rsidR="00761CC8" w:rsidRDefault="00761CC8" w:rsidP="00761CC8">
      <w:pPr>
        <w:spacing w:line="360" w:lineRule="auto"/>
        <w:rPr>
          <w:rFonts w:ascii="Arial" w:hAnsi="Arial" w:cs="Arial"/>
        </w:rPr>
      </w:pPr>
      <w:r>
        <w:rPr>
          <w:rFonts w:ascii="Arial" w:hAnsi="Arial" w:cs="Arial"/>
        </w:rPr>
        <w:t xml:space="preserve">                                         = 100 unit of plates</w:t>
      </w:r>
    </w:p>
    <w:p w14:paraId="15CD96FD" w14:textId="77777777" w:rsidR="00761CC8" w:rsidRDefault="00761CC8" w:rsidP="00761CC8">
      <w:pPr>
        <w:spacing w:line="360" w:lineRule="auto"/>
        <w:rPr>
          <w:rFonts w:ascii="Arial" w:hAnsi="Arial" w:cs="Arial"/>
        </w:rPr>
      </w:pPr>
      <w:r>
        <w:rPr>
          <w:rFonts w:ascii="Arial" w:hAnsi="Arial" w:cs="Arial"/>
        </w:rPr>
        <w:t xml:space="preserve">So, with the given information, 100 units of plates to be produced to reach the </w:t>
      </w:r>
      <w:proofErr w:type="spellStart"/>
      <w:r>
        <w:rPr>
          <w:rFonts w:ascii="Arial" w:hAnsi="Arial" w:cs="Arial"/>
        </w:rPr>
        <w:t>break even</w:t>
      </w:r>
      <w:proofErr w:type="spellEnd"/>
      <w:r>
        <w:rPr>
          <w:rFonts w:ascii="Arial" w:hAnsi="Arial" w:cs="Arial"/>
        </w:rPr>
        <w:t xml:space="preserve"> where there will be no profit and no loss of </w:t>
      </w:r>
      <w:proofErr w:type="spellStart"/>
      <w:r>
        <w:rPr>
          <w:rFonts w:ascii="Arial" w:hAnsi="Arial" w:cs="Arial"/>
        </w:rPr>
        <w:t>Bux</w:t>
      </w:r>
      <w:proofErr w:type="spellEnd"/>
      <w:r>
        <w:rPr>
          <w:rFonts w:ascii="Arial" w:hAnsi="Arial" w:cs="Arial"/>
        </w:rPr>
        <w:t xml:space="preserve"> Plate.</w:t>
      </w:r>
    </w:p>
    <w:p w14:paraId="0B261698" w14:textId="77777777" w:rsidR="00761CC8" w:rsidRDefault="00761CC8" w:rsidP="00761CC8">
      <w:pPr>
        <w:spacing w:line="360" w:lineRule="auto"/>
        <w:rPr>
          <w:rFonts w:ascii="Arial" w:hAnsi="Arial" w:cs="Arial"/>
        </w:rPr>
      </w:pPr>
      <w:r>
        <w:rPr>
          <w:rFonts w:ascii="Arial" w:hAnsi="Arial" w:cs="Arial"/>
        </w:rPr>
        <w:br w:type="page"/>
      </w:r>
    </w:p>
    <w:p w14:paraId="4F3D7EEA" w14:textId="77777777" w:rsidR="00761CC8" w:rsidRDefault="00761CC8" w:rsidP="00761CC8">
      <w:pPr>
        <w:pStyle w:val="Heading2"/>
        <w:spacing w:line="360" w:lineRule="auto"/>
        <w:rPr>
          <w:rFonts w:ascii="Arial" w:hAnsi="Arial" w:cs="Arial"/>
          <w:b/>
          <w:bCs/>
          <w:color w:val="auto"/>
          <w:sz w:val="22"/>
          <w:szCs w:val="22"/>
        </w:rPr>
      </w:pPr>
      <w:bookmarkStart w:id="24" w:name="_Toc107582345"/>
      <w:bookmarkStart w:id="25" w:name="_Toc107582450"/>
      <w:bookmarkStart w:id="26" w:name="_Toc107582491"/>
      <w:r>
        <w:rPr>
          <w:rFonts w:ascii="Arial" w:hAnsi="Arial" w:cs="Arial"/>
          <w:b/>
          <w:bCs/>
          <w:color w:val="auto"/>
          <w:sz w:val="22"/>
          <w:szCs w:val="22"/>
        </w:rPr>
        <w:lastRenderedPageBreak/>
        <w:t>Break-even after Additional Space Fixed Cost</w:t>
      </w:r>
      <w:bookmarkEnd w:id="24"/>
      <w:bookmarkEnd w:id="25"/>
      <w:bookmarkEnd w:id="26"/>
    </w:p>
    <w:p w14:paraId="053AAB9B" w14:textId="77777777" w:rsidR="00761CC8" w:rsidRDefault="00761CC8" w:rsidP="00761CC8">
      <w:pPr>
        <w:spacing w:line="360" w:lineRule="auto"/>
        <w:jc w:val="both"/>
        <w:rPr>
          <w:rFonts w:ascii="Arial" w:hAnsi="Arial" w:cs="Arial"/>
        </w:rPr>
      </w:pPr>
      <w:r>
        <w:rPr>
          <w:rFonts w:ascii="Arial" w:hAnsi="Arial" w:cs="Arial"/>
        </w:rPr>
        <w:t>Now, additional space fixed cost = £ 300</w:t>
      </w:r>
    </w:p>
    <w:p w14:paraId="36D60F8F" w14:textId="77777777" w:rsidR="00761CC8" w:rsidRDefault="00761CC8" w:rsidP="00761CC8">
      <w:pPr>
        <w:spacing w:line="360" w:lineRule="auto"/>
        <w:jc w:val="both"/>
        <w:rPr>
          <w:rFonts w:ascii="Arial" w:hAnsi="Arial" w:cs="Arial"/>
        </w:rPr>
      </w:pPr>
      <w:r>
        <w:rPr>
          <w:rFonts w:ascii="Arial" w:hAnsi="Arial" w:cs="Arial"/>
        </w:rPr>
        <w:t xml:space="preserve">Total Fixed Cost = £ 1500 + </w:t>
      </w:r>
      <w:bookmarkStart w:id="27" w:name="_Hlk106465430"/>
      <w:r>
        <w:rPr>
          <w:rFonts w:ascii="Arial" w:hAnsi="Arial" w:cs="Arial"/>
        </w:rPr>
        <w:t>£</w:t>
      </w:r>
      <w:bookmarkEnd w:id="27"/>
      <w:r>
        <w:rPr>
          <w:rFonts w:ascii="Arial" w:hAnsi="Arial" w:cs="Arial"/>
        </w:rPr>
        <w:t>300 = £1800</w:t>
      </w:r>
    </w:p>
    <w:p w14:paraId="4D1FA7E8" w14:textId="77777777" w:rsidR="00761CC8" w:rsidRDefault="00761CC8" w:rsidP="00761CC8">
      <w:pPr>
        <w:spacing w:line="360" w:lineRule="auto"/>
        <w:jc w:val="both"/>
        <w:rPr>
          <w:rFonts w:ascii="Arial" w:hAnsi="Arial" w:cs="Arial"/>
        </w:rPr>
      </w:pPr>
      <w:r>
        <w:rPr>
          <w:rFonts w:ascii="Arial" w:hAnsi="Arial" w:cs="Arial"/>
        </w:rPr>
        <w:t>New Break-even Point (Unit) = New Fixed Cost/Unit Contribution Margin</w:t>
      </w:r>
    </w:p>
    <w:p w14:paraId="527949A5" w14:textId="77777777" w:rsidR="00761CC8" w:rsidRDefault="00761CC8" w:rsidP="00761CC8">
      <w:pPr>
        <w:spacing w:line="360" w:lineRule="auto"/>
        <w:jc w:val="both"/>
        <w:rPr>
          <w:rFonts w:ascii="Arial" w:hAnsi="Arial" w:cs="Arial"/>
        </w:rPr>
      </w:pPr>
      <w:r>
        <w:rPr>
          <w:rFonts w:ascii="Arial" w:hAnsi="Arial" w:cs="Arial"/>
        </w:rPr>
        <w:t xml:space="preserve">                                                = £1800/£15</w:t>
      </w:r>
    </w:p>
    <w:p w14:paraId="120B1B08" w14:textId="77777777" w:rsidR="00761CC8" w:rsidRDefault="00761CC8" w:rsidP="00761CC8">
      <w:pPr>
        <w:spacing w:line="360" w:lineRule="auto"/>
        <w:jc w:val="both"/>
        <w:rPr>
          <w:rFonts w:ascii="Arial" w:hAnsi="Arial" w:cs="Arial"/>
        </w:rPr>
      </w:pPr>
      <w:r>
        <w:rPr>
          <w:rFonts w:ascii="Arial" w:hAnsi="Arial" w:cs="Arial"/>
        </w:rPr>
        <w:t xml:space="preserve">                                                = 120 units of plates</w:t>
      </w:r>
    </w:p>
    <w:p w14:paraId="4F18BE73" w14:textId="77777777" w:rsidR="00761CC8" w:rsidRDefault="00761CC8" w:rsidP="00761CC8">
      <w:pPr>
        <w:spacing w:line="360" w:lineRule="auto"/>
        <w:jc w:val="both"/>
        <w:rPr>
          <w:rFonts w:ascii="Arial" w:hAnsi="Arial" w:cs="Arial"/>
        </w:rPr>
      </w:pPr>
      <w:r>
        <w:rPr>
          <w:rFonts w:ascii="Arial" w:hAnsi="Arial" w:cs="Arial"/>
        </w:rPr>
        <w:t>Break Even Sales Revenue     = Break-even unit*unit sales price</w:t>
      </w:r>
    </w:p>
    <w:p w14:paraId="034F12A1" w14:textId="77777777" w:rsidR="00761CC8" w:rsidRDefault="00761CC8" w:rsidP="00761CC8">
      <w:pPr>
        <w:spacing w:line="360" w:lineRule="auto"/>
        <w:jc w:val="both"/>
        <w:rPr>
          <w:rFonts w:ascii="Arial" w:hAnsi="Arial" w:cs="Arial"/>
        </w:rPr>
      </w:pPr>
      <w:r>
        <w:rPr>
          <w:rFonts w:ascii="Arial" w:hAnsi="Arial" w:cs="Arial"/>
        </w:rPr>
        <w:t xml:space="preserve">                                                = £120*35</w:t>
      </w:r>
    </w:p>
    <w:p w14:paraId="0B8A5D98" w14:textId="77777777" w:rsidR="00761CC8" w:rsidRDefault="00761CC8" w:rsidP="00761CC8">
      <w:pPr>
        <w:spacing w:line="360" w:lineRule="auto"/>
        <w:jc w:val="both"/>
        <w:rPr>
          <w:rFonts w:ascii="Arial" w:hAnsi="Arial" w:cs="Arial"/>
        </w:rPr>
      </w:pPr>
      <w:r>
        <w:rPr>
          <w:rFonts w:ascii="Arial" w:hAnsi="Arial" w:cs="Arial"/>
        </w:rPr>
        <w:t xml:space="preserve">                                                = £ 4200</w:t>
      </w:r>
    </w:p>
    <w:p w14:paraId="56353F0D" w14:textId="77777777" w:rsidR="00761CC8" w:rsidRDefault="00761CC8" w:rsidP="00761CC8">
      <w:pPr>
        <w:spacing w:line="360" w:lineRule="auto"/>
        <w:jc w:val="both"/>
        <w:rPr>
          <w:rFonts w:ascii="Arial" w:hAnsi="Arial" w:cs="Arial"/>
        </w:rPr>
      </w:pPr>
      <w:r>
        <w:rPr>
          <w:rFonts w:ascii="Arial" w:hAnsi="Arial" w:cs="Arial"/>
        </w:rPr>
        <w:t>With the additional information, the firm should generate revenue of £4200 to reach break-even.</w:t>
      </w:r>
    </w:p>
    <w:p w14:paraId="53C0B459" w14:textId="77777777" w:rsidR="00761CC8" w:rsidRDefault="00761CC8" w:rsidP="00761CC8">
      <w:pPr>
        <w:pStyle w:val="Heading2"/>
        <w:spacing w:line="360" w:lineRule="auto"/>
        <w:rPr>
          <w:rFonts w:ascii="Arial" w:hAnsi="Arial" w:cs="Arial"/>
          <w:b/>
          <w:bCs/>
          <w:color w:val="auto"/>
          <w:sz w:val="22"/>
          <w:szCs w:val="22"/>
        </w:rPr>
      </w:pPr>
      <w:bookmarkStart w:id="28" w:name="_Toc107582346"/>
      <w:bookmarkStart w:id="29" w:name="_Toc107582451"/>
      <w:bookmarkStart w:id="30" w:name="_Toc107582492"/>
      <w:r>
        <w:rPr>
          <w:rFonts w:ascii="Arial" w:hAnsi="Arial" w:cs="Arial"/>
          <w:b/>
          <w:bCs/>
          <w:color w:val="auto"/>
          <w:sz w:val="22"/>
          <w:szCs w:val="22"/>
        </w:rPr>
        <w:t>Calculation of Optimum number of Plate Sold to Make a Profit</w:t>
      </w:r>
      <w:bookmarkEnd w:id="28"/>
      <w:bookmarkEnd w:id="29"/>
      <w:bookmarkEnd w:id="30"/>
    </w:p>
    <w:p w14:paraId="22D394B3" w14:textId="77777777" w:rsidR="00761CC8" w:rsidRDefault="00761CC8" w:rsidP="00761CC8">
      <w:pPr>
        <w:spacing w:line="360" w:lineRule="auto"/>
        <w:jc w:val="both"/>
        <w:rPr>
          <w:rFonts w:ascii="Arial" w:hAnsi="Arial" w:cs="Arial"/>
        </w:rPr>
      </w:pPr>
      <w:r>
        <w:rPr>
          <w:rFonts w:ascii="Arial" w:hAnsi="Arial" w:cs="Arial"/>
        </w:rPr>
        <w:t>Optimal number of production units to make a figure of profit is calculated by dividing Total fixed expenses with contribution margin. To make a profit of £9,600, the firm should increase the production amount that is calculated below:</w:t>
      </w:r>
    </w:p>
    <w:p w14:paraId="29FC4CC1" w14:textId="77777777" w:rsidR="00761CC8" w:rsidRDefault="00761CC8" w:rsidP="00761CC8">
      <w:pPr>
        <w:spacing w:line="360" w:lineRule="auto"/>
        <w:jc w:val="both"/>
        <w:rPr>
          <w:rFonts w:ascii="Arial" w:hAnsi="Arial" w:cs="Arial"/>
        </w:rPr>
      </w:pPr>
      <w:r>
        <w:rPr>
          <w:rFonts w:ascii="Arial" w:hAnsi="Arial" w:cs="Arial"/>
        </w:rPr>
        <w:t>Optimum Sales = (Fixed Cost + Total Profit)/Unit Contribution Margin</w:t>
      </w:r>
    </w:p>
    <w:p w14:paraId="4F1944A8" w14:textId="77777777" w:rsidR="00761CC8" w:rsidRDefault="00761CC8" w:rsidP="00761CC8">
      <w:pPr>
        <w:spacing w:line="360" w:lineRule="auto"/>
        <w:jc w:val="both"/>
        <w:rPr>
          <w:rFonts w:ascii="Arial" w:hAnsi="Arial" w:cs="Arial"/>
        </w:rPr>
      </w:pPr>
      <w:r>
        <w:rPr>
          <w:rFonts w:ascii="Arial" w:hAnsi="Arial" w:cs="Arial"/>
        </w:rPr>
        <w:t xml:space="preserve">                          = (£1500+9600)/15</w:t>
      </w:r>
    </w:p>
    <w:p w14:paraId="176BB1E2" w14:textId="77777777" w:rsidR="00761CC8" w:rsidRDefault="00761CC8" w:rsidP="00761CC8">
      <w:pPr>
        <w:spacing w:line="360" w:lineRule="auto"/>
        <w:jc w:val="both"/>
        <w:rPr>
          <w:rFonts w:ascii="Arial" w:hAnsi="Arial" w:cs="Arial"/>
        </w:rPr>
      </w:pPr>
      <w:r>
        <w:rPr>
          <w:rFonts w:ascii="Arial" w:hAnsi="Arial" w:cs="Arial"/>
        </w:rPr>
        <w:t xml:space="preserve">                          = 11,100/15</w:t>
      </w:r>
    </w:p>
    <w:p w14:paraId="1993DE35" w14:textId="77777777" w:rsidR="00761CC8" w:rsidRDefault="00761CC8" w:rsidP="00761CC8">
      <w:pPr>
        <w:spacing w:line="360" w:lineRule="auto"/>
        <w:jc w:val="both"/>
        <w:rPr>
          <w:rFonts w:ascii="Arial" w:hAnsi="Arial" w:cs="Arial"/>
        </w:rPr>
      </w:pPr>
      <w:r>
        <w:rPr>
          <w:rFonts w:ascii="Arial" w:hAnsi="Arial" w:cs="Arial"/>
        </w:rPr>
        <w:t xml:space="preserve">                          = 740 units of plate.</w:t>
      </w:r>
    </w:p>
    <w:p w14:paraId="58C04615" w14:textId="77777777" w:rsidR="00761CC8" w:rsidRDefault="00761CC8" w:rsidP="00761CC8">
      <w:pPr>
        <w:spacing w:line="360" w:lineRule="auto"/>
        <w:jc w:val="both"/>
        <w:rPr>
          <w:rFonts w:ascii="Arial" w:hAnsi="Arial" w:cs="Arial"/>
        </w:rPr>
      </w:pPr>
      <w:r>
        <w:rPr>
          <w:rFonts w:ascii="Arial" w:hAnsi="Arial" w:cs="Arial"/>
        </w:rPr>
        <w:t>To make a profit of £9600, the firm should sell 750 units of plates.</w:t>
      </w:r>
    </w:p>
    <w:p w14:paraId="634D819F" w14:textId="77777777" w:rsidR="00761CC8" w:rsidRDefault="00761CC8" w:rsidP="00761CC8">
      <w:pPr>
        <w:spacing w:line="360" w:lineRule="auto"/>
        <w:rPr>
          <w:rFonts w:ascii="Arial" w:hAnsi="Arial" w:cs="Arial"/>
        </w:rPr>
      </w:pPr>
      <w:r>
        <w:rPr>
          <w:rFonts w:ascii="Arial" w:hAnsi="Arial" w:cs="Arial"/>
        </w:rPr>
        <w:br w:type="page"/>
      </w:r>
    </w:p>
    <w:p w14:paraId="2F72A37A" w14:textId="77777777" w:rsidR="00761CC8" w:rsidRDefault="00761CC8" w:rsidP="00761CC8">
      <w:pPr>
        <w:pStyle w:val="Heading1"/>
        <w:spacing w:line="360" w:lineRule="auto"/>
        <w:rPr>
          <w:rFonts w:ascii="Arial" w:hAnsi="Arial" w:cs="Arial"/>
          <w:b/>
          <w:bCs/>
          <w:color w:val="auto"/>
          <w:sz w:val="22"/>
          <w:szCs w:val="22"/>
        </w:rPr>
      </w:pPr>
      <w:bookmarkStart w:id="31" w:name="_Toc107582347"/>
      <w:bookmarkStart w:id="32" w:name="_Toc107582452"/>
      <w:bookmarkStart w:id="33" w:name="_Toc107582493"/>
      <w:r>
        <w:rPr>
          <w:rFonts w:ascii="Arial" w:hAnsi="Arial" w:cs="Arial"/>
          <w:b/>
          <w:bCs/>
          <w:color w:val="auto"/>
          <w:sz w:val="22"/>
          <w:szCs w:val="22"/>
        </w:rPr>
        <w:lastRenderedPageBreak/>
        <w:t>Conclusion</w:t>
      </w:r>
      <w:bookmarkEnd w:id="31"/>
      <w:bookmarkEnd w:id="32"/>
      <w:bookmarkEnd w:id="33"/>
    </w:p>
    <w:p w14:paraId="5BF65CAE" w14:textId="419F5D2E" w:rsidR="00761CC8" w:rsidRDefault="00761CC8" w:rsidP="00761CC8">
      <w:pPr>
        <w:spacing w:line="360" w:lineRule="auto"/>
        <w:jc w:val="both"/>
        <w:rPr>
          <w:rFonts w:ascii="Arial" w:hAnsi="Arial" w:cs="Arial"/>
        </w:rPr>
      </w:pPr>
      <w:r>
        <w:rPr>
          <w:rFonts w:ascii="Arial" w:hAnsi="Arial" w:cs="Arial"/>
        </w:rPr>
        <w:t xml:space="preserve">Management Accounting is a type of </w:t>
      </w:r>
      <w:r w:rsidR="00716339">
        <w:rPr>
          <w:rFonts w:ascii="Arial" w:hAnsi="Arial" w:cs="Arial"/>
        </w:rPr>
        <w:t>accounting</w:t>
      </w:r>
      <w:r>
        <w:rPr>
          <w:rFonts w:ascii="Arial" w:hAnsi="Arial" w:cs="Arial"/>
        </w:rPr>
        <w:t xml:space="preserve"> that deals with accounting activities only for the internal uses like budgeting, pricing, decision making, BEP </w:t>
      </w:r>
      <w:r w:rsidR="00716339">
        <w:rPr>
          <w:rFonts w:ascii="Arial" w:hAnsi="Arial" w:cs="Arial"/>
        </w:rPr>
        <w:t>etc.</w:t>
      </w:r>
      <w:r>
        <w:rPr>
          <w:rFonts w:ascii="Arial" w:hAnsi="Arial" w:cs="Arial"/>
        </w:rPr>
        <w:t xml:space="preserve"> (</w:t>
      </w:r>
      <w:r>
        <w:rPr>
          <w:rFonts w:ascii="Arial" w:eastAsia="Times New Roman" w:hAnsi="Arial" w:cs="Arial"/>
        </w:rPr>
        <w:t>Weygandt, Kimmel and Kieso,2012)</w:t>
      </w:r>
      <w:r>
        <w:rPr>
          <w:rFonts w:ascii="Arial" w:hAnsi="Arial" w:cs="Arial"/>
        </w:rPr>
        <w:t xml:space="preserve">. It doesn’t follow GAAP strictly. In accounting, there are two forms of income statements; one is marginal or variable costing, and the other is absorption costing. There are a few differences between the two that have been discussed throughout the report. The second part of the report is break-even analysis that is used to determine </w:t>
      </w:r>
      <w:r w:rsidR="00716339">
        <w:rPr>
          <w:rFonts w:ascii="Arial" w:hAnsi="Arial" w:cs="Arial"/>
        </w:rPr>
        <w:t>whether</w:t>
      </w:r>
      <w:r>
        <w:rPr>
          <w:rFonts w:ascii="Arial" w:hAnsi="Arial" w:cs="Arial"/>
        </w:rPr>
        <w:t xml:space="preserve"> a firm go for further production. It helps to know about margin of safety.</w:t>
      </w:r>
    </w:p>
    <w:p w14:paraId="154E657E" w14:textId="77777777" w:rsidR="00761CC8" w:rsidRDefault="00761CC8" w:rsidP="00761CC8">
      <w:pPr>
        <w:spacing w:line="360" w:lineRule="auto"/>
        <w:rPr>
          <w:rFonts w:ascii="Arial" w:hAnsi="Arial" w:cs="Arial"/>
        </w:rPr>
      </w:pPr>
      <w:r>
        <w:rPr>
          <w:rFonts w:ascii="Arial" w:hAnsi="Arial" w:cs="Arial"/>
        </w:rPr>
        <w:br w:type="page"/>
      </w:r>
    </w:p>
    <w:p w14:paraId="7B9843EC" w14:textId="77777777" w:rsidR="00761CC8" w:rsidRDefault="00761CC8" w:rsidP="00761CC8">
      <w:pPr>
        <w:pStyle w:val="Heading1"/>
        <w:spacing w:line="360" w:lineRule="auto"/>
        <w:rPr>
          <w:rFonts w:ascii="Arial" w:hAnsi="Arial" w:cs="Arial"/>
          <w:b/>
          <w:bCs/>
          <w:color w:val="auto"/>
          <w:sz w:val="22"/>
          <w:szCs w:val="22"/>
        </w:rPr>
      </w:pPr>
      <w:bookmarkStart w:id="34" w:name="_Toc107582348"/>
      <w:bookmarkStart w:id="35" w:name="_Toc107582453"/>
      <w:bookmarkStart w:id="36" w:name="_Toc107582494"/>
      <w:r>
        <w:rPr>
          <w:rFonts w:ascii="Arial" w:hAnsi="Arial" w:cs="Arial"/>
          <w:b/>
          <w:bCs/>
          <w:color w:val="auto"/>
          <w:sz w:val="22"/>
          <w:szCs w:val="22"/>
        </w:rPr>
        <w:lastRenderedPageBreak/>
        <w:t>References</w:t>
      </w:r>
      <w:bookmarkEnd w:id="34"/>
      <w:bookmarkEnd w:id="35"/>
      <w:bookmarkEnd w:id="36"/>
    </w:p>
    <w:p w14:paraId="1B72BAEF" w14:textId="77777777" w:rsidR="00761CC8" w:rsidRDefault="00761CC8" w:rsidP="00761CC8">
      <w:pPr>
        <w:spacing w:line="360" w:lineRule="auto"/>
        <w:rPr>
          <w:rFonts w:ascii="Arial" w:hAnsi="Arial" w:cs="Arial"/>
        </w:rPr>
      </w:pPr>
      <w:r>
        <w:rPr>
          <w:rFonts w:ascii="Arial" w:hAnsi="Arial" w:cs="Arial"/>
        </w:rPr>
        <w:t>Bailey, S. (2011), Academic Writing – A Handbook for International Students, London, Routledge</w:t>
      </w:r>
    </w:p>
    <w:p w14:paraId="1B7A2297" w14:textId="77777777" w:rsidR="00761CC8" w:rsidRDefault="00761CC8" w:rsidP="00761CC8">
      <w:pPr>
        <w:spacing w:line="360" w:lineRule="auto"/>
        <w:rPr>
          <w:rFonts w:ascii="Arial" w:hAnsi="Arial" w:cs="Arial"/>
        </w:rPr>
      </w:pPr>
      <w:r>
        <w:rPr>
          <w:rFonts w:ascii="Arial" w:hAnsi="Arial" w:cs="Arial"/>
        </w:rPr>
        <w:t xml:space="preserve">Drury, C. (2015), Management and Cost Accounting. 9th Ed., London: </w:t>
      </w:r>
      <w:proofErr w:type="spellStart"/>
      <w:r>
        <w:rPr>
          <w:rFonts w:ascii="Arial" w:hAnsi="Arial" w:cs="Arial"/>
        </w:rPr>
        <w:t>CengGe</w:t>
      </w:r>
      <w:proofErr w:type="spellEnd"/>
      <w:r>
        <w:rPr>
          <w:rFonts w:ascii="Arial" w:hAnsi="Arial" w:cs="Arial"/>
        </w:rPr>
        <w:t xml:space="preserve"> Learning.</w:t>
      </w:r>
    </w:p>
    <w:p w14:paraId="378DC470" w14:textId="77777777" w:rsidR="00761CC8" w:rsidRDefault="00761CC8" w:rsidP="00761CC8">
      <w:pPr>
        <w:spacing w:line="360" w:lineRule="auto"/>
        <w:rPr>
          <w:rFonts w:ascii="Arial" w:hAnsi="Arial" w:cs="Arial"/>
        </w:rPr>
      </w:pPr>
      <w:r>
        <w:rPr>
          <w:rFonts w:ascii="Arial" w:hAnsi="Arial" w:cs="Arial"/>
        </w:rPr>
        <w:t>Edmonds, T. and Old’s, P. (2013), Fundaments of Managerial Accounting Concepts. 7th Ed., Maidenhead: McGraw-Hill</w:t>
      </w:r>
    </w:p>
    <w:p w14:paraId="54B5BE66" w14:textId="77777777" w:rsidR="00761CC8" w:rsidRDefault="00761CC8" w:rsidP="00761CC8">
      <w:pPr>
        <w:spacing w:line="360" w:lineRule="auto"/>
        <w:rPr>
          <w:rFonts w:ascii="Arial" w:hAnsi="Arial" w:cs="Arial"/>
          <w:shd w:val="clear" w:color="auto" w:fill="FFFFFF"/>
        </w:rPr>
      </w:pPr>
      <w:r>
        <w:rPr>
          <w:rFonts w:ascii="Arial" w:hAnsi="Arial" w:cs="Arial"/>
          <w:shd w:val="clear" w:color="auto" w:fill="FFFFFF"/>
        </w:rPr>
        <w:t>Kaplan, R. and Atkinson, A., (2014). </w:t>
      </w:r>
      <w:r>
        <w:rPr>
          <w:rFonts w:ascii="Arial" w:hAnsi="Arial" w:cs="Arial"/>
          <w:i/>
          <w:iCs/>
          <w:shd w:val="clear" w:color="auto" w:fill="FFFFFF"/>
        </w:rPr>
        <w:t>Advanced Management Accounting</w:t>
      </w:r>
      <w:r>
        <w:rPr>
          <w:rFonts w:ascii="Arial" w:hAnsi="Arial" w:cs="Arial"/>
          <w:shd w:val="clear" w:color="auto" w:fill="FFFFFF"/>
        </w:rPr>
        <w:t>. London: Prentice Hall International.</w:t>
      </w:r>
    </w:p>
    <w:p w14:paraId="5B56345B" w14:textId="77777777" w:rsidR="00761CC8" w:rsidRDefault="00761CC8" w:rsidP="00761CC8">
      <w:pPr>
        <w:spacing w:after="180" w:line="360" w:lineRule="auto"/>
        <w:ind w:left="450" w:hanging="450"/>
        <w:rPr>
          <w:rFonts w:ascii="Arial" w:eastAsia="Times New Roman" w:hAnsi="Arial" w:cs="Arial"/>
        </w:rPr>
      </w:pPr>
      <w:proofErr w:type="spellStart"/>
      <w:r>
        <w:rPr>
          <w:rFonts w:ascii="Arial" w:eastAsia="Times New Roman" w:hAnsi="Arial" w:cs="Arial"/>
        </w:rPr>
        <w:t>Riahi-Belkaoui</w:t>
      </w:r>
      <w:proofErr w:type="spellEnd"/>
      <w:r>
        <w:rPr>
          <w:rFonts w:ascii="Arial" w:eastAsia="Times New Roman" w:hAnsi="Arial" w:cs="Arial"/>
        </w:rPr>
        <w:t>, A., (2012). </w:t>
      </w:r>
      <w:r>
        <w:rPr>
          <w:rFonts w:ascii="Arial" w:eastAsia="Times New Roman" w:hAnsi="Arial" w:cs="Arial"/>
          <w:i/>
          <w:iCs/>
        </w:rPr>
        <w:t>International Financial and Managerial Accounting</w:t>
      </w:r>
      <w:r>
        <w:rPr>
          <w:rFonts w:ascii="Arial" w:eastAsia="Times New Roman" w:hAnsi="Arial" w:cs="Arial"/>
        </w:rPr>
        <w:t>. Westport, CT: Quorum Books.</w:t>
      </w:r>
    </w:p>
    <w:p w14:paraId="15237714" w14:textId="77777777" w:rsidR="00761CC8" w:rsidRDefault="00761CC8" w:rsidP="00761CC8">
      <w:pPr>
        <w:spacing w:after="180" w:line="360" w:lineRule="auto"/>
        <w:ind w:left="450" w:hanging="450"/>
        <w:rPr>
          <w:rFonts w:ascii="Arial" w:eastAsia="Times New Roman" w:hAnsi="Arial" w:cs="Arial"/>
        </w:rPr>
      </w:pPr>
      <w:r>
        <w:rPr>
          <w:rFonts w:ascii="Arial" w:eastAsia="Times New Roman" w:hAnsi="Arial" w:cs="Arial"/>
        </w:rPr>
        <w:t xml:space="preserve">Weygandt, J., Kimmel, P. and </w:t>
      </w:r>
      <w:proofErr w:type="spellStart"/>
      <w:r>
        <w:rPr>
          <w:rFonts w:ascii="Arial" w:eastAsia="Times New Roman" w:hAnsi="Arial" w:cs="Arial"/>
        </w:rPr>
        <w:t>Kieso</w:t>
      </w:r>
      <w:proofErr w:type="spellEnd"/>
      <w:r>
        <w:rPr>
          <w:rFonts w:ascii="Arial" w:eastAsia="Times New Roman" w:hAnsi="Arial" w:cs="Arial"/>
        </w:rPr>
        <w:t>, D., (2012). </w:t>
      </w:r>
      <w:r>
        <w:rPr>
          <w:rFonts w:ascii="Arial" w:eastAsia="Times New Roman" w:hAnsi="Arial" w:cs="Arial"/>
          <w:i/>
          <w:iCs/>
        </w:rPr>
        <w:t>Managerial Accounting</w:t>
      </w:r>
      <w:r>
        <w:rPr>
          <w:rFonts w:ascii="Arial" w:eastAsia="Times New Roman" w:hAnsi="Arial" w:cs="Arial"/>
        </w:rPr>
        <w:t>. Singapore: Wiley.</w:t>
      </w:r>
    </w:p>
    <w:p w14:paraId="0C9C02F3" w14:textId="77777777" w:rsidR="00761CC8" w:rsidRDefault="00761CC8" w:rsidP="00761CC8">
      <w:pPr>
        <w:spacing w:line="360" w:lineRule="auto"/>
        <w:rPr>
          <w:rFonts w:ascii="Arial" w:hAnsi="Arial" w:cs="Arial"/>
        </w:rPr>
      </w:pPr>
      <w:r>
        <w:rPr>
          <w:rFonts w:ascii="Arial" w:hAnsi="Arial" w:cs="Arial"/>
          <w:shd w:val="clear" w:color="auto" w:fill="FFFFFF"/>
        </w:rPr>
        <w:t>Crosson, S. and Needles, B., (2014). </w:t>
      </w:r>
      <w:r>
        <w:rPr>
          <w:rFonts w:ascii="Arial" w:hAnsi="Arial" w:cs="Arial"/>
          <w:i/>
          <w:iCs/>
          <w:shd w:val="clear" w:color="auto" w:fill="FFFFFF"/>
        </w:rPr>
        <w:t>Managerial Accounting</w:t>
      </w:r>
      <w:r>
        <w:rPr>
          <w:rFonts w:ascii="Arial" w:hAnsi="Arial" w:cs="Arial"/>
          <w:shd w:val="clear" w:color="auto" w:fill="FFFFFF"/>
        </w:rPr>
        <w:t>. [Mason, Ohio?]: South-</w:t>
      </w:r>
    </w:p>
    <w:p w14:paraId="5829DF18" w14:textId="77777777" w:rsidR="00761CC8" w:rsidRDefault="00761CC8" w:rsidP="00761CC8">
      <w:pPr>
        <w:spacing w:line="360" w:lineRule="auto"/>
        <w:rPr>
          <w:rFonts w:ascii="Arial" w:hAnsi="Arial" w:cs="Arial"/>
          <w:shd w:val="clear" w:color="auto" w:fill="FFFFFF"/>
        </w:rPr>
      </w:pPr>
      <w:r>
        <w:rPr>
          <w:rFonts w:ascii="Arial" w:hAnsi="Arial" w:cs="Arial"/>
          <w:shd w:val="clear" w:color="auto" w:fill="FFFFFF"/>
        </w:rPr>
        <w:t>Miyamoto, K., (2014). </w:t>
      </w:r>
      <w:r>
        <w:rPr>
          <w:rFonts w:ascii="Arial" w:hAnsi="Arial" w:cs="Arial"/>
          <w:i/>
          <w:iCs/>
          <w:shd w:val="clear" w:color="auto" w:fill="FFFFFF"/>
        </w:rPr>
        <w:t>International Management Accounting in Japan</w:t>
      </w:r>
      <w:r>
        <w:rPr>
          <w:rFonts w:ascii="Arial" w:hAnsi="Arial" w:cs="Arial"/>
          <w:shd w:val="clear" w:color="auto" w:fill="FFFFFF"/>
        </w:rPr>
        <w:t>. Singapore: World Scientific Pub. Co.</w:t>
      </w:r>
    </w:p>
    <w:p w14:paraId="59608C1C" w14:textId="77777777" w:rsidR="00761CC8" w:rsidRDefault="00761CC8" w:rsidP="00761CC8">
      <w:pPr>
        <w:spacing w:line="360" w:lineRule="auto"/>
        <w:rPr>
          <w:rFonts w:ascii="Arial" w:hAnsi="Arial" w:cs="Arial"/>
        </w:rPr>
      </w:pPr>
      <w:r>
        <w:rPr>
          <w:rFonts w:ascii="Arial" w:hAnsi="Arial" w:cs="Arial"/>
        </w:rPr>
        <w:t xml:space="preserve">Nielsen, L.B., Mitchell, F. and </w:t>
      </w:r>
      <w:proofErr w:type="spellStart"/>
      <w:r>
        <w:rPr>
          <w:rFonts w:ascii="Arial" w:hAnsi="Arial" w:cs="Arial"/>
        </w:rPr>
        <w:t>Nørreklit</w:t>
      </w:r>
      <w:proofErr w:type="spellEnd"/>
      <w:r>
        <w:rPr>
          <w:rFonts w:ascii="Arial" w:hAnsi="Arial" w:cs="Arial"/>
        </w:rPr>
        <w:t>, H., (2015), March. Management accounting and decision making: Two case studies of outsourcing. In Accounting Forum (Vol. 39, No. 1, pp. 64-82). No longer published by Elsevier.</w:t>
      </w:r>
    </w:p>
    <w:p w14:paraId="67EBF9B1" w14:textId="77777777" w:rsidR="00761CC8" w:rsidRDefault="00761CC8" w:rsidP="00761CC8">
      <w:pPr>
        <w:spacing w:line="360" w:lineRule="auto"/>
        <w:rPr>
          <w:rFonts w:ascii="Arial" w:hAnsi="Arial" w:cs="Arial"/>
        </w:rPr>
      </w:pPr>
      <w:r>
        <w:rPr>
          <w:rFonts w:ascii="Arial" w:hAnsi="Arial" w:cs="Arial"/>
        </w:rPr>
        <w:t xml:space="preserve">Warren, C.S., Reeve, J.M. and </w:t>
      </w:r>
      <w:proofErr w:type="spellStart"/>
      <w:r>
        <w:rPr>
          <w:rFonts w:ascii="Arial" w:hAnsi="Arial" w:cs="Arial"/>
        </w:rPr>
        <w:t>Duchac</w:t>
      </w:r>
      <w:proofErr w:type="spellEnd"/>
      <w:r>
        <w:rPr>
          <w:rFonts w:ascii="Arial" w:hAnsi="Arial" w:cs="Arial"/>
        </w:rPr>
        <w:t>, J., (2016). Financial &amp; managerial accounting. Cengage Learning.</w:t>
      </w:r>
    </w:p>
    <w:p w14:paraId="62D6EE3D" w14:textId="77777777" w:rsidR="00761CC8" w:rsidRDefault="00761CC8" w:rsidP="00761CC8">
      <w:pPr>
        <w:spacing w:line="360" w:lineRule="auto"/>
        <w:rPr>
          <w:rFonts w:ascii="Arial" w:hAnsi="Arial" w:cs="Arial"/>
        </w:rPr>
      </w:pPr>
      <w:proofErr w:type="spellStart"/>
      <w:r>
        <w:rPr>
          <w:rFonts w:ascii="Arial" w:hAnsi="Arial" w:cs="Arial"/>
        </w:rPr>
        <w:t>Indjejikian</w:t>
      </w:r>
      <w:proofErr w:type="spellEnd"/>
      <w:r>
        <w:rPr>
          <w:rFonts w:ascii="Arial" w:hAnsi="Arial" w:cs="Arial"/>
        </w:rPr>
        <w:t xml:space="preserve">, R.J. and </w:t>
      </w:r>
      <w:proofErr w:type="spellStart"/>
      <w:r>
        <w:rPr>
          <w:rFonts w:ascii="Arial" w:hAnsi="Arial" w:cs="Arial"/>
        </w:rPr>
        <w:t>Matĕjka</w:t>
      </w:r>
      <w:proofErr w:type="spellEnd"/>
      <w:r>
        <w:rPr>
          <w:rFonts w:ascii="Arial" w:hAnsi="Arial" w:cs="Arial"/>
        </w:rPr>
        <w:t>, M., (2012). Accounting decentralization and performance evaluation of business unit managers. The Accounting Review, 87(1), pp.261-290.</w:t>
      </w:r>
    </w:p>
    <w:p w14:paraId="6A7E8C6C" w14:textId="77777777" w:rsidR="00761CC8" w:rsidRDefault="00761CC8" w:rsidP="00761CC8">
      <w:pPr>
        <w:spacing w:line="360" w:lineRule="auto"/>
        <w:rPr>
          <w:rFonts w:ascii="Arial" w:hAnsi="Arial" w:cs="Arial"/>
        </w:rPr>
      </w:pPr>
      <w:r>
        <w:rPr>
          <w:rFonts w:ascii="Arial" w:hAnsi="Arial" w:cs="Arial"/>
        </w:rPr>
        <w:t>Cleary, P. and Quinn, M., (2016). Intellectual capital and business performance: An exploratory study of the impact of cloud-based accounting and finance infrastructure. Journal of Intellectual Capital.</w:t>
      </w:r>
    </w:p>
    <w:p w14:paraId="13DE0B84" w14:textId="77777777" w:rsidR="00761CC8" w:rsidRDefault="00761CC8" w:rsidP="00761CC8">
      <w:pPr>
        <w:spacing w:line="360" w:lineRule="auto"/>
        <w:rPr>
          <w:rFonts w:ascii="Arial" w:hAnsi="Arial" w:cs="Arial"/>
        </w:rPr>
      </w:pPr>
      <w:r>
        <w:rPr>
          <w:rFonts w:ascii="Arial" w:hAnsi="Arial" w:cs="Arial"/>
        </w:rPr>
        <w:t>Ali, U.Y.A.R., (2010). Cost and management accounting practices: a survey of manufacturing companies. Eurasian Journal of Business and Economics, 3(6), pp.113-125.</w:t>
      </w:r>
    </w:p>
    <w:p w14:paraId="486C793B" w14:textId="77777777" w:rsidR="00761CC8" w:rsidRDefault="00761CC8" w:rsidP="00761CC8">
      <w:pPr>
        <w:spacing w:line="360" w:lineRule="auto"/>
        <w:rPr>
          <w:rFonts w:ascii="Arial" w:hAnsi="Arial" w:cs="Arial"/>
          <w:shd w:val="clear" w:color="auto" w:fill="FFFFFF"/>
        </w:rPr>
      </w:pPr>
    </w:p>
    <w:p w14:paraId="0473A1B5" w14:textId="77777777" w:rsidR="00761CC8" w:rsidRDefault="00761CC8" w:rsidP="00761CC8">
      <w:pPr>
        <w:spacing w:line="360" w:lineRule="auto"/>
        <w:rPr>
          <w:rFonts w:ascii="Arial" w:hAnsi="Arial" w:cs="Arial"/>
        </w:rPr>
      </w:pPr>
    </w:p>
    <w:p w14:paraId="7130E7ED" w14:textId="77777777" w:rsidR="003D7E0D" w:rsidRDefault="003D7E0D"/>
    <w:sectPr w:rsidR="003D7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8"/>
    <w:family w:val="auto"/>
    <w:pitch w:val="variable"/>
    <w:sig w:usb0="A10102FF" w:usb1="38CF7CFA" w:usb2="00010016" w:usb3="00000000" w:csb0="001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E0D"/>
    <w:rsid w:val="00237395"/>
    <w:rsid w:val="00316AAA"/>
    <w:rsid w:val="003D7E0D"/>
    <w:rsid w:val="00716339"/>
    <w:rsid w:val="00761CC8"/>
    <w:rsid w:val="00CD0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9504A"/>
  <w15:chartTrackingRefBased/>
  <w15:docId w15:val="{AE9DB3C0-289A-45CA-9110-B7D9612A6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C8"/>
    <w:pPr>
      <w:spacing w:line="256" w:lineRule="auto"/>
    </w:pPr>
    <w:rPr>
      <w:rFonts w:ascii="Calibri" w:eastAsia="Calibri" w:hAnsi="Calibri" w:cs="SimSun"/>
      <w:lang w:val="en-US"/>
    </w:rPr>
  </w:style>
  <w:style w:type="paragraph" w:styleId="Heading1">
    <w:name w:val="heading 1"/>
    <w:basedOn w:val="Normal"/>
    <w:next w:val="Normal"/>
    <w:link w:val="Heading1Char"/>
    <w:uiPriority w:val="9"/>
    <w:qFormat/>
    <w:rsid w:val="00761CC8"/>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uiPriority w:val="9"/>
    <w:semiHidden/>
    <w:unhideWhenUsed/>
    <w:qFormat/>
    <w:rsid w:val="00761CC8"/>
    <w:pPr>
      <w:keepNext/>
      <w:keepLines/>
      <w:spacing w:before="40" w:after="0"/>
      <w:outlineLvl w:val="1"/>
    </w:pPr>
    <w:rPr>
      <w:rFonts w:ascii="Calibri Light" w:eastAsia="SimSu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CC8"/>
    <w:rPr>
      <w:rFonts w:ascii="Calibri Light" w:eastAsia="SimSun" w:hAnsi="Calibri Light" w:cs="SimSun"/>
      <w:color w:val="2F5496"/>
      <w:sz w:val="32"/>
      <w:szCs w:val="32"/>
      <w:lang w:val="en-US"/>
    </w:rPr>
  </w:style>
  <w:style w:type="character" w:customStyle="1" w:styleId="Heading2Char">
    <w:name w:val="Heading 2 Char"/>
    <w:basedOn w:val="DefaultParagraphFont"/>
    <w:link w:val="Heading2"/>
    <w:uiPriority w:val="9"/>
    <w:semiHidden/>
    <w:rsid w:val="00761CC8"/>
    <w:rPr>
      <w:rFonts w:ascii="Calibri Light" w:eastAsia="SimSun" w:hAnsi="Calibri Light" w:cs="SimSun"/>
      <w:color w:val="2F5496"/>
      <w:sz w:val="26"/>
      <w:szCs w:val="26"/>
      <w:lang w:val="en-US"/>
    </w:rPr>
  </w:style>
  <w:style w:type="character" w:styleId="Hyperlink">
    <w:name w:val="Hyperlink"/>
    <w:basedOn w:val="DefaultParagraphFont"/>
    <w:uiPriority w:val="99"/>
    <w:semiHidden/>
    <w:unhideWhenUsed/>
    <w:rsid w:val="00761CC8"/>
    <w:rPr>
      <w:color w:val="0563C1"/>
      <w:u w:val="single"/>
    </w:rPr>
  </w:style>
  <w:style w:type="paragraph" w:styleId="TOC1">
    <w:name w:val="toc 1"/>
    <w:basedOn w:val="Normal"/>
    <w:next w:val="Normal"/>
    <w:autoRedefine/>
    <w:uiPriority w:val="39"/>
    <w:semiHidden/>
    <w:unhideWhenUsed/>
    <w:rsid w:val="00761CC8"/>
    <w:pPr>
      <w:spacing w:after="100"/>
    </w:pPr>
  </w:style>
  <w:style w:type="paragraph" w:styleId="TOC2">
    <w:name w:val="toc 2"/>
    <w:basedOn w:val="Normal"/>
    <w:next w:val="Normal"/>
    <w:autoRedefine/>
    <w:uiPriority w:val="39"/>
    <w:semiHidden/>
    <w:unhideWhenUsed/>
    <w:rsid w:val="00761CC8"/>
    <w:pPr>
      <w:spacing w:after="100"/>
      <w:ind w:left="220"/>
    </w:pPr>
  </w:style>
  <w:style w:type="paragraph" w:styleId="TOCHeading">
    <w:name w:val="TOC Heading"/>
    <w:basedOn w:val="Heading1"/>
    <w:next w:val="Normal"/>
    <w:uiPriority w:val="39"/>
    <w:semiHidden/>
    <w:unhideWhenUsed/>
    <w:qFormat/>
    <w:rsid w:val="00761CC8"/>
    <w:pPr>
      <w:outlineLvl w:val="9"/>
    </w:pPr>
  </w:style>
  <w:style w:type="table" w:customStyle="1" w:styleId="GridTable1Light-Accent51">
    <w:name w:val="Grid Table 1 Light - Accent 51"/>
    <w:basedOn w:val="TableNormal"/>
    <w:uiPriority w:val="46"/>
    <w:rsid w:val="00761CC8"/>
    <w:pPr>
      <w:spacing w:after="0" w:line="240" w:lineRule="auto"/>
    </w:pPr>
    <w:rPr>
      <w:rFonts w:ascii="Calibri" w:eastAsia="Calibri" w:hAnsi="Calibri" w:cs="SimSun"/>
    </w:rPr>
    <w:tblPr>
      <w:tblStyleRowBandSize w:val="1"/>
      <w:tblStyleColBandSize w:val="1"/>
      <w:tblInd w:w="0" w:type="nil"/>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761CC8"/>
    <w:pPr>
      <w:spacing w:after="0" w:line="240" w:lineRule="auto"/>
    </w:pPr>
    <w:rPr>
      <w:rFonts w:ascii="Calibri" w:eastAsia="Calibri" w:hAnsi="Calibri" w:cs="SimSun"/>
    </w:rPr>
    <w:tblPr>
      <w:tblStyleRowBandSize w:val="1"/>
      <w:tblStyleColBandSize w:val="1"/>
      <w:tblInd w:w="0" w:type="nil"/>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rPr>
        <w:b/>
        <w:bCs/>
      </w:rPr>
      <w:tblPr/>
      <w:tcPr>
        <w:tcBorders>
          <w:bottom w:val="single" w:sz="12" w:space="0" w:color="A8D08D"/>
        </w:tcBorders>
      </w:tcPr>
    </w:tblStylePr>
    <w:tblStylePr w:type="lastRow">
      <w:rPr>
        <w:b/>
        <w:bCs/>
      </w:rPr>
      <w:tblPr/>
      <w:tcPr>
        <w:tcBorders>
          <w:top w:val="double" w:sz="2" w:space="0" w:color="A8D08D"/>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9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yb\Downloads\LCBB5002%20Management%20Accounting%20Anna.docx" TargetMode="External"/><Relationship Id="rId13" Type="http://schemas.openxmlformats.org/officeDocument/2006/relationships/hyperlink" Target="file:///C:\Users\maryb\Downloads\LCBB5002%20Management%20Accounting%20Anna.docx" TargetMode="External"/><Relationship Id="rId3" Type="http://schemas.openxmlformats.org/officeDocument/2006/relationships/webSettings" Target="webSettings.xml"/><Relationship Id="rId7" Type="http://schemas.openxmlformats.org/officeDocument/2006/relationships/hyperlink" Target="file:///C:\Users\maryb\Downloads\LCBB5002%20Management%20Accounting%20Anna.docx" TargetMode="External"/><Relationship Id="rId12" Type="http://schemas.openxmlformats.org/officeDocument/2006/relationships/hyperlink" Target="file:///C:\Users\maryb\Downloads\LCBB5002%20Management%20Accounting%20Anna.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maryb\Downloads\LCBB5002%20Management%20Accounting%20Anna.docx" TargetMode="External"/><Relationship Id="rId11" Type="http://schemas.openxmlformats.org/officeDocument/2006/relationships/hyperlink" Target="file:///C:\Users\maryb\Downloads\LCBB5002%20Management%20Accounting%20Anna.docx" TargetMode="External"/><Relationship Id="rId5" Type="http://schemas.openxmlformats.org/officeDocument/2006/relationships/hyperlink" Target="file:///C:\Users\maryb\Downloads\LCBB5002%20Management%20Accounting%20Anna.docx" TargetMode="External"/><Relationship Id="rId15" Type="http://schemas.openxmlformats.org/officeDocument/2006/relationships/hyperlink" Target="file:///C:\Users\maryb\Downloads\LCBB5002%20Management%20Accounting%20Anna.docx" TargetMode="External"/><Relationship Id="rId10" Type="http://schemas.openxmlformats.org/officeDocument/2006/relationships/hyperlink" Target="file:///C:\Users\maryb\Downloads\LCBB5002%20Management%20Accounting%20Anna.docx" TargetMode="External"/><Relationship Id="rId4" Type="http://schemas.openxmlformats.org/officeDocument/2006/relationships/hyperlink" Target="file:///C:\Users\maryb\Downloads\LCBB5002%20Management%20Accounting%20Anna.docx" TargetMode="External"/><Relationship Id="rId9" Type="http://schemas.openxmlformats.org/officeDocument/2006/relationships/hyperlink" Target="file:///C:\Users\maryb\Downloads\LCBB5002%20Management%20Accounting%20Anna.docx" TargetMode="External"/><Relationship Id="rId14" Type="http://schemas.openxmlformats.org/officeDocument/2006/relationships/hyperlink" Target="file:///C:\Users\maryb\Downloads\LCBB5002%20Management%20Accounting%20Anna.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2221</Words>
  <Characters>12662</Characters>
  <Application>Microsoft Office Word</Application>
  <DocSecurity>0</DocSecurity>
  <Lines>105</Lines>
  <Paragraphs>29</Paragraphs>
  <ScaleCrop>false</ScaleCrop>
  <Company/>
  <LinksUpToDate>false</LinksUpToDate>
  <CharactersWithSpaces>14854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BURDUJA</dc:creator>
  <cp:keywords/>
  <dc:description/>
  <cp:lastModifiedBy>ANA BURDUJA</cp:lastModifiedBy>
  <cp:revision>6</cp:revision>
  <dcterms:created xsi:type="dcterms:W3CDTF">2022-07-07T09:25:00Z</dcterms:created>
  <dcterms:modified xsi:type="dcterms:W3CDTF">2022-07-07T09:31:00Z</dcterms:modified>
</cp:coreProperties>
</file>