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C373AB" w14:textId="77777777" w:rsidR="00430508" w:rsidRPr="006032CF" w:rsidRDefault="00430508" w:rsidP="006032CF">
      <w:pPr>
        <w:spacing w:line="480" w:lineRule="auto"/>
        <w:jc w:val="center"/>
        <w:rPr>
          <w:rFonts w:ascii="Times New Roman" w:hAnsi="Times New Roman" w:cs="Times New Roman"/>
          <w:b/>
          <w:bCs/>
          <w:sz w:val="24"/>
          <w:szCs w:val="24"/>
        </w:rPr>
      </w:pPr>
    </w:p>
    <w:p w14:paraId="440A71AF" w14:textId="4CEB96CA" w:rsidR="00430508" w:rsidRPr="006032CF" w:rsidRDefault="004608D2" w:rsidP="006032CF">
      <w:pPr>
        <w:spacing w:line="480" w:lineRule="auto"/>
        <w:jc w:val="center"/>
        <w:rPr>
          <w:rFonts w:ascii="Times New Roman" w:hAnsi="Times New Roman" w:cs="Times New Roman"/>
          <w:b/>
          <w:bCs/>
          <w:sz w:val="24"/>
          <w:szCs w:val="24"/>
        </w:rPr>
      </w:pPr>
      <w:r>
        <w:rPr>
          <w:noProof/>
          <w:lang w:val="en-US"/>
        </w:rPr>
        <w:drawing>
          <wp:anchor distT="0" distB="0" distL="114300" distR="114300" simplePos="0" relativeHeight="251659264" behindDoc="0" locked="0" layoutInCell="1" allowOverlap="1" wp14:anchorId="0504A1B9" wp14:editId="76F33AAC">
            <wp:simplePos x="0" y="0"/>
            <wp:positionH relativeFrom="margin">
              <wp:align>center</wp:align>
            </wp:positionH>
            <wp:positionV relativeFrom="paragraph">
              <wp:posOffset>273685</wp:posOffset>
            </wp:positionV>
            <wp:extent cx="2293620" cy="868680"/>
            <wp:effectExtent l="0" t="0" r="0" b="7620"/>
            <wp:wrapSquare wrapText="bothSides"/>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anchor>
        </w:drawing>
      </w:r>
    </w:p>
    <w:p w14:paraId="3378CE6F" w14:textId="77777777" w:rsidR="00430508" w:rsidRPr="006032CF" w:rsidRDefault="00430508" w:rsidP="006032CF">
      <w:pPr>
        <w:spacing w:line="480" w:lineRule="auto"/>
        <w:jc w:val="center"/>
        <w:rPr>
          <w:rFonts w:ascii="Times New Roman" w:hAnsi="Times New Roman" w:cs="Times New Roman"/>
          <w:b/>
          <w:bCs/>
          <w:sz w:val="24"/>
          <w:szCs w:val="24"/>
        </w:rPr>
      </w:pPr>
    </w:p>
    <w:p w14:paraId="306265C6" w14:textId="77777777" w:rsidR="004608D2" w:rsidRDefault="004608D2" w:rsidP="004608D2">
      <w:pPr>
        <w:jc w:val="center"/>
        <w:rPr>
          <w:rFonts w:cs="Times New Roman"/>
          <w:b/>
          <w:bCs/>
          <w:szCs w:val="24"/>
        </w:rPr>
      </w:pPr>
    </w:p>
    <w:p w14:paraId="49E73725" w14:textId="77777777" w:rsidR="004608D2" w:rsidRDefault="004608D2" w:rsidP="004608D2">
      <w:pPr>
        <w:jc w:val="center"/>
        <w:rPr>
          <w:rFonts w:cs="Times New Roman"/>
          <w:b/>
          <w:bCs/>
          <w:szCs w:val="24"/>
        </w:rPr>
      </w:pPr>
    </w:p>
    <w:p w14:paraId="463B5497" w14:textId="77777777" w:rsidR="004608D2" w:rsidRDefault="004608D2" w:rsidP="004608D2">
      <w:pPr>
        <w:jc w:val="center"/>
        <w:rPr>
          <w:rFonts w:cs="Times New Roman"/>
          <w:b/>
          <w:bCs/>
          <w:szCs w:val="24"/>
        </w:rPr>
      </w:pPr>
    </w:p>
    <w:p w14:paraId="6D291000" w14:textId="77777777" w:rsidR="004608D2" w:rsidRDefault="004608D2" w:rsidP="004608D2">
      <w:pPr>
        <w:jc w:val="center"/>
        <w:rPr>
          <w:rFonts w:cs="Times New Roman"/>
          <w:b/>
          <w:bCs/>
          <w:szCs w:val="24"/>
        </w:rPr>
      </w:pPr>
    </w:p>
    <w:p w14:paraId="5B57C676" w14:textId="77777777" w:rsidR="004608D2" w:rsidRDefault="004608D2" w:rsidP="004608D2">
      <w:pPr>
        <w:jc w:val="center"/>
        <w:rPr>
          <w:rFonts w:cs="Times New Roman"/>
          <w:b/>
          <w:bCs/>
          <w:szCs w:val="24"/>
        </w:rPr>
      </w:pPr>
    </w:p>
    <w:p w14:paraId="51657D73" w14:textId="77777777" w:rsidR="004608D2" w:rsidRDefault="004608D2" w:rsidP="004608D2">
      <w:pPr>
        <w:jc w:val="center"/>
        <w:rPr>
          <w:rFonts w:cs="Times New Roman"/>
          <w:b/>
          <w:bCs/>
          <w:szCs w:val="24"/>
        </w:rPr>
      </w:pPr>
    </w:p>
    <w:p w14:paraId="3D8A83C9" w14:textId="77777777" w:rsidR="004608D2" w:rsidRDefault="004608D2" w:rsidP="004608D2">
      <w:pPr>
        <w:jc w:val="center"/>
        <w:rPr>
          <w:rFonts w:cs="Times New Roman"/>
          <w:b/>
          <w:bCs/>
          <w:szCs w:val="24"/>
        </w:rPr>
      </w:pPr>
    </w:p>
    <w:p w14:paraId="332518A1" w14:textId="50F56999" w:rsidR="004608D2" w:rsidRPr="004608D2" w:rsidRDefault="004608D2" w:rsidP="004608D2">
      <w:pPr>
        <w:spacing w:line="480" w:lineRule="auto"/>
        <w:jc w:val="center"/>
        <w:rPr>
          <w:rFonts w:ascii="Times New Roman" w:hAnsi="Times New Roman" w:cs="Times New Roman"/>
          <w:b/>
          <w:iCs/>
          <w:sz w:val="36"/>
          <w:szCs w:val="36"/>
        </w:rPr>
      </w:pPr>
      <w:r w:rsidRPr="004608D2">
        <w:rPr>
          <w:rFonts w:ascii="Times New Roman" w:hAnsi="Times New Roman" w:cs="Times New Roman"/>
          <w:b/>
          <w:iCs/>
          <w:sz w:val="36"/>
          <w:szCs w:val="36"/>
        </w:rPr>
        <w:t>International Financial Management</w:t>
      </w:r>
      <w:bookmarkStart w:id="0" w:name="_GoBack"/>
      <w:bookmarkEnd w:id="0"/>
    </w:p>
    <w:p w14:paraId="2DE92763" w14:textId="77777777" w:rsidR="004608D2" w:rsidRPr="006C3903" w:rsidRDefault="004608D2" w:rsidP="004608D2">
      <w:pPr>
        <w:jc w:val="center"/>
        <w:rPr>
          <w:rFonts w:ascii="Times New Roman" w:hAnsi="Times New Roman" w:cs="Times New Roman"/>
          <w:b/>
          <w:sz w:val="28"/>
          <w:szCs w:val="28"/>
        </w:rPr>
      </w:pPr>
      <w:r w:rsidRPr="006C3903">
        <w:rPr>
          <w:rFonts w:ascii="Times New Roman" w:hAnsi="Times New Roman" w:cs="Times New Roman"/>
          <w:b/>
          <w:sz w:val="28"/>
          <w:szCs w:val="28"/>
        </w:rPr>
        <w:t>Name of student: Elena Miloshevska 2024564</w:t>
      </w:r>
    </w:p>
    <w:p w14:paraId="6498C2AD" w14:textId="7E203DA5" w:rsidR="004608D2" w:rsidRPr="006C3903" w:rsidRDefault="004608D2" w:rsidP="006C3903">
      <w:pPr>
        <w:jc w:val="center"/>
        <w:rPr>
          <w:rFonts w:ascii="Times New Roman" w:hAnsi="Times New Roman" w:cs="Times New Roman"/>
          <w:b/>
          <w:sz w:val="28"/>
          <w:szCs w:val="28"/>
        </w:rPr>
      </w:pPr>
      <w:r w:rsidRPr="006C3903">
        <w:rPr>
          <w:rFonts w:ascii="Times New Roman" w:hAnsi="Times New Roman" w:cs="Times New Roman"/>
          <w:b/>
          <w:sz w:val="28"/>
          <w:szCs w:val="28"/>
        </w:rPr>
        <w:t xml:space="preserve">Name of lecturer: </w:t>
      </w:r>
      <w:proofErr w:type="spellStart"/>
      <w:r w:rsidRPr="006C3903">
        <w:rPr>
          <w:rFonts w:ascii="Times New Roman" w:hAnsi="Times New Roman" w:cs="Times New Roman"/>
          <w:b/>
          <w:sz w:val="28"/>
          <w:szCs w:val="28"/>
        </w:rPr>
        <w:t>Rexon</w:t>
      </w:r>
      <w:proofErr w:type="spellEnd"/>
      <w:r w:rsidRPr="006C3903">
        <w:rPr>
          <w:rFonts w:ascii="Times New Roman" w:hAnsi="Times New Roman" w:cs="Times New Roman"/>
          <w:b/>
          <w:sz w:val="28"/>
          <w:szCs w:val="28"/>
        </w:rPr>
        <w:t xml:space="preserve"> </w:t>
      </w:r>
      <w:proofErr w:type="spellStart"/>
      <w:r w:rsidRPr="006C3903">
        <w:rPr>
          <w:rFonts w:ascii="Times New Roman" w:hAnsi="Times New Roman" w:cs="Times New Roman"/>
          <w:b/>
          <w:sz w:val="28"/>
          <w:szCs w:val="28"/>
        </w:rPr>
        <w:t>Nting</w:t>
      </w:r>
      <w:proofErr w:type="spellEnd"/>
    </w:p>
    <w:p w14:paraId="53714C26" w14:textId="77777777" w:rsidR="004608D2" w:rsidRPr="004608D2" w:rsidRDefault="004608D2" w:rsidP="004608D2">
      <w:pPr>
        <w:rPr>
          <w:rFonts w:ascii="Times New Roman" w:hAnsi="Times New Roman" w:cs="Times New Roman"/>
          <w:b/>
          <w:szCs w:val="24"/>
        </w:rPr>
      </w:pPr>
    </w:p>
    <w:p w14:paraId="3C833DD3" w14:textId="77777777" w:rsidR="004608D2" w:rsidRPr="004608D2" w:rsidRDefault="004608D2" w:rsidP="004608D2">
      <w:pPr>
        <w:rPr>
          <w:rFonts w:ascii="Times New Roman" w:hAnsi="Times New Roman" w:cs="Times New Roman"/>
          <w:b/>
          <w:szCs w:val="24"/>
        </w:rPr>
      </w:pPr>
    </w:p>
    <w:p w14:paraId="11E79056" w14:textId="77777777" w:rsidR="004608D2" w:rsidRDefault="004608D2" w:rsidP="004608D2">
      <w:pPr>
        <w:rPr>
          <w:rFonts w:cs="Times New Roman"/>
          <w:szCs w:val="24"/>
        </w:rPr>
      </w:pPr>
    </w:p>
    <w:p w14:paraId="7B98EE0F" w14:textId="77777777" w:rsidR="004608D2" w:rsidRDefault="004608D2" w:rsidP="004608D2">
      <w:pPr>
        <w:rPr>
          <w:rFonts w:cs="Times New Roman"/>
          <w:szCs w:val="24"/>
        </w:rPr>
      </w:pPr>
    </w:p>
    <w:p w14:paraId="34F1A5D8" w14:textId="77777777" w:rsidR="004608D2" w:rsidRDefault="004608D2" w:rsidP="004608D2">
      <w:pPr>
        <w:rPr>
          <w:rFonts w:cs="Times New Roman"/>
          <w:szCs w:val="24"/>
        </w:rPr>
      </w:pPr>
    </w:p>
    <w:p w14:paraId="357414A1" w14:textId="77777777" w:rsidR="004608D2" w:rsidRDefault="004608D2" w:rsidP="004608D2">
      <w:pPr>
        <w:rPr>
          <w:rFonts w:cs="Times New Roman"/>
          <w:szCs w:val="24"/>
        </w:rPr>
      </w:pPr>
    </w:p>
    <w:p w14:paraId="41483111" w14:textId="77777777" w:rsidR="004608D2" w:rsidRPr="004608D2" w:rsidRDefault="004608D2" w:rsidP="004608D2">
      <w:pPr>
        <w:jc w:val="right"/>
        <w:rPr>
          <w:rFonts w:ascii="Times New Roman" w:hAnsi="Times New Roman" w:cs="Times New Roman"/>
          <w:sz w:val="24"/>
          <w:szCs w:val="24"/>
        </w:rPr>
      </w:pPr>
    </w:p>
    <w:p w14:paraId="78E0855F" w14:textId="6938CA94" w:rsidR="00430508" w:rsidRPr="004608D2" w:rsidRDefault="004608D2" w:rsidP="004608D2">
      <w:pPr>
        <w:spacing w:line="480" w:lineRule="auto"/>
        <w:jc w:val="right"/>
        <w:rPr>
          <w:rFonts w:ascii="Times New Roman" w:hAnsi="Times New Roman" w:cs="Times New Roman"/>
          <w:sz w:val="24"/>
          <w:szCs w:val="24"/>
        </w:rPr>
      </w:pPr>
      <w:r w:rsidRPr="004608D2">
        <w:rPr>
          <w:rFonts w:ascii="Times New Roman" w:hAnsi="Times New Roman" w:cs="Times New Roman"/>
          <w:sz w:val="24"/>
          <w:szCs w:val="24"/>
        </w:rPr>
        <w:t>Date</w:t>
      </w:r>
      <w:r>
        <w:rPr>
          <w:rFonts w:ascii="Times New Roman" w:hAnsi="Times New Roman" w:cs="Times New Roman"/>
          <w:sz w:val="24"/>
          <w:szCs w:val="24"/>
        </w:rPr>
        <w:t>: 28.04.2023</w:t>
      </w:r>
    </w:p>
    <w:p w14:paraId="61D954F8" w14:textId="77777777" w:rsidR="00430508" w:rsidRPr="006032CF" w:rsidRDefault="00430508" w:rsidP="006032CF">
      <w:pPr>
        <w:spacing w:line="480" w:lineRule="auto"/>
        <w:rPr>
          <w:rFonts w:ascii="Times New Roman" w:hAnsi="Times New Roman" w:cs="Times New Roman"/>
          <w:sz w:val="24"/>
          <w:szCs w:val="24"/>
        </w:rPr>
      </w:pPr>
      <w:r w:rsidRPr="006032CF">
        <w:rPr>
          <w:rFonts w:ascii="Times New Roman" w:hAnsi="Times New Roman" w:cs="Times New Roman"/>
          <w:sz w:val="24"/>
          <w:szCs w:val="24"/>
        </w:rPr>
        <w:br w:type="page"/>
      </w:r>
    </w:p>
    <w:p w14:paraId="7066CC65" w14:textId="78B4C0BB" w:rsidR="004608D2" w:rsidRPr="004608D2" w:rsidRDefault="00275ED5" w:rsidP="004608D2">
      <w:pPr>
        <w:pStyle w:val="Heading1"/>
        <w:spacing w:before="0" w:line="480" w:lineRule="auto"/>
        <w:rPr>
          <w:rFonts w:cs="Times New Roman"/>
          <w:szCs w:val="24"/>
        </w:rPr>
      </w:pPr>
      <w:r w:rsidRPr="006032CF">
        <w:rPr>
          <w:rFonts w:cs="Times New Roman"/>
          <w:szCs w:val="24"/>
        </w:rPr>
        <w:lastRenderedPageBreak/>
        <w:t>Introduction</w:t>
      </w:r>
    </w:p>
    <w:p w14:paraId="7F926431" w14:textId="462CCC15" w:rsidR="00275ED5" w:rsidRPr="006032CF" w:rsidRDefault="00275ED5" w:rsidP="004608D2">
      <w:pPr>
        <w:spacing w:line="480" w:lineRule="auto"/>
        <w:ind w:firstLine="720"/>
        <w:rPr>
          <w:rFonts w:ascii="Times New Roman" w:hAnsi="Times New Roman" w:cs="Times New Roman"/>
          <w:sz w:val="24"/>
          <w:szCs w:val="24"/>
        </w:rPr>
      </w:pPr>
      <w:r w:rsidRPr="006032CF">
        <w:rPr>
          <w:rFonts w:ascii="Times New Roman" w:hAnsi="Times New Roman" w:cs="Times New Roman"/>
          <w:sz w:val="24"/>
          <w:szCs w:val="24"/>
        </w:rPr>
        <w:t xml:space="preserve">IFM is crucial for multinational corporations like Apple, as it involves managing financial operations across borders and currencies. This includes foreign exchange risk management, international investment decisions, and global funding strategies. Effective IFM helps corporations to optimize their financial resources, minimize risks, and achieve their global business objectives. However, multinational corporations may face various challenges in different international financial markets, such as fluctuations in exchange rates, differences in accounting standards, and regulatory and legal barriers. Therefore, it is essential for companies like Apple to have a comprehensive understanding of IFM and develop effective strategies to manage these challenges. This essay will critically </w:t>
      </w:r>
      <w:r w:rsidR="00A75C5B" w:rsidRPr="006032CF">
        <w:rPr>
          <w:rFonts w:ascii="Times New Roman" w:hAnsi="Times New Roman" w:cs="Times New Roman"/>
          <w:sz w:val="24"/>
          <w:szCs w:val="24"/>
        </w:rPr>
        <w:t>analyse</w:t>
      </w:r>
      <w:r w:rsidRPr="006032CF">
        <w:rPr>
          <w:rFonts w:ascii="Times New Roman" w:hAnsi="Times New Roman" w:cs="Times New Roman"/>
          <w:sz w:val="24"/>
          <w:szCs w:val="24"/>
        </w:rPr>
        <w:t xml:space="preserve"> and evaluate Apple's IFM practices, with a focus on dividend distribution policy, the efficient market hypothesis theory, and methods of appraising projects.</w:t>
      </w:r>
    </w:p>
    <w:p w14:paraId="2E1AAEB4" w14:textId="77777777" w:rsidR="00275ED5" w:rsidRPr="006032CF" w:rsidRDefault="00275ED5" w:rsidP="004608D2">
      <w:pPr>
        <w:spacing w:line="480" w:lineRule="auto"/>
        <w:rPr>
          <w:rFonts w:ascii="Times New Roman" w:hAnsi="Times New Roman" w:cs="Times New Roman"/>
          <w:sz w:val="24"/>
          <w:szCs w:val="24"/>
        </w:rPr>
      </w:pPr>
    </w:p>
    <w:p w14:paraId="25AE9E02" w14:textId="0CE1610E" w:rsidR="00275ED5" w:rsidRPr="006032CF" w:rsidRDefault="00275ED5" w:rsidP="004608D2">
      <w:pPr>
        <w:pStyle w:val="Heading1"/>
        <w:spacing w:before="0" w:line="480" w:lineRule="auto"/>
        <w:rPr>
          <w:rFonts w:cs="Times New Roman"/>
          <w:szCs w:val="24"/>
        </w:rPr>
      </w:pPr>
      <w:r w:rsidRPr="006032CF">
        <w:rPr>
          <w:rFonts w:cs="Times New Roman"/>
          <w:szCs w:val="24"/>
        </w:rPr>
        <w:t>Discussion</w:t>
      </w:r>
    </w:p>
    <w:p w14:paraId="6F4C8C08" w14:textId="3D551B78" w:rsidR="00275ED5" w:rsidRPr="006032CF" w:rsidRDefault="00275ED5" w:rsidP="004608D2">
      <w:pPr>
        <w:pStyle w:val="Heading2"/>
        <w:spacing w:before="0" w:line="480" w:lineRule="auto"/>
        <w:rPr>
          <w:rFonts w:cs="Times New Roman"/>
          <w:szCs w:val="24"/>
        </w:rPr>
      </w:pPr>
      <w:r w:rsidRPr="006032CF">
        <w:rPr>
          <w:rFonts w:cs="Times New Roman"/>
          <w:szCs w:val="24"/>
        </w:rPr>
        <w:t>Dividend Distribution Policy</w:t>
      </w:r>
    </w:p>
    <w:p w14:paraId="0710DB11" w14:textId="481C2699" w:rsidR="00275ED5" w:rsidRPr="006032CF" w:rsidRDefault="00275ED5" w:rsidP="004608D2">
      <w:pPr>
        <w:spacing w:line="480" w:lineRule="auto"/>
        <w:ind w:firstLine="720"/>
        <w:rPr>
          <w:rFonts w:ascii="Times New Roman" w:hAnsi="Times New Roman" w:cs="Times New Roman"/>
          <w:sz w:val="24"/>
          <w:szCs w:val="24"/>
        </w:rPr>
      </w:pPr>
      <w:r w:rsidRPr="006032CF">
        <w:rPr>
          <w:rFonts w:ascii="Times New Roman" w:hAnsi="Times New Roman" w:cs="Times New Roman"/>
          <w:sz w:val="24"/>
          <w:szCs w:val="24"/>
        </w:rPr>
        <w:t xml:space="preserve">Dividend distribution policy is an important aspect of corporate finance, as it determines the </w:t>
      </w:r>
      <w:r w:rsidR="00A75C5B" w:rsidRPr="006032CF">
        <w:rPr>
          <w:rFonts w:ascii="Times New Roman" w:hAnsi="Times New Roman" w:cs="Times New Roman"/>
          <w:sz w:val="24"/>
          <w:szCs w:val="24"/>
        </w:rPr>
        <w:t>number</w:t>
      </w:r>
      <w:r w:rsidRPr="006032CF">
        <w:rPr>
          <w:rFonts w:ascii="Times New Roman" w:hAnsi="Times New Roman" w:cs="Times New Roman"/>
          <w:sz w:val="24"/>
          <w:szCs w:val="24"/>
        </w:rPr>
        <w:t xml:space="preserve"> of profits a company will distribute to shareholders. A dividend is a payment made by a company to its shareholders, typically in the form of cash or stock</w:t>
      </w:r>
      <w:r w:rsidR="006C536D" w:rsidRPr="006032CF">
        <w:rPr>
          <w:rFonts w:ascii="Times New Roman" w:hAnsi="Times New Roman" w:cs="Times New Roman"/>
          <w:sz w:val="24"/>
          <w:szCs w:val="24"/>
        </w:rPr>
        <w:t xml:space="preserve"> (</w:t>
      </w:r>
      <w:proofErr w:type="spellStart"/>
      <w:r w:rsidR="006C536D" w:rsidRPr="006032CF">
        <w:rPr>
          <w:rFonts w:ascii="Times New Roman" w:hAnsi="Times New Roman" w:cs="Times New Roman"/>
          <w:sz w:val="24"/>
          <w:szCs w:val="24"/>
        </w:rPr>
        <w:t>Wahjudi</w:t>
      </w:r>
      <w:proofErr w:type="spellEnd"/>
      <w:r w:rsidR="006C536D" w:rsidRPr="006032CF">
        <w:rPr>
          <w:rFonts w:ascii="Times New Roman" w:hAnsi="Times New Roman" w:cs="Times New Roman"/>
          <w:sz w:val="24"/>
          <w:szCs w:val="24"/>
        </w:rPr>
        <w:t>, 2020)</w:t>
      </w:r>
      <w:r w:rsidRPr="006032CF">
        <w:rPr>
          <w:rFonts w:ascii="Times New Roman" w:hAnsi="Times New Roman" w:cs="Times New Roman"/>
          <w:sz w:val="24"/>
          <w:szCs w:val="24"/>
        </w:rPr>
        <w:t>. The decision to pay dividends is important, as it affects shareholder value and can influence investor perceptions of a company's financial health and future prospects. Apple Inc. is a multinational corporation that has consistently paid dividends since 2012</w:t>
      </w:r>
      <w:r w:rsidR="006C536D" w:rsidRPr="006032CF">
        <w:rPr>
          <w:rFonts w:ascii="Times New Roman" w:hAnsi="Times New Roman" w:cs="Times New Roman"/>
          <w:sz w:val="24"/>
          <w:szCs w:val="24"/>
        </w:rPr>
        <w:t xml:space="preserve"> (Ting and Gray, 2019)</w:t>
      </w:r>
      <w:r w:rsidRPr="006032CF">
        <w:rPr>
          <w:rFonts w:ascii="Times New Roman" w:hAnsi="Times New Roman" w:cs="Times New Roman"/>
          <w:sz w:val="24"/>
          <w:szCs w:val="24"/>
        </w:rPr>
        <w:t xml:space="preserve">. Its dividend distribution policy involves quarterly cash dividends and share repurchases. Apple's dividend </w:t>
      </w:r>
      <w:r w:rsidR="00A75C5B" w:rsidRPr="006032CF">
        <w:rPr>
          <w:rFonts w:ascii="Times New Roman" w:hAnsi="Times New Roman" w:cs="Times New Roman"/>
          <w:sz w:val="24"/>
          <w:szCs w:val="24"/>
        </w:rPr>
        <w:t>pay-out</w:t>
      </w:r>
      <w:r w:rsidRPr="006032CF">
        <w:rPr>
          <w:rFonts w:ascii="Times New Roman" w:hAnsi="Times New Roman" w:cs="Times New Roman"/>
          <w:sz w:val="24"/>
          <w:szCs w:val="24"/>
        </w:rPr>
        <w:t xml:space="preserve"> has increased each year, and as of 2021, its dividend yield is approximately 0.6%, and it has a </w:t>
      </w:r>
      <w:r w:rsidR="00A75C5B" w:rsidRPr="006032CF">
        <w:rPr>
          <w:rFonts w:ascii="Times New Roman" w:hAnsi="Times New Roman" w:cs="Times New Roman"/>
          <w:sz w:val="24"/>
          <w:szCs w:val="24"/>
        </w:rPr>
        <w:t>pay-out</w:t>
      </w:r>
      <w:r w:rsidRPr="006032CF">
        <w:rPr>
          <w:rFonts w:ascii="Times New Roman" w:hAnsi="Times New Roman" w:cs="Times New Roman"/>
          <w:sz w:val="24"/>
          <w:szCs w:val="24"/>
        </w:rPr>
        <w:t xml:space="preserve"> ratio of around 22%</w:t>
      </w:r>
      <w:r w:rsidR="006C536D" w:rsidRPr="006032CF">
        <w:rPr>
          <w:rFonts w:ascii="Times New Roman" w:hAnsi="Times New Roman" w:cs="Times New Roman"/>
          <w:sz w:val="24"/>
          <w:szCs w:val="24"/>
        </w:rPr>
        <w:t xml:space="preserve"> (Beyer </w:t>
      </w:r>
      <w:r w:rsidR="006C536D" w:rsidRPr="006032CF">
        <w:rPr>
          <w:rFonts w:ascii="Times New Roman" w:hAnsi="Times New Roman" w:cs="Times New Roman"/>
          <w:i/>
          <w:iCs/>
          <w:sz w:val="24"/>
          <w:szCs w:val="24"/>
        </w:rPr>
        <w:t>et al.</w:t>
      </w:r>
      <w:r w:rsidR="006C536D" w:rsidRPr="006032CF">
        <w:rPr>
          <w:rFonts w:ascii="Times New Roman" w:hAnsi="Times New Roman" w:cs="Times New Roman"/>
          <w:sz w:val="24"/>
          <w:szCs w:val="24"/>
        </w:rPr>
        <w:t>, 2022)</w:t>
      </w:r>
      <w:r w:rsidRPr="006032CF">
        <w:rPr>
          <w:rFonts w:ascii="Times New Roman" w:hAnsi="Times New Roman" w:cs="Times New Roman"/>
          <w:sz w:val="24"/>
          <w:szCs w:val="24"/>
        </w:rPr>
        <w:t xml:space="preserve">. The company also engages in share repurchases to return excess cash to shareholders, </w:t>
      </w:r>
      <w:r w:rsidRPr="006032CF">
        <w:rPr>
          <w:rFonts w:ascii="Times New Roman" w:hAnsi="Times New Roman" w:cs="Times New Roman"/>
          <w:sz w:val="24"/>
          <w:szCs w:val="24"/>
        </w:rPr>
        <w:lastRenderedPageBreak/>
        <w:t xml:space="preserve">with a target of reaching a net cash neutral position over time. Theoretical frameworks related to dividend distribution policy include agency theory and </w:t>
      </w:r>
      <w:r w:rsidR="00A75C5B" w:rsidRPr="006032CF">
        <w:rPr>
          <w:rFonts w:ascii="Times New Roman" w:hAnsi="Times New Roman" w:cs="Times New Roman"/>
          <w:sz w:val="24"/>
          <w:szCs w:val="24"/>
        </w:rPr>
        <w:t>signalling</w:t>
      </w:r>
      <w:r w:rsidRPr="006032CF">
        <w:rPr>
          <w:rFonts w:ascii="Times New Roman" w:hAnsi="Times New Roman" w:cs="Times New Roman"/>
          <w:sz w:val="24"/>
          <w:szCs w:val="24"/>
        </w:rPr>
        <w:t xml:space="preserve"> theory. Agency theory suggests that managers may have different objectives than shareholders, and the distribution of dividends can align their interests by reducing agency costs</w:t>
      </w:r>
      <w:r w:rsidR="006C536D" w:rsidRPr="006032CF">
        <w:rPr>
          <w:rFonts w:ascii="Times New Roman" w:hAnsi="Times New Roman" w:cs="Times New Roman"/>
          <w:sz w:val="24"/>
          <w:szCs w:val="24"/>
        </w:rPr>
        <w:t xml:space="preserve"> (Panda and </w:t>
      </w:r>
      <w:proofErr w:type="spellStart"/>
      <w:r w:rsidR="006C536D" w:rsidRPr="006032CF">
        <w:rPr>
          <w:rFonts w:ascii="Times New Roman" w:hAnsi="Times New Roman" w:cs="Times New Roman"/>
          <w:sz w:val="24"/>
          <w:szCs w:val="24"/>
        </w:rPr>
        <w:t>Leepsa</w:t>
      </w:r>
      <w:proofErr w:type="spellEnd"/>
      <w:r w:rsidR="006C536D" w:rsidRPr="006032CF">
        <w:rPr>
          <w:rFonts w:ascii="Times New Roman" w:hAnsi="Times New Roman" w:cs="Times New Roman"/>
          <w:sz w:val="24"/>
          <w:szCs w:val="24"/>
        </w:rPr>
        <w:t>, 2017)</w:t>
      </w:r>
      <w:r w:rsidRPr="006032CF">
        <w:rPr>
          <w:rFonts w:ascii="Times New Roman" w:hAnsi="Times New Roman" w:cs="Times New Roman"/>
          <w:sz w:val="24"/>
          <w:szCs w:val="24"/>
        </w:rPr>
        <w:t xml:space="preserve">. When a company pays dividends, it signals that it has excess cash and believes that it can continue to generate profits in the future, which is a positive signal for investors. </w:t>
      </w:r>
      <w:r w:rsidR="00A75C5B" w:rsidRPr="006032CF">
        <w:rPr>
          <w:rFonts w:ascii="Times New Roman" w:hAnsi="Times New Roman" w:cs="Times New Roman"/>
          <w:sz w:val="24"/>
          <w:szCs w:val="24"/>
        </w:rPr>
        <w:t>Signalling</w:t>
      </w:r>
      <w:r w:rsidRPr="006032CF">
        <w:rPr>
          <w:rFonts w:ascii="Times New Roman" w:hAnsi="Times New Roman" w:cs="Times New Roman"/>
          <w:sz w:val="24"/>
          <w:szCs w:val="24"/>
        </w:rPr>
        <w:t xml:space="preserve"> theory suggests that a company's dividend policy signals its financial strength and growth prospects to investors, influencing their investment decisions</w:t>
      </w:r>
      <w:r w:rsidR="006C536D" w:rsidRPr="006032CF">
        <w:rPr>
          <w:rFonts w:ascii="Times New Roman" w:hAnsi="Times New Roman" w:cs="Times New Roman"/>
          <w:sz w:val="24"/>
          <w:szCs w:val="24"/>
        </w:rPr>
        <w:t xml:space="preserve"> (</w:t>
      </w:r>
      <w:proofErr w:type="spellStart"/>
      <w:r w:rsidR="006C536D" w:rsidRPr="006032CF">
        <w:rPr>
          <w:rFonts w:ascii="Times New Roman" w:hAnsi="Times New Roman" w:cs="Times New Roman"/>
          <w:sz w:val="24"/>
          <w:szCs w:val="24"/>
        </w:rPr>
        <w:t>Triani</w:t>
      </w:r>
      <w:proofErr w:type="spellEnd"/>
      <w:r w:rsidR="006C536D" w:rsidRPr="006032CF">
        <w:rPr>
          <w:rFonts w:ascii="Times New Roman" w:hAnsi="Times New Roman" w:cs="Times New Roman"/>
          <w:sz w:val="24"/>
          <w:szCs w:val="24"/>
        </w:rPr>
        <w:t xml:space="preserve"> and </w:t>
      </w:r>
      <w:proofErr w:type="spellStart"/>
      <w:r w:rsidR="006C536D" w:rsidRPr="006032CF">
        <w:rPr>
          <w:rFonts w:ascii="Times New Roman" w:hAnsi="Times New Roman" w:cs="Times New Roman"/>
          <w:sz w:val="24"/>
          <w:szCs w:val="24"/>
        </w:rPr>
        <w:t>Tarmidi</w:t>
      </w:r>
      <w:proofErr w:type="spellEnd"/>
      <w:r w:rsidR="006C536D" w:rsidRPr="006032CF">
        <w:rPr>
          <w:rFonts w:ascii="Times New Roman" w:hAnsi="Times New Roman" w:cs="Times New Roman"/>
          <w:sz w:val="24"/>
          <w:szCs w:val="24"/>
        </w:rPr>
        <w:t>, 2019)</w:t>
      </w:r>
      <w:r w:rsidRPr="006032CF">
        <w:rPr>
          <w:rFonts w:ascii="Times New Roman" w:hAnsi="Times New Roman" w:cs="Times New Roman"/>
          <w:sz w:val="24"/>
          <w:szCs w:val="24"/>
        </w:rPr>
        <w:t xml:space="preserve">. Apple's dividend distribution policy </w:t>
      </w:r>
      <w:r w:rsidR="00A75C5B" w:rsidRPr="006032CF">
        <w:rPr>
          <w:rFonts w:ascii="Times New Roman" w:hAnsi="Times New Roman" w:cs="Times New Roman"/>
          <w:sz w:val="24"/>
          <w:szCs w:val="24"/>
        </w:rPr>
        <w:t>is</w:t>
      </w:r>
      <w:r w:rsidRPr="006032CF">
        <w:rPr>
          <w:rFonts w:ascii="Times New Roman" w:hAnsi="Times New Roman" w:cs="Times New Roman"/>
          <w:sz w:val="24"/>
          <w:szCs w:val="24"/>
        </w:rPr>
        <w:t xml:space="preserve"> effective in aligning shareholder interests and </w:t>
      </w:r>
      <w:r w:rsidR="00A75C5B" w:rsidRPr="006032CF">
        <w:rPr>
          <w:rFonts w:ascii="Times New Roman" w:hAnsi="Times New Roman" w:cs="Times New Roman"/>
          <w:sz w:val="24"/>
          <w:szCs w:val="24"/>
        </w:rPr>
        <w:t>signalling</w:t>
      </w:r>
      <w:r w:rsidRPr="006032CF">
        <w:rPr>
          <w:rFonts w:ascii="Times New Roman" w:hAnsi="Times New Roman" w:cs="Times New Roman"/>
          <w:sz w:val="24"/>
          <w:szCs w:val="24"/>
        </w:rPr>
        <w:t xml:space="preserve"> the company's financial strength. The consistent increase in dividend </w:t>
      </w:r>
      <w:r w:rsidR="00A75C5B" w:rsidRPr="006032CF">
        <w:rPr>
          <w:rFonts w:ascii="Times New Roman" w:hAnsi="Times New Roman" w:cs="Times New Roman"/>
          <w:sz w:val="24"/>
          <w:szCs w:val="24"/>
        </w:rPr>
        <w:t>pay-out</w:t>
      </w:r>
      <w:r w:rsidRPr="006032CF">
        <w:rPr>
          <w:rFonts w:ascii="Times New Roman" w:hAnsi="Times New Roman" w:cs="Times New Roman"/>
          <w:sz w:val="24"/>
          <w:szCs w:val="24"/>
        </w:rPr>
        <w:t xml:space="preserve"> and share repurchases have resulted in an increase in shareholder value and a positive perception of Apple's financial health. Additionally, the company's financial performance has been strong, with high profitability and cash reserves. Apple's dividend distribution policy has been an important factor in attracting and retaining investors and has contributed to the company's overall success.</w:t>
      </w:r>
    </w:p>
    <w:p w14:paraId="050BAC14" w14:textId="3726224A" w:rsidR="00275ED5" w:rsidRPr="006032CF" w:rsidRDefault="00275ED5" w:rsidP="004608D2">
      <w:pPr>
        <w:spacing w:line="480" w:lineRule="auto"/>
        <w:rPr>
          <w:rFonts w:ascii="Times New Roman" w:hAnsi="Times New Roman" w:cs="Times New Roman"/>
          <w:sz w:val="24"/>
          <w:szCs w:val="24"/>
        </w:rPr>
      </w:pPr>
    </w:p>
    <w:p w14:paraId="7A5187DB" w14:textId="5F869849" w:rsidR="00275ED5" w:rsidRPr="006032CF" w:rsidRDefault="00275ED5" w:rsidP="004608D2">
      <w:pPr>
        <w:pStyle w:val="Heading2"/>
        <w:spacing w:before="0" w:line="480" w:lineRule="auto"/>
        <w:rPr>
          <w:rFonts w:cs="Times New Roman"/>
          <w:szCs w:val="24"/>
        </w:rPr>
      </w:pPr>
      <w:r w:rsidRPr="006032CF">
        <w:rPr>
          <w:rFonts w:cs="Times New Roman"/>
          <w:szCs w:val="24"/>
        </w:rPr>
        <w:t>Efficient Market Hypothesis Theory</w:t>
      </w:r>
    </w:p>
    <w:p w14:paraId="4CFE4361" w14:textId="5DB84878" w:rsidR="00275ED5" w:rsidRPr="006032CF" w:rsidRDefault="00430508" w:rsidP="004608D2">
      <w:pPr>
        <w:spacing w:line="480" w:lineRule="auto"/>
        <w:ind w:firstLine="720"/>
        <w:rPr>
          <w:rFonts w:ascii="Times New Roman" w:hAnsi="Times New Roman" w:cs="Times New Roman"/>
          <w:sz w:val="24"/>
          <w:szCs w:val="24"/>
        </w:rPr>
      </w:pPr>
      <w:r w:rsidRPr="006032CF">
        <w:rPr>
          <w:rFonts w:ascii="Times New Roman" w:hAnsi="Times New Roman" w:cs="Times New Roman"/>
          <w:sz w:val="24"/>
          <w:szCs w:val="24"/>
        </w:rPr>
        <w:t>The efficient market hypothesis (EMH) theory has been a subject of much debate in the world of finance. The theory proposes that all available information is immediately incorporated into asset prices, and market participants are rational, leading to the conclusion that it is impossible to consistently outperform the market</w:t>
      </w:r>
      <w:r w:rsidR="006C536D" w:rsidRPr="006032CF">
        <w:rPr>
          <w:rFonts w:ascii="Times New Roman" w:hAnsi="Times New Roman" w:cs="Times New Roman"/>
          <w:sz w:val="24"/>
          <w:szCs w:val="24"/>
        </w:rPr>
        <w:t xml:space="preserve"> (Jones and </w:t>
      </w:r>
      <w:proofErr w:type="spellStart"/>
      <w:r w:rsidR="006C536D" w:rsidRPr="006032CF">
        <w:rPr>
          <w:rFonts w:ascii="Times New Roman" w:hAnsi="Times New Roman" w:cs="Times New Roman"/>
          <w:sz w:val="24"/>
          <w:szCs w:val="24"/>
        </w:rPr>
        <w:t>Trevillion</w:t>
      </w:r>
      <w:proofErr w:type="spellEnd"/>
      <w:r w:rsidR="006C536D" w:rsidRPr="006032CF">
        <w:rPr>
          <w:rFonts w:ascii="Times New Roman" w:hAnsi="Times New Roman" w:cs="Times New Roman"/>
          <w:sz w:val="24"/>
          <w:szCs w:val="24"/>
        </w:rPr>
        <w:t>, 2022)</w:t>
      </w:r>
      <w:r w:rsidRPr="006032CF">
        <w:rPr>
          <w:rFonts w:ascii="Times New Roman" w:hAnsi="Times New Roman" w:cs="Times New Roman"/>
          <w:sz w:val="24"/>
          <w:szCs w:val="24"/>
        </w:rPr>
        <w:t xml:space="preserve">. This means that stock prices are always fairly valued, and there is no such thing as an undervalued or overvalued stock. Despite its limitations, the EMH theory has played a significant role in shaping the modern financial landscape. It has influenced the development of index funds and passive investing, which have become popular investment strategies for investors who </w:t>
      </w:r>
      <w:r w:rsidRPr="006032CF">
        <w:rPr>
          <w:rFonts w:ascii="Times New Roman" w:hAnsi="Times New Roman" w:cs="Times New Roman"/>
          <w:sz w:val="24"/>
          <w:szCs w:val="24"/>
        </w:rPr>
        <w:lastRenderedPageBreak/>
        <w:t>believe in the theory</w:t>
      </w:r>
      <w:r w:rsidR="006C536D" w:rsidRPr="006032CF">
        <w:rPr>
          <w:rFonts w:ascii="Times New Roman" w:hAnsi="Times New Roman" w:cs="Times New Roman"/>
          <w:sz w:val="24"/>
          <w:szCs w:val="24"/>
        </w:rPr>
        <w:t xml:space="preserve"> (Brown, 2020)</w:t>
      </w:r>
      <w:r w:rsidRPr="006032CF">
        <w:rPr>
          <w:rFonts w:ascii="Times New Roman" w:hAnsi="Times New Roman" w:cs="Times New Roman"/>
          <w:sz w:val="24"/>
          <w:szCs w:val="24"/>
        </w:rPr>
        <w:t xml:space="preserve">. However, critics argue that the EMH theory does not account for market inefficiencies, anomalies, and irrational </w:t>
      </w:r>
      <w:r w:rsidR="00A75C5B" w:rsidRPr="006032CF">
        <w:rPr>
          <w:rFonts w:ascii="Times New Roman" w:hAnsi="Times New Roman" w:cs="Times New Roman"/>
          <w:sz w:val="24"/>
          <w:szCs w:val="24"/>
        </w:rPr>
        <w:t>behaviour</w:t>
      </w:r>
      <w:r w:rsidR="006C536D" w:rsidRPr="006032CF">
        <w:rPr>
          <w:rFonts w:ascii="Times New Roman" w:hAnsi="Times New Roman" w:cs="Times New Roman"/>
          <w:sz w:val="24"/>
          <w:szCs w:val="24"/>
        </w:rPr>
        <w:t xml:space="preserve"> (Kapoor and </w:t>
      </w:r>
      <w:proofErr w:type="spellStart"/>
      <w:r w:rsidR="006C536D" w:rsidRPr="006032CF">
        <w:rPr>
          <w:rFonts w:ascii="Times New Roman" w:hAnsi="Times New Roman" w:cs="Times New Roman"/>
          <w:sz w:val="24"/>
          <w:szCs w:val="24"/>
        </w:rPr>
        <w:t>Prosad</w:t>
      </w:r>
      <w:proofErr w:type="spellEnd"/>
      <w:r w:rsidR="006C536D" w:rsidRPr="006032CF">
        <w:rPr>
          <w:rFonts w:ascii="Times New Roman" w:hAnsi="Times New Roman" w:cs="Times New Roman"/>
          <w:sz w:val="24"/>
          <w:szCs w:val="24"/>
        </w:rPr>
        <w:t xml:space="preserve">, 2017; Singh </w:t>
      </w:r>
      <w:r w:rsidR="006C536D" w:rsidRPr="006032CF">
        <w:rPr>
          <w:rFonts w:ascii="Times New Roman" w:hAnsi="Times New Roman" w:cs="Times New Roman"/>
          <w:i/>
          <w:iCs/>
          <w:sz w:val="24"/>
          <w:szCs w:val="24"/>
        </w:rPr>
        <w:t>et al.</w:t>
      </w:r>
      <w:r w:rsidR="006C536D" w:rsidRPr="006032CF">
        <w:rPr>
          <w:rFonts w:ascii="Times New Roman" w:hAnsi="Times New Roman" w:cs="Times New Roman"/>
          <w:sz w:val="24"/>
          <w:szCs w:val="24"/>
        </w:rPr>
        <w:t>, 2021)</w:t>
      </w:r>
      <w:r w:rsidRPr="006032CF">
        <w:rPr>
          <w:rFonts w:ascii="Times New Roman" w:hAnsi="Times New Roman" w:cs="Times New Roman"/>
          <w:sz w:val="24"/>
          <w:szCs w:val="24"/>
        </w:rPr>
        <w:t xml:space="preserve">. When it comes to Apple Inc., the company's operations do conform to the EMH theory to a certain extent. The company is a highly visible and closely followed company in the technology sector, with a vast network of investors, analysts, and media outlets closely monitoring its every move. Apple's financial performance, product launches, and strategic decisions are widely reported and </w:t>
      </w:r>
      <w:r w:rsidR="00A75C5B" w:rsidRPr="006032CF">
        <w:rPr>
          <w:rFonts w:ascii="Times New Roman" w:hAnsi="Times New Roman" w:cs="Times New Roman"/>
          <w:sz w:val="24"/>
          <w:szCs w:val="24"/>
        </w:rPr>
        <w:t>analysed</w:t>
      </w:r>
      <w:r w:rsidRPr="006032CF">
        <w:rPr>
          <w:rFonts w:ascii="Times New Roman" w:hAnsi="Times New Roman" w:cs="Times New Roman"/>
          <w:sz w:val="24"/>
          <w:szCs w:val="24"/>
        </w:rPr>
        <w:t xml:space="preserve"> in the media, making most available information about the company immediately reflected in its stock price. However, it is worth noting that the EMH theory has limitations, and its assumptions do not always hold in practice. For example, there may be information asymmetry between insiders and outsiders, and some investors may have access to privileged information that is not available to the general public. This can lead to market inefficiencies and anomalies, such as insider trading or market manipulation. Moreover, emotional biases and irrational </w:t>
      </w:r>
      <w:r w:rsidR="00A75C5B" w:rsidRPr="006032CF">
        <w:rPr>
          <w:rFonts w:ascii="Times New Roman" w:hAnsi="Times New Roman" w:cs="Times New Roman"/>
          <w:sz w:val="24"/>
          <w:szCs w:val="24"/>
        </w:rPr>
        <w:t>behaviour</w:t>
      </w:r>
      <w:r w:rsidRPr="006032CF">
        <w:rPr>
          <w:rFonts w:ascii="Times New Roman" w:hAnsi="Times New Roman" w:cs="Times New Roman"/>
          <w:sz w:val="24"/>
          <w:szCs w:val="24"/>
        </w:rPr>
        <w:t xml:space="preserve"> can also lead to stock price fluctuations that are not based on fundamental factors</w:t>
      </w:r>
      <w:r w:rsidR="006C536D" w:rsidRPr="006032CF">
        <w:rPr>
          <w:rFonts w:ascii="Times New Roman" w:hAnsi="Times New Roman" w:cs="Times New Roman"/>
          <w:sz w:val="24"/>
          <w:szCs w:val="24"/>
        </w:rPr>
        <w:t xml:space="preserve"> (</w:t>
      </w:r>
      <w:proofErr w:type="spellStart"/>
      <w:r w:rsidR="006C536D" w:rsidRPr="006032CF">
        <w:rPr>
          <w:rFonts w:ascii="Times New Roman" w:hAnsi="Times New Roman" w:cs="Times New Roman"/>
          <w:sz w:val="24"/>
          <w:szCs w:val="24"/>
        </w:rPr>
        <w:t>Dervishaj</w:t>
      </w:r>
      <w:proofErr w:type="spellEnd"/>
      <w:r w:rsidR="006C536D" w:rsidRPr="006032CF">
        <w:rPr>
          <w:rFonts w:ascii="Times New Roman" w:hAnsi="Times New Roman" w:cs="Times New Roman"/>
          <w:sz w:val="24"/>
          <w:szCs w:val="24"/>
        </w:rPr>
        <w:t>, 2021)</w:t>
      </w:r>
      <w:r w:rsidRPr="006032CF">
        <w:rPr>
          <w:rFonts w:ascii="Times New Roman" w:hAnsi="Times New Roman" w:cs="Times New Roman"/>
          <w:sz w:val="24"/>
          <w:szCs w:val="24"/>
        </w:rPr>
        <w:t xml:space="preserve">. For instance, investor sentiment or panic can lead to sharp price movements that are not justified by the company's financial performance or news. Such market inefficiencies present opportunities for investors who believe in value investing, which involves identifying undervalued assets and buying them with the expectation that they will eventually increase in value. While the EMH theory has its limitations, it has played a crucial role in shaping the modern financial landscape. It has influenced investment strategies, and its assumptions hold to a certain extent in the case of highly visible and closely followed companies like Apple Inc. However, market inefficiencies, anomalies, and irrational </w:t>
      </w:r>
      <w:r w:rsidR="00A75C5B" w:rsidRPr="006032CF">
        <w:rPr>
          <w:rFonts w:ascii="Times New Roman" w:hAnsi="Times New Roman" w:cs="Times New Roman"/>
          <w:sz w:val="24"/>
          <w:szCs w:val="24"/>
        </w:rPr>
        <w:t>behaviour</w:t>
      </w:r>
      <w:r w:rsidRPr="006032CF">
        <w:rPr>
          <w:rFonts w:ascii="Times New Roman" w:hAnsi="Times New Roman" w:cs="Times New Roman"/>
          <w:sz w:val="24"/>
          <w:szCs w:val="24"/>
        </w:rPr>
        <w:t xml:space="preserve"> also exist, presenting opportunities for investors who believe in value investing.</w:t>
      </w:r>
    </w:p>
    <w:p w14:paraId="6341C2A0" w14:textId="6CD451A2" w:rsidR="00275ED5" w:rsidRPr="006032CF" w:rsidRDefault="00275ED5" w:rsidP="004608D2">
      <w:pPr>
        <w:spacing w:line="480" w:lineRule="auto"/>
        <w:rPr>
          <w:rFonts w:ascii="Times New Roman" w:hAnsi="Times New Roman" w:cs="Times New Roman"/>
          <w:sz w:val="24"/>
          <w:szCs w:val="24"/>
        </w:rPr>
      </w:pPr>
    </w:p>
    <w:p w14:paraId="284CA811" w14:textId="6A13F9D1" w:rsidR="00275ED5" w:rsidRPr="006032CF" w:rsidRDefault="00275ED5" w:rsidP="004608D2">
      <w:pPr>
        <w:pStyle w:val="Heading2"/>
        <w:spacing w:before="0" w:line="480" w:lineRule="auto"/>
        <w:rPr>
          <w:rFonts w:cs="Times New Roman"/>
          <w:szCs w:val="24"/>
        </w:rPr>
      </w:pPr>
      <w:r w:rsidRPr="006032CF">
        <w:rPr>
          <w:rFonts w:cs="Times New Roman"/>
          <w:szCs w:val="24"/>
        </w:rPr>
        <w:lastRenderedPageBreak/>
        <w:t>Methods of Appraising Projects</w:t>
      </w:r>
    </w:p>
    <w:p w14:paraId="1AB58B32" w14:textId="5DF24885" w:rsidR="00275ED5" w:rsidRPr="006032CF" w:rsidRDefault="00275ED5" w:rsidP="004608D2">
      <w:pPr>
        <w:spacing w:line="480" w:lineRule="auto"/>
        <w:ind w:firstLine="720"/>
        <w:rPr>
          <w:rFonts w:ascii="Times New Roman" w:hAnsi="Times New Roman" w:cs="Times New Roman"/>
          <w:sz w:val="24"/>
          <w:szCs w:val="24"/>
        </w:rPr>
      </w:pPr>
      <w:r w:rsidRPr="006032CF">
        <w:rPr>
          <w:rFonts w:ascii="Times New Roman" w:hAnsi="Times New Roman" w:cs="Times New Roman"/>
          <w:sz w:val="24"/>
          <w:szCs w:val="24"/>
        </w:rPr>
        <w:t>Methods of appraising projects are essential for companies like Apple to make informed investment decisions. These methods allow Apple to assess the potential profitability of a proposed investment project, which helps in determining whether to proceed with the investment or not. Apple uses various methods to appraise projects, including NPV, IRR, and payback period. NPV is an effective method for appraising projects that considers the time value of money</w:t>
      </w:r>
      <w:r w:rsidR="006C536D" w:rsidRPr="006032CF">
        <w:rPr>
          <w:rFonts w:ascii="Times New Roman" w:hAnsi="Times New Roman" w:cs="Times New Roman"/>
          <w:sz w:val="24"/>
          <w:szCs w:val="24"/>
        </w:rPr>
        <w:t xml:space="preserve"> (Hopkinson, 2017)</w:t>
      </w:r>
      <w:r w:rsidRPr="006032CF">
        <w:rPr>
          <w:rFonts w:ascii="Times New Roman" w:hAnsi="Times New Roman" w:cs="Times New Roman"/>
          <w:sz w:val="24"/>
          <w:szCs w:val="24"/>
        </w:rPr>
        <w:t>. This technique allows Apple to assess the present value of expected cash flows from the project, discounted at the required rate of return. This approach enables Apple to consider the future cash flows of the project and compare them to the initial investment. If the NPV is positive, it indicates that the investment is potentially profitable, and if it is negative, the investment is unlikely to be profitable</w:t>
      </w:r>
      <w:r w:rsidR="006032CF" w:rsidRPr="006032CF">
        <w:rPr>
          <w:rFonts w:ascii="Times New Roman" w:hAnsi="Times New Roman" w:cs="Times New Roman"/>
          <w:sz w:val="24"/>
          <w:szCs w:val="24"/>
        </w:rPr>
        <w:t xml:space="preserve"> (</w:t>
      </w:r>
      <w:proofErr w:type="spellStart"/>
      <w:r w:rsidR="006032CF" w:rsidRPr="006032CF">
        <w:rPr>
          <w:rFonts w:ascii="Times New Roman" w:hAnsi="Times New Roman" w:cs="Times New Roman"/>
          <w:sz w:val="24"/>
          <w:szCs w:val="24"/>
        </w:rPr>
        <w:t>Assereto</w:t>
      </w:r>
      <w:proofErr w:type="spellEnd"/>
      <w:r w:rsidR="006032CF" w:rsidRPr="006032CF">
        <w:rPr>
          <w:rFonts w:ascii="Times New Roman" w:hAnsi="Times New Roman" w:cs="Times New Roman"/>
          <w:sz w:val="24"/>
          <w:szCs w:val="24"/>
        </w:rPr>
        <w:t xml:space="preserve"> and Byrne, 2021)</w:t>
      </w:r>
      <w:r w:rsidRPr="006032CF">
        <w:rPr>
          <w:rFonts w:ascii="Times New Roman" w:hAnsi="Times New Roman" w:cs="Times New Roman"/>
          <w:sz w:val="24"/>
          <w:szCs w:val="24"/>
        </w:rPr>
        <w:t>. IRR is another effective method that Apple uses to appraise projects. This technique calculates the rate at which the project's NPV equals zero. If the IRR is higher than the required rate of return, it indicates that the project is potentially profitable</w:t>
      </w:r>
      <w:r w:rsidR="006032CF" w:rsidRPr="006032CF">
        <w:rPr>
          <w:rFonts w:ascii="Times New Roman" w:hAnsi="Times New Roman" w:cs="Times New Roman"/>
          <w:sz w:val="24"/>
          <w:szCs w:val="24"/>
        </w:rPr>
        <w:t xml:space="preserve"> (Mellichamp, 2017)</w:t>
      </w:r>
      <w:r w:rsidRPr="006032CF">
        <w:rPr>
          <w:rFonts w:ascii="Times New Roman" w:hAnsi="Times New Roman" w:cs="Times New Roman"/>
          <w:sz w:val="24"/>
          <w:szCs w:val="24"/>
        </w:rPr>
        <w:t>. The higher the IRR, the more profitable the investment is likely to be. Payback period is a simple method that measures the time it takes for the expected cash flows from a project to equal the initial investment. Apple uses this technique to determine how quickly it can recoup its investment. If the payback period is shorter than the required timeframe, the investment is likely to be profitable</w:t>
      </w:r>
      <w:r w:rsidR="006032CF" w:rsidRPr="006032CF">
        <w:rPr>
          <w:rFonts w:ascii="Times New Roman" w:hAnsi="Times New Roman" w:cs="Times New Roman"/>
          <w:sz w:val="24"/>
          <w:szCs w:val="24"/>
        </w:rPr>
        <w:t xml:space="preserve"> (Pillai and Naser, 2018)</w:t>
      </w:r>
      <w:r w:rsidRPr="006032CF">
        <w:rPr>
          <w:rFonts w:ascii="Times New Roman" w:hAnsi="Times New Roman" w:cs="Times New Roman"/>
          <w:sz w:val="24"/>
          <w:szCs w:val="24"/>
        </w:rPr>
        <w:t>. The theoretical framework related to the methods of appraising projects includes several financial theories. The NPV theory suggests that the present value of expected cash flows should be greater than the initial investment for an investment project to be profitable</w:t>
      </w:r>
      <w:r w:rsidR="006032CF" w:rsidRPr="006032CF">
        <w:rPr>
          <w:rFonts w:ascii="Times New Roman" w:hAnsi="Times New Roman" w:cs="Times New Roman"/>
          <w:sz w:val="24"/>
          <w:szCs w:val="24"/>
        </w:rPr>
        <w:t xml:space="preserve"> (</w:t>
      </w:r>
      <w:proofErr w:type="spellStart"/>
      <w:r w:rsidR="006032CF" w:rsidRPr="006032CF">
        <w:rPr>
          <w:rFonts w:ascii="Times New Roman" w:hAnsi="Times New Roman" w:cs="Times New Roman"/>
          <w:sz w:val="24"/>
          <w:szCs w:val="24"/>
        </w:rPr>
        <w:t>Gaspars-Wieloch</w:t>
      </w:r>
      <w:proofErr w:type="spellEnd"/>
      <w:r w:rsidR="006032CF" w:rsidRPr="006032CF">
        <w:rPr>
          <w:rFonts w:ascii="Times New Roman" w:hAnsi="Times New Roman" w:cs="Times New Roman"/>
          <w:sz w:val="24"/>
          <w:szCs w:val="24"/>
        </w:rPr>
        <w:t>, 2019)</w:t>
      </w:r>
      <w:r w:rsidRPr="006032CF">
        <w:rPr>
          <w:rFonts w:ascii="Times New Roman" w:hAnsi="Times New Roman" w:cs="Times New Roman"/>
          <w:sz w:val="24"/>
          <w:szCs w:val="24"/>
        </w:rPr>
        <w:t>. The IRR theory suggests that the required rate of return should be less than the project's IRR for it to be profitable</w:t>
      </w:r>
      <w:r w:rsidR="006032CF" w:rsidRPr="006032CF">
        <w:rPr>
          <w:rFonts w:ascii="Times New Roman" w:hAnsi="Times New Roman" w:cs="Times New Roman"/>
          <w:sz w:val="24"/>
          <w:szCs w:val="24"/>
        </w:rPr>
        <w:t xml:space="preserve"> (Crosby </w:t>
      </w:r>
      <w:r w:rsidR="006032CF" w:rsidRPr="006032CF">
        <w:rPr>
          <w:rFonts w:ascii="Times New Roman" w:hAnsi="Times New Roman" w:cs="Times New Roman"/>
          <w:i/>
          <w:iCs/>
          <w:sz w:val="24"/>
          <w:szCs w:val="24"/>
        </w:rPr>
        <w:t>et al.</w:t>
      </w:r>
      <w:r w:rsidR="006032CF" w:rsidRPr="006032CF">
        <w:rPr>
          <w:rFonts w:ascii="Times New Roman" w:hAnsi="Times New Roman" w:cs="Times New Roman"/>
          <w:sz w:val="24"/>
          <w:szCs w:val="24"/>
        </w:rPr>
        <w:t>, 2018)</w:t>
      </w:r>
      <w:r w:rsidRPr="006032CF">
        <w:rPr>
          <w:rFonts w:ascii="Times New Roman" w:hAnsi="Times New Roman" w:cs="Times New Roman"/>
          <w:sz w:val="24"/>
          <w:szCs w:val="24"/>
        </w:rPr>
        <w:t xml:space="preserve">. The payback period theory suggests that the payback period should be shorter than the required timeframe for the investment to be profitable. </w:t>
      </w:r>
      <w:r w:rsidRPr="006032CF">
        <w:rPr>
          <w:rFonts w:ascii="Times New Roman" w:hAnsi="Times New Roman" w:cs="Times New Roman"/>
          <w:sz w:val="24"/>
          <w:szCs w:val="24"/>
        </w:rPr>
        <w:lastRenderedPageBreak/>
        <w:t>Apple's methods of appraising projects are effective as the company has a track record of successful investments. The company's financial success is evidence that its investment decisions are sound, and the methods used to appraise projects are likely contributing factors to this success. Apple's use of multiple methods to appraise projects provides a comprehensive evaluation of the potential profitability of investment projects.</w:t>
      </w:r>
    </w:p>
    <w:p w14:paraId="1B63C3E9" w14:textId="33A276A4" w:rsidR="00275ED5" w:rsidRPr="006032CF" w:rsidRDefault="00275ED5" w:rsidP="004608D2">
      <w:pPr>
        <w:spacing w:line="480" w:lineRule="auto"/>
        <w:rPr>
          <w:rFonts w:ascii="Times New Roman" w:hAnsi="Times New Roman" w:cs="Times New Roman"/>
          <w:sz w:val="24"/>
          <w:szCs w:val="24"/>
        </w:rPr>
      </w:pPr>
    </w:p>
    <w:p w14:paraId="7AAE3FCD" w14:textId="6894AAC5" w:rsidR="00275ED5" w:rsidRPr="006032CF" w:rsidRDefault="00275ED5" w:rsidP="004608D2">
      <w:pPr>
        <w:pStyle w:val="Heading1"/>
        <w:spacing w:before="0" w:line="480" w:lineRule="auto"/>
        <w:rPr>
          <w:rFonts w:cs="Times New Roman"/>
          <w:szCs w:val="24"/>
        </w:rPr>
      </w:pPr>
      <w:r w:rsidRPr="006032CF">
        <w:rPr>
          <w:rFonts w:cs="Times New Roman"/>
          <w:szCs w:val="24"/>
        </w:rPr>
        <w:t>Conclusion</w:t>
      </w:r>
    </w:p>
    <w:p w14:paraId="629E22A6" w14:textId="677D45C8" w:rsidR="006032CF" w:rsidRPr="006032CF" w:rsidRDefault="00275ED5" w:rsidP="004608D2">
      <w:pPr>
        <w:spacing w:line="480" w:lineRule="auto"/>
        <w:ind w:firstLine="720"/>
        <w:rPr>
          <w:rFonts w:ascii="Times New Roman" w:hAnsi="Times New Roman" w:cs="Times New Roman"/>
          <w:sz w:val="24"/>
          <w:szCs w:val="24"/>
        </w:rPr>
      </w:pPr>
      <w:r w:rsidRPr="006032CF">
        <w:rPr>
          <w:rFonts w:ascii="Times New Roman" w:hAnsi="Times New Roman" w:cs="Times New Roman"/>
          <w:sz w:val="24"/>
          <w:szCs w:val="24"/>
        </w:rPr>
        <w:t xml:space="preserve">In conclusion, this essay has critically </w:t>
      </w:r>
      <w:r w:rsidR="00A75C5B" w:rsidRPr="006032CF">
        <w:rPr>
          <w:rFonts w:ascii="Times New Roman" w:hAnsi="Times New Roman" w:cs="Times New Roman"/>
          <w:sz w:val="24"/>
          <w:szCs w:val="24"/>
        </w:rPr>
        <w:t>analysed</w:t>
      </w:r>
      <w:r w:rsidRPr="006032CF">
        <w:rPr>
          <w:rFonts w:ascii="Times New Roman" w:hAnsi="Times New Roman" w:cs="Times New Roman"/>
          <w:sz w:val="24"/>
          <w:szCs w:val="24"/>
        </w:rPr>
        <w:t xml:space="preserve"> and evaluated the importance of international financial management to a multinational corporation. This essay discussed the challenges that multinational corporations may face in different international financial markets, and how these challenges can be overcome by applying relevant theories of international </w:t>
      </w:r>
      <w:r w:rsidR="00A75C5B" w:rsidRPr="006032CF">
        <w:rPr>
          <w:rFonts w:ascii="Times New Roman" w:hAnsi="Times New Roman" w:cs="Times New Roman"/>
          <w:sz w:val="24"/>
          <w:szCs w:val="24"/>
        </w:rPr>
        <w:t>fiscal management</w:t>
      </w:r>
      <w:r w:rsidRPr="006032CF">
        <w:rPr>
          <w:rFonts w:ascii="Times New Roman" w:hAnsi="Times New Roman" w:cs="Times New Roman"/>
          <w:sz w:val="24"/>
          <w:szCs w:val="24"/>
        </w:rPr>
        <w:t xml:space="preserve">. Furthermore, this essay </w:t>
      </w:r>
      <w:r w:rsidR="00A75C5B" w:rsidRPr="006032CF">
        <w:rPr>
          <w:rFonts w:ascii="Times New Roman" w:hAnsi="Times New Roman" w:cs="Times New Roman"/>
          <w:sz w:val="24"/>
          <w:szCs w:val="24"/>
        </w:rPr>
        <w:t>analysed</w:t>
      </w:r>
      <w:r w:rsidRPr="006032CF">
        <w:rPr>
          <w:rFonts w:ascii="Times New Roman" w:hAnsi="Times New Roman" w:cs="Times New Roman"/>
          <w:sz w:val="24"/>
          <w:szCs w:val="24"/>
        </w:rPr>
        <w:t xml:space="preserve"> and evaluated Apple Inc.'s dividend distribution policy, methods of appraising projects, and the extent to which the efficient market hypothesis theory applies to its operations. Through this analysis, this essay demonstrated how the theories of international financial management can be applied to real-world situations and how empirical evidence can be used to support our claims. Overall, this essay has shown that multinational corporations need to have a deep understanding of international financial management to operate effectively in today's globalized economy. By applying the appropriate theories and methods, they can make informed decisions and mitigate the risks associated with international financial markets.</w:t>
      </w:r>
    </w:p>
    <w:p w14:paraId="4BEB08CF" w14:textId="77777777" w:rsidR="006032CF" w:rsidRPr="006032CF" w:rsidRDefault="006032CF" w:rsidP="004608D2">
      <w:pPr>
        <w:spacing w:line="480" w:lineRule="auto"/>
        <w:rPr>
          <w:rFonts w:ascii="Times New Roman" w:hAnsi="Times New Roman" w:cs="Times New Roman"/>
          <w:sz w:val="24"/>
          <w:szCs w:val="24"/>
        </w:rPr>
      </w:pPr>
      <w:r w:rsidRPr="006032CF">
        <w:rPr>
          <w:rFonts w:ascii="Times New Roman" w:hAnsi="Times New Roman" w:cs="Times New Roman"/>
          <w:sz w:val="24"/>
          <w:szCs w:val="24"/>
        </w:rPr>
        <w:br w:type="page"/>
      </w:r>
    </w:p>
    <w:p w14:paraId="1709A14A" w14:textId="286AE1B5" w:rsidR="00275ED5" w:rsidRPr="006032CF" w:rsidRDefault="006032CF" w:rsidP="004608D2">
      <w:pPr>
        <w:pStyle w:val="Heading1"/>
        <w:spacing w:before="0" w:line="480" w:lineRule="auto"/>
      </w:pPr>
      <w:r w:rsidRPr="006032CF">
        <w:lastRenderedPageBreak/>
        <w:t>References</w:t>
      </w:r>
    </w:p>
    <w:p w14:paraId="48DA3406" w14:textId="4952C3AA" w:rsidR="006032CF" w:rsidRPr="006032CF" w:rsidRDefault="006032CF" w:rsidP="004608D2">
      <w:pPr>
        <w:spacing w:line="480" w:lineRule="auto"/>
        <w:rPr>
          <w:rFonts w:ascii="Times New Roman" w:hAnsi="Times New Roman" w:cs="Times New Roman"/>
          <w:color w:val="222222"/>
          <w:sz w:val="24"/>
          <w:szCs w:val="24"/>
          <w:shd w:val="clear" w:color="auto" w:fill="FFFFFF"/>
        </w:rPr>
      </w:pPr>
      <w:proofErr w:type="spellStart"/>
      <w:r w:rsidRPr="006032CF">
        <w:rPr>
          <w:rFonts w:ascii="Times New Roman" w:hAnsi="Times New Roman" w:cs="Times New Roman"/>
          <w:color w:val="222222"/>
          <w:sz w:val="24"/>
          <w:szCs w:val="24"/>
          <w:shd w:val="clear" w:color="auto" w:fill="FFFFFF"/>
        </w:rPr>
        <w:t>Assereto</w:t>
      </w:r>
      <w:proofErr w:type="spellEnd"/>
      <w:r w:rsidRPr="006032CF">
        <w:rPr>
          <w:rFonts w:ascii="Times New Roman" w:hAnsi="Times New Roman" w:cs="Times New Roman"/>
          <w:color w:val="222222"/>
          <w:sz w:val="24"/>
          <w:szCs w:val="24"/>
          <w:shd w:val="clear" w:color="auto" w:fill="FFFFFF"/>
        </w:rPr>
        <w:t>, M. and Byrne, J., 2021. No real option for solar in Ireland: A real option valuation of utility scale solar investment in Ireland. </w:t>
      </w:r>
      <w:r w:rsidRPr="006032CF">
        <w:rPr>
          <w:rFonts w:ascii="Times New Roman" w:hAnsi="Times New Roman" w:cs="Times New Roman"/>
          <w:i/>
          <w:iCs/>
          <w:color w:val="222222"/>
          <w:sz w:val="24"/>
          <w:szCs w:val="24"/>
          <w:shd w:val="clear" w:color="auto" w:fill="FFFFFF"/>
        </w:rPr>
        <w:t>Renewable and Sustainable Energy Reviews</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143</w:t>
      </w:r>
      <w:r w:rsidRPr="006032CF">
        <w:rPr>
          <w:rFonts w:ascii="Times New Roman" w:hAnsi="Times New Roman" w:cs="Times New Roman"/>
          <w:color w:val="222222"/>
          <w:sz w:val="24"/>
          <w:szCs w:val="24"/>
          <w:shd w:val="clear" w:color="auto" w:fill="FFFFFF"/>
        </w:rPr>
        <w:t>, p.110892.</w:t>
      </w:r>
    </w:p>
    <w:p w14:paraId="760AACDB"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 xml:space="preserve">Beyer, B., Downes, J.F., Mathis, M. and </w:t>
      </w:r>
      <w:proofErr w:type="spellStart"/>
      <w:r w:rsidRPr="006032CF">
        <w:rPr>
          <w:rFonts w:ascii="Times New Roman" w:hAnsi="Times New Roman" w:cs="Times New Roman"/>
          <w:color w:val="222222"/>
          <w:sz w:val="24"/>
          <w:szCs w:val="24"/>
          <w:shd w:val="clear" w:color="auto" w:fill="FFFFFF"/>
        </w:rPr>
        <w:t>Rapley</w:t>
      </w:r>
      <w:proofErr w:type="spellEnd"/>
      <w:r w:rsidRPr="006032CF">
        <w:rPr>
          <w:rFonts w:ascii="Times New Roman" w:hAnsi="Times New Roman" w:cs="Times New Roman"/>
          <w:color w:val="222222"/>
          <w:sz w:val="24"/>
          <w:szCs w:val="24"/>
          <w:shd w:val="clear" w:color="auto" w:fill="FFFFFF"/>
        </w:rPr>
        <w:t xml:space="preserve">, E., 2022. US Multinational Companies’ </w:t>
      </w:r>
      <w:proofErr w:type="spellStart"/>
      <w:r w:rsidRPr="006032CF">
        <w:rPr>
          <w:rFonts w:ascii="Times New Roman" w:hAnsi="Times New Roman" w:cs="Times New Roman"/>
          <w:color w:val="222222"/>
          <w:sz w:val="24"/>
          <w:szCs w:val="24"/>
          <w:shd w:val="clear" w:color="auto" w:fill="FFFFFF"/>
        </w:rPr>
        <w:t>Payout</w:t>
      </w:r>
      <w:proofErr w:type="spellEnd"/>
      <w:r w:rsidRPr="006032CF">
        <w:rPr>
          <w:rFonts w:ascii="Times New Roman" w:hAnsi="Times New Roman" w:cs="Times New Roman"/>
          <w:color w:val="222222"/>
          <w:sz w:val="24"/>
          <w:szCs w:val="24"/>
          <w:shd w:val="clear" w:color="auto" w:fill="FFFFFF"/>
        </w:rPr>
        <w:t xml:space="preserve"> and Investment Decisions in Response to International Tax Provisions of the Tax Cuts and Jobs Act of 2017. </w:t>
      </w:r>
      <w:r w:rsidRPr="006032CF">
        <w:rPr>
          <w:rFonts w:ascii="Times New Roman" w:hAnsi="Times New Roman" w:cs="Times New Roman"/>
          <w:i/>
          <w:iCs/>
          <w:color w:val="222222"/>
          <w:sz w:val="24"/>
          <w:szCs w:val="24"/>
          <w:shd w:val="clear" w:color="auto" w:fill="FFFFFF"/>
        </w:rPr>
        <w:t>Journal of the American Taxation Association</w:t>
      </w:r>
      <w:r w:rsidRPr="006032CF">
        <w:rPr>
          <w:rFonts w:ascii="Times New Roman" w:hAnsi="Times New Roman" w:cs="Times New Roman"/>
          <w:color w:val="222222"/>
          <w:sz w:val="24"/>
          <w:szCs w:val="24"/>
          <w:shd w:val="clear" w:color="auto" w:fill="FFFFFF"/>
        </w:rPr>
        <w:t>.</w:t>
      </w:r>
    </w:p>
    <w:p w14:paraId="1296563B"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Brown, S.J., 2020. The efficient market hypothesis, the financial analysts journal, and the professional status of investment management. </w:t>
      </w:r>
      <w:r w:rsidRPr="006032CF">
        <w:rPr>
          <w:rFonts w:ascii="Times New Roman" w:hAnsi="Times New Roman" w:cs="Times New Roman"/>
          <w:i/>
          <w:iCs/>
          <w:color w:val="222222"/>
          <w:sz w:val="24"/>
          <w:szCs w:val="24"/>
          <w:shd w:val="clear" w:color="auto" w:fill="FFFFFF"/>
        </w:rPr>
        <w:t>Financial Analysts Journal</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76</w:t>
      </w:r>
      <w:r w:rsidRPr="006032CF">
        <w:rPr>
          <w:rFonts w:ascii="Times New Roman" w:hAnsi="Times New Roman" w:cs="Times New Roman"/>
          <w:color w:val="222222"/>
          <w:sz w:val="24"/>
          <w:szCs w:val="24"/>
          <w:shd w:val="clear" w:color="auto" w:fill="FFFFFF"/>
        </w:rPr>
        <w:t>(2), pp.5-14.</w:t>
      </w:r>
    </w:p>
    <w:p w14:paraId="2C76D4E6"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Crosby, N., Devaney, S. and Wyatt, P., 2018. The implied internal rate of return in conventional residual valuations of development sites. </w:t>
      </w:r>
      <w:r w:rsidRPr="006032CF">
        <w:rPr>
          <w:rFonts w:ascii="Times New Roman" w:hAnsi="Times New Roman" w:cs="Times New Roman"/>
          <w:i/>
          <w:iCs/>
          <w:color w:val="222222"/>
          <w:sz w:val="24"/>
          <w:szCs w:val="24"/>
          <w:shd w:val="clear" w:color="auto" w:fill="FFFFFF"/>
        </w:rPr>
        <w:t>Journal of Property Research</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35</w:t>
      </w:r>
      <w:r w:rsidRPr="006032CF">
        <w:rPr>
          <w:rFonts w:ascii="Times New Roman" w:hAnsi="Times New Roman" w:cs="Times New Roman"/>
          <w:color w:val="222222"/>
          <w:sz w:val="24"/>
          <w:szCs w:val="24"/>
          <w:shd w:val="clear" w:color="auto" w:fill="FFFFFF"/>
        </w:rPr>
        <w:t>(3), pp.234-251.</w:t>
      </w:r>
    </w:p>
    <w:p w14:paraId="65D24F9F"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proofErr w:type="spellStart"/>
      <w:r w:rsidRPr="006032CF">
        <w:rPr>
          <w:rFonts w:ascii="Times New Roman" w:hAnsi="Times New Roman" w:cs="Times New Roman"/>
          <w:color w:val="222222"/>
          <w:sz w:val="24"/>
          <w:szCs w:val="24"/>
          <w:shd w:val="clear" w:color="auto" w:fill="FFFFFF"/>
        </w:rPr>
        <w:t>Dervishaj</w:t>
      </w:r>
      <w:proofErr w:type="spellEnd"/>
      <w:r w:rsidRPr="006032CF">
        <w:rPr>
          <w:rFonts w:ascii="Times New Roman" w:hAnsi="Times New Roman" w:cs="Times New Roman"/>
          <w:color w:val="222222"/>
          <w:sz w:val="24"/>
          <w:szCs w:val="24"/>
          <w:shd w:val="clear" w:color="auto" w:fill="FFFFFF"/>
        </w:rPr>
        <w:t>, B., 2021. Psychological Biases, Main Factors of Financial Behaviour-A Literature Review. </w:t>
      </w:r>
      <w:r w:rsidRPr="006032CF">
        <w:rPr>
          <w:rFonts w:ascii="Times New Roman" w:hAnsi="Times New Roman" w:cs="Times New Roman"/>
          <w:i/>
          <w:iCs/>
          <w:color w:val="222222"/>
          <w:sz w:val="24"/>
          <w:szCs w:val="24"/>
          <w:shd w:val="clear" w:color="auto" w:fill="FFFFFF"/>
        </w:rPr>
        <w:t>European Journal of Medicine and Natural Sciences</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4</w:t>
      </w:r>
      <w:r w:rsidRPr="006032CF">
        <w:rPr>
          <w:rFonts w:ascii="Times New Roman" w:hAnsi="Times New Roman" w:cs="Times New Roman"/>
          <w:color w:val="222222"/>
          <w:sz w:val="24"/>
          <w:szCs w:val="24"/>
          <w:shd w:val="clear" w:color="auto" w:fill="FFFFFF"/>
        </w:rPr>
        <w:t>(1), pp.27-44.</w:t>
      </w:r>
    </w:p>
    <w:p w14:paraId="50457F52"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proofErr w:type="spellStart"/>
      <w:r w:rsidRPr="006032CF">
        <w:rPr>
          <w:rFonts w:ascii="Times New Roman" w:hAnsi="Times New Roman" w:cs="Times New Roman"/>
          <w:color w:val="222222"/>
          <w:sz w:val="24"/>
          <w:szCs w:val="24"/>
          <w:shd w:val="clear" w:color="auto" w:fill="FFFFFF"/>
        </w:rPr>
        <w:t>Gaspars-Wieloch</w:t>
      </w:r>
      <w:proofErr w:type="spellEnd"/>
      <w:r w:rsidRPr="006032CF">
        <w:rPr>
          <w:rFonts w:ascii="Times New Roman" w:hAnsi="Times New Roman" w:cs="Times New Roman"/>
          <w:color w:val="222222"/>
          <w:sz w:val="24"/>
          <w:szCs w:val="24"/>
          <w:shd w:val="clear" w:color="auto" w:fill="FFFFFF"/>
        </w:rPr>
        <w:t>, H., 2019. Project net present value estimation under uncertainty. </w:t>
      </w:r>
      <w:r w:rsidRPr="006032CF">
        <w:rPr>
          <w:rFonts w:ascii="Times New Roman" w:hAnsi="Times New Roman" w:cs="Times New Roman"/>
          <w:i/>
          <w:iCs/>
          <w:color w:val="222222"/>
          <w:sz w:val="24"/>
          <w:szCs w:val="24"/>
          <w:shd w:val="clear" w:color="auto" w:fill="FFFFFF"/>
        </w:rPr>
        <w:t>Central European Journal of Operations Research</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27</w:t>
      </w:r>
      <w:r w:rsidRPr="006032CF">
        <w:rPr>
          <w:rFonts w:ascii="Times New Roman" w:hAnsi="Times New Roman" w:cs="Times New Roman"/>
          <w:color w:val="222222"/>
          <w:sz w:val="24"/>
          <w:szCs w:val="24"/>
          <w:shd w:val="clear" w:color="auto" w:fill="FFFFFF"/>
        </w:rPr>
        <w:t>(1), pp.179-197.</w:t>
      </w:r>
    </w:p>
    <w:p w14:paraId="15325099"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Hopkinson, M., 2017. </w:t>
      </w:r>
      <w:r w:rsidRPr="006032CF">
        <w:rPr>
          <w:rFonts w:ascii="Times New Roman" w:hAnsi="Times New Roman" w:cs="Times New Roman"/>
          <w:i/>
          <w:iCs/>
          <w:color w:val="222222"/>
          <w:sz w:val="24"/>
          <w:szCs w:val="24"/>
          <w:shd w:val="clear" w:color="auto" w:fill="FFFFFF"/>
        </w:rPr>
        <w:t>Net present value and risk modelling for projects</w:t>
      </w:r>
      <w:r w:rsidRPr="006032CF">
        <w:rPr>
          <w:rFonts w:ascii="Times New Roman" w:hAnsi="Times New Roman" w:cs="Times New Roman"/>
          <w:color w:val="222222"/>
          <w:sz w:val="24"/>
          <w:szCs w:val="24"/>
          <w:shd w:val="clear" w:color="auto" w:fill="FFFFFF"/>
        </w:rPr>
        <w:t>. Routledge.</w:t>
      </w:r>
    </w:p>
    <w:p w14:paraId="464AAEF6"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 xml:space="preserve">Jones, C.A. and </w:t>
      </w:r>
      <w:proofErr w:type="spellStart"/>
      <w:r w:rsidRPr="006032CF">
        <w:rPr>
          <w:rFonts w:ascii="Times New Roman" w:hAnsi="Times New Roman" w:cs="Times New Roman"/>
          <w:color w:val="222222"/>
          <w:sz w:val="24"/>
          <w:szCs w:val="24"/>
          <w:shd w:val="clear" w:color="auto" w:fill="FFFFFF"/>
        </w:rPr>
        <w:t>Trevillion</w:t>
      </w:r>
      <w:proofErr w:type="spellEnd"/>
      <w:r w:rsidRPr="006032CF">
        <w:rPr>
          <w:rFonts w:ascii="Times New Roman" w:hAnsi="Times New Roman" w:cs="Times New Roman"/>
          <w:color w:val="222222"/>
          <w:sz w:val="24"/>
          <w:szCs w:val="24"/>
          <w:shd w:val="clear" w:color="auto" w:fill="FFFFFF"/>
        </w:rPr>
        <w:t>, E., 2022. Market Efficiency and Asset Pricing. In </w:t>
      </w:r>
      <w:r w:rsidRPr="006032CF">
        <w:rPr>
          <w:rFonts w:ascii="Times New Roman" w:hAnsi="Times New Roman" w:cs="Times New Roman"/>
          <w:i/>
          <w:iCs/>
          <w:color w:val="222222"/>
          <w:sz w:val="24"/>
          <w:szCs w:val="24"/>
          <w:shd w:val="clear" w:color="auto" w:fill="FFFFFF"/>
        </w:rPr>
        <w:t>Real Estate Investment: Theory and Practice</w:t>
      </w:r>
      <w:r w:rsidRPr="006032CF">
        <w:rPr>
          <w:rFonts w:ascii="Times New Roman" w:hAnsi="Times New Roman" w:cs="Times New Roman"/>
          <w:color w:val="222222"/>
          <w:sz w:val="24"/>
          <w:szCs w:val="24"/>
          <w:shd w:val="clear" w:color="auto" w:fill="FFFFFF"/>
        </w:rPr>
        <w:t> (pp. 109-127). Cham: Springer International Publishing.</w:t>
      </w:r>
    </w:p>
    <w:p w14:paraId="3A26E1BE"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 xml:space="preserve">Kapoor, S. and </w:t>
      </w:r>
      <w:proofErr w:type="spellStart"/>
      <w:r w:rsidRPr="006032CF">
        <w:rPr>
          <w:rFonts w:ascii="Times New Roman" w:hAnsi="Times New Roman" w:cs="Times New Roman"/>
          <w:color w:val="222222"/>
          <w:sz w:val="24"/>
          <w:szCs w:val="24"/>
          <w:shd w:val="clear" w:color="auto" w:fill="FFFFFF"/>
        </w:rPr>
        <w:t>Prosad</w:t>
      </w:r>
      <w:proofErr w:type="spellEnd"/>
      <w:r w:rsidRPr="006032CF">
        <w:rPr>
          <w:rFonts w:ascii="Times New Roman" w:hAnsi="Times New Roman" w:cs="Times New Roman"/>
          <w:color w:val="222222"/>
          <w:sz w:val="24"/>
          <w:szCs w:val="24"/>
          <w:shd w:val="clear" w:color="auto" w:fill="FFFFFF"/>
        </w:rPr>
        <w:t>, J.M., 2017. Behavioural finance: A review. </w:t>
      </w:r>
      <w:r w:rsidRPr="006032CF">
        <w:rPr>
          <w:rFonts w:ascii="Times New Roman" w:hAnsi="Times New Roman" w:cs="Times New Roman"/>
          <w:i/>
          <w:iCs/>
          <w:color w:val="222222"/>
          <w:sz w:val="24"/>
          <w:szCs w:val="24"/>
          <w:shd w:val="clear" w:color="auto" w:fill="FFFFFF"/>
        </w:rPr>
        <w:t>Procedia computer science</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122</w:t>
      </w:r>
      <w:r w:rsidRPr="006032CF">
        <w:rPr>
          <w:rFonts w:ascii="Times New Roman" w:hAnsi="Times New Roman" w:cs="Times New Roman"/>
          <w:color w:val="222222"/>
          <w:sz w:val="24"/>
          <w:szCs w:val="24"/>
          <w:shd w:val="clear" w:color="auto" w:fill="FFFFFF"/>
        </w:rPr>
        <w:t>, pp.50-54.</w:t>
      </w:r>
    </w:p>
    <w:p w14:paraId="00AF0FB7"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lastRenderedPageBreak/>
        <w:t>Mellichamp, D.A., 2017. Internal rate of return: Good and bad features, and a new way of interpreting the historic measure. </w:t>
      </w:r>
      <w:r w:rsidRPr="006032CF">
        <w:rPr>
          <w:rFonts w:ascii="Times New Roman" w:hAnsi="Times New Roman" w:cs="Times New Roman"/>
          <w:i/>
          <w:iCs/>
          <w:color w:val="222222"/>
          <w:sz w:val="24"/>
          <w:szCs w:val="24"/>
          <w:shd w:val="clear" w:color="auto" w:fill="FFFFFF"/>
        </w:rPr>
        <w:t>Computers &amp; Chemical Engineering</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106</w:t>
      </w:r>
      <w:r w:rsidRPr="006032CF">
        <w:rPr>
          <w:rFonts w:ascii="Times New Roman" w:hAnsi="Times New Roman" w:cs="Times New Roman"/>
          <w:color w:val="222222"/>
          <w:sz w:val="24"/>
          <w:szCs w:val="24"/>
          <w:shd w:val="clear" w:color="auto" w:fill="FFFFFF"/>
        </w:rPr>
        <w:t>, pp.396-406.</w:t>
      </w:r>
    </w:p>
    <w:p w14:paraId="56FAA337"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 xml:space="preserve">Panda, B. and </w:t>
      </w:r>
      <w:proofErr w:type="spellStart"/>
      <w:r w:rsidRPr="006032CF">
        <w:rPr>
          <w:rFonts w:ascii="Times New Roman" w:hAnsi="Times New Roman" w:cs="Times New Roman"/>
          <w:color w:val="222222"/>
          <w:sz w:val="24"/>
          <w:szCs w:val="24"/>
          <w:shd w:val="clear" w:color="auto" w:fill="FFFFFF"/>
        </w:rPr>
        <w:t>Leepsa</w:t>
      </w:r>
      <w:proofErr w:type="spellEnd"/>
      <w:r w:rsidRPr="006032CF">
        <w:rPr>
          <w:rFonts w:ascii="Times New Roman" w:hAnsi="Times New Roman" w:cs="Times New Roman"/>
          <w:color w:val="222222"/>
          <w:sz w:val="24"/>
          <w:szCs w:val="24"/>
          <w:shd w:val="clear" w:color="auto" w:fill="FFFFFF"/>
        </w:rPr>
        <w:t>, N.M., 2017. Agency theory: Review of theory and evidence on problems and perspectives. </w:t>
      </w:r>
      <w:r w:rsidRPr="006032CF">
        <w:rPr>
          <w:rFonts w:ascii="Times New Roman" w:hAnsi="Times New Roman" w:cs="Times New Roman"/>
          <w:i/>
          <w:iCs/>
          <w:color w:val="222222"/>
          <w:sz w:val="24"/>
          <w:szCs w:val="24"/>
          <w:shd w:val="clear" w:color="auto" w:fill="FFFFFF"/>
        </w:rPr>
        <w:t>Indian journal of corporate governance</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10</w:t>
      </w:r>
      <w:r w:rsidRPr="006032CF">
        <w:rPr>
          <w:rFonts w:ascii="Times New Roman" w:hAnsi="Times New Roman" w:cs="Times New Roman"/>
          <w:color w:val="222222"/>
          <w:sz w:val="24"/>
          <w:szCs w:val="24"/>
          <w:shd w:val="clear" w:color="auto" w:fill="FFFFFF"/>
        </w:rPr>
        <w:t>(1), pp.74-95.</w:t>
      </w:r>
    </w:p>
    <w:p w14:paraId="6854569C"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Pillai, G. and Naser, H.A.Y., 2018. Techno-economic potential of largescale photovoltaics in Bahrain. </w:t>
      </w:r>
      <w:r w:rsidRPr="006032CF">
        <w:rPr>
          <w:rFonts w:ascii="Times New Roman" w:hAnsi="Times New Roman" w:cs="Times New Roman"/>
          <w:i/>
          <w:iCs/>
          <w:color w:val="222222"/>
          <w:sz w:val="24"/>
          <w:szCs w:val="24"/>
          <w:shd w:val="clear" w:color="auto" w:fill="FFFFFF"/>
        </w:rPr>
        <w:t>Sustainable Energy Technologies and Assessments</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27</w:t>
      </w:r>
      <w:r w:rsidRPr="006032CF">
        <w:rPr>
          <w:rFonts w:ascii="Times New Roman" w:hAnsi="Times New Roman" w:cs="Times New Roman"/>
          <w:color w:val="222222"/>
          <w:sz w:val="24"/>
          <w:szCs w:val="24"/>
          <w:shd w:val="clear" w:color="auto" w:fill="FFFFFF"/>
        </w:rPr>
        <w:t>, pp.40-45.</w:t>
      </w:r>
    </w:p>
    <w:p w14:paraId="068B9DFB"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 xml:space="preserve">Singh, J.E., </w:t>
      </w:r>
      <w:proofErr w:type="spellStart"/>
      <w:r w:rsidRPr="006032CF">
        <w:rPr>
          <w:rFonts w:ascii="Times New Roman" w:hAnsi="Times New Roman" w:cs="Times New Roman"/>
          <w:color w:val="222222"/>
          <w:sz w:val="24"/>
          <w:szCs w:val="24"/>
          <w:shd w:val="clear" w:color="auto" w:fill="FFFFFF"/>
        </w:rPr>
        <w:t>Babshetti</w:t>
      </w:r>
      <w:proofErr w:type="spellEnd"/>
      <w:r w:rsidRPr="006032CF">
        <w:rPr>
          <w:rFonts w:ascii="Times New Roman" w:hAnsi="Times New Roman" w:cs="Times New Roman"/>
          <w:color w:val="222222"/>
          <w:sz w:val="24"/>
          <w:szCs w:val="24"/>
          <w:shd w:val="clear" w:color="auto" w:fill="FFFFFF"/>
        </w:rPr>
        <w:t xml:space="preserve">, V. and </w:t>
      </w:r>
      <w:proofErr w:type="spellStart"/>
      <w:r w:rsidRPr="006032CF">
        <w:rPr>
          <w:rFonts w:ascii="Times New Roman" w:hAnsi="Times New Roman" w:cs="Times New Roman"/>
          <w:color w:val="222222"/>
          <w:sz w:val="24"/>
          <w:szCs w:val="24"/>
          <w:shd w:val="clear" w:color="auto" w:fill="FFFFFF"/>
        </w:rPr>
        <w:t>Shivaprasad</w:t>
      </w:r>
      <w:proofErr w:type="spellEnd"/>
      <w:r w:rsidRPr="006032CF">
        <w:rPr>
          <w:rFonts w:ascii="Times New Roman" w:hAnsi="Times New Roman" w:cs="Times New Roman"/>
          <w:color w:val="222222"/>
          <w:sz w:val="24"/>
          <w:szCs w:val="24"/>
          <w:shd w:val="clear" w:color="auto" w:fill="FFFFFF"/>
        </w:rPr>
        <w:t xml:space="preserve">, H.N., 2021. Efficient market hypothesis to </w:t>
      </w:r>
      <w:proofErr w:type="spellStart"/>
      <w:r w:rsidRPr="006032CF">
        <w:rPr>
          <w:rFonts w:ascii="Times New Roman" w:hAnsi="Times New Roman" w:cs="Times New Roman"/>
          <w:color w:val="222222"/>
          <w:sz w:val="24"/>
          <w:szCs w:val="24"/>
          <w:shd w:val="clear" w:color="auto" w:fill="FFFFFF"/>
        </w:rPr>
        <w:t>behavioral</w:t>
      </w:r>
      <w:proofErr w:type="spellEnd"/>
      <w:r w:rsidRPr="006032CF">
        <w:rPr>
          <w:rFonts w:ascii="Times New Roman" w:hAnsi="Times New Roman" w:cs="Times New Roman"/>
          <w:color w:val="222222"/>
          <w:sz w:val="24"/>
          <w:szCs w:val="24"/>
          <w:shd w:val="clear" w:color="auto" w:fill="FFFFFF"/>
        </w:rPr>
        <w:t xml:space="preserve"> finance: A review of rationality to irrationality. </w:t>
      </w:r>
      <w:r w:rsidRPr="006032CF">
        <w:rPr>
          <w:rFonts w:ascii="Times New Roman" w:hAnsi="Times New Roman" w:cs="Times New Roman"/>
          <w:i/>
          <w:iCs/>
          <w:color w:val="222222"/>
          <w:sz w:val="24"/>
          <w:szCs w:val="24"/>
          <w:shd w:val="clear" w:color="auto" w:fill="FFFFFF"/>
        </w:rPr>
        <w:t>Materials Today: Proceedings</w:t>
      </w:r>
      <w:r w:rsidRPr="006032CF">
        <w:rPr>
          <w:rFonts w:ascii="Times New Roman" w:hAnsi="Times New Roman" w:cs="Times New Roman"/>
          <w:color w:val="222222"/>
          <w:sz w:val="24"/>
          <w:szCs w:val="24"/>
          <w:shd w:val="clear" w:color="auto" w:fill="FFFFFF"/>
        </w:rPr>
        <w:t>.</w:t>
      </w:r>
    </w:p>
    <w:p w14:paraId="35384A9A"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r w:rsidRPr="006032CF">
        <w:rPr>
          <w:rFonts w:ascii="Times New Roman" w:hAnsi="Times New Roman" w:cs="Times New Roman"/>
          <w:color w:val="222222"/>
          <w:sz w:val="24"/>
          <w:szCs w:val="24"/>
          <w:shd w:val="clear" w:color="auto" w:fill="FFFFFF"/>
        </w:rPr>
        <w:t>Ting, A. and Gray, S.J., 2019. The rise of the digital economy: Rethinking the taxation of multinational enterprises. </w:t>
      </w:r>
      <w:r w:rsidRPr="006032CF">
        <w:rPr>
          <w:rFonts w:ascii="Times New Roman" w:hAnsi="Times New Roman" w:cs="Times New Roman"/>
          <w:i/>
          <w:iCs/>
          <w:color w:val="222222"/>
          <w:sz w:val="24"/>
          <w:szCs w:val="24"/>
          <w:shd w:val="clear" w:color="auto" w:fill="FFFFFF"/>
        </w:rPr>
        <w:t>Journal of International Business Studies</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50</w:t>
      </w:r>
      <w:r w:rsidRPr="006032CF">
        <w:rPr>
          <w:rFonts w:ascii="Times New Roman" w:hAnsi="Times New Roman" w:cs="Times New Roman"/>
          <w:color w:val="222222"/>
          <w:sz w:val="24"/>
          <w:szCs w:val="24"/>
          <w:shd w:val="clear" w:color="auto" w:fill="FFFFFF"/>
        </w:rPr>
        <w:t>, pp.1656-1667.</w:t>
      </w:r>
    </w:p>
    <w:p w14:paraId="4B92B40F" w14:textId="77777777" w:rsidR="006032CF" w:rsidRPr="006032CF" w:rsidRDefault="006032CF" w:rsidP="004608D2">
      <w:pPr>
        <w:spacing w:line="480" w:lineRule="auto"/>
        <w:ind w:left="720" w:hanging="720"/>
        <w:rPr>
          <w:rFonts w:ascii="Times New Roman" w:hAnsi="Times New Roman" w:cs="Times New Roman"/>
          <w:color w:val="222222"/>
          <w:sz w:val="24"/>
          <w:szCs w:val="24"/>
          <w:shd w:val="clear" w:color="auto" w:fill="FFFFFF"/>
        </w:rPr>
      </w:pPr>
      <w:proofErr w:type="spellStart"/>
      <w:r w:rsidRPr="006032CF">
        <w:rPr>
          <w:rFonts w:ascii="Times New Roman" w:hAnsi="Times New Roman" w:cs="Times New Roman"/>
          <w:color w:val="222222"/>
          <w:sz w:val="24"/>
          <w:szCs w:val="24"/>
          <w:shd w:val="clear" w:color="auto" w:fill="FFFFFF"/>
        </w:rPr>
        <w:t>Triani</w:t>
      </w:r>
      <w:proofErr w:type="spellEnd"/>
      <w:r w:rsidRPr="006032CF">
        <w:rPr>
          <w:rFonts w:ascii="Times New Roman" w:hAnsi="Times New Roman" w:cs="Times New Roman"/>
          <w:color w:val="222222"/>
          <w:sz w:val="24"/>
          <w:szCs w:val="24"/>
          <w:shd w:val="clear" w:color="auto" w:fill="FFFFFF"/>
        </w:rPr>
        <w:t xml:space="preserve">, N. and </w:t>
      </w:r>
      <w:proofErr w:type="spellStart"/>
      <w:r w:rsidRPr="006032CF">
        <w:rPr>
          <w:rFonts w:ascii="Times New Roman" w:hAnsi="Times New Roman" w:cs="Times New Roman"/>
          <w:color w:val="222222"/>
          <w:sz w:val="24"/>
          <w:szCs w:val="24"/>
          <w:shd w:val="clear" w:color="auto" w:fill="FFFFFF"/>
        </w:rPr>
        <w:t>Tarmidi</w:t>
      </w:r>
      <w:proofErr w:type="spellEnd"/>
      <w:r w:rsidRPr="006032CF">
        <w:rPr>
          <w:rFonts w:ascii="Times New Roman" w:hAnsi="Times New Roman" w:cs="Times New Roman"/>
          <w:color w:val="222222"/>
          <w:sz w:val="24"/>
          <w:szCs w:val="24"/>
          <w:shd w:val="clear" w:color="auto" w:fill="FFFFFF"/>
        </w:rPr>
        <w:t>, D., 2019. Firm value: impact of investment decisions, funding decisions and dividend policies. </w:t>
      </w:r>
      <w:r w:rsidRPr="006032CF">
        <w:rPr>
          <w:rFonts w:ascii="Times New Roman" w:hAnsi="Times New Roman" w:cs="Times New Roman"/>
          <w:i/>
          <w:iCs/>
          <w:color w:val="222222"/>
          <w:sz w:val="24"/>
          <w:szCs w:val="24"/>
          <w:shd w:val="clear" w:color="auto" w:fill="FFFFFF"/>
        </w:rPr>
        <w:t>International Journal of Academic Research in Accounting, Finance and Management Sciences</w:t>
      </w:r>
      <w:r w:rsidRPr="006032CF">
        <w:rPr>
          <w:rFonts w:ascii="Times New Roman" w:hAnsi="Times New Roman" w:cs="Times New Roman"/>
          <w:color w:val="222222"/>
          <w:sz w:val="24"/>
          <w:szCs w:val="24"/>
          <w:shd w:val="clear" w:color="auto" w:fill="FFFFFF"/>
        </w:rPr>
        <w:t>, </w:t>
      </w:r>
      <w:r w:rsidRPr="006032CF">
        <w:rPr>
          <w:rFonts w:ascii="Times New Roman" w:hAnsi="Times New Roman" w:cs="Times New Roman"/>
          <w:i/>
          <w:iCs/>
          <w:color w:val="222222"/>
          <w:sz w:val="24"/>
          <w:szCs w:val="24"/>
          <w:shd w:val="clear" w:color="auto" w:fill="FFFFFF"/>
        </w:rPr>
        <w:t>9</w:t>
      </w:r>
      <w:r w:rsidRPr="006032CF">
        <w:rPr>
          <w:rFonts w:ascii="Times New Roman" w:hAnsi="Times New Roman" w:cs="Times New Roman"/>
          <w:color w:val="222222"/>
          <w:sz w:val="24"/>
          <w:szCs w:val="24"/>
          <w:shd w:val="clear" w:color="auto" w:fill="FFFFFF"/>
        </w:rPr>
        <w:t>(2), pp.158-163.</w:t>
      </w:r>
    </w:p>
    <w:p w14:paraId="5612938A" w14:textId="77777777" w:rsidR="006032CF" w:rsidRPr="006032CF" w:rsidRDefault="006032CF" w:rsidP="004608D2">
      <w:pPr>
        <w:spacing w:line="480" w:lineRule="auto"/>
        <w:ind w:left="720" w:hanging="720"/>
        <w:rPr>
          <w:rFonts w:ascii="Times New Roman" w:hAnsi="Times New Roman" w:cs="Times New Roman"/>
          <w:sz w:val="24"/>
          <w:szCs w:val="24"/>
        </w:rPr>
      </w:pPr>
      <w:proofErr w:type="spellStart"/>
      <w:r w:rsidRPr="006032CF">
        <w:rPr>
          <w:rFonts w:ascii="Times New Roman" w:hAnsi="Times New Roman" w:cs="Times New Roman"/>
          <w:sz w:val="24"/>
          <w:szCs w:val="24"/>
        </w:rPr>
        <w:t>Wahjudi</w:t>
      </w:r>
      <w:proofErr w:type="spellEnd"/>
      <w:r w:rsidRPr="006032CF">
        <w:rPr>
          <w:rFonts w:ascii="Times New Roman" w:hAnsi="Times New Roman" w:cs="Times New Roman"/>
          <w:sz w:val="24"/>
          <w:szCs w:val="24"/>
        </w:rPr>
        <w:t>, E., 2020. Factors affecting dividend policy in manufacturing companies in Indonesia Stock Exchange. Journal of Management Development.</w:t>
      </w:r>
    </w:p>
    <w:sectPr w:rsidR="006032CF" w:rsidRPr="006032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ED5"/>
    <w:rsid w:val="00275ED5"/>
    <w:rsid w:val="00430508"/>
    <w:rsid w:val="004608D2"/>
    <w:rsid w:val="0051389A"/>
    <w:rsid w:val="006032CF"/>
    <w:rsid w:val="006C3903"/>
    <w:rsid w:val="006C536D"/>
    <w:rsid w:val="00A75C5B"/>
    <w:rsid w:val="00F77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9786C"/>
  <w15:chartTrackingRefBased/>
  <w15:docId w15:val="{EF12EE93-0175-4C23-8469-0CCC1D686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050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430508"/>
    <w:pPr>
      <w:keepNext/>
      <w:keepLines/>
      <w:spacing w:before="40" w:after="0"/>
      <w:outlineLvl w:val="1"/>
    </w:pPr>
    <w:rPr>
      <w:rFonts w:ascii="Times New Roman" w:eastAsiaTheme="majorEastAsia" w:hAnsi="Times New Roman"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50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30508"/>
    <w:rPr>
      <w:rFonts w:ascii="Times New Roman" w:eastAsiaTheme="majorEastAsia" w:hAnsi="Times New Roman" w:cstheme="majorBidi"/>
      <w:b/>
      <w: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511913">
      <w:bodyDiv w:val="1"/>
      <w:marLeft w:val="0"/>
      <w:marRight w:val="0"/>
      <w:marTop w:val="0"/>
      <w:marBottom w:val="0"/>
      <w:divBdr>
        <w:top w:val="none" w:sz="0" w:space="0" w:color="auto"/>
        <w:left w:val="none" w:sz="0" w:space="0" w:color="auto"/>
        <w:bottom w:val="none" w:sz="0" w:space="0" w:color="auto"/>
        <w:right w:val="none" w:sz="0" w:space="0" w:color="auto"/>
      </w:divBdr>
    </w:div>
    <w:div w:id="331497332">
      <w:bodyDiv w:val="1"/>
      <w:marLeft w:val="0"/>
      <w:marRight w:val="0"/>
      <w:marTop w:val="0"/>
      <w:marBottom w:val="0"/>
      <w:divBdr>
        <w:top w:val="none" w:sz="0" w:space="0" w:color="auto"/>
        <w:left w:val="none" w:sz="0" w:space="0" w:color="auto"/>
        <w:bottom w:val="none" w:sz="0" w:space="0" w:color="auto"/>
        <w:right w:val="none" w:sz="0" w:space="0" w:color="auto"/>
      </w:divBdr>
    </w:div>
    <w:div w:id="518203997">
      <w:bodyDiv w:val="1"/>
      <w:marLeft w:val="0"/>
      <w:marRight w:val="0"/>
      <w:marTop w:val="0"/>
      <w:marBottom w:val="0"/>
      <w:divBdr>
        <w:top w:val="none" w:sz="0" w:space="0" w:color="auto"/>
        <w:left w:val="none" w:sz="0" w:space="0" w:color="auto"/>
        <w:bottom w:val="none" w:sz="0" w:space="0" w:color="auto"/>
        <w:right w:val="none" w:sz="0" w:space="0" w:color="auto"/>
      </w:divBdr>
    </w:div>
    <w:div w:id="543979057">
      <w:bodyDiv w:val="1"/>
      <w:marLeft w:val="0"/>
      <w:marRight w:val="0"/>
      <w:marTop w:val="0"/>
      <w:marBottom w:val="0"/>
      <w:divBdr>
        <w:top w:val="none" w:sz="0" w:space="0" w:color="auto"/>
        <w:left w:val="none" w:sz="0" w:space="0" w:color="auto"/>
        <w:bottom w:val="none" w:sz="0" w:space="0" w:color="auto"/>
        <w:right w:val="none" w:sz="0" w:space="0" w:color="auto"/>
      </w:divBdr>
      <w:divsChild>
        <w:div w:id="935555754">
          <w:marLeft w:val="0"/>
          <w:marRight w:val="0"/>
          <w:marTop w:val="0"/>
          <w:marBottom w:val="0"/>
          <w:divBdr>
            <w:top w:val="single" w:sz="2" w:space="0" w:color="auto"/>
            <w:left w:val="single" w:sz="2" w:space="0" w:color="auto"/>
            <w:bottom w:val="single" w:sz="6" w:space="0" w:color="auto"/>
            <w:right w:val="single" w:sz="2" w:space="0" w:color="auto"/>
          </w:divBdr>
          <w:divsChild>
            <w:div w:id="184112010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4945692">
                  <w:marLeft w:val="0"/>
                  <w:marRight w:val="0"/>
                  <w:marTop w:val="0"/>
                  <w:marBottom w:val="0"/>
                  <w:divBdr>
                    <w:top w:val="single" w:sz="2" w:space="0" w:color="D9D9E3"/>
                    <w:left w:val="single" w:sz="2" w:space="0" w:color="D9D9E3"/>
                    <w:bottom w:val="single" w:sz="2" w:space="0" w:color="D9D9E3"/>
                    <w:right w:val="single" w:sz="2" w:space="0" w:color="D9D9E3"/>
                  </w:divBdr>
                  <w:divsChild>
                    <w:div w:id="148602187">
                      <w:marLeft w:val="0"/>
                      <w:marRight w:val="0"/>
                      <w:marTop w:val="0"/>
                      <w:marBottom w:val="0"/>
                      <w:divBdr>
                        <w:top w:val="single" w:sz="2" w:space="0" w:color="D9D9E3"/>
                        <w:left w:val="single" w:sz="2" w:space="0" w:color="D9D9E3"/>
                        <w:bottom w:val="single" w:sz="2" w:space="0" w:color="D9D9E3"/>
                        <w:right w:val="single" w:sz="2" w:space="0" w:color="D9D9E3"/>
                      </w:divBdr>
                      <w:divsChild>
                        <w:div w:id="121193690">
                          <w:marLeft w:val="0"/>
                          <w:marRight w:val="0"/>
                          <w:marTop w:val="0"/>
                          <w:marBottom w:val="0"/>
                          <w:divBdr>
                            <w:top w:val="single" w:sz="2" w:space="0" w:color="D9D9E3"/>
                            <w:left w:val="single" w:sz="2" w:space="0" w:color="D9D9E3"/>
                            <w:bottom w:val="single" w:sz="2" w:space="0" w:color="D9D9E3"/>
                            <w:right w:val="single" w:sz="2" w:space="0" w:color="D9D9E3"/>
                          </w:divBdr>
                          <w:divsChild>
                            <w:div w:id="597106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64438443">
      <w:bodyDiv w:val="1"/>
      <w:marLeft w:val="0"/>
      <w:marRight w:val="0"/>
      <w:marTop w:val="0"/>
      <w:marBottom w:val="0"/>
      <w:divBdr>
        <w:top w:val="none" w:sz="0" w:space="0" w:color="auto"/>
        <w:left w:val="none" w:sz="0" w:space="0" w:color="auto"/>
        <w:bottom w:val="none" w:sz="0" w:space="0" w:color="auto"/>
        <w:right w:val="none" w:sz="0" w:space="0" w:color="auto"/>
      </w:divBdr>
    </w:div>
    <w:div w:id="1013922677">
      <w:bodyDiv w:val="1"/>
      <w:marLeft w:val="0"/>
      <w:marRight w:val="0"/>
      <w:marTop w:val="0"/>
      <w:marBottom w:val="0"/>
      <w:divBdr>
        <w:top w:val="none" w:sz="0" w:space="0" w:color="auto"/>
        <w:left w:val="none" w:sz="0" w:space="0" w:color="auto"/>
        <w:bottom w:val="none" w:sz="0" w:space="0" w:color="auto"/>
        <w:right w:val="none" w:sz="0" w:space="0" w:color="auto"/>
      </w:divBdr>
    </w:div>
    <w:div w:id="1168714807">
      <w:bodyDiv w:val="1"/>
      <w:marLeft w:val="0"/>
      <w:marRight w:val="0"/>
      <w:marTop w:val="0"/>
      <w:marBottom w:val="0"/>
      <w:divBdr>
        <w:top w:val="none" w:sz="0" w:space="0" w:color="auto"/>
        <w:left w:val="none" w:sz="0" w:space="0" w:color="auto"/>
        <w:bottom w:val="none" w:sz="0" w:space="0" w:color="auto"/>
        <w:right w:val="none" w:sz="0" w:space="0" w:color="auto"/>
      </w:divBdr>
      <w:divsChild>
        <w:div w:id="1710910170">
          <w:marLeft w:val="0"/>
          <w:marRight w:val="0"/>
          <w:marTop w:val="0"/>
          <w:marBottom w:val="0"/>
          <w:divBdr>
            <w:top w:val="single" w:sz="2" w:space="0" w:color="auto"/>
            <w:left w:val="single" w:sz="2" w:space="0" w:color="auto"/>
            <w:bottom w:val="single" w:sz="6" w:space="0" w:color="auto"/>
            <w:right w:val="single" w:sz="2" w:space="0" w:color="auto"/>
          </w:divBdr>
          <w:divsChild>
            <w:div w:id="1717272087">
              <w:marLeft w:val="0"/>
              <w:marRight w:val="0"/>
              <w:marTop w:val="100"/>
              <w:marBottom w:val="100"/>
              <w:divBdr>
                <w:top w:val="single" w:sz="2" w:space="0" w:color="D9D9E3"/>
                <w:left w:val="single" w:sz="2" w:space="0" w:color="D9D9E3"/>
                <w:bottom w:val="single" w:sz="2" w:space="0" w:color="D9D9E3"/>
                <w:right w:val="single" w:sz="2" w:space="0" w:color="D9D9E3"/>
              </w:divBdr>
              <w:divsChild>
                <w:div w:id="256059424">
                  <w:marLeft w:val="0"/>
                  <w:marRight w:val="0"/>
                  <w:marTop w:val="0"/>
                  <w:marBottom w:val="0"/>
                  <w:divBdr>
                    <w:top w:val="single" w:sz="2" w:space="0" w:color="D9D9E3"/>
                    <w:left w:val="single" w:sz="2" w:space="0" w:color="D9D9E3"/>
                    <w:bottom w:val="single" w:sz="2" w:space="0" w:color="D9D9E3"/>
                    <w:right w:val="single" w:sz="2" w:space="0" w:color="D9D9E3"/>
                  </w:divBdr>
                  <w:divsChild>
                    <w:div w:id="2140492523">
                      <w:marLeft w:val="0"/>
                      <w:marRight w:val="0"/>
                      <w:marTop w:val="0"/>
                      <w:marBottom w:val="0"/>
                      <w:divBdr>
                        <w:top w:val="single" w:sz="2" w:space="0" w:color="D9D9E3"/>
                        <w:left w:val="single" w:sz="2" w:space="0" w:color="D9D9E3"/>
                        <w:bottom w:val="single" w:sz="2" w:space="0" w:color="D9D9E3"/>
                        <w:right w:val="single" w:sz="2" w:space="0" w:color="D9D9E3"/>
                      </w:divBdr>
                      <w:divsChild>
                        <w:div w:id="604964641">
                          <w:marLeft w:val="0"/>
                          <w:marRight w:val="0"/>
                          <w:marTop w:val="0"/>
                          <w:marBottom w:val="0"/>
                          <w:divBdr>
                            <w:top w:val="single" w:sz="2" w:space="0" w:color="D9D9E3"/>
                            <w:left w:val="single" w:sz="2" w:space="0" w:color="D9D9E3"/>
                            <w:bottom w:val="single" w:sz="2" w:space="0" w:color="D9D9E3"/>
                            <w:right w:val="single" w:sz="2" w:space="0" w:color="D9D9E3"/>
                          </w:divBdr>
                          <w:divsChild>
                            <w:div w:id="1222523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310202">
      <w:bodyDiv w:val="1"/>
      <w:marLeft w:val="0"/>
      <w:marRight w:val="0"/>
      <w:marTop w:val="0"/>
      <w:marBottom w:val="0"/>
      <w:divBdr>
        <w:top w:val="none" w:sz="0" w:space="0" w:color="auto"/>
        <w:left w:val="none" w:sz="0" w:space="0" w:color="auto"/>
        <w:bottom w:val="none" w:sz="0" w:space="0" w:color="auto"/>
        <w:right w:val="none" w:sz="0" w:space="0" w:color="auto"/>
      </w:divBdr>
    </w:div>
    <w:div w:id="1215775733">
      <w:bodyDiv w:val="1"/>
      <w:marLeft w:val="0"/>
      <w:marRight w:val="0"/>
      <w:marTop w:val="0"/>
      <w:marBottom w:val="0"/>
      <w:divBdr>
        <w:top w:val="none" w:sz="0" w:space="0" w:color="auto"/>
        <w:left w:val="none" w:sz="0" w:space="0" w:color="auto"/>
        <w:bottom w:val="none" w:sz="0" w:space="0" w:color="auto"/>
        <w:right w:val="none" w:sz="0" w:space="0" w:color="auto"/>
      </w:divBdr>
    </w:div>
    <w:div w:id="1300111184">
      <w:bodyDiv w:val="1"/>
      <w:marLeft w:val="0"/>
      <w:marRight w:val="0"/>
      <w:marTop w:val="0"/>
      <w:marBottom w:val="0"/>
      <w:divBdr>
        <w:top w:val="none" w:sz="0" w:space="0" w:color="auto"/>
        <w:left w:val="none" w:sz="0" w:space="0" w:color="auto"/>
        <w:bottom w:val="none" w:sz="0" w:space="0" w:color="auto"/>
        <w:right w:val="none" w:sz="0" w:space="0" w:color="auto"/>
      </w:divBdr>
      <w:divsChild>
        <w:div w:id="844050427">
          <w:marLeft w:val="0"/>
          <w:marRight w:val="0"/>
          <w:marTop w:val="0"/>
          <w:marBottom w:val="0"/>
          <w:divBdr>
            <w:top w:val="single" w:sz="2" w:space="0" w:color="auto"/>
            <w:left w:val="single" w:sz="2" w:space="0" w:color="auto"/>
            <w:bottom w:val="single" w:sz="6" w:space="0" w:color="auto"/>
            <w:right w:val="single" w:sz="2" w:space="0" w:color="auto"/>
          </w:divBdr>
          <w:divsChild>
            <w:div w:id="153611458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2676247">
                  <w:marLeft w:val="0"/>
                  <w:marRight w:val="0"/>
                  <w:marTop w:val="0"/>
                  <w:marBottom w:val="0"/>
                  <w:divBdr>
                    <w:top w:val="single" w:sz="2" w:space="0" w:color="D9D9E3"/>
                    <w:left w:val="single" w:sz="2" w:space="0" w:color="D9D9E3"/>
                    <w:bottom w:val="single" w:sz="2" w:space="0" w:color="D9D9E3"/>
                    <w:right w:val="single" w:sz="2" w:space="0" w:color="D9D9E3"/>
                  </w:divBdr>
                  <w:divsChild>
                    <w:div w:id="1060401462">
                      <w:marLeft w:val="0"/>
                      <w:marRight w:val="0"/>
                      <w:marTop w:val="0"/>
                      <w:marBottom w:val="0"/>
                      <w:divBdr>
                        <w:top w:val="single" w:sz="2" w:space="0" w:color="D9D9E3"/>
                        <w:left w:val="single" w:sz="2" w:space="0" w:color="D9D9E3"/>
                        <w:bottom w:val="single" w:sz="2" w:space="0" w:color="D9D9E3"/>
                        <w:right w:val="single" w:sz="2" w:space="0" w:color="D9D9E3"/>
                      </w:divBdr>
                      <w:divsChild>
                        <w:div w:id="1593466067">
                          <w:marLeft w:val="0"/>
                          <w:marRight w:val="0"/>
                          <w:marTop w:val="0"/>
                          <w:marBottom w:val="0"/>
                          <w:divBdr>
                            <w:top w:val="single" w:sz="2" w:space="0" w:color="D9D9E3"/>
                            <w:left w:val="single" w:sz="2" w:space="0" w:color="D9D9E3"/>
                            <w:bottom w:val="single" w:sz="2" w:space="0" w:color="D9D9E3"/>
                            <w:right w:val="single" w:sz="2" w:space="0" w:color="D9D9E3"/>
                          </w:divBdr>
                          <w:divsChild>
                            <w:div w:id="2131589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15780">
      <w:bodyDiv w:val="1"/>
      <w:marLeft w:val="0"/>
      <w:marRight w:val="0"/>
      <w:marTop w:val="0"/>
      <w:marBottom w:val="0"/>
      <w:divBdr>
        <w:top w:val="none" w:sz="0" w:space="0" w:color="auto"/>
        <w:left w:val="none" w:sz="0" w:space="0" w:color="auto"/>
        <w:bottom w:val="none" w:sz="0" w:space="0" w:color="auto"/>
        <w:right w:val="none" w:sz="0" w:space="0" w:color="auto"/>
      </w:divBdr>
    </w:div>
    <w:div w:id="1618490438">
      <w:bodyDiv w:val="1"/>
      <w:marLeft w:val="0"/>
      <w:marRight w:val="0"/>
      <w:marTop w:val="0"/>
      <w:marBottom w:val="0"/>
      <w:divBdr>
        <w:top w:val="none" w:sz="0" w:space="0" w:color="auto"/>
        <w:left w:val="none" w:sz="0" w:space="0" w:color="auto"/>
        <w:bottom w:val="none" w:sz="0" w:space="0" w:color="auto"/>
        <w:right w:val="none" w:sz="0" w:space="0" w:color="auto"/>
      </w:divBdr>
    </w:div>
    <w:div w:id="1644314463">
      <w:bodyDiv w:val="1"/>
      <w:marLeft w:val="0"/>
      <w:marRight w:val="0"/>
      <w:marTop w:val="0"/>
      <w:marBottom w:val="0"/>
      <w:divBdr>
        <w:top w:val="none" w:sz="0" w:space="0" w:color="auto"/>
        <w:left w:val="none" w:sz="0" w:space="0" w:color="auto"/>
        <w:bottom w:val="none" w:sz="0" w:space="0" w:color="auto"/>
        <w:right w:val="none" w:sz="0" w:space="0" w:color="auto"/>
      </w:divBdr>
    </w:div>
    <w:div w:id="1748074340">
      <w:bodyDiv w:val="1"/>
      <w:marLeft w:val="0"/>
      <w:marRight w:val="0"/>
      <w:marTop w:val="0"/>
      <w:marBottom w:val="0"/>
      <w:divBdr>
        <w:top w:val="none" w:sz="0" w:space="0" w:color="auto"/>
        <w:left w:val="none" w:sz="0" w:space="0" w:color="auto"/>
        <w:bottom w:val="none" w:sz="0" w:space="0" w:color="auto"/>
        <w:right w:val="none" w:sz="0" w:space="0" w:color="auto"/>
      </w:divBdr>
    </w:div>
    <w:div w:id="1897009540">
      <w:bodyDiv w:val="1"/>
      <w:marLeft w:val="0"/>
      <w:marRight w:val="0"/>
      <w:marTop w:val="0"/>
      <w:marBottom w:val="0"/>
      <w:divBdr>
        <w:top w:val="none" w:sz="0" w:space="0" w:color="auto"/>
        <w:left w:val="none" w:sz="0" w:space="0" w:color="auto"/>
        <w:bottom w:val="none" w:sz="0" w:space="0" w:color="auto"/>
        <w:right w:val="none" w:sz="0" w:space="0" w:color="auto"/>
      </w:divBdr>
    </w:div>
    <w:div w:id="1926451572">
      <w:bodyDiv w:val="1"/>
      <w:marLeft w:val="0"/>
      <w:marRight w:val="0"/>
      <w:marTop w:val="0"/>
      <w:marBottom w:val="0"/>
      <w:divBdr>
        <w:top w:val="none" w:sz="0" w:space="0" w:color="auto"/>
        <w:left w:val="none" w:sz="0" w:space="0" w:color="auto"/>
        <w:bottom w:val="none" w:sz="0" w:space="0" w:color="auto"/>
        <w:right w:val="none" w:sz="0" w:space="0" w:color="auto"/>
      </w:divBdr>
    </w:div>
    <w:div w:id="2054494955">
      <w:bodyDiv w:val="1"/>
      <w:marLeft w:val="0"/>
      <w:marRight w:val="0"/>
      <w:marTop w:val="0"/>
      <w:marBottom w:val="0"/>
      <w:divBdr>
        <w:top w:val="none" w:sz="0" w:space="0" w:color="auto"/>
        <w:left w:val="none" w:sz="0" w:space="0" w:color="auto"/>
        <w:bottom w:val="none" w:sz="0" w:space="0" w:color="auto"/>
        <w:right w:val="none" w:sz="0" w:space="0" w:color="auto"/>
      </w:divBdr>
    </w:div>
    <w:div w:id="2076585741">
      <w:bodyDiv w:val="1"/>
      <w:marLeft w:val="0"/>
      <w:marRight w:val="0"/>
      <w:marTop w:val="0"/>
      <w:marBottom w:val="0"/>
      <w:divBdr>
        <w:top w:val="none" w:sz="0" w:space="0" w:color="auto"/>
        <w:left w:val="none" w:sz="0" w:space="0" w:color="auto"/>
        <w:bottom w:val="none" w:sz="0" w:space="0" w:color="auto"/>
        <w:right w:val="none" w:sz="0" w:space="0" w:color="auto"/>
      </w:divBdr>
      <w:divsChild>
        <w:div w:id="576401408">
          <w:marLeft w:val="0"/>
          <w:marRight w:val="0"/>
          <w:marTop w:val="0"/>
          <w:marBottom w:val="0"/>
          <w:divBdr>
            <w:top w:val="single" w:sz="2" w:space="0" w:color="auto"/>
            <w:left w:val="single" w:sz="2" w:space="0" w:color="auto"/>
            <w:bottom w:val="single" w:sz="6" w:space="0" w:color="auto"/>
            <w:right w:val="single" w:sz="2" w:space="0" w:color="auto"/>
          </w:divBdr>
          <w:divsChild>
            <w:div w:id="537743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2419669">
                  <w:marLeft w:val="0"/>
                  <w:marRight w:val="0"/>
                  <w:marTop w:val="0"/>
                  <w:marBottom w:val="0"/>
                  <w:divBdr>
                    <w:top w:val="single" w:sz="2" w:space="0" w:color="D9D9E3"/>
                    <w:left w:val="single" w:sz="2" w:space="0" w:color="D9D9E3"/>
                    <w:bottom w:val="single" w:sz="2" w:space="0" w:color="D9D9E3"/>
                    <w:right w:val="single" w:sz="2" w:space="0" w:color="D9D9E3"/>
                  </w:divBdr>
                  <w:divsChild>
                    <w:div w:id="791093023">
                      <w:marLeft w:val="0"/>
                      <w:marRight w:val="0"/>
                      <w:marTop w:val="0"/>
                      <w:marBottom w:val="0"/>
                      <w:divBdr>
                        <w:top w:val="single" w:sz="2" w:space="0" w:color="D9D9E3"/>
                        <w:left w:val="single" w:sz="2" w:space="0" w:color="D9D9E3"/>
                        <w:bottom w:val="single" w:sz="2" w:space="0" w:color="D9D9E3"/>
                        <w:right w:val="single" w:sz="2" w:space="0" w:color="D9D9E3"/>
                      </w:divBdr>
                      <w:divsChild>
                        <w:div w:id="1657881656">
                          <w:marLeft w:val="0"/>
                          <w:marRight w:val="0"/>
                          <w:marTop w:val="0"/>
                          <w:marBottom w:val="0"/>
                          <w:divBdr>
                            <w:top w:val="single" w:sz="2" w:space="0" w:color="D9D9E3"/>
                            <w:left w:val="single" w:sz="2" w:space="0" w:color="D9D9E3"/>
                            <w:bottom w:val="single" w:sz="2" w:space="0" w:color="D9D9E3"/>
                            <w:right w:val="single" w:sz="2" w:space="0" w:color="D9D9E3"/>
                          </w:divBdr>
                          <w:divsChild>
                            <w:div w:id="1561135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cp:lastModifiedBy>
  <cp:revision>4</cp:revision>
  <dcterms:created xsi:type="dcterms:W3CDTF">2023-04-06T18:45:00Z</dcterms:created>
  <dcterms:modified xsi:type="dcterms:W3CDTF">2023-04-28T08:41:00Z</dcterms:modified>
</cp:coreProperties>
</file>