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mc:Ignorable="w14 wp14 ">
  <w:body>
    <w:p w14:paraId="00000001">
      <w:r>
        <w:rPr/>
        <w:drawing xmlns:mc="http://schemas.openxmlformats.org/markup-compatibility/2006">
          <wp:inline distT="0" distB="0" distL="0" distR="0">
            <wp:extent cx="2788285" cy="1381125"/>
            <wp:effectExtent l="0" t="0" r="0" b="0"/>
            <wp:docPr id="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 name="Picture 1"/>
                    <pic:cNvPicPr>
                      <a:picLocks noChangeAspect="1"/>
                    </pic:cNvPicPr>
                  </pic:nvPicPr>
                  <pic:blipFill>
                    <a:blip r:embed="rId12"/>
                    <a:srcRect/>
                    <a:stretch>
                      <a:fillRect/>
                    </a:stretch>
                  </pic:blipFill>
                  <pic:spPr>
                    <a:xfrm>
                      <a:off x="0" y="0"/>
                      <a:ext cx="2788285" cy="1381125"/>
                    </a:xfrm>
                    <a:prstGeom prst="rect">
                      <a:avLst/>
                    </a:prstGeom>
                  </pic:spPr>
                </pic:pic>
              </a:graphicData>
            </a:graphic>
          </wp:inline>
        </w:drawing>
      </w:r>
    </w:p>
    <w:p w14:paraId="00000002">
      <w:pPr>
        <w:rPr>
          <w:rFonts w:ascii="Arial" w:cs="Arial" w:hAnsi="Arial"/>
          <w:b/>
          <w:bCs/>
        </w:rPr>
      </w:pPr>
    </w:p>
    <w:p w14:paraId="00000003">
      <w:pPr>
        <w:rPr>
          <w:rFonts w:ascii="Arial" w:cs="Arial" w:hAnsi="Arial"/>
          <w:b/>
          <w:bCs/>
        </w:rPr>
      </w:pPr>
    </w:p>
    <w:tbl>
      <w:tblPr>
        <w:tblStyle w:val="TableGrid"/>
        <w:tblW w:w="0" w:type="auto"/>
        <w:tblLook w:val="04A0"/>
      </w:tblPr>
      <w:tblGrid>
        <w:gridCol w:w="4621"/>
        <w:gridCol w:w="4621"/>
      </w:tblGrid>
      <w:tr>
        <w:trPr>
          <w:trHeight w:val="603"/>
        </w:trPr>
        <w:tc>
          <w:tcPr>
            <w:cnfStyle w:val="101000000000"/>
            <w:tcW w:w="4621" w:type="dxa"/>
          </w:tcPr>
          <w:p w14:paraId="00000004">
            <w:pPr>
              <w:rPr>
                <w:rFonts w:ascii="Arial" w:cs="Arial" w:hAnsi="Arial"/>
                <w:b/>
                <w:bCs/>
              </w:rPr>
            </w:pPr>
            <w:r>
              <w:rPr>
                <w:rFonts w:ascii="Arial" w:cs="Arial" w:hAnsi="Arial"/>
                <w:b/>
                <w:bCs/>
              </w:rPr>
              <w:t xml:space="preserve">Name </w:t>
            </w:r>
          </w:p>
        </w:tc>
        <w:tc>
          <w:tcPr>
            <w:cnfStyle w:val="100000000000"/>
            <w:tcW w:w="4621" w:type="dxa"/>
          </w:tcPr>
          <w:p w14:paraId="00000005">
            <w:pPr>
              <w:rPr>
                <w:rFonts w:ascii="Arial" w:cs="Arial" w:hAnsi="Arial"/>
                <w:b/>
                <w:bCs/>
              </w:rPr>
            </w:pPr>
            <w:r>
              <w:rPr>
                <w:rFonts w:ascii="Arial" w:cs="Arial" w:hAnsi="Arial"/>
                <w:b/>
                <w:bCs/>
              </w:rPr>
              <w:t xml:space="preserve">Zeenia </w:t>
            </w:r>
            <w:r>
              <w:rPr>
                <w:rFonts w:ascii="Arial" w:cs="Arial" w:hAnsi="Arial"/>
                <w:b/>
                <w:bCs/>
              </w:rPr>
              <w:t>yusuf</w:t>
            </w:r>
          </w:p>
        </w:tc>
      </w:tr>
      <w:tr>
        <w:trPr>
          <w:trHeight w:val="503"/>
        </w:trPr>
        <w:tc>
          <w:tcPr>
            <w:cnfStyle w:val="001000100000"/>
            <w:tcW w:w="4621" w:type="dxa"/>
          </w:tcPr>
          <w:p w14:paraId="00000006">
            <w:pPr>
              <w:rPr>
                <w:rFonts w:ascii="Arial" w:cs="Arial" w:hAnsi="Arial"/>
                <w:b/>
                <w:bCs/>
              </w:rPr>
            </w:pPr>
            <w:r>
              <w:rPr>
                <w:rFonts w:ascii="Arial" w:cs="Arial" w:hAnsi="Arial"/>
                <w:b/>
                <w:bCs/>
              </w:rPr>
              <w:t>Student Code</w:t>
            </w:r>
          </w:p>
        </w:tc>
        <w:tc>
          <w:tcPr>
            <w:cnfStyle w:val="000000100000"/>
            <w:tcW w:w="4621" w:type="dxa"/>
          </w:tcPr>
          <w:p w14:paraId="00000007">
            <w:pPr>
              <w:rPr>
                <w:rFonts w:ascii="Arial" w:cs="Arial" w:hAnsi="Arial"/>
                <w:b/>
                <w:bCs/>
              </w:rPr>
            </w:pPr>
            <w:r>
              <w:rPr>
                <w:rFonts w:ascii="Arial" w:cs="Arial" w:hAnsi="Arial"/>
                <w:b/>
                <w:bCs/>
              </w:rPr>
              <w:t>2407399</w:t>
            </w:r>
          </w:p>
        </w:tc>
      </w:tr>
      <w:tr>
        <w:trPr>
          <w:trHeight w:val="463"/>
        </w:trPr>
        <w:tc>
          <w:tcPr>
            <w:cnfStyle w:val="001000010000"/>
            <w:tcW w:w="4621" w:type="dxa"/>
          </w:tcPr>
          <w:p w14:paraId="00000008">
            <w:pPr>
              <w:rPr>
                <w:rFonts w:ascii="Arial" w:cs="Arial" w:hAnsi="Arial"/>
                <w:b/>
                <w:bCs/>
              </w:rPr>
            </w:pPr>
            <w:r>
              <w:rPr>
                <w:rFonts w:ascii="Arial" w:cs="Arial" w:hAnsi="Arial"/>
                <w:b/>
                <w:bCs/>
              </w:rPr>
              <w:t>Module Code</w:t>
            </w:r>
          </w:p>
        </w:tc>
        <w:tc>
          <w:tcPr>
            <w:cnfStyle w:val="000000010000"/>
            <w:tcW w:w="4621" w:type="dxa"/>
          </w:tcPr>
          <w:p w14:paraId="00000009">
            <w:pPr>
              <w:rPr>
                <w:rFonts w:ascii="Arial" w:cs="Arial" w:hAnsi="Arial"/>
              </w:rPr>
            </w:pPr>
            <w:r>
              <w:rPr>
                <w:rFonts w:ascii="Arial" w:cs="Arial" w:hAnsi="Arial"/>
                <w:b/>
                <w:bCs/>
              </w:rPr>
              <w:t>LCBB4013</w:t>
            </w:r>
          </w:p>
        </w:tc>
      </w:tr>
      <w:tr>
        <w:trPr>
          <w:trHeight w:val="483"/>
        </w:trPr>
        <w:tc>
          <w:tcPr>
            <w:cnfStyle w:val="001000100000"/>
            <w:tcW w:w="4621" w:type="dxa"/>
          </w:tcPr>
          <w:p w14:paraId="0000000A">
            <w:pPr>
              <w:rPr>
                <w:rFonts w:ascii="Arial" w:cs="Arial" w:hAnsi="Arial"/>
                <w:b/>
                <w:bCs/>
              </w:rPr>
            </w:pPr>
            <w:r>
              <w:rPr>
                <w:rFonts w:ascii="Arial" w:cs="Arial" w:hAnsi="Arial"/>
                <w:b/>
                <w:bCs/>
              </w:rPr>
              <w:t>module</w:t>
            </w:r>
          </w:p>
        </w:tc>
        <w:tc>
          <w:tcPr>
            <w:cnfStyle w:val="000000100000"/>
            <w:tcW w:w="4621" w:type="dxa"/>
          </w:tcPr>
          <w:p w14:paraId="0000000B">
            <w:pPr>
              <w:rPr>
                <w:rFonts w:ascii="Arial" w:cs="Arial" w:hAnsi="Arial"/>
                <w:b/>
                <w:bCs/>
              </w:rPr>
            </w:pPr>
            <w:r>
              <w:rPr>
                <w:rFonts w:ascii="Arial" w:cs="Arial" w:hAnsi="Arial"/>
                <w:b/>
                <w:bCs/>
              </w:rPr>
              <w:t>Stakeholder Engagement</w:t>
            </w:r>
          </w:p>
        </w:tc>
      </w:tr>
      <w:tr>
        <w:trPr>
          <w:trHeight w:val="683"/>
        </w:trPr>
        <w:tc>
          <w:tcPr>
            <w:cnfStyle w:val="001000010000"/>
            <w:tcW w:w="4621" w:type="dxa"/>
          </w:tcPr>
          <w:p w14:paraId="0000000C">
            <w:pPr>
              <w:rPr>
                <w:rFonts w:ascii="Arial" w:cs="Arial" w:hAnsi="Arial"/>
                <w:b/>
                <w:bCs/>
              </w:rPr>
            </w:pPr>
            <w:r>
              <w:rPr>
                <w:rFonts w:ascii="Arial" w:cs="Arial" w:hAnsi="Arial"/>
                <w:b/>
                <w:bCs/>
              </w:rPr>
              <w:t>lecturer</w:t>
            </w:r>
          </w:p>
        </w:tc>
        <w:tc>
          <w:tcPr>
            <w:cnfStyle w:val="000000010000"/>
            <w:tcW w:w="4621" w:type="dxa"/>
          </w:tcPr>
          <w:p w14:paraId="0000000D">
            <w:pPr>
              <w:rPr>
                <w:rFonts w:ascii="Arial" w:cs="Arial" w:hAnsi="Arial"/>
                <w:b/>
                <w:bCs/>
              </w:rPr>
            </w:pPr>
            <w:r>
              <w:rPr>
                <w:rFonts w:ascii="Arial" w:cs="Arial" w:hAnsi="Arial"/>
                <w:b/>
                <w:bCs/>
              </w:rPr>
              <w:t>Fatima Hashmi</w:t>
            </w:r>
          </w:p>
        </w:tc>
      </w:tr>
    </w:tbl>
    <w:p w14:paraId="0000000E">
      <w:pPr>
        <w:rPr>
          <w:rFonts w:ascii="Arial" w:cs="Arial" w:hAnsi="Arial"/>
          <w:b/>
          <w:bCs/>
        </w:rPr>
      </w:pPr>
    </w:p>
    <w:p w14:paraId="0000000F">
      <w:pPr>
        <w:rPr>
          <w:rFonts w:ascii="Arial" w:cs="Arial" w:hAnsi="Arial"/>
          <w:b/>
          <w:bCs/>
        </w:rPr>
      </w:pPr>
    </w:p>
    <w:p w14:paraId="00000010">
      <w:pPr>
        <w:rPr>
          <w:rFonts w:ascii="Arial" w:cs="Arial" w:hAnsi="Arial"/>
          <w:b/>
          <w:bCs/>
        </w:rPr>
      </w:pPr>
      <w:r>
        <w:rPr>
          <w:rFonts w:ascii="Arial" w:cs="Arial" w:hAnsi="Arial"/>
          <w:b/>
          <w:bCs/>
        </w:rPr>
        <w:tab/>
      </w:r>
      <w:r>
        <w:rPr>
          <w:rFonts w:ascii="Arial" w:cs="Arial" w:hAnsi="Arial"/>
          <w:b/>
          <w:bCs/>
        </w:rPr>
        <w:tab/>
      </w:r>
    </w:p>
    <w:p w14:paraId="00000011">
      <w:pPr>
        <w:rPr>
          <w:rFonts w:ascii="Arial" w:cs="Arial" w:hAnsi="Arial"/>
          <w:b/>
          <w:bCs/>
        </w:rPr>
      </w:pPr>
    </w:p>
    <w:p w14:paraId="00000012">
      <w:pPr>
        <w:rPr>
          <w:rFonts w:ascii="Arial" w:cs="Arial" w:hAnsi="Arial"/>
          <w:b/>
          <w:bCs/>
        </w:rPr>
      </w:pPr>
    </w:p>
    <w:p w14:paraId="00000013">
      <w:pPr>
        <w:rPr>
          <w:rFonts w:ascii="Arial" w:cs="Arial" w:hAnsi="Arial"/>
          <w:b/>
          <w:bCs/>
        </w:rPr>
      </w:pPr>
    </w:p>
    <w:p w14:paraId="00000014">
      <w:pPr>
        <w:rPr>
          <w:rFonts w:ascii="Arial" w:cs="Arial" w:hAnsi="Arial"/>
          <w:b/>
          <w:bCs/>
        </w:rPr>
      </w:pPr>
    </w:p>
    <w:p w14:paraId="00000015">
      <w:pPr>
        <w:rPr>
          <w:rFonts w:ascii="Arial" w:cs="Arial" w:hAnsi="Arial"/>
          <w:b/>
          <w:bCs/>
        </w:rPr>
      </w:pPr>
    </w:p>
    <w:p w14:paraId="00000016">
      <w:pPr>
        <w:rPr>
          <w:rFonts w:ascii="Arial" w:cs="Arial" w:hAnsi="Arial"/>
          <w:b/>
          <w:bCs/>
        </w:rPr>
      </w:pPr>
    </w:p>
    <w:p w14:paraId="00000017">
      <w:pPr>
        <w:rPr>
          <w:rFonts w:ascii="Arial" w:cs="Arial" w:hAnsi="Arial"/>
          <w:b/>
          <w:bCs/>
        </w:rPr>
      </w:pPr>
    </w:p>
    <w:p w14:paraId="00000018">
      <w:pPr>
        <w:rPr>
          <w:rFonts w:ascii="Arial" w:cs="Arial" w:hAnsi="Arial"/>
          <w:b/>
          <w:bCs/>
        </w:rPr>
      </w:pPr>
    </w:p>
    <w:p w14:paraId="00000019">
      <w:pPr>
        <w:rPr>
          <w:rFonts w:ascii="Arial" w:cs="Arial" w:hAnsi="Arial"/>
          <w:b/>
          <w:bCs/>
        </w:rPr>
      </w:pPr>
    </w:p>
    <w:p w14:paraId="0000001A">
      <w:pPr>
        <w:rPr>
          <w:rFonts w:ascii="Arial" w:cs="Arial" w:hAnsi="Arial"/>
          <w:b/>
          <w:bCs/>
        </w:rPr>
      </w:pPr>
    </w:p>
    <w:p w14:paraId="0000001B">
      <w:pPr>
        <w:rPr>
          <w:rFonts w:ascii="Arial" w:cs="Arial" w:hAnsi="Arial"/>
          <w:b/>
          <w:bCs/>
        </w:rPr>
      </w:pPr>
    </w:p>
    <w:p w14:paraId="0000001C">
      <w:pPr>
        <w:rPr>
          <w:rFonts w:ascii="Arial" w:cs="Arial" w:hAnsi="Arial"/>
          <w:b/>
          <w:bCs/>
        </w:rPr>
      </w:pPr>
    </w:p>
    <w:p w14:paraId="0000001D">
      <w:pPr>
        <w:rPr>
          <w:rFonts w:ascii="Arial" w:cs="Arial" w:hAnsi="Arial"/>
          <w:b/>
          <w:bCs/>
        </w:rPr>
      </w:pPr>
    </w:p>
    <w:p w14:paraId="0000001E">
      <w:pPr>
        <w:rPr>
          <w:rFonts w:ascii="Arial" w:cs="Arial" w:hAnsi="Arial"/>
          <w:b/>
          <w:bCs/>
        </w:rPr>
      </w:pPr>
      <w:r>
        <w:rPr>
          <w:rFonts w:ascii="Arial" w:cs="Arial" w:hAnsi="Arial"/>
          <w:b/>
          <w:bCs/>
        </w:rPr>
        <w:tab/>
      </w:r>
      <w:r>
        <w:rPr>
          <w:rFonts w:ascii="Arial" w:cs="Arial" w:hAnsi="Arial"/>
          <w:b/>
          <w:bCs/>
        </w:rPr>
        <w:tab/>
      </w:r>
      <w:r>
        <w:rPr>
          <w:rFonts w:ascii="Arial" w:cs="Arial" w:hAnsi="Arial"/>
          <w:b/>
          <w:bCs/>
        </w:rPr>
        <w:tab/>
        <w:t xml:space="preserve">Table Of Content </w:t>
      </w:r>
    </w:p>
    <w:tbl>
      <w:tblPr>
        <w:tblStyle w:val="TableGrid"/>
        <w:tblW w:w="0" w:type="auto"/>
        <w:tblLook w:val="04A0"/>
      </w:tblPr>
      <w:tblGrid>
        <w:gridCol w:w="5421"/>
        <w:gridCol w:w="3821"/>
      </w:tblGrid>
      <w:tr>
        <w:trPr/>
        <w:tc>
          <w:tcPr>
            <w:cnfStyle w:val="101000000000"/>
            <w:tcW w:w="5421" w:type="dxa"/>
          </w:tcPr>
          <w:p w14:paraId="0000001F">
            <w:pPr>
              <w:jc w:val="center"/>
              <w:rPr>
                <w:rFonts w:ascii="Arial" w:cs="Arial" w:hAnsi="Arial"/>
                <w:b/>
                <w:bCs/>
              </w:rPr>
            </w:pPr>
            <w:r>
              <w:rPr>
                <w:rFonts w:ascii="Arial" w:cs="Arial" w:hAnsi="Arial"/>
                <w:b/>
                <w:bCs/>
              </w:rPr>
              <w:t>Section</w:t>
            </w:r>
          </w:p>
        </w:tc>
        <w:tc>
          <w:tcPr>
            <w:cnfStyle w:val="100000000000"/>
            <w:tcW w:w="3821" w:type="dxa"/>
          </w:tcPr>
          <w:p w14:paraId="00000020">
            <w:pPr>
              <w:rPr>
                <w:rFonts w:ascii="Arial" w:cs="Arial" w:hAnsi="Arial"/>
                <w:b/>
                <w:bCs/>
              </w:rPr>
            </w:pPr>
            <w:r>
              <w:rPr>
                <w:rFonts w:ascii="Arial" w:cs="Arial" w:hAnsi="Arial"/>
                <w:b/>
                <w:bCs/>
              </w:rPr>
              <w:t>Page Number</w:t>
            </w:r>
          </w:p>
        </w:tc>
      </w:tr>
      <w:tr>
        <w:trPr>
          <w:trHeight w:val="563"/>
        </w:trPr>
        <w:tc>
          <w:tcPr>
            <w:cnfStyle w:val="001000100000"/>
            <w:tcW w:w="5421" w:type="dxa"/>
          </w:tcPr>
          <w:p w14:paraId="00000021">
            <w:pPr>
              <w:numPr>
                <w:ilvl w:val="0"/>
                <w:numId w:val="30"/>
              </w:numPr>
              <w:rPr>
                <w:rFonts w:ascii="Arial" w:cs="Arial" w:hAnsi="Arial"/>
                <w:b/>
                <w:bCs/>
              </w:rPr>
            </w:pPr>
            <w:r>
              <w:rPr>
                <w:rFonts w:ascii="Arial" w:cs="Arial" w:hAnsi="Arial"/>
                <w:b/>
                <w:bCs/>
              </w:rPr>
              <w:t xml:space="preserve">Introduction </w:t>
            </w:r>
          </w:p>
        </w:tc>
        <w:tc>
          <w:tcPr>
            <w:cnfStyle w:val="000000100000"/>
            <w:tcW w:w="3821" w:type="dxa"/>
          </w:tcPr>
          <w:p w14:paraId="00000022">
            <w:pPr>
              <w:rPr>
                <w:rFonts w:ascii="Arial" w:cs="Arial" w:hAnsi="Arial"/>
                <w:b/>
                <w:bCs/>
              </w:rPr>
            </w:pPr>
            <w:r>
              <w:rPr>
                <w:rFonts w:ascii="Arial" w:cs="Arial" w:hAnsi="Arial"/>
                <w:b/>
                <w:bCs/>
              </w:rPr>
              <w:t>3</w:t>
            </w:r>
          </w:p>
        </w:tc>
      </w:tr>
      <w:tr>
        <w:trPr/>
        <w:tc>
          <w:tcPr>
            <w:cnfStyle w:val="001000010000"/>
            <w:tcW w:w="5421" w:type="dxa"/>
          </w:tcPr>
          <w:p w14:paraId="00000023">
            <w:pPr>
              <w:numPr>
                <w:ilvl w:val="0"/>
                <w:numId w:val="35"/>
              </w:numPr>
              <w:rPr>
                <w:rFonts w:ascii="Arial" w:cs="Arial" w:hAnsi="Arial"/>
                <w:b/>
                <w:bCs/>
              </w:rPr>
            </w:pPr>
            <w:r>
              <w:rPr>
                <w:rFonts w:ascii="Arial" w:cs="Arial" w:hAnsi="Arial"/>
                <w:b/>
                <w:bCs/>
              </w:rPr>
              <w:t>Project background and purpose</w:t>
            </w:r>
          </w:p>
        </w:tc>
        <w:tc>
          <w:tcPr>
            <w:cnfStyle w:val="000000010000"/>
            <w:tcW w:w="3821" w:type="dxa"/>
          </w:tcPr>
          <w:p w14:paraId="00000024">
            <w:pPr>
              <w:rPr>
                <w:rFonts w:ascii="Arial" w:cs="Arial" w:hAnsi="Arial"/>
                <w:b/>
                <w:bCs/>
              </w:rPr>
            </w:pPr>
            <w:r>
              <w:rPr>
                <w:rFonts w:ascii="Arial" w:cs="Arial" w:hAnsi="Arial"/>
                <w:b/>
                <w:bCs/>
              </w:rPr>
              <w:t>3</w:t>
            </w:r>
          </w:p>
        </w:tc>
      </w:tr>
      <w:tr>
        <w:trPr/>
        <w:tc>
          <w:tcPr>
            <w:cnfStyle w:val="001000100000"/>
            <w:tcW w:w="5421" w:type="dxa"/>
          </w:tcPr>
          <w:p w14:paraId="00000025">
            <w:pPr>
              <w:numPr>
                <w:ilvl w:val="0"/>
                <w:numId w:val="36"/>
              </w:numPr>
              <w:rPr>
                <w:rFonts w:ascii="Arial" w:cs="Arial" w:hAnsi="Arial"/>
                <w:b/>
                <w:bCs/>
              </w:rPr>
            </w:pPr>
            <w:r>
              <w:rPr>
                <w:rFonts w:ascii="Arial" w:cs="Arial" w:hAnsi="Arial"/>
                <w:b/>
                <w:bCs/>
              </w:rPr>
              <w:t>Main stakeholder and expected benefits</w:t>
            </w:r>
          </w:p>
        </w:tc>
        <w:tc>
          <w:tcPr>
            <w:cnfStyle w:val="000000100000"/>
            <w:tcW w:w="3821" w:type="dxa"/>
          </w:tcPr>
          <w:p w14:paraId="00000026">
            <w:pPr>
              <w:rPr>
                <w:rFonts w:ascii="Arial" w:cs="Arial" w:hAnsi="Arial"/>
                <w:b/>
                <w:bCs/>
              </w:rPr>
            </w:pPr>
            <w:r>
              <w:rPr>
                <w:rFonts w:ascii="Arial" w:cs="Arial" w:hAnsi="Arial"/>
                <w:b/>
                <w:bCs/>
              </w:rPr>
              <w:t>3-4</w:t>
            </w:r>
          </w:p>
        </w:tc>
      </w:tr>
      <w:tr>
        <w:trPr>
          <w:trHeight w:val="563"/>
        </w:trPr>
        <w:tc>
          <w:tcPr>
            <w:cnfStyle w:val="001000010000"/>
            <w:tcW w:w="5421" w:type="dxa"/>
          </w:tcPr>
          <w:p w14:paraId="00000027">
            <w:pPr>
              <w:rPr>
                <w:rFonts w:ascii="Arial" w:cs="Arial" w:hAnsi="Arial"/>
                <w:b/>
                <w:bCs/>
              </w:rPr>
            </w:pPr>
            <w:r>
              <w:rPr>
                <w:rFonts w:ascii="Arial" w:cs="Arial" w:hAnsi="Arial"/>
                <w:b/>
                <w:bCs/>
              </w:rPr>
              <w:t>2. Stakeholder Engagement Strategies</w:t>
            </w:r>
          </w:p>
        </w:tc>
        <w:tc>
          <w:tcPr>
            <w:cnfStyle w:val="000000010000"/>
            <w:tcW w:w="3821" w:type="dxa"/>
          </w:tcPr>
          <w:p w14:paraId="00000028">
            <w:pPr>
              <w:rPr>
                <w:rFonts w:ascii="Arial" w:cs="Arial" w:hAnsi="Arial"/>
                <w:b/>
                <w:bCs/>
              </w:rPr>
            </w:pPr>
            <w:r>
              <w:rPr>
                <w:rFonts w:ascii="Arial" w:cs="Arial" w:hAnsi="Arial"/>
                <w:b/>
                <w:bCs/>
              </w:rPr>
              <w:t>5</w:t>
            </w:r>
          </w:p>
        </w:tc>
      </w:tr>
      <w:tr>
        <w:trPr/>
        <w:tc>
          <w:tcPr>
            <w:cnfStyle w:val="001000100000"/>
            <w:tcW w:w="5421" w:type="dxa"/>
          </w:tcPr>
          <w:p w14:paraId="00000029">
            <w:pPr>
              <w:numPr>
                <w:ilvl w:val="0"/>
                <w:numId w:val="31"/>
              </w:numPr>
              <w:rPr>
                <w:rFonts w:ascii="Arial" w:cs="Arial" w:hAnsi="Arial"/>
                <w:b/>
                <w:bCs/>
              </w:rPr>
            </w:pPr>
            <w:r>
              <w:rPr>
                <w:rFonts w:ascii="Arial" w:cs="Arial" w:hAnsi="Arial"/>
                <w:b/>
                <w:bCs/>
              </w:rPr>
              <w:t>Power, Influence and Interest table</w:t>
            </w:r>
          </w:p>
        </w:tc>
        <w:tc>
          <w:tcPr>
            <w:cnfStyle w:val="000000100000"/>
            <w:tcW w:w="3821" w:type="dxa"/>
          </w:tcPr>
          <w:p w14:paraId="0000002A">
            <w:pPr>
              <w:rPr>
                <w:rFonts w:ascii="Arial" w:cs="Arial" w:hAnsi="Arial"/>
                <w:b/>
                <w:bCs/>
              </w:rPr>
            </w:pPr>
            <w:r>
              <w:rPr>
                <w:rFonts w:ascii="Arial" w:cs="Arial" w:hAnsi="Arial"/>
                <w:b/>
                <w:bCs/>
              </w:rPr>
              <w:t>5</w:t>
            </w:r>
          </w:p>
        </w:tc>
      </w:tr>
      <w:tr>
        <w:trPr/>
        <w:tc>
          <w:tcPr>
            <w:cnfStyle w:val="001000010000"/>
            <w:tcW w:w="5421" w:type="dxa"/>
          </w:tcPr>
          <w:p w14:paraId="0000002B">
            <w:pPr>
              <w:numPr>
                <w:ilvl w:val="0"/>
                <w:numId w:val="32"/>
              </w:numPr>
              <w:rPr>
                <w:rFonts w:ascii="Arial" w:cs="Arial" w:hAnsi="Arial"/>
                <w:b/>
                <w:bCs/>
              </w:rPr>
            </w:pPr>
            <w:r>
              <w:rPr>
                <w:rFonts w:ascii="Arial" w:cs="Arial" w:hAnsi="Arial"/>
                <w:b/>
                <w:bCs/>
              </w:rPr>
              <w:t>Stakeholder Map &amp; Explanation</w:t>
            </w:r>
          </w:p>
        </w:tc>
        <w:tc>
          <w:tcPr>
            <w:cnfStyle w:val="000000010000"/>
            <w:tcW w:w="3821" w:type="dxa"/>
          </w:tcPr>
          <w:p w14:paraId="0000002C">
            <w:pPr>
              <w:rPr>
                <w:rFonts w:ascii="Arial" w:cs="Arial" w:hAnsi="Arial"/>
                <w:b/>
                <w:bCs/>
              </w:rPr>
            </w:pPr>
            <w:r>
              <w:rPr>
                <w:rFonts w:ascii="Arial" w:cs="Arial" w:hAnsi="Arial"/>
                <w:b/>
                <w:bCs/>
              </w:rPr>
              <w:t>5-6</w:t>
            </w:r>
          </w:p>
        </w:tc>
      </w:tr>
      <w:tr>
        <w:trPr/>
        <w:tc>
          <w:tcPr>
            <w:cnfStyle w:val="001000100000"/>
            <w:tcW w:w="5421" w:type="dxa"/>
          </w:tcPr>
          <w:p w14:paraId="0000002D">
            <w:pPr>
              <w:numPr>
                <w:ilvl w:val="0"/>
                <w:numId w:val="33"/>
              </w:numPr>
              <w:rPr>
                <w:rFonts w:ascii="Arial" w:cs="Arial" w:hAnsi="Arial"/>
                <w:b/>
                <w:bCs/>
              </w:rPr>
            </w:pPr>
            <w:r>
              <w:rPr>
                <w:rFonts w:ascii="Arial" w:cs="Arial" w:hAnsi="Arial"/>
                <w:b/>
                <w:bCs/>
              </w:rPr>
              <w:t>Simple Stakeholder Map Chart</w:t>
            </w:r>
          </w:p>
        </w:tc>
        <w:tc>
          <w:tcPr>
            <w:cnfStyle w:val="000000100000"/>
            <w:tcW w:w="3821" w:type="dxa"/>
          </w:tcPr>
          <w:p w14:paraId="0000002E">
            <w:pPr>
              <w:rPr>
                <w:rFonts w:ascii="Arial" w:cs="Arial" w:hAnsi="Arial"/>
                <w:b/>
                <w:bCs/>
              </w:rPr>
            </w:pPr>
            <w:r>
              <w:rPr>
                <w:rFonts w:ascii="Arial" w:cs="Arial" w:hAnsi="Arial"/>
                <w:b/>
                <w:bCs/>
              </w:rPr>
              <w:t>6</w:t>
            </w:r>
          </w:p>
        </w:tc>
      </w:tr>
      <w:tr>
        <w:trPr>
          <w:trHeight w:val="293"/>
        </w:trPr>
        <w:tc>
          <w:tcPr>
            <w:cnfStyle w:val="001000010000"/>
            <w:tcW w:w="5421" w:type="dxa"/>
          </w:tcPr>
          <w:p w14:paraId="0000002F">
            <w:pPr>
              <w:numPr>
                <w:ilvl w:val="0"/>
                <w:numId w:val="34"/>
              </w:numPr>
              <w:rPr>
                <w:rFonts w:ascii="Arial" w:cs="Arial" w:hAnsi="Arial"/>
                <w:b/>
                <w:bCs/>
              </w:rPr>
            </w:pPr>
            <w:r>
              <w:rPr>
                <w:rFonts w:ascii="Arial" w:cs="Arial" w:hAnsi="Arial"/>
                <w:b/>
                <w:bCs/>
              </w:rPr>
              <w:t>Full Communication plan and consultation</w:t>
            </w:r>
          </w:p>
        </w:tc>
        <w:tc>
          <w:tcPr>
            <w:cnfStyle w:val="000000010000"/>
            <w:tcW w:w="3821" w:type="dxa"/>
          </w:tcPr>
          <w:p w14:paraId="00000030">
            <w:pPr>
              <w:rPr>
                <w:rFonts w:ascii="Arial" w:cs="Arial" w:hAnsi="Arial"/>
                <w:b/>
                <w:bCs/>
              </w:rPr>
            </w:pPr>
            <w:r>
              <w:rPr>
                <w:rFonts w:ascii="Arial" w:cs="Arial" w:hAnsi="Arial"/>
                <w:b/>
                <w:bCs/>
              </w:rPr>
              <w:t>7</w:t>
            </w:r>
          </w:p>
        </w:tc>
      </w:tr>
      <w:tr>
        <w:trPr>
          <w:trHeight w:val="563"/>
        </w:trPr>
        <w:tc>
          <w:tcPr>
            <w:cnfStyle w:val="001000100000"/>
            <w:tcW w:w="5421" w:type="dxa"/>
          </w:tcPr>
          <w:p w14:paraId="00000031">
            <w:pPr>
              <w:rPr>
                <w:rFonts w:ascii="Arial" w:cs="Arial" w:hAnsi="Arial"/>
                <w:b/>
                <w:bCs/>
              </w:rPr>
            </w:pPr>
            <w:r>
              <w:rPr>
                <w:rFonts w:ascii="Arial" w:cs="Arial" w:hAnsi="Arial"/>
                <w:b/>
                <w:bCs/>
              </w:rPr>
              <w:t>3. Ethical consideration</w:t>
            </w:r>
          </w:p>
        </w:tc>
        <w:tc>
          <w:tcPr>
            <w:cnfStyle w:val="000000100000"/>
            <w:tcW w:w="3821" w:type="dxa"/>
          </w:tcPr>
          <w:p w14:paraId="00000032">
            <w:pPr>
              <w:rPr>
                <w:rFonts w:ascii="Arial" w:cs="Arial" w:hAnsi="Arial"/>
                <w:b/>
                <w:bCs/>
              </w:rPr>
            </w:pPr>
            <w:r>
              <w:rPr>
                <w:rFonts w:ascii="Arial" w:cs="Arial" w:hAnsi="Arial"/>
                <w:b/>
                <w:bCs/>
              </w:rPr>
              <w:t>8</w:t>
            </w:r>
          </w:p>
        </w:tc>
      </w:tr>
      <w:tr>
        <w:trPr/>
        <w:tc>
          <w:tcPr>
            <w:cnfStyle w:val="001000010000"/>
            <w:tcW w:w="5421" w:type="dxa"/>
          </w:tcPr>
          <w:p w14:paraId="00000033">
            <w:pPr>
              <w:numPr>
                <w:ilvl w:val="0"/>
                <w:numId w:val="37"/>
              </w:numPr>
              <w:rPr>
                <w:rFonts w:ascii="Arial" w:cs="Arial" w:hAnsi="Arial"/>
                <w:b/>
                <w:bCs/>
              </w:rPr>
            </w:pPr>
            <w:r>
              <w:rPr>
                <w:rFonts w:ascii="Arial" w:cs="Arial" w:hAnsi="Arial"/>
                <w:b/>
                <w:bCs/>
              </w:rPr>
              <w:t>Expression of views</w:t>
            </w:r>
          </w:p>
        </w:tc>
        <w:tc>
          <w:tcPr>
            <w:cnfStyle w:val="000000010000"/>
            <w:tcW w:w="3821" w:type="dxa"/>
          </w:tcPr>
          <w:p w14:paraId="00000034">
            <w:pPr>
              <w:rPr>
                <w:rFonts w:ascii="Arial" w:cs="Arial" w:hAnsi="Arial"/>
                <w:b/>
                <w:bCs/>
              </w:rPr>
            </w:pPr>
            <w:r>
              <w:rPr>
                <w:rFonts w:ascii="Arial" w:cs="Arial" w:hAnsi="Arial"/>
                <w:b/>
                <w:bCs/>
              </w:rPr>
              <w:t>8</w:t>
            </w:r>
          </w:p>
        </w:tc>
      </w:tr>
      <w:tr>
        <w:trPr/>
        <w:tc>
          <w:tcPr>
            <w:cnfStyle w:val="001000100000"/>
            <w:tcW w:w="5421" w:type="dxa"/>
          </w:tcPr>
          <w:p w14:paraId="00000035">
            <w:pPr>
              <w:numPr>
                <w:ilvl w:val="0"/>
                <w:numId w:val="38"/>
              </w:numPr>
              <w:rPr>
                <w:rFonts w:ascii="Arial" w:cs="Arial" w:hAnsi="Arial"/>
                <w:b/>
                <w:bCs/>
              </w:rPr>
            </w:pPr>
            <w:r>
              <w:rPr>
                <w:rFonts w:ascii="Arial" w:cs="Arial" w:hAnsi="Arial"/>
                <w:b/>
                <w:bCs/>
              </w:rPr>
              <w:t>Data privacy and protection</w:t>
            </w:r>
          </w:p>
        </w:tc>
        <w:tc>
          <w:tcPr>
            <w:cnfStyle w:val="000000100000"/>
            <w:tcW w:w="3821" w:type="dxa"/>
          </w:tcPr>
          <w:p w14:paraId="00000036">
            <w:pPr>
              <w:rPr>
                <w:rFonts w:ascii="Arial" w:cs="Arial" w:hAnsi="Arial"/>
                <w:b/>
                <w:bCs/>
              </w:rPr>
            </w:pPr>
            <w:r>
              <w:rPr>
                <w:rFonts w:ascii="Arial" w:cs="Arial" w:hAnsi="Arial"/>
                <w:b/>
                <w:bCs/>
              </w:rPr>
              <w:t>8</w:t>
            </w:r>
          </w:p>
        </w:tc>
      </w:tr>
      <w:tr>
        <w:trPr/>
        <w:tc>
          <w:tcPr>
            <w:cnfStyle w:val="001000010000"/>
            <w:tcW w:w="5421" w:type="dxa"/>
          </w:tcPr>
          <w:p w14:paraId="00000037">
            <w:pPr>
              <w:numPr>
                <w:ilvl w:val="0"/>
                <w:numId w:val="39"/>
              </w:numPr>
              <w:rPr>
                <w:rFonts w:ascii="Arial" w:cs="Arial" w:hAnsi="Arial"/>
                <w:b/>
                <w:bCs/>
              </w:rPr>
            </w:pPr>
            <w:r>
              <w:rPr>
                <w:rFonts w:ascii="Arial" w:cs="Arial" w:hAnsi="Arial"/>
                <w:b/>
                <w:bCs/>
              </w:rPr>
              <w:t>Inclusion, bias and fair Feedback handling</w:t>
            </w:r>
          </w:p>
        </w:tc>
        <w:tc>
          <w:tcPr>
            <w:cnfStyle w:val="000000010000"/>
            <w:tcW w:w="3821" w:type="dxa"/>
          </w:tcPr>
          <w:p w14:paraId="00000038">
            <w:pPr>
              <w:rPr>
                <w:rFonts w:ascii="Arial" w:cs="Arial" w:hAnsi="Arial"/>
                <w:b/>
                <w:bCs/>
              </w:rPr>
            </w:pPr>
            <w:r>
              <w:rPr>
                <w:rFonts w:ascii="Arial" w:cs="Arial" w:hAnsi="Arial"/>
                <w:b/>
                <w:bCs/>
              </w:rPr>
              <w:t>8-9</w:t>
            </w:r>
          </w:p>
        </w:tc>
      </w:tr>
      <w:tr>
        <w:trPr>
          <w:trHeight w:val="533"/>
        </w:trPr>
        <w:tc>
          <w:tcPr>
            <w:cnfStyle w:val="001000100000"/>
            <w:tcW w:w="5421" w:type="dxa"/>
          </w:tcPr>
          <w:p w14:paraId="00000039">
            <w:pPr>
              <w:rPr>
                <w:rFonts w:ascii="Arial" w:cs="Arial" w:hAnsi="Arial"/>
                <w:b/>
                <w:bCs/>
              </w:rPr>
            </w:pPr>
            <w:r>
              <w:rPr>
                <w:rFonts w:ascii="Arial" w:cs="Arial" w:hAnsi="Arial"/>
                <w:b/>
                <w:bCs/>
              </w:rPr>
              <w:t>4. Conclusion and personal reflection</w:t>
            </w:r>
          </w:p>
          <w:p w14:paraId="0000003A">
            <w:pPr>
              <w:numPr>
                <w:ilvl w:val="0"/>
                <w:numId w:val="40"/>
              </w:numPr>
              <w:rPr>
                <w:rFonts w:ascii="Arial" w:cs="Arial" w:hAnsi="Arial"/>
                <w:b/>
                <w:bCs/>
              </w:rPr>
            </w:pPr>
            <w:r>
              <w:rPr>
                <w:rFonts w:ascii="Arial" w:cs="Arial" w:hAnsi="Arial"/>
                <w:b/>
                <w:bCs/>
              </w:rPr>
              <w:t>Project Conclusion</w:t>
            </w:r>
          </w:p>
        </w:tc>
        <w:tc>
          <w:tcPr>
            <w:cnfStyle w:val="000000100000"/>
            <w:tcW w:w="3821" w:type="dxa"/>
          </w:tcPr>
          <w:p w14:paraId="0000003B">
            <w:pPr>
              <w:rPr>
                <w:rFonts w:ascii="Arial" w:cs="Arial" w:hAnsi="Arial"/>
                <w:b/>
                <w:bCs/>
              </w:rPr>
            </w:pPr>
            <w:r>
              <w:rPr>
                <w:rFonts w:ascii="Arial" w:cs="Arial" w:hAnsi="Arial"/>
                <w:b/>
                <w:bCs/>
              </w:rPr>
              <w:t>10</w:t>
            </w:r>
          </w:p>
        </w:tc>
      </w:tr>
      <w:tr>
        <w:trPr/>
        <w:tc>
          <w:tcPr>
            <w:cnfStyle w:val="001000010000"/>
            <w:tcW w:w="5421" w:type="dxa"/>
          </w:tcPr>
          <w:p w14:paraId="0000003C">
            <w:pPr>
              <w:numPr>
                <w:ilvl w:val="0"/>
                <w:numId w:val="41"/>
              </w:numPr>
              <w:rPr>
                <w:rFonts w:ascii="Arial" w:cs="Arial" w:hAnsi="Arial"/>
                <w:b/>
                <w:bCs/>
              </w:rPr>
            </w:pPr>
            <w:r>
              <w:rPr>
                <w:rFonts w:ascii="Arial" w:cs="Arial" w:hAnsi="Arial"/>
                <w:b/>
                <w:bCs/>
              </w:rPr>
              <w:t>Personal Reflection on Learning</w:t>
            </w:r>
          </w:p>
        </w:tc>
        <w:tc>
          <w:tcPr>
            <w:cnfStyle w:val="000000010000"/>
            <w:tcW w:w="3821" w:type="dxa"/>
          </w:tcPr>
          <w:p w14:paraId="0000003D">
            <w:pPr>
              <w:rPr>
                <w:rFonts w:ascii="Arial" w:cs="Arial" w:hAnsi="Arial"/>
                <w:b/>
                <w:bCs/>
              </w:rPr>
            </w:pPr>
            <w:r>
              <w:rPr>
                <w:rFonts w:ascii="Arial" w:cs="Arial" w:hAnsi="Arial"/>
                <w:b/>
                <w:bCs/>
              </w:rPr>
              <w:t>10-12</w:t>
            </w:r>
          </w:p>
        </w:tc>
      </w:tr>
      <w:tr>
        <w:trPr/>
        <w:tc>
          <w:tcPr>
            <w:cnfStyle w:val="001000100000"/>
            <w:tcW w:w="5421" w:type="dxa"/>
          </w:tcPr>
          <w:p w14:paraId="0000003E">
            <w:pPr>
              <w:rPr>
                <w:rFonts w:ascii="Arial" w:cs="Arial" w:hAnsi="Arial"/>
                <w:b/>
                <w:bCs/>
              </w:rPr>
            </w:pPr>
            <w:r>
              <w:rPr>
                <w:rFonts w:ascii="Arial" w:cs="Arial" w:hAnsi="Arial"/>
                <w:b/>
                <w:bCs/>
              </w:rPr>
              <w:t>References</w:t>
            </w:r>
          </w:p>
        </w:tc>
        <w:tc>
          <w:tcPr>
            <w:cnfStyle w:val="000000100000"/>
            <w:tcW w:w="3821" w:type="dxa"/>
          </w:tcPr>
          <w:p w14:paraId="0000003F">
            <w:pPr>
              <w:rPr>
                <w:rFonts w:ascii="Arial" w:cs="Arial" w:hAnsi="Arial"/>
                <w:b/>
                <w:bCs/>
              </w:rPr>
            </w:pPr>
            <w:r>
              <w:rPr>
                <w:rFonts w:ascii="Arial" w:cs="Arial" w:hAnsi="Arial"/>
                <w:b/>
                <w:bCs/>
              </w:rPr>
              <w:t>13-14</w:t>
            </w:r>
          </w:p>
        </w:tc>
      </w:tr>
    </w:tbl>
    <w:p w14:paraId="00000040">
      <w:pPr>
        <w:rPr>
          <w:rFonts w:ascii="Arial" w:cs="Arial" w:hAnsi="Arial"/>
          <w:b/>
          <w:bCs/>
        </w:rPr>
      </w:pPr>
    </w:p>
    <w:p w14:paraId="00000041">
      <w:pPr>
        <w:rPr>
          <w:rFonts w:ascii="Arial" w:cs="Arial" w:hAnsi="Arial"/>
          <w:b/>
          <w:bCs/>
        </w:rPr>
      </w:pPr>
    </w:p>
    <w:p w14:paraId="00000042">
      <w:pPr>
        <w:rPr>
          <w:rFonts w:ascii="Arial" w:cs="Arial" w:hAnsi="Arial"/>
          <w:b/>
          <w:bCs/>
        </w:rPr>
      </w:pPr>
    </w:p>
    <w:p w14:paraId="00000043">
      <w:pPr>
        <w:rPr>
          <w:rFonts w:ascii="Arial" w:cs="Arial" w:hAnsi="Arial"/>
          <w:b/>
          <w:bCs/>
        </w:rPr>
      </w:pPr>
    </w:p>
    <w:p w14:paraId="00000044">
      <w:pPr>
        <w:rPr>
          <w:rFonts w:ascii="Arial" w:cs="Arial" w:hAnsi="Arial"/>
          <w:b/>
          <w:bCs/>
        </w:rPr>
      </w:pPr>
    </w:p>
    <w:p w14:paraId="00000045">
      <w:pPr>
        <w:rPr>
          <w:rFonts w:ascii="Arial" w:cs="Arial" w:hAnsi="Arial"/>
          <w:b/>
          <w:bCs/>
        </w:rPr>
      </w:pPr>
    </w:p>
    <w:p w14:paraId="00000046">
      <w:pPr>
        <w:rPr>
          <w:rFonts w:ascii="Arial" w:cs="Arial" w:hAnsi="Arial"/>
          <w:b/>
          <w:bCs/>
        </w:rPr>
      </w:pPr>
    </w:p>
    <w:p w14:paraId="00000047">
      <w:pPr>
        <w:rPr>
          <w:rFonts w:ascii="Arial" w:cs="Arial" w:hAnsi="Arial"/>
          <w:b/>
          <w:bCs/>
        </w:rPr>
      </w:pPr>
    </w:p>
    <w:p w14:paraId="00000048">
      <w:pPr>
        <w:rPr>
          <w:rFonts w:ascii="Arial" w:cs="Arial" w:hAnsi="Arial"/>
          <w:b/>
          <w:bCs/>
        </w:rPr>
      </w:pPr>
    </w:p>
    <w:p w14:paraId="00000049">
      <w:pPr>
        <w:rPr>
          <w:rFonts w:ascii="Arial" w:cs="Arial" w:hAnsi="Arial"/>
          <w:b/>
          <w:bCs/>
        </w:rPr>
      </w:pPr>
    </w:p>
    <w:p w14:paraId="0000004A">
      <w:pPr>
        <w:rPr>
          <w:rFonts w:ascii="Arial" w:cs="Arial" w:hAnsi="Arial"/>
          <w:b/>
          <w:bCs/>
        </w:rPr>
      </w:pPr>
    </w:p>
    <w:p w14:paraId="0000004B">
      <w:pPr>
        <w:rPr>
          <w:rFonts w:ascii="Arial" w:cs="Arial" w:hAnsi="Arial"/>
          <w:b/>
          <w:bCs/>
        </w:rPr>
      </w:pPr>
    </w:p>
    <w:p w14:paraId="0000004C">
      <w:pPr>
        <w:rPr>
          <w:rFonts w:ascii="Arial" w:cs="Arial" w:hAnsi="Arial"/>
          <w:b/>
          <w:bCs/>
        </w:rPr>
      </w:pPr>
    </w:p>
    <w:p w14:paraId="0000004D">
      <w:pPr>
        <w:rPr>
          <w:rFonts w:ascii="Arial" w:cs="Arial" w:hAnsi="Arial"/>
          <w:b/>
          <w:bCs/>
        </w:rPr>
      </w:pPr>
    </w:p>
    <w:p w14:paraId="0000004E">
      <w:pPr>
        <w:rPr>
          <w:rFonts w:ascii="Arial" w:cs="Arial" w:hAnsi="Arial"/>
          <w:b/>
          <w:bCs/>
        </w:rPr>
      </w:pPr>
    </w:p>
    <w:p w14:paraId="0000004F">
      <w:pPr>
        <w:rPr>
          <w:rFonts w:ascii="Arial" w:cs="Arial" w:hAnsi="Arial"/>
          <w:b/>
          <w:bCs/>
        </w:rPr>
      </w:pPr>
    </w:p>
    <w:p w14:paraId="00000050">
      <w:pPr>
        <w:rPr>
          <w:rFonts w:ascii="Arial" w:cs="Arial" w:hAnsi="Arial"/>
          <w:b/>
          <w:bCs/>
        </w:rPr>
      </w:pPr>
      <w:r>
        <w:rPr>
          <w:rFonts w:ascii="Arial" w:cs="Arial" w:hAnsi="Arial"/>
          <w:b/>
          <w:bCs/>
        </w:rPr>
        <w:t>Stakeholder Management Plan</w:t>
      </w:r>
    </w:p>
    <w:p w14:paraId="00000051">
      <w:pPr>
        <w:rPr>
          <w:rFonts w:ascii="Arial" w:cs="Arial" w:hAnsi="Arial"/>
        </w:rPr>
      </w:pPr>
      <w:r>
        <w:rPr>
          <w:rFonts w:ascii="Arial" w:cs="Arial" w:hAnsi="Arial"/>
          <w:b/>
          <w:bCs/>
        </w:rPr>
        <w:t xml:space="preserve">Project: </w:t>
      </w:r>
      <w:r>
        <w:rPr>
          <w:rFonts w:ascii="Arial" w:cs="Arial" w:hAnsi="Arial"/>
        </w:rPr>
        <w:t>Neighbourhood Housing</w:t>
      </w:r>
    </w:p>
    <w:p w14:paraId="00000052">
      <w:pPr>
        <w:rPr>
          <w:rFonts w:ascii="Arial" w:cs="Arial" w:hAnsi="Arial"/>
          <w:lang w:val="en-US"/>
        </w:rPr>
      </w:pPr>
      <w:r>
        <w:rPr>
          <w:rFonts w:ascii="Arial" w:cs="Arial" w:hAnsi="Arial"/>
          <w:b/>
          <w:bCs/>
          <w:lang w:val="en-US"/>
        </w:rPr>
        <w:t>Regeneration:</w:t>
      </w:r>
      <w:r>
        <w:rPr>
          <w:rFonts w:ascii="Arial" w:cs="Arial" w:hAnsi="Arial"/>
          <w:lang w:val="en-US"/>
        </w:rPr>
        <w:t xml:space="preserve"> Inner- City Birmingham / Regenerating an Older Housing estate</w:t>
      </w:r>
    </w:p>
    <w:p w14:paraId="00000053">
      <w:pPr>
        <w:rPr>
          <w:rFonts w:ascii="Arial" w:cs="Arial" w:hAnsi="Arial"/>
        </w:rPr>
      </w:pPr>
      <w:r>
        <w:rPr>
          <w:rFonts w:ascii="Arial" w:cs="Arial" w:hAnsi="Arial"/>
          <w:b/>
          <w:bCs/>
        </w:rPr>
        <w:t>Role:</w:t>
      </w:r>
      <w:r>
        <w:rPr>
          <w:rFonts w:ascii="Arial" w:cs="Arial" w:hAnsi="Arial"/>
        </w:rPr>
        <w:t xml:space="preserve"> Junior Stakeholder Manager</w:t>
      </w:r>
    </w:p>
    <w:p w14:paraId="00000054">
      <w:pPr>
        <w:rPr>
          <w:rFonts w:ascii="Arial" w:cs="Arial" w:hAnsi="Arial"/>
        </w:rPr>
      </w:pPr>
      <w:r>
        <w:rPr>
          <w:rFonts w:ascii="Arial" w:cs="Arial" w:hAnsi="Arial"/>
          <w:b/>
          <w:bCs/>
        </w:rPr>
        <w:t>Prepared For: Consultancy Company Assessment</w:t>
      </w:r>
    </w:p>
    <w:p w14:paraId="00000055">
      <w:pPr>
        <w:ind w:left="1440" w:firstLine="720"/>
        <w:rPr>
          <w:rFonts w:ascii="Arial" w:cs="Arial" w:hAnsi="Arial"/>
          <w:b/>
          <w:bCs/>
          <w:sz w:val="28"/>
          <w:szCs w:val="28"/>
          <w:u w:val="single"/>
        </w:rPr>
      </w:pPr>
      <w:r>
        <w:rPr>
          <w:rFonts w:ascii="Arial" w:cs="Arial" w:hAnsi="Arial"/>
          <w:b/>
          <w:bCs/>
          <w:sz w:val="28"/>
          <w:szCs w:val="28"/>
          <w:u w:val="single"/>
        </w:rPr>
        <w:t>Element 1</w:t>
      </w:r>
    </w:p>
    <w:p w14:paraId="00000056">
      <w:pPr>
        <w:rPr>
          <w:rFonts w:ascii="Arial" w:cs="Arial" w:hAnsi="Arial"/>
          <w:b/>
          <w:bCs/>
          <w:sz w:val="24"/>
          <w:szCs w:val="24"/>
        </w:rPr>
      </w:pPr>
      <w:r>
        <w:rPr>
          <w:rFonts w:ascii="Arial" w:cs="Arial" w:hAnsi="Arial"/>
          <w:b/>
          <w:bCs/>
          <w:sz w:val="24"/>
          <w:szCs w:val="24"/>
        </w:rPr>
        <w:t xml:space="preserve">Introduction: </w:t>
      </w:r>
    </w:p>
    <w:p w14:paraId="00000057">
      <w:pPr>
        <w:rPr>
          <w:rFonts w:ascii="Arial" w:cs="Arial" w:hAnsi="Arial"/>
          <w:b/>
          <w:bCs/>
          <w:sz w:val="24"/>
          <w:szCs w:val="24"/>
        </w:rPr>
      </w:pPr>
      <w:r>
        <w:rPr>
          <w:rFonts w:ascii="Arial" w:cs="Arial" w:hAnsi="Arial"/>
          <w:b/>
          <w:bCs/>
          <w:sz w:val="24"/>
          <w:szCs w:val="24"/>
        </w:rPr>
        <w:t xml:space="preserve"> Project Background and Purpose</w:t>
      </w:r>
    </w:p>
    <w:p w14:paraId="00000058">
      <w:pPr>
        <w:rPr>
          <w:rFonts w:ascii="Arial" w:cs="Arial" w:hAnsi="Arial"/>
          <w:sz w:val="24"/>
          <w:szCs w:val="24"/>
        </w:rPr>
      </w:pPr>
      <w:r>
        <w:rPr>
          <w:rFonts w:ascii="Arial" w:cs="Arial" w:hAnsi="Arial"/>
          <w:b/>
          <w:bCs/>
          <w:sz w:val="24"/>
          <w:szCs w:val="24"/>
        </w:rPr>
        <w:t>What this project is about</w:t>
      </w:r>
    </w:p>
    <w:p w14:paraId="00000059">
      <w:pPr>
        <w:rPr>
          <w:rFonts w:ascii="Arial" w:cs="Arial" w:hAnsi="Arial"/>
          <w:lang w:val="en-US"/>
        </w:rPr>
      </w:pPr>
      <w:r>
        <w:rPr>
          <w:rFonts w:ascii="Arial" w:cs="Arial" w:hAnsi="Arial"/>
          <w:lang w:val="en-US"/>
        </w:rPr>
        <w:t xml:space="preserve">This plans depends on how i would manage people’s views and involvement for updating and rebuilding an older housing estate here in Birmingham which was built back in the </w:t>
      </w:r>
      <w:r>
        <w:rPr>
          <w:rFonts w:ascii="Arial" w:cs="Arial" w:hAnsi="Arial"/>
          <w:b/>
          <w:bCs/>
          <w:lang w:val="en-US"/>
        </w:rPr>
        <w:t>1960s</w:t>
      </w:r>
      <w:r>
        <w:rPr>
          <w:rFonts w:ascii="Arial" w:cs="Arial" w:hAnsi="Arial"/>
          <w:lang w:val="en-US"/>
        </w:rPr>
        <w:t>. Accoridng to Freeman’s Theory of Stakeholder managament,</w:t>
      </w:r>
      <w:r>
        <w:rPr>
          <w:rFonts w:ascii="Arial" w:cs="Arial" w:hAnsi="Arial"/>
          <w:lang w:val="en-US"/>
        </w:rPr>
        <w:t xml:space="preserve">“ </w:t>
      </w:r>
      <w:r>
        <w:rPr>
          <w:rFonts w:ascii="Arial" w:cs="Arial" w:hAnsi="Arial"/>
          <w:b/>
          <w:bCs/>
          <w:lang w:val="en-US"/>
        </w:rPr>
        <w:t>Freeman (1984) states that successful projects depends on identifying and engaging with stakeholders throughout the project life cycle.”</w:t>
      </w:r>
      <w:r>
        <w:rPr>
          <w:rFonts w:ascii="Arial" w:cs="Arial" w:hAnsi="Arial"/>
          <w:lang w:val="en-US"/>
        </w:rPr>
        <w:t xml:space="preserve"> </w:t>
      </w:r>
      <w:r>
        <w:rPr>
          <w:rFonts w:ascii="Arial" w:cs="Arial" w:hAnsi="Arial"/>
          <w:lang w:val="en-US"/>
        </w:rPr>
        <w:t>Right now there are about</w:t>
      </w:r>
      <w:r>
        <w:rPr>
          <w:rFonts w:ascii="Arial" w:cs="Arial" w:hAnsi="Arial"/>
          <w:b/>
          <w:bCs/>
          <w:lang w:val="en-US"/>
        </w:rPr>
        <w:t xml:space="preserve"> 120 </w:t>
      </w:r>
      <w:r>
        <w:rPr>
          <w:rFonts w:ascii="Arial" w:cs="Arial" w:hAnsi="Arial"/>
          <w:lang w:val="en-US"/>
        </w:rPr>
        <w:t xml:space="preserve">homes in that area. Mostly small blocks of flats or older terraced houses many are in poor condition . common problems include </w:t>
      </w:r>
      <w:r>
        <w:rPr>
          <w:rFonts w:ascii="Arial" w:cs="Arial" w:hAnsi="Arial"/>
          <w:b/>
          <w:bCs/>
          <w:lang w:val="en-US"/>
        </w:rPr>
        <w:t>damp walls</w:t>
      </w:r>
      <w:r>
        <w:rPr>
          <w:rFonts w:ascii="Arial" w:cs="Arial" w:hAnsi="Arial"/>
          <w:lang w:val="en-US"/>
        </w:rPr>
        <w:t xml:space="preserve">, </w:t>
      </w:r>
      <w:r>
        <w:rPr>
          <w:rFonts w:ascii="Arial" w:cs="Arial" w:hAnsi="Arial"/>
          <w:b/>
          <w:bCs/>
          <w:lang w:val="en-US"/>
        </w:rPr>
        <w:t>old heating system</w:t>
      </w:r>
      <w:r>
        <w:rPr>
          <w:rFonts w:ascii="Arial" w:cs="Arial" w:hAnsi="Arial"/>
          <w:lang w:val="en-US"/>
        </w:rPr>
        <w:t xml:space="preserve">, </w:t>
      </w:r>
      <w:r>
        <w:rPr>
          <w:rFonts w:ascii="Arial" w:cs="Arial" w:hAnsi="Arial"/>
          <w:b/>
          <w:bCs/>
          <w:lang w:val="en-US"/>
        </w:rPr>
        <w:t>bad insulation</w:t>
      </w:r>
      <w:r>
        <w:rPr>
          <w:rFonts w:ascii="Arial" w:cs="Arial" w:hAnsi="Arial"/>
          <w:lang w:val="en-US"/>
        </w:rPr>
        <w:t xml:space="preserve"> so the heating is used </w:t>
      </w:r>
      <w:r>
        <w:rPr>
          <w:rFonts w:ascii="Arial" w:cs="Arial" w:hAnsi="Arial"/>
          <w:lang w:val="en-US"/>
        </w:rPr>
        <w:t>a lot</w:t>
      </w:r>
      <w:r>
        <w:rPr>
          <w:rFonts w:ascii="Arial" w:cs="Arial" w:hAnsi="Arial"/>
          <w:lang w:val="en-US"/>
        </w:rPr>
        <w:t xml:space="preserve"> as the heating escapes faster, very little parking and almost no proper space for children or older people to enjoy, and hardly any green areas, gardens or quiet spots where children can play safely or older people can sit and meet neighbours,</w:t>
      </w:r>
    </w:p>
    <w:p w14:paraId="0000005A">
      <w:pPr>
        <w:rPr>
          <w:rFonts w:ascii="Arial" w:cs="Arial" w:hAnsi="Arial"/>
          <w:lang w:val="en-US"/>
        </w:rPr>
      </w:pPr>
      <w:r>
        <w:rPr>
          <w:rFonts w:ascii="Arial" w:cs="Arial" w:hAnsi="Arial"/>
          <w:lang w:val="en-US"/>
        </w:rPr>
        <w:t xml:space="preserve">The plan is to carefully take down the buildings that are not safe or usable anymore or unsafe to repair well, clearing the ground properly building around </w:t>
      </w:r>
      <w:r>
        <w:rPr>
          <w:rFonts w:ascii="Arial" w:cs="Arial" w:hAnsi="Arial"/>
          <w:b/>
          <w:bCs/>
          <w:lang w:val="en-US"/>
        </w:rPr>
        <w:t xml:space="preserve">180 </w:t>
      </w:r>
      <w:r>
        <w:rPr>
          <w:rFonts w:ascii="Arial" w:cs="Arial" w:hAnsi="Arial"/>
          <w:lang w:val="en-US"/>
        </w:rPr>
        <w:t xml:space="preserve">new homes. This plan supports the aim of the </w:t>
      </w:r>
      <w:r>
        <w:rPr>
          <w:rFonts w:ascii="Arial" w:cs="Arial" w:hAnsi="Arial"/>
          <w:b/>
          <w:bCs/>
          <w:lang w:val="en-US"/>
        </w:rPr>
        <w:t xml:space="preserve">Housing Act 1996, </w:t>
      </w:r>
      <w:r>
        <w:rPr>
          <w:rFonts w:ascii="Arial" w:cs="Arial" w:hAnsi="Arial"/>
          <w:b w:val="off"/>
          <w:bCs w:val="off"/>
          <w:lang w:val="en-US"/>
        </w:rPr>
        <w:t xml:space="preserve">this act provides the stakeholders the legal framework for social housing, who to allocate the house and to meet the housing needs. </w:t>
      </w:r>
      <w:r>
        <w:rPr>
          <w:rFonts w:ascii="Arial" w:cs="Arial" w:hAnsi="Arial"/>
          <w:b w:val="off"/>
          <w:bCs w:val="off"/>
          <w:lang w:val="en-US"/>
        </w:rPr>
        <w:t>(</w:t>
      </w:r>
      <w:r>
        <w:rPr>
          <w:rFonts w:ascii="Arial" w:cs="Arial" w:hAnsi="Arial"/>
          <w:b/>
          <w:bCs/>
          <w:lang w:val="en-US"/>
        </w:rPr>
        <w:t>Housing Act 1996)</w:t>
      </w:r>
      <w:r>
        <w:rPr>
          <w:rFonts w:ascii="Arial" w:cs="Arial" w:hAnsi="Arial"/>
          <w:b w:val="off"/>
          <w:bCs w:val="off"/>
          <w:lang w:val="en-US"/>
        </w:rPr>
        <w:t>.</w:t>
      </w:r>
      <w:r>
        <w:rPr>
          <w:rFonts w:ascii="Arial" w:cs="Arial" w:hAnsi="Arial"/>
          <w:lang w:val="en-US"/>
        </w:rPr>
        <w:t xml:space="preserve">These will be a mix of homes people can rent at low cost for families on lower incomes or waiting on council housing lists; some sold at fixed prices to local people which can actually afford, </w:t>
      </w:r>
      <w:r>
        <w:rPr>
          <w:rFonts w:ascii="Arial" w:cs="Arial" w:hAnsi="Arial"/>
          <w:lang w:val="en-US"/>
        </w:rPr>
        <w:t>or some</w:t>
      </w:r>
      <w:r>
        <w:rPr>
          <w:rFonts w:ascii="Arial" w:cs="Arial" w:hAnsi="Arial"/>
          <w:lang w:val="en-US"/>
        </w:rPr>
        <w:t xml:space="preserve"> will be sold at normal market price.</w:t>
      </w:r>
    </w:p>
    <w:p w14:paraId="0000005B">
      <w:pPr>
        <w:rPr>
          <w:rFonts w:ascii="Arial" w:cs="Arial" w:hAnsi="Arial"/>
          <w:b/>
          <w:bCs/>
          <w:lang w:val="en-US"/>
        </w:rPr>
      </w:pPr>
      <w:r>
        <w:rPr>
          <w:rFonts w:ascii="Arial" w:cs="Arial" w:hAnsi="Arial"/>
          <w:lang w:val="en-US"/>
        </w:rPr>
        <w:t xml:space="preserve"> We will also fix roads, drains, paths and add small shared gardens and seating areas. beside the houses themselves, we also plan to fix and repaved all roads, sort out drains and water pipes so flooding stops, make wide, smooth paths which will be safe for wheelchairs or pushchairs, and plant small shared gardens, trees and eating areas for everyone living there to enjoy. All construction work will be done according to the Health and Safety at work. </w:t>
      </w:r>
      <w:r>
        <w:rPr>
          <w:rFonts w:ascii="Arial" w:cs="Arial" w:hAnsi="Arial"/>
          <w:b/>
          <w:bCs/>
          <w:lang w:val="en-US"/>
        </w:rPr>
        <w:t>Act 1974</w:t>
      </w:r>
      <w:r>
        <w:rPr>
          <w:rFonts w:ascii="Arial" w:cs="Arial" w:hAnsi="Arial"/>
          <w:lang w:val="en-US"/>
        </w:rPr>
        <w:t xml:space="preserve"> helps to protect the team at work, local  residents and people who will visit site of work for regeneration project (</w:t>
      </w:r>
      <w:r>
        <w:rPr>
          <w:rFonts w:ascii="Arial" w:cs="Arial" w:hAnsi="Arial"/>
          <w:b/>
          <w:bCs/>
          <w:lang w:val="en-US"/>
        </w:rPr>
        <w:t>Health and Safety ay work etc. Act 1974)</w:t>
      </w:r>
    </w:p>
    <w:p w14:paraId="0000005C">
      <w:pPr>
        <w:rPr>
          <w:rFonts w:ascii="Arial" w:cs="Arial" w:hAnsi="Arial"/>
          <w:lang w:val="en-US"/>
        </w:rPr>
      </w:pPr>
      <w:r>
        <w:rPr>
          <w:rFonts w:ascii="Arial" w:cs="Arial" w:hAnsi="Arial"/>
          <w:lang w:val="en-US"/>
        </w:rPr>
        <w:t>A lot of the blocks on this site were built quickly after the war, using older methods that do not meet today’s rules for heat or safety. Over the years, repairs have only been done as a quick fix rather than sorting the root problems, so issues like damp keep coming back even after work is completed. Many families here also tell us they have very little space inside their homes, or struggle with steps and narrow doors that make moving around hard for older people or those using a wheelchair.</w:t>
      </w:r>
    </w:p>
    <w:p w14:paraId="0000005D">
      <w:pPr>
        <w:rPr>
          <w:rFonts w:ascii="Arial" w:cs="Arial" w:hAnsi="Arial"/>
          <w:lang w:val="en-US"/>
        </w:rPr>
      </w:pPr>
      <w:r>
        <w:rPr>
          <w:rFonts w:ascii="Arial" w:cs="Arial" w:hAnsi="Arial"/>
          <w:lang w:val="en-US"/>
        </w:rPr>
        <w:t>This project will not just exchange the old buildings for new ones, it is also a chance to fix things that have been wrong for past many years. We want to make sure the new plan will work for how people actually live now, with easier access, better lighting and space for people to meet. It also the best  plans to cut fuel use and make homes cheaper to run, which makes a big difference for families who are already struggling with rising costs. Getting this right means the whole area will be stronger and more secure for many years ahead.</w:t>
      </w:r>
    </w:p>
    <w:p w14:paraId="0000005E">
      <w:pPr>
        <w:rPr>
          <w:rFonts w:ascii="Arial" w:cs="Arial" w:hAnsi="Arial"/>
          <w:lang w:val="en-US"/>
        </w:rPr>
      </w:pPr>
      <w:r>
        <w:rPr>
          <w:rFonts w:ascii="Arial" w:cs="Arial" w:hAnsi="Arial"/>
          <w:lang w:val="en-US"/>
        </w:rPr>
        <w:t xml:space="preserve">The work matters a lot for our area, Birmingham has a very long waiting list for suitable homes and </w:t>
      </w:r>
      <w:r>
        <w:rPr>
          <w:rFonts w:ascii="Arial" w:cs="Arial" w:hAnsi="Arial"/>
          <w:lang w:val="en-US"/>
        </w:rPr>
        <w:t>accommodation</w:t>
      </w:r>
      <w:r>
        <w:rPr>
          <w:rFonts w:ascii="Arial" w:cs="Arial" w:hAnsi="Arial"/>
          <w:lang w:val="en-US"/>
        </w:rPr>
        <w:t xml:space="preserve">. And at this site thousands of families live in a place that are cold, damp or not fit to live in. The project also supports the aims and objectives of the Housing Act 1996 by increasing the number of houses available for local communities </w:t>
      </w:r>
      <w:r>
        <w:rPr>
          <w:rFonts w:ascii="Arial" w:cs="Arial" w:hAnsi="Arial"/>
          <w:b/>
          <w:bCs/>
          <w:lang w:val="en-US"/>
        </w:rPr>
        <w:t>(Housing Act 1996</w:t>
      </w:r>
      <w:r>
        <w:rPr>
          <w:rFonts w:ascii="Arial" w:cs="Arial" w:hAnsi="Arial"/>
          <w:lang w:val="en-US"/>
        </w:rPr>
        <w:t xml:space="preserve">).Better housing means less health problems, cheaper heating bills and nicer streets for everyone. It also follows what the council and </w:t>
      </w:r>
      <w:r>
        <w:rPr>
          <w:rFonts w:ascii="Arial" w:cs="Arial" w:hAnsi="Arial"/>
          <w:lang w:val="en-US"/>
        </w:rPr>
        <w:t>government</w:t>
      </w:r>
      <w:r>
        <w:rPr>
          <w:rFonts w:ascii="Arial" w:cs="Arial" w:hAnsi="Arial"/>
          <w:lang w:val="en-US"/>
        </w:rPr>
        <w:t xml:space="preserve"> want to achieve </w:t>
      </w:r>
      <w:r>
        <w:rPr>
          <w:rFonts w:ascii="Arial" w:cs="Arial" w:hAnsi="Arial"/>
          <w:lang w:val="en-US"/>
        </w:rPr>
        <w:t>better homes</w:t>
      </w:r>
      <w:r>
        <w:rPr>
          <w:rFonts w:ascii="Arial" w:cs="Arial" w:hAnsi="Arial"/>
          <w:lang w:val="en-US"/>
        </w:rPr>
        <w:t xml:space="preserve">, less waste and stronger local communities. </w:t>
      </w:r>
    </w:p>
    <w:p w14:paraId="0000005F">
      <w:pPr>
        <w:rPr>
          <w:rFonts w:ascii="Arial" w:cs="Arial" w:hAnsi="Arial"/>
          <w:lang w:val="en-US"/>
        </w:rPr>
      </w:pPr>
      <w:r>
        <w:rPr>
          <w:rFonts w:ascii="Arial" w:cs="Arial" w:hAnsi="Arial"/>
          <w:lang w:val="en-US"/>
        </w:rPr>
        <w:t>When people live in better housing, they get sick less often, they pay much less every month for gas and electricity, and feel safer and happier where they stay. It also fits exactly with what Birmingham City Council and national government want to do ,</w:t>
      </w:r>
      <w:r>
        <w:rPr>
          <w:rFonts w:ascii="Arial" w:cs="Arial" w:hAnsi="Arial"/>
          <w:lang w:val="en-US"/>
        </w:rPr>
        <w:t>they want</w:t>
      </w:r>
      <w:r>
        <w:rPr>
          <w:rFonts w:ascii="Arial" w:cs="Arial" w:hAnsi="Arial"/>
          <w:lang w:val="en-US"/>
        </w:rPr>
        <w:t xml:space="preserve"> to  build more good homes, they are working towards waste reduction and carbon use, and make neighbourhood a better place to live in.</w:t>
      </w:r>
    </w:p>
    <w:p w14:paraId="00000060">
      <w:pPr>
        <w:rPr>
          <w:rFonts w:ascii="Arial" w:cs="Arial" w:hAnsi="Arial"/>
          <w:b/>
          <w:bCs/>
          <w:lang w:val="en-US"/>
        </w:rPr>
      </w:pPr>
      <w:r>
        <w:rPr>
          <w:rFonts w:ascii="Arial" w:cs="Arial" w:hAnsi="Arial"/>
          <w:b/>
          <w:bCs/>
          <w:lang w:val="en-US"/>
        </w:rPr>
        <w:t xml:space="preserve">Main people and groups involved and how each will benefit </w:t>
      </w:r>
    </w:p>
    <w:p w14:paraId="00000061">
      <w:pPr>
        <w:rPr>
          <w:rFonts w:ascii="Arial" w:cs="Arial" w:hAnsi="Arial"/>
          <w:lang w:val="en-US"/>
        </w:rPr>
      </w:pPr>
      <w:r>
        <w:rPr>
          <w:rFonts w:ascii="Arial" w:cs="Arial" w:hAnsi="Arial"/>
          <w:lang w:val="en-US"/>
        </w:rPr>
        <w:t xml:space="preserve">I have picked </w:t>
      </w:r>
      <w:r>
        <w:rPr>
          <w:rFonts w:ascii="Arial" w:cs="Arial" w:hAnsi="Arial"/>
          <w:b/>
          <w:bCs/>
          <w:lang w:val="en-US"/>
        </w:rPr>
        <w:t>six main group</w:t>
      </w:r>
      <w:r>
        <w:rPr>
          <w:rFonts w:ascii="Arial" w:cs="Arial" w:hAnsi="Arial"/>
          <w:lang w:val="en-US"/>
        </w:rPr>
        <w:t xml:space="preserve"> of people involved or affected, and what each stands to gain:</w:t>
      </w:r>
    </w:p>
    <w:p w14:paraId="00000062">
      <w:pPr>
        <w:numPr>
          <w:ilvl w:val="0"/>
          <w:numId w:val="3"/>
        </w:numPr>
        <w:rPr>
          <w:rFonts w:ascii="Arial" w:cs="Arial" w:hAnsi="Arial"/>
          <w:b/>
          <w:bCs/>
          <w:lang w:val="en-US"/>
        </w:rPr>
      </w:pPr>
      <w:r>
        <w:rPr>
          <w:rFonts w:ascii="Arial" w:cs="Arial" w:hAnsi="Arial"/>
          <w:b/>
          <w:bCs/>
          <w:lang w:val="en-US"/>
        </w:rPr>
        <w:t xml:space="preserve"> People living there now </w:t>
      </w:r>
      <w:r>
        <w:rPr>
          <w:rFonts w:ascii="Arial" w:cs="Arial" w:hAnsi="Arial"/>
          <w:lang w:val="en-US"/>
        </w:rPr>
        <w:t>-  Will get help and practical support if they want to move somewhere else for short time while the area is refurbished. When the project is completed they will have right to come back to the new warmer, safer homes which will be built to modern standards.</w:t>
      </w:r>
    </w:p>
    <w:p w14:paraId="00000063">
      <w:pPr>
        <w:numPr>
          <w:ilvl w:val="0"/>
          <w:numId w:val="3"/>
        </w:numPr>
        <w:rPr>
          <w:rFonts w:ascii="Arial" w:cs="Arial" w:hAnsi="Arial"/>
          <w:b/>
          <w:bCs/>
          <w:lang w:val="en-US"/>
        </w:rPr>
      </w:pPr>
      <w:r>
        <w:rPr>
          <w:rFonts w:ascii="Arial" w:cs="Arial" w:hAnsi="Arial"/>
          <w:b/>
          <w:bCs/>
          <w:lang w:val="en-US"/>
        </w:rPr>
        <w:t>Birmingham City Council</w:t>
      </w:r>
      <w:r>
        <w:rPr>
          <w:rFonts w:ascii="Arial" w:cs="Arial" w:hAnsi="Arial"/>
          <w:lang w:val="en-US"/>
        </w:rPr>
        <w:t xml:space="preserve"> - Will be benefited from these new modern standard houses as they will spend less money long term in repairs to keep up the old buildings. It will improve the value of the whole area and will help council to reach its yearly targets for new </w:t>
      </w:r>
      <w:r>
        <w:rPr>
          <w:rFonts w:ascii="Arial" w:cs="Arial" w:hAnsi="Arial"/>
          <w:lang w:val="en-US"/>
        </w:rPr>
        <w:t>affordable</w:t>
      </w:r>
      <w:r>
        <w:rPr>
          <w:rFonts w:ascii="Arial" w:cs="Arial" w:hAnsi="Arial"/>
          <w:lang w:val="en-US"/>
        </w:rPr>
        <w:t xml:space="preserve"> housing.  By this they will make sure public money is used well.</w:t>
      </w:r>
    </w:p>
    <w:p w14:paraId="00000064">
      <w:pPr>
        <w:numPr>
          <w:ilvl w:val="0"/>
          <w:numId w:val="3"/>
        </w:numPr>
        <w:rPr>
          <w:rFonts w:ascii="Arial" w:cs="Arial" w:hAnsi="Arial"/>
          <w:b/>
          <w:bCs/>
          <w:lang w:val="en-US"/>
        </w:rPr>
      </w:pPr>
      <w:r>
        <w:rPr>
          <w:rFonts w:ascii="Arial" w:cs="Arial" w:hAnsi="Arial"/>
          <w:b/>
          <w:bCs/>
          <w:lang w:val="en-US"/>
        </w:rPr>
        <w:t xml:space="preserve">Local builders and workers </w:t>
      </w:r>
      <w:r>
        <w:rPr>
          <w:rFonts w:ascii="Arial" w:cs="Arial" w:hAnsi="Arial"/>
          <w:lang w:val="en-US"/>
        </w:rPr>
        <w:t>- Will get contracts and have a chance to work closer to their homes, it will provide an opportunity to the young people living in that area to learn new skills through internship and get a start in work.</w:t>
      </w:r>
    </w:p>
    <w:p w14:paraId="00000065">
      <w:pPr>
        <w:numPr>
          <w:ilvl w:val="0"/>
          <w:numId w:val="3"/>
        </w:numPr>
        <w:rPr>
          <w:rFonts w:ascii="Arial" w:cs="Arial" w:hAnsi="Arial"/>
          <w:lang w:val="en-US"/>
        </w:rPr>
      </w:pPr>
      <w:r>
        <w:rPr>
          <w:rFonts w:ascii="Arial" w:cs="Arial" w:hAnsi="Arial"/>
          <w:b/>
          <w:bCs/>
          <w:lang w:val="en-US"/>
        </w:rPr>
        <w:t xml:space="preserve">Local community groups/ charities </w:t>
      </w:r>
      <w:r>
        <w:rPr>
          <w:rFonts w:ascii="Arial" w:cs="Arial" w:hAnsi="Arial"/>
          <w:lang w:val="en-US"/>
        </w:rPr>
        <w:t xml:space="preserve">- Might get new or better space to hold meetings and activities, will find it easier to speak directly to people making big decisions, and may also get small amounts of extra help or funding to run things for </w:t>
      </w:r>
      <w:r>
        <w:rPr>
          <w:rFonts w:ascii="Arial" w:cs="Arial" w:hAnsi="Arial"/>
          <w:lang w:val="en-US"/>
        </w:rPr>
        <w:t>residents</w:t>
      </w:r>
      <w:r>
        <w:rPr>
          <w:rFonts w:ascii="Arial" w:cs="Arial" w:hAnsi="Arial"/>
          <w:lang w:val="en-US"/>
        </w:rPr>
        <w:t xml:space="preserve">. </w:t>
      </w:r>
    </w:p>
    <w:p w14:paraId="00000066">
      <w:pPr>
        <w:numPr>
          <w:ilvl w:val="0"/>
          <w:numId w:val="3"/>
        </w:numPr>
        <w:rPr>
          <w:rFonts w:ascii="Arial" w:cs="Arial" w:hAnsi="Arial"/>
          <w:b/>
          <w:bCs/>
          <w:lang w:val="en-US"/>
        </w:rPr>
      </w:pPr>
      <w:r>
        <w:rPr>
          <w:rFonts w:ascii="Arial" w:cs="Arial" w:hAnsi="Arial"/>
          <w:b/>
          <w:bCs/>
          <w:lang w:val="en-US"/>
        </w:rPr>
        <w:t xml:space="preserve">Funding bodies/ west Midlands Combines Authority </w:t>
      </w:r>
      <w:r>
        <w:rPr>
          <w:rFonts w:ascii="Arial" w:cs="Arial" w:hAnsi="Arial"/>
          <w:lang w:val="en-US"/>
        </w:rPr>
        <w:t xml:space="preserve">- Will have a chance to see Public money used wisely and deliver real </w:t>
      </w:r>
      <w:r>
        <w:rPr>
          <w:rFonts w:ascii="Arial" w:cs="Arial" w:hAnsi="Arial"/>
          <w:lang w:val="en-US"/>
        </w:rPr>
        <w:t>results, it</w:t>
      </w:r>
      <w:r>
        <w:rPr>
          <w:rFonts w:ascii="Arial" w:cs="Arial" w:hAnsi="Arial"/>
          <w:lang w:val="en-US"/>
        </w:rPr>
        <w:t xml:space="preserve"> will help to meet regional plans for growth and better housing, and will provide support work to lower carbon emissions across the area.</w:t>
      </w:r>
    </w:p>
    <w:p w14:paraId="00000067">
      <w:pPr>
        <w:numPr>
          <w:ilvl w:val="0"/>
          <w:numId w:val="3"/>
        </w:numPr>
        <w:rPr>
          <w:rFonts w:ascii="Arial" w:cs="Arial" w:hAnsi="Arial"/>
          <w:b/>
          <w:bCs/>
          <w:lang w:val="en-US"/>
        </w:rPr>
      </w:pPr>
      <w:r>
        <w:rPr>
          <w:rFonts w:ascii="Arial" w:cs="Arial" w:hAnsi="Arial"/>
          <w:b/>
          <w:bCs/>
          <w:lang w:val="en-US"/>
        </w:rPr>
        <w:t xml:space="preserve">People living nearby and small shops </w:t>
      </w:r>
      <w:r>
        <w:rPr>
          <w:rFonts w:ascii="Arial" w:cs="Arial" w:hAnsi="Arial"/>
          <w:lang w:val="en-US"/>
        </w:rPr>
        <w:t>- Will definitely see the area better less rubbish or developing buildings, better paved roads and street lighting. They will have cleaner streets and better lighting, this will make less trouble. More people living nearby means more customers for local shops too.</w:t>
      </w:r>
    </w:p>
    <w:p w14:paraId="00000068">
      <w:pPr>
        <w:ind w:left="720" w:firstLine="720"/>
        <w:rPr>
          <w:rFonts w:ascii="Arial" w:cs="Arial" w:hAnsi="Arial"/>
          <w:b/>
          <w:bCs/>
          <w:sz w:val="26"/>
          <w:szCs w:val="26"/>
          <w:lang w:val="en-US"/>
        </w:rPr>
      </w:pPr>
    </w:p>
    <w:p w14:paraId="00000069">
      <w:pPr>
        <w:ind w:left="720" w:firstLine="720"/>
        <w:rPr>
          <w:rFonts w:ascii="Arial" w:cs="Arial" w:hAnsi="Arial"/>
          <w:b/>
          <w:bCs/>
          <w:sz w:val="26"/>
          <w:szCs w:val="26"/>
          <w:lang w:val="en-US"/>
        </w:rPr>
      </w:pPr>
      <w:r>
        <w:rPr>
          <w:rFonts w:ascii="Arial" w:cs="Arial" w:hAnsi="Arial"/>
          <w:b/>
          <w:bCs/>
          <w:sz w:val="26"/>
          <w:szCs w:val="26"/>
          <w:lang w:val="en-US"/>
        </w:rPr>
        <w:t xml:space="preserve">ELEMENT 2: </w:t>
      </w:r>
      <w:r>
        <w:rPr>
          <w:rFonts w:ascii="Arial" w:cs="Arial" w:hAnsi="Arial"/>
          <w:b/>
          <w:bCs/>
          <w:sz w:val="26"/>
          <w:szCs w:val="26"/>
          <w:u w:val="single"/>
          <w:lang w:val="en-US"/>
        </w:rPr>
        <w:t>ENGAGEMENT STRATEGIES</w:t>
      </w:r>
    </w:p>
    <w:p w14:paraId="0000006A">
      <w:pPr>
        <w:rPr>
          <w:rFonts w:ascii="Arial" w:cs="Arial" w:hAnsi="Arial"/>
          <w:b/>
          <w:bCs/>
          <w:u w:val="single"/>
          <w:lang w:val="en-US"/>
        </w:rPr>
      </w:pPr>
      <w:r>
        <w:rPr>
          <w:rFonts w:ascii="Arial" w:cs="Arial" w:hAnsi="Arial"/>
          <w:b/>
          <w:bCs/>
          <w:u w:val="single"/>
          <w:lang w:val="en-US"/>
        </w:rPr>
        <w:t>Power, Influence and Interest Table</w:t>
      </w:r>
    </w:p>
    <w:p w14:paraId="0000006B">
      <w:pPr>
        <w:rPr>
          <w:rFonts w:ascii="Arial" w:cs="Arial" w:hAnsi="Arial"/>
          <w:lang w:val="en-US"/>
        </w:rPr>
      </w:pPr>
      <w:r>
        <w:rPr>
          <w:rFonts w:ascii="Arial" w:cs="Arial" w:hAnsi="Arial"/>
          <w:lang w:val="en-US"/>
        </w:rPr>
        <w:t xml:space="preserve">To work out the best way to speak to everyone, I scored each group simply as </w:t>
      </w:r>
      <w:r>
        <w:rPr>
          <w:rFonts w:ascii="Arial" w:cs="Arial" w:hAnsi="Arial"/>
          <w:b/>
          <w:bCs/>
          <w:lang w:val="en-US"/>
        </w:rPr>
        <w:t>High/Medium/Low -</w:t>
      </w:r>
      <w:r>
        <w:rPr>
          <w:rFonts w:ascii="Arial" w:cs="Arial" w:hAnsi="Arial"/>
          <w:lang w:val="en-US"/>
        </w:rPr>
        <w:t xml:space="preserve">   to first look at where each group stands . I score each one of the three things, how much real power or authority they have to say yes or no, how much </w:t>
      </w:r>
      <w:r>
        <w:rPr>
          <w:rFonts w:ascii="Arial" w:cs="Arial" w:hAnsi="Arial"/>
          <w:lang w:val="en-US"/>
        </w:rPr>
        <w:t>influence</w:t>
      </w:r>
      <w:r>
        <w:rPr>
          <w:rFonts w:ascii="Arial" w:cs="Arial" w:hAnsi="Arial"/>
          <w:lang w:val="en-US"/>
        </w:rPr>
        <w:t xml:space="preserve"> they have over what other people think or what choices get made, and how much this project will actually make things change for them. This makes it much easier to see who needs close involvement, who should just be kept updated, and who we only need to give basic news to. As</w:t>
      </w:r>
      <w:r>
        <w:rPr>
          <w:rFonts w:ascii="Arial" w:cs="Arial" w:hAnsi="Arial"/>
          <w:b/>
          <w:bCs/>
          <w:lang w:val="en-US"/>
        </w:rPr>
        <w:t xml:space="preserve"> Bryson (2004) </w:t>
      </w:r>
      <w:r>
        <w:rPr>
          <w:rFonts w:ascii="Arial" w:cs="Arial" w:hAnsi="Arial"/>
          <w:lang w:val="en-US"/>
        </w:rPr>
        <w:t>explains that to identify stakeholders ability according to their interest helps organisations to understand whose views should have high infleunce and how different groups should kept involved throughout the project.</w:t>
      </w:r>
    </w:p>
    <w:tbl>
      <w:tblPr>
        <w:tblStyle w:val="TableGrid"/>
        <w:tblW w:w="9460" w:type="dxa"/>
        <w:tblLook w:val="04A0"/>
      </w:tblPr>
      <w:tblGrid>
        <w:gridCol w:w="2378"/>
        <w:gridCol w:w="1608"/>
        <w:gridCol w:w="1558"/>
        <w:gridCol w:w="1148"/>
        <w:gridCol w:w="2768"/>
      </w:tblGrid>
      <w:tr>
        <w:trPr/>
        <w:tc>
          <w:tcPr>
            <w:cnfStyle w:val="101000000000"/>
            <w:tcW w:w="2378" w:type="dxa"/>
          </w:tcPr>
          <w:p w14:paraId="0000006C">
            <w:pPr>
              <w:rPr>
                <w:rFonts w:ascii="Arial" w:cs="Arial" w:hAnsi="Arial"/>
                <w:b/>
                <w:bCs/>
                <w:lang w:val="en-US"/>
              </w:rPr>
            </w:pPr>
            <w:r>
              <w:rPr>
                <w:rFonts w:ascii="Arial" w:cs="Arial" w:hAnsi="Arial"/>
                <w:b/>
                <w:bCs/>
                <w:lang w:val="en-US"/>
              </w:rPr>
              <w:t>Stakeholder</w:t>
            </w:r>
          </w:p>
        </w:tc>
        <w:tc>
          <w:tcPr>
            <w:cnfStyle w:val="100000000000"/>
            <w:tcW w:w="1608" w:type="dxa"/>
          </w:tcPr>
          <w:p w14:paraId="0000006D">
            <w:pPr>
              <w:rPr>
                <w:rFonts w:ascii="Arial" w:cs="Arial" w:hAnsi="Arial"/>
                <w:lang w:val="en-US"/>
              </w:rPr>
            </w:pPr>
            <w:r>
              <w:rPr>
                <w:rFonts w:ascii="Arial" w:cs="Arial" w:hAnsi="Arial"/>
                <w:b/>
                <w:bCs/>
                <w:lang w:val="en-US"/>
              </w:rPr>
              <w:t>Power</w:t>
            </w:r>
          </w:p>
        </w:tc>
        <w:tc>
          <w:tcPr>
            <w:cnfStyle w:val="100000000000"/>
            <w:tcW w:w="1558" w:type="dxa"/>
          </w:tcPr>
          <w:p w14:paraId="0000006E">
            <w:pPr>
              <w:rPr>
                <w:rFonts w:ascii="Arial" w:cs="Arial" w:hAnsi="Arial"/>
                <w:b/>
                <w:bCs/>
                <w:lang w:val="en-US"/>
              </w:rPr>
            </w:pPr>
            <w:r>
              <w:rPr>
                <w:rFonts w:ascii="Arial" w:cs="Arial" w:hAnsi="Arial"/>
                <w:b/>
                <w:bCs/>
                <w:lang w:val="en-US"/>
              </w:rPr>
              <w:t>Influence</w:t>
            </w:r>
          </w:p>
        </w:tc>
        <w:tc>
          <w:tcPr>
            <w:cnfStyle w:val="100000000000"/>
            <w:tcW w:w="1148" w:type="dxa"/>
          </w:tcPr>
          <w:p w14:paraId="0000006F">
            <w:pPr>
              <w:rPr>
                <w:rFonts w:ascii="Arial" w:cs="Arial" w:hAnsi="Arial"/>
                <w:b/>
                <w:bCs/>
                <w:lang w:val="en-US"/>
              </w:rPr>
            </w:pPr>
            <w:r>
              <w:rPr>
                <w:rFonts w:ascii="Arial" w:cs="Arial" w:hAnsi="Arial"/>
                <w:b/>
                <w:bCs/>
                <w:lang w:val="en-US"/>
              </w:rPr>
              <w:t xml:space="preserve">Interest </w:t>
            </w:r>
          </w:p>
        </w:tc>
        <w:tc>
          <w:tcPr>
            <w:cnfStyle w:val="100000000000"/>
            <w:tcW w:w="2768" w:type="dxa"/>
          </w:tcPr>
          <w:p w14:paraId="00000070">
            <w:pPr>
              <w:rPr>
                <w:rFonts w:ascii="Arial" w:cs="Arial" w:hAnsi="Arial"/>
                <w:b/>
                <w:bCs/>
                <w:lang w:val="en-US"/>
              </w:rPr>
            </w:pPr>
            <w:r>
              <w:rPr>
                <w:rFonts w:ascii="Arial" w:cs="Arial" w:hAnsi="Arial"/>
                <w:b/>
                <w:bCs/>
                <w:lang w:val="en-US"/>
              </w:rPr>
              <w:t>Notes</w:t>
            </w:r>
          </w:p>
        </w:tc>
      </w:tr>
      <w:tr>
        <w:trPr/>
        <w:tc>
          <w:tcPr>
            <w:cnfStyle w:val="001000100000"/>
            <w:tcW w:w="2378" w:type="dxa"/>
          </w:tcPr>
          <w:p w14:paraId="00000071">
            <w:pPr>
              <w:rPr>
                <w:rFonts w:ascii="Arial" w:cs="Arial" w:hAnsi="Arial"/>
                <w:lang w:val="en-US"/>
              </w:rPr>
            </w:pPr>
            <w:r>
              <w:rPr>
                <w:rFonts w:ascii="Arial" w:cs="Arial" w:hAnsi="Arial"/>
                <w:lang w:val="en-US"/>
              </w:rPr>
              <w:t>Current Residents</w:t>
            </w:r>
          </w:p>
          <w:p w14:paraId="00000072">
            <w:pPr>
              <w:rPr>
                <w:rFonts w:ascii="Arial" w:cs="Arial" w:hAnsi="Arial"/>
                <w:lang w:val="en-US"/>
              </w:rPr>
            </w:pPr>
          </w:p>
        </w:tc>
        <w:tc>
          <w:tcPr>
            <w:cnfStyle w:val="000000100000"/>
            <w:tcW w:w="1608" w:type="dxa"/>
          </w:tcPr>
          <w:p w14:paraId="00000073">
            <w:pPr>
              <w:rPr>
                <w:rFonts w:ascii="Arial" w:cs="Arial" w:hAnsi="Arial"/>
                <w:lang w:val="en-US"/>
              </w:rPr>
            </w:pPr>
            <w:r>
              <w:rPr>
                <w:rFonts w:ascii="Arial" w:cs="Arial" w:hAnsi="Arial"/>
                <w:lang w:val="en-US"/>
              </w:rPr>
              <w:t>Medium</w:t>
            </w:r>
          </w:p>
        </w:tc>
        <w:tc>
          <w:tcPr>
            <w:cnfStyle w:val="000000100000"/>
            <w:tcW w:w="1558" w:type="dxa"/>
          </w:tcPr>
          <w:p w14:paraId="00000074">
            <w:pPr>
              <w:rPr>
                <w:rFonts w:ascii="Arial" w:cs="Arial" w:hAnsi="Arial"/>
                <w:lang w:val="en-US"/>
              </w:rPr>
            </w:pPr>
            <w:r>
              <w:rPr>
                <w:rFonts w:ascii="Arial" w:cs="Arial" w:hAnsi="Arial"/>
                <w:lang w:val="en-US"/>
              </w:rPr>
              <w:t xml:space="preserve">High </w:t>
            </w:r>
          </w:p>
        </w:tc>
        <w:tc>
          <w:tcPr>
            <w:cnfStyle w:val="000000100000"/>
            <w:tcW w:w="1148" w:type="dxa"/>
          </w:tcPr>
          <w:p w14:paraId="00000075">
            <w:pPr>
              <w:rPr>
                <w:rFonts w:ascii="Arial" w:cs="Arial" w:hAnsi="Arial"/>
                <w:lang w:val="en-US"/>
              </w:rPr>
            </w:pPr>
            <w:r>
              <w:rPr>
                <w:rFonts w:ascii="Arial" w:cs="Arial" w:hAnsi="Arial"/>
                <w:lang w:val="en-US"/>
              </w:rPr>
              <w:t>Very High</w:t>
            </w:r>
          </w:p>
        </w:tc>
        <w:tc>
          <w:tcPr>
            <w:cnfStyle w:val="000000100000"/>
            <w:tcW w:w="2768" w:type="dxa"/>
          </w:tcPr>
          <w:p w14:paraId="00000076">
            <w:pPr>
              <w:rPr>
                <w:rFonts w:ascii="Arial" w:cs="Arial" w:hAnsi="Arial"/>
                <w:lang w:val="en-US"/>
              </w:rPr>
            </w:pPr>
            <w:r>
              <w:rPr>
                <w:rFonts w:ascii="Arial" w:cs="Arial" w:hAnsi="Arial"/>
                <w:lang w:val="en-US"/>
              </w:rPr>
              <w:t xml:space="preserve">Directly affected;can </w:t>
            </w:r>
            <w:r>
              <w:rPr>
                <w:rFonts w:ascii="Arial" w:cs="Arial" w:hAnsi="Arial"/>
                <w:lang w:val="en-US"/>
              </w:rPr>
              <w:t>speak up</w:t>
            </w:r>
            <w:r>
              <w:rPr>
                <w:rFonts w:ascii="Arial" w:cs="Arial" w:hAnsi="Arial"/>
                <w:lang w:val="en-US"/>
              </w:rPr>
              <w:t xml:space="preserve"> and slow things down</w:t>
            </w:r>
          </w:p>
        </w:tc>
      </w:tr>
      <w:tr>
        <w:trPr/>
        <w:tc>
          <w:tcPr>
            <w:cnfStyle w:val="001000010000"/>
            <w:tcW w:w="2378" w:type="dxa"/>
          </w:tcPr>
          <w:p w14:paraId="00000077">
            <w:pPr>
              <w:rPr>
                <w:rFonts w:ascii="Arial" w:cs="Arial" w:hAnsi="Arial"/>
                <w:lang w:val="en-US"/>
              </w:rPr>
            </w:pPr>
            <w:r>
              <w:rPr>
                <w:rFonts w:ascii="Arial" w:cs="Arial" w:hAnsi="Arial"/>
                <w:lang w:val="en-US"/>
              </w:rPr>
              <w:t>Birmingham City Council</w:t>
            </w:r>
          </w:p>
        </w:tc>
        <w:tc>
          <w:tcPr>
            <w:cnfStyle w:val="000000010000"/>
            <w:tcW w:w="1608" w:type="dxa"/>
          </w:tcPr>
          <w:p w14:paraId="00000078">
            <w:pPr>
              <w:rPr>
                <w:rFonts w:ascii="Arial" w:cs="Arial" w:hAnsi="Arial"/>
                <w:lang w:val="en-US"/>
              </w:rPr>
            </w:pPr>
            <w:r>
              <w:rPr>
                <w:rFonts w:ascii="Arial" w:cs="Arial" w:hAnsi="Arial"/>
                <w:lang w:val="en-US"/>
              </w:rPr>
              <w:t xml:space="preserve">High </w:t>
            </w:r>
          </w:p>
        </w:tc>
        <w:tc>
          <w:tcPr>
            <w:cnfStyle w:val="000000010000"/>
            <w:tcW w:w="1558" w:type="dxa"/>
          </w:tcPr>
          <w:p w14:paraId="00000079">
            <w:pPr>
              <w:rPr>
                <w:rFonts w:ascii="Arial" w:cs="Arial" w:hAnsi="Arial"/>
                <w:lang w:val="en-US"/>
              </w:rPr>
            </w:pPr>
            <w:r>
              <w:rPr>
                <w:rFonts w:ascii="Arial" w:cs="Arial" w:hAnsi="Arial"/>
                <w:lang w:val="en-US"/>
              </w:rPr>
              <w:t>High</w:t>
            </w:r>
          </w:p>
        </w:tc>
        <w:tc>
          <w:tcPr>
            <w:cnfStyle w:val="000000010000"/>
            <w:tcW w:w="1148" w:type="dxa"/>
          </w:tcPr>
          <w:p w14:paraId="0000007A">
            <w:pPr>
              <w:rPr>
                <w:rFonts w:ascii="Arial" w:cs="Arial" w:hAnsi="Arial"/>
                <w:lang w:val="en-US"/>
              </w:rPr>
            </w:pPr>
            <w:r>
              <w:rPr>
                <w:rFonts w:ascii="Arial" w:cs="Arial" w:hAnsi="Arial"/>
                <w:lang w:val="en-US"/>
              </w:rPr>
              <w:t>high</w:t>
            </w:r>
          </w:p>
        </w:tc>
        <w:tc>
          <w:tcPr>
            <w:cnfStyle w:val="000000010000"/>
            <w:tcW w:w="2768" w:type="dxa"/>
          </w:tcPr>
          <w:p w14:paraId="0000007B">
            <w:pPr>
              <w:rPr>
                <w:rFonts w:ascii="Arial" w:cs="Arial" w:hAnsi="Arial"/>
                <w:lang w:val="en-US"/>
              </w:rPr>
            </w:pPr>
            <w:r>
              <w:rPr>
                <w:rFonts w:ascii="Arial" w:cs="Arial" w:hAnsi="Arial"/>
                <w:lang w:val="en-US"/>
              </w:rPr>
              <w:t xml:space="preserve">Owns </w:t>
            </w:r>
            <w:r>
              <w:rPr>
                <w:rFonts w:ascii="Arial" w:cs="Arial" w:hAnsi="Arial"/>
                <w:lang w:val="en-US"/>
              </w:rPr>
              <w:t>land; says</w:t>
            </w:r>
            <w:r>
              <w:rPr>
                <w:rFonts w:ascii="Arial" w:cs="Arial" w:hAnsi="Arial"/>
                <w:lang w:val="en-US"/>
              </w:rPr>
              <w:t xml:space="preserve"> yes or no to plans</w:t>
            </w:r>
          </w:p>
        </w:tc>
      </w:tr>
      <w:tr>
        <w:trPr/>
        <w:tc>
          <w:tcPr>
            <w:cnfStyle w:val="001000100000"/>
            <w:tcW w:w="2378" w:type="dxa"/>
          </w:tcPr>
          <w:p w14:paraId="0000007C">
            <w:pPr>
              <w:rPr>
                <w:rFonts w:ascii="Arial" w:cs="Arial" w:hAnsi="Arial"/>
                <w:lang w:val="en-US"/>
              </w:rPr>
            </w:pPr>
            <w:r>
              <w:rPr>
                <w:rFonts w:ascii="Arial" w:cs="Arial" w:hAnsi="Arial"/>
                <w:lang w:val="en-US"/>
              </w:rPr>
              <w:t>Local building Firms</w:t>
            </w:r>
          </w:p>
        </w:tc>
        <w:tc>
          <w:tcPr>
            <w:cnfStyle w:val="000000100000"/>
            <w:tcW w:w="1608" w:type="dxa"/>
          </w:tcPr>
          <w:p w14:paraId="0000007D">
            <w:pPr>
              <w:rPr>
                <w:rFonts w:ascii="Arial" w:cs="Arial" w:hAnsi="Arial"/>
                <w:lang w:val="en-US"/>
              </w:rPr>
            </w:pPr>
            <w:r>
              <w:rPr>
                <w:rFonts w:ascii="Arial" w:cs="Arial" w:hAnsi="Arial"/>
                <w:lang w:val="en-US"/>
              </w:rPr>
              <w:t xml:space="preserve">Medium </w:t>
            </w:r>
          </w:p>
        </w:tc>
        <w:tc>
          <w:tcPr>
            <w:cnfStyle w:val="000000100000"/>
            <w:tcW w:w="1558" w:type="dxa"/>
          </w:tcPr>
          <w:p w14:paraId="0000007E">
            <w:pPr>
              <w:rPr>
                <w:rFonts w:ascii="Arial" w:cs="Arial" w:hAnsi="Arial"/>
                <w:lang w:val="en-US"/>
              </w:rPr>
            </w:pPr>
            <w:r>
              <w:rPr>
                <w:rFonts w:ascii="Arial" w:cs="Arial" w:hAnsi="Arial"/>
                <w:lang w:val="en-US"/>
              </w:rPr>
              <w:t>Medium</w:t>
            </w:r>
          </w:p>
        </w:tc>
        <w:tc>
          <w:tcPr>
            <w:cnfStyle w:val="000000100000"/>
            <w:tcW w:w="1148" w:type="dxa"/>
          </w:tcPr>
          <w:p w14:paraId="0000007F">
            <w:pPr>
              <w:rPr>
                <w:rFonts w:ascii="Arial" w:cs="Arial" w:hAnsi="Arial"/>
                <w:lang w:val="en-US"/>
              </w:rPr>
            </w:pPr>
            <w:r>
              <w:rPr>
                <w:rFonts w:ascii="Arial" w:cs="Arial" w:hAnsi="Arial"/>
                <w:lang w:val="en-US"/>
              </w:rPr>
              <w:t>High</w:t>
            </w:r>
          </w:p>
        </w:tc>
        <w:tc>
          <w:tcPr>
            <w:cnfStyle w:val="000000100000"/>
            <w:tcW w:w="2768" w:type="dxa"/>
          </w:tcPr>
          <w:p w14:paraId="00000080">
            <w:pPr>
              <w:rPr>
                <w:rFonts w:ascii="Arial" w:cs="Arial" w:hAnsi="Arial"/>
                <w:lang w:val="en-US"/>
              </w:rPr>
            </w:pPr>
            <w:r>
              <w:rPr>
                <w:rFonts w:ascii="Arial" w:cs="Arial" w:hAnsi="Arial"/>
                <w:lang w:val="en-US"/>
              </w:rPr>
              <w:t>Earn Money from work; can speed or slow it</w:t>
            </w:r>
          </w:p>
        </w:tc>
      </w:tr>
      <w:tr>
        <w:trPr/>
        <w:tc>
          <w:tcPr>
            <w:cnfStyle w:val="001000010000"/>
            <w:tcW w:w="2378" w:type="dxa"/>
          </w:tcPr>
          <w:p w14:paraId="00000081">
            <w:pPr>
              <w:rPr>
                <w:rFonts w:ascii="Arial" w:cs="Arial" w:hAnsi="Arial"/>
                <w:lang w:val="en-US"/>
              </w:rPr>
            </w:pPr>
            <w:r>
              <w:rPr>
                <w:rFonts w:ascii="Arial" w:cs="Arial" w:hAnsi="Arial"/>
                <w:lang w:val="en-US"/>
              </w:rPr>
              <w:t>Community groups</w:t>
            </w:r>
          </w:p>
        </w:tc>
        <w:tc>
          <w:tcPr>
            <w:cnfStyle w:val="000000010000"/>
            <w:tcW w:w="1608" w:type="dxa"/>
          </w:tcPr>
          <w:p w14:paraId="00000082">
            <w:pPr>
              <w:rPr>
                <w:rFonts w:ascii="Arial" w:cs="Arial" w:hAnsi="Arial"/>
                <w:lang w:val="en-US"/>
              </w:rPr>
            </w:pPr>
            <w:r>
              <w:rPr>
                <w:rFonts w:ascii="Arial" w:cs="Arial" w:hAnsi="Arial"/>
                <w:lang w:val="en-US"/>
              </w:rPr>
              <w:t>Low- Medium</w:t>
            </w:r>
          </w:p>
        </w:tc>
        <w:tc>
          <w:tcPr>
            <w:cnfStyle w:val="000000010000"/>
            <w:tcW w:w="1558" w:type="dxa"/>
          </w:tcPr>
          <w:p w14:paraId="00000083">
            <w:pPr>
              <w:rPr>
                <w:rFonts w:ascii="Arial" w:cs="Arial" w:hAnsi="Arial"/>
                <w:lang w:val="en-US"/>
              </w:rPr>
            </w:pPr>
            <w:r>
              <w:rPr>
                <w:rFonts w:ascii="Arial" w:cs="Arial" w:hAnsi="Arial"/>
                <w:lang w:val="en-US"/>
              </w:rPr>
              <w:t>High</w:t>
            </w:r>
          </w:p>
        </w:tc>
        <w:tc>
          <w:tcPr>
            <w:cnfStyle w:val="000000010000"/>
            <w:tcW w:w="1148" w:type="dxa"/>
          </w:tcPr>
          <w:p w14:paraId="00000084">
            <w:pPr>
              <w:rPr>
                <w:rFonts w:ascii="Arial" w:cs="Arial" w:hAnsi="Arial"/>
                <w:lang w:val="en-US"/>
              </w:rPr>
            </w:pPr>
            <w:r>
              <w:rPr>
                <w:rFonts w:ascii="Arial" w:cs="Arial" w:hAnsi="Arial"/>
                <w:lang w:val="en-US"/>
              </w:rPr>
              <w:t>High</w:t>
            </w:r>
          </w:p>
        </w:tc>
        <w:tc>
          <w:tcPr>
            <w:cnfStyle w:val="000000010000"/>
            <w:tcW w:w="2768" w:type="dxa"/>
          </w:tcPr>
          <w:p w14:paraId="00000085">
            <w:pPr>
              <w:rPr>
                <w:rFonts w:ascii="Arial" w:cs="Arial" w:hAnsi="Arial"/>
                <w:lang w:val="en-US"/>
              </w:rPr>
            </w:pPr>
            <w:r>
              <w:rPr>
                <w:rFonts w:ascii="Arial" w:cs="Arial" w:hAnsi="Arial"/>
                <w:lang w:val="en-US"/>
              </w:rPr>
              <w:t>People trust them; they spread news and views</w:t>
            </w:r>
          </w:p>
        </w:tc>
      </w:tr>
      <w:tr>
        <w:trPr/>
        <w:tc>
          <w:tcPr>
            <w:cnfStyle w:val="001000100000"/>
            <w:tcW w:w="2378" w:type="dxa"/>
          </w:tcPr>
          <w:p w14:paraId="00000086">
            <w:pPr>
              <w:rPr>
                <w:rFonts w:ascii="Arial" w:cs="Arial" w:hAnsi="Arial"/>
                <w:lang w:val="en-US"/>
              </w:rPr>
            </w:pPr>
            <w:r>
              <w:rPr>
                <w:rFonts w:ascii="Arial" w:cs="Arial" w:hAnsi="Arial"/>
                <w:lang w:val="en-US"/>
              </w:rPr>
              <w:t>Funding Organisations</w:t>
            </w:r>
          </w:p>
        </w:tc>
        <w:tc>
          <w:tcPr>
            <w:cnfStyle w:val="000000100000"/>
            <w:tcW w:w="1608" w:type="dxa"/>
          </w:tcPr>
          <w:p w14:paraId="00000087">
            <w:pPr>
              <w:rPr>
                <w:rFonts w:ascii="Arial" w:cs="Arial" w:hAnsi="Arial"/>
                <w:lang w:val="en-US"/>
              </w:rPr>
            </w:pPr>
            <w:r>
              <w:rPr>
                <w:rFonts w:ascii="Arial" w:cs="Arial" w:hAnsi="Arial"/>
                <w:lang w:val="en-US"/>
              </w:rPr>
              <w:t>Very High</w:t>
            </w:r>
          </w:p>
        </w:tc>
        <w:tc>
          <w:tcPr>
            <w:cnfStyle w:val="000000100000"/>
            <w:tcW w:w="1558" w:type="dxa"/>
          </w:tcPr>
          <w:p w14:paraId="00000088">
            <w:pPr>
              <w:rPr>
                <w:rFonts w:ascii="Arial" w:cs="Arial" w:hAnsi="Arial"/>
                <w:lang w:val="en-US"/>
              </w:rPr>
            </w:pPr>
            <w:r>
              <w:rPr>
                <w:rFonts w:ascii="Arial" w:cs="Arial" w:hAnsi="Arial"/>
                <w:lang w:val="en-US"/>
              </w:rPr>
              <w:t>High</w:t>
            </w:r>
          </w:p>
        </w:tc>
        <w:tc>
          <w:tcPr>
            <w:cnfStyle w:val="000000100000"/>
            <w:tcW w:w="1148" w:type="dxa"/>
          </w:tcPr>
          <w:p w14:paraId="00000089">
            <w:pPr>
              <w:rPr>
                <w:rFonts w:ascii="Arial" w:cs="Arial" w:hAnsi="Arial"/>
                <w:lang w:val="en-US"/>
              </w:rPr>
            </w:pPr>
            <w:r>
              <w:rPr>
                <w:rFonts w:ascii="Arial" w:cs="Arial" w:hAnsi="Arial"/>
                <w:lang w:val="en-US"/>
              </w:rPr>
              <w:t>Medium</w:t>
            </w:r>
          </w:p>
        </w:tc>
        <w:tc>
          <w:tcPr>
            <w:cnfStyle w:val="000000100000"/>
            <w:tcW w:w="2768" w:type="dxa"/>
          </w:tcPr>
          <w:p w14:paraId="0000008A">
            <w:pPr>
              <w:rPr>
                <w:rFonts w:ascii="Arial" w:cs="Arial" w:hAnsi="Arial"/>
                <w:lang w:val="en-US"/>
              </w:rPr>
            </w:pPr>
            <w:r>
              <w:rPr>
                <w:rFonts w:ascii="Arial" w:cs="Arial" w:hAnsi="Arial"/>
                <w:lang w:val="en-US"/>
              </w:rPr>
              <w:t>Pay for it all; set rules but don’t watch daily work</w:t>
            </w:r>
          </w:p>
        </w:tc>
      </w:tr>
      <w:tr>
        <w:trPr/>
        <w:tc>
          <w:tcPr>
            <w:cnfStyle w:val="001000010000"/>
            <w:tcW w:w="2378" w:type="dxa"/>
          </w:tcPr>
          <w:p w14:paraId="0000008B">
            <w:pPr>
              <w:rPr>
                <w:rFonts w:ascii="Arial" w:cs="Arial" w:hAnsi="Arial"/>
                <w:lang w:val="en-US"/>
              </w:rPr>
            </w:pPr>
            <w:r>
              <w:rPr>
                <w:rFonts w:ascii="Arial" w:cs="Arial" w:hAnsi="Arial"/>
                <w:lang w:val="en-US"/>
              </w:rPr>
              <w:t>Neighbours / local shops</w:t>
            </w:r>
          </w:p>
        </w:tc>
        <w:tc>
          <w:tcPr>
            <w:cnfStyle w:val="000000010000"/>
            <w:tcW w:w="1608" w:type="dxa"/>
          </w:tcPr>
          <w:p w14:paraId="0000008C">
            <w:pPr>
              <w:rPr>
                <w:rFonts w:ascii="Arial" w:cs="Arial" w:hAnsi="Arial"/>
                <w:lang w:val="en-US"/>
              </w:rPr>
            </w:pPr>
            <w:r>
              <w:rPr>
                <w:rFonts w:ascii="Arial" w:cs="Arial" w:hAnsi="Arial"/>
                <w:lang w:val="en-US"/>
              </w:rPr>
              <w:t xml:space="preserve">Low </w:t>
            </w:r>
          </w:p>
        </w:tc>
        <w:tc>
          <w:tcPr>
            <w:cnfStyle w:val="000000010000"/>
            <w:tcW w:w="1558" w:type="dxa"/>
          </w:tcPr>
          <w:p w14:paraId="0000008D">
            <w:pPr>
              <w:rPr>
                <w:rFonts w:ascii="Arial" w:cs="Arial" w:hAnsi="Arial"/>
                <w:lang w:val="en-US"/>
              </w:rPr>
            </w:pPr>
            <w:r>
              <w:rPr>
                <w:rFonts w:ascii="Arial" w:cs="Arial" w:hAnsi="Arial"/>
                <w:lang w:val="en-US"/>
              </w:rPr>
              <w:t>Low -Medium</w:t>
            </w:r>
          </w:p>
        </w:tc>
        <w:tc>
          <w:tcPr>
            <w:cnfStyle w:val="000000010000"/>
            <w:tcW w:w="1148" w:type="dxa"/>
          </w:tcPr>
          <w:p w14:paraId="0000008E">
            <w:pPr>
              <w:rPr>
                <w:rFonts w:ascii="Arial" w:cs="Arial" w:hAnsi="Arial"/>
                <w:lang w:val="en-US"/>
              </w:rPr>
            </w:pPr>
            <w:r>
              <w:rPr>
                <w:rFonts w:ascii="Arial" w:cs="Arial" w:hAnsi="Arial"/>
                <w:lang w:val="en-US"/>
              </w:rPr>
              <w:t>Medium</w:t>
            </w:r>
          </w:p>
        </w:tc>
        <w:tc>
          <w:tcPr>
            <w:cnfStyle w:val="000000010000"/>
            <w:tcW w:w="2768" w:type="dxa"/>
          </w:tcPr>
          <w:p w14:paraId="0000008F">
            <w:pPr>
              <w:rPr>
                <w:rFonts w:ascii="Arial" w:cs="Arial" w:hAnsi="Arial"/>
                <w:lang w:val="en-US"/>
              </w:rPr>
            </w:pPr>
            <w:r>
              <w:rPr>
                <w:rFonts w:ascii="Arial" w:cs="Arial" w:hAnsi="Arial"/>
                <w:lang w:val="en-US"/>
              </w:rPr>
              <w:t xml:space="preserve">Mostly worried about </w:t>
            </w:r>
            <w:r>
              <w:rPr>
                <w:rFonts w:ascii="Arial" w:cs="Arial" w:hAnsi="Arial"/>
                <w:lang w:val="en-US"/>
              </w:rPr>
              <w:t>noise, dust</w:t>
            </w:r>
            <w:r>
              <w:rPr>
                <w:rFonts w:ascii="Arial" w:cs="Arial" w:hAnsi="Arial"/>
                <w:lang w:val="en-US"/>
              </w:rPr>
              <w:t xml:space="preserve"> or blocked roads</w:t>
            </w:r>
          </w:p>
        </w:tc>
      </w:tr>
    </w:tbl>
    <w:p w14:paraId="00000090">
      <w:pPr>
        <w:rPr>
          <w:rFonts w:ascii="Arial" w:cs="Arial" w:hAnsi="Arial"/>
          <w:b/>
          <w:bCs/>
          <w:lang w:val="en-US"/>
        </w:rPr>
      </w:pPr>
    </w:p>
    <w:p w14:paraId="00000091">
      <w:pPr>
        <w:rPr>
          <w:rFonts w:ascii="Arial" w:cs="Arial" w:hAnsi="Arial"/>
          <w:b/>
          <w:bCs/>
          <w:lang w:val="en-US"/>
        </w:rPr>
      </w:pPr>
      <w:r>
        <w:rPr>
          <w:rFonts w:ascii="Arial" w:cs="Arial" w:hAnsi="Arial"/>
          <w:b/>
          <w:bCs/>
          <w:lang w:val="en-US"/>
        </w:rPr>
        <w:t>Stakeholder Map &amp; Explanation</w:t>
      </w:r>
    </w:p>
    <w:p w14:paraId="00000092">
      <w:pPr>
        <w:rPr>
          <w:rFonts w:ascii="Arial" w:cs="Arial" w:hAnsi="Arial"/>
          <w:lang w:val="en-US"/>
        </w:rPr>
      </w:pPr>
      <w:r>
        <w:rPr>
          <w:rFonts w:ascii="Arial" w:cs="Arial" w:hAnsi="Arial"/>
          <w:lang w:val="en-US"/>
        </w:rPr>
        <w:t xml:space="preserve">From the table i </w:t>
      </w:r>
      <w:r>
        <w:rPr>
          <w:rFonts w:ascii="Arial" w:cs="Arial" w:hAnsi="Arial"/>
          <w:lang w:val="en-US"/>
        </w:rPr>
        <w:t>I</w:t>
      </w:r>
      <w:r>
        <w:rPr>
          <w:rFonts w:ascii="Arial" w:cs="Arial" w:hAnsi="Arial"/>
          <w:lang w:val="en-US"/>
        </w:rPr>
        <w:t xml:space="preserve"> divided them into four clear groups, so we know exactly how to treat each one:</w:t>
      </w:r>
    </w:p>
    <w:p w14:paraId="00000093">
      <w:pPr>
        <w:numPr>
          <w:ilvl w:val="0"/>
          <w:numId w:val="4"/>
        </w:numPr>
        <w:rPr>
          <w:rFonts w:ascii="Arial" w:cs="Arial" w:hAnsi="Arial"/>
          <w:u w:val="single"/>
          <w:lang w:val="en-US"/>
        </w:rPr>
      </w:pPr>
      <w:r>
        <w:rPr>
          <w:rFonts w:ascii="Arial" w:cs="Arial" w:hAnsi="Arial"/>
          <w:u w:val="single"/>
          <w:lang w:val="en-US"/>
        </w:rPr>
        <w:t xml:space="preserve">Council - funding </w:t>
      </w:r>
      <w:r>
        <w:rPr>
          <w:rFonts w:ascii="Arial" w:cs="Arial" w:hAnsi="Arial"/>
          <w:u w:val="single"/>
          <w:lang w:val="en-US"/>
        </w:rPr>
        <w:t>Organisations</w:t>
      </w:r>
    </w:p>
    <w:p w14:paraId="00000094">
      <w:pPr>
        <w:rPr>
          <w:rFonts w:ascii="Arial" w:cs="Arial" w:hAnsi="Arial"/>
          <w:lang w:val="en-US"/>
        </w:rPr>
      </w:pPr>
      <w:r>
        <w:rPr>
          <w:rFonts w:ascii="Arial" w:cs="Arial" w:hAnsi="Arial"/>
          <w:b/>
          <w:bCs/>
          <w:lang w:val="en-US"/>
        </w:rPr>
        <w:t>High power and High Interest -</w:t>
      </w:r>
      <w:r>
        <w:rPr>
          <w:rFonts w:ascii="Arial" w:cs="Arial" w:hAnsi="Arial"/>
          <w:lang w:val="en-US"/>
        </w:rPr>
        <w:t xml:space="preserve"> with whom work is always done closely</w:t>
      </w:r>
    </w:p>
    <w:p w14:paraId="00000095">
      <w:pPr>
        <w:rPr>
          <w:rFonts w:ascii="Arial" w:cs="Arial" w:hAnsi="Arial"/>
          <w:lang w:val="en-US"/>
        </w:rPr>
      </w:pPr>
      <w:r>
        <w:rPr>
          <w:rFonts w:ascii="Arial" w:cs="Arial" w:hAnsi="Arial"/>
          <w:b/>
          <w:bCs/>
          <w:lang w:val="en-US"/>
        </w:rPr>
        <w:t>Reason why this matters</w:t>
      </w:r>
      <w:r>
        <w:rPr>
          <w:rFonts w:ascii="Arial" w:cs="Arial" w:hAnsi="Arial"/>
          <w:lang w:val="en-US"/>
        </w:rPr>
        <w:t xml:space="preserve">: Because these two groups hold all the authority and all the money or funding ,without their approval or funding nothing can be done. If any of them changes their mind or pulls out the support they are providing, the whole project stops straight away. We must give them full details, answer to every enquiry as early as possible, and keep them </w:t>
      </w:r>
      <w:r>
        <w:rPr>
          <w:rFonts w:ascii="Arial" w:cs="Arial" w:hAnsi="Arial"/>
          <w:lang w:val="en-US"/>
        </w:rPr>
        <w:t>involved</w:t>
      </w:r>
      <w:r>
        <w:rPr>
          <w:rFonts w:ascii="Arial" w:cs="Arial" w:hAnsi="Arial"/>
          <w:lang w:val="en-US"/>
        </w:rPr>
        <w:t xml:space="preserve"> at every big decisions throughout the whole project.</w:t>
      </w:r>
    </w:p>
    <w:p w14:paraId="00000096">
      <w:pPr>
        <w:numPr>
          <w:ilvl w:val="0"/>
          <w:numId w:val="5"/>
        </w:numPr>
        <w:rPr>
          <w:rFonts w:ascii="Arial" w:cs="Arial" w:hAnsi="Arial"/>
          <w:u w:val="single"/>
          <w:lang w:val="en-US"/>
        </w:rPr>
      </w:pPr>
      <w:r>
        <w:rPr>
          <w:rFonts w:ascii="Arial" w:cs="Arial" w:hAnsi="Arial"/>
          <w:u w:val="single"/>
          <w:lang w:val="en-US"/>
        </w:rPr>
        <w:t>Current residents / community groups</w:t>
      </w:r>
    </w:p>
    <w:p w14:paraId="00000097">
      <w:pPr>
        <w:rPr>
          <w:rFonts w:ascii="Arial" w:cs="Arial" w:hAnsi="Arial"/>
          <w:lang w:val="en-US"/>
        </w:rPr>
      </w:pPr>
      <w:r>
        <w:rPr>
          <w:rFonts w:ascii="Arial" w:cs="Arial" w:hAnsi="Arial"/>
          <w:b/>
          <w:bCs/>
          <w:lang w:val="en-US"/>
        </w:rPr>
        <w:t>Low Power and High interest</w:t>
      </w:r>
      <w:r>
        <w:rPr>
          <w:rFonts w:ascii="Arial" w:cs="Arial" w:hAnsi="Arial"/>
          <w:lang w:val="en-US"/>
        </w:rPr>
        <w:t xml:space="preserve"> - by providing them regular updates on project progress. </w:t>
      </w:r>
    </w:p>
    <w:p w14:paraId="00000098">
      <w:pPr>
        <w:rPr>
          <w:rFonts w:ascii="Arial" w:cs="Arial" w:hAnsi="Arial"/>
          <w:lang w:val="en-US"/>
        </w:rPr>
      </w:pPr>
      <w:r>
        <w:rPr>
          <w:rFonts w:ascii="Arial" w:cs="Arial" w:hAnsi="Arial"/>
          <w:b/>
          <w:bCs/>
          <w:lang w:val="en-US"/>
        </w:rPr>
        <w:t>Reason why this matters</w:t>
      </w:r>
      <w:r>
        <w:rPr>
          <w:rFonts w:ascii="Arial" w:cs="Arial" w:hAnsi="Arial"/>
          <w:lang w:val="en-US"/>
        </w:rPr>
        <w:t xml:space="preserve">: They don’t make official rules, but if they are not satisfied the project can get delayed or stuck. By providing them regular updates regarding their concerns and enquiries about any changes that may affect them makes them satisfied and allows </w:t>
      </w:r>
      <w:r>
        <w:rPr>
          <w:rFonts w:ascii="Arial" w:cs="Arial" w:hAnsi="Arial"/>
          <w:lang w:val="en-US"/>
        </w:rPr>
        <w:t>project to go smoother. They become our best helpers and supporters if we listen to them well.</w:t>
      </w:r>
    </w:p>
    <w:p w14:paraId="00000099">
      <w:pPr>
        <w:numPr>
          <w:ilvl w:val="0"/>
          <w:numId w:val="6"/>
        </w:numPr>
        <w:rPr>
          <w:rFonts w:ascii="Arial" w:cs="Arial" w:hAnsi="Arial"/>
          <w:u w:val="single"/>
          <w:lang w:val="en-US"/>
        </w:rPr>
      </w:pPr>
      <w:r>
        <w:rPr>
          <w:rFonts w:ascii="Arial" w:cs="Arial" w:hAnsi="Arial"/>
          <w:u w:val="single"/>
          <w:lang w:val="en-US"/>
        </w:rPr>
        <w:t xml:space="preserve">Local </w:t>
      </w:r>
      <w:r>
        <w:rPr>
          <w:rFonts w:ascii="Arial" w:cs="Arial" w:hAnsi="Arial"/>
          <w:u w:val="single"/>
          <w:lang w:val="en-US"/>
        </w:rPr>
        <w:t>MPs</w:t>
      </w:r>
      <w:r>
        <w:rPr>
          <w:rFonts w:ascii="Arial" w:cs="Arial" w:hAnsi="Arial"/>
          <w:u w:val="single"/>
          <w:lang w:val="en-US"/>
        </w:rPr>
        <w:t>: Gas/ electric/ water companies</w:t>
      </w:r>
    </w:p>
    <w:p w14:paraId="0000009A">
      <w:pPr>
        <w:rPr>
          <w:rFonts w:ascii="Arial" w:cs="Arial" w:hAnsi="Arial"/>
          <w:lang w:val="en-US"/>
        </w:rPr>
      </w:pPr>
      <w:r>
        <w:rPr>
          <w:rFonts w:ascii="Arial" w:cs="Arial" w:hAnsi="Arial"/>
          <w:b/>
          <w:bCs/>
          <w:lang w:val="en-US"/>
        </w:rPr>
        <w:t xml:space="preserve">High Power / Low Interest - </w:t>
      </w:r>
      <w:r>
        <w:rPr>
          <w:rFonts w:ascii="Arial" w:cs="Arial" w:hAnsi="Arial"/>
          <w:lang w:val="en-US"/>
        </w:rPr>
        <w:t>keep them happy but never over - complicate things</w:t>
      </w:r>
    </w:p>
    <w:p w14:paraId="0000009B">
      <w:pPr>
        <w:rPr>
          <w:rFonts w:ascii="Arial" w:cs="Arial" w:hAnsi="Arial"/>
          <w:lang w:val="en-US"/>
        </w:rPr>
      </w:pPr>
      <w:r>
        <w:rPr>
          <w:rFonts w:ascii="Arial" w:cs="Arial" w:hAnsi="Arial"/>
          <w:b/>
          <w:bCs/>
          <w:lang w:val="en-US"/>
        </w:rPr>
        <w:t>Reason why this matters</w:t>
      </w:r>
      <w:r>
        <w:rPr>
          <w:rFonts w:ascii="Arial" w:cs="Arial" w:hAnsi="Arial"/>
          <w:lang w:val="en-US"/>
        </w:rPr>
        <w:t>: these bodies do have the power to get in in our way if treated badly. But they don’t need or want every detail sent to them all the time. Just send simple news when something big happens, and be polite that is enough to keep things running smoothly.</w:t>
      </w:r>
    </w:p>
    <w:p w14:paraId="0000009C">
      <w:pPr>
        <w:rPr>
          <w:rFonts w:ascii="Arial" w:cs="Arial" w:hAnsi="Arial"/>
          <w:u w:val="single"/>
          <w:lang w:val="en-US"/>
        </w:rPr>
      </w:pPr>
      <w:r>
        <w:rPr>
          <w:rFonts w:ascii="Arial" w:cs="Arial" w:hAnsi="Arial"/>
          <w:u w:val="single"/>
          <w:lang w:val="en-US"/>
        </w:rPr>
        <w:t>People living further away e.g Suppliers</w:t>
      </w:r>
    </w:p>
    <w:p w14:paraId="0000009D">
      <w:pPr>
        <w:rPr>
          <w:rFonts w:ascii="Arial" w:cs="Arial" w:hAnsi="Arial"/>
          <w:lang w:val="en-US"/>
        </w:rPr>
      </w:pPr>
      <w:r>
        <w:rPr>
          <w:rFonts w:ascii="Arial" w:cs="Arial" w:hAnsi="Arial"/>
          <w:b/>
          <w:bCs/>
          <w:lang w:val="en-US"/>
        </w:rPr>
        <w:t>Low Power / Low Interest</w:t>
      </w:r>
      <w:r>
        <w:rPr>
          <w:rFonts w:ascii="Arial" w:cs="Arial" w:hAnsi="Arial"/>
          <w:lang w:val="en-US"/>
        </w:rPr>
        <w:t xml:space="preserve"> - just keep them aware</w:t>
      </w:r>
    </w:p>
    <w:p w14:paraId="0000009E">
      <w:pPr>
        <w:rPr>
          <w:rFonts w:ascii="Arial" w:cs="Arial" w:hAnsi="Arial"/>
          <w:lang w:val="en-US"/>
        </w:rPr>
      </w:pPr>
      <w:r>
        <w:rPr>
          <w:rFonts w:ascii="Arial" w:cs="Arial" w:hAnsi="Arial"/>
          <w:b/>
          <w:bCs/>
          <w:lang w:val="en-US"/>
        </w:rPr>
        <w:t>Reason why this matter</w:t>
      </w:r>
      <w:r>
        <w:rPr>
          <w:rFonts w:ascii="Arial" w:cs="Arial" w:hAnsi="Arial"/>
          <w:lang w:val="en-US"/>
        </w:rPr>
        <w:t>: Changes here won’t touch them much either way. Putting up notices or adding news on a website is all that is needed.</w:t>
      </w:r>
    </w:p>
    <w:p w14:paraId="0000009F">
      <w:pPr>
        <w:rPr>
          <w:rFonts w:ascii="Arial" w:cs="Arial" w:hAnsi="Arial"/>
          <w:lang w:val="en-US"/>
        </w:rPr>
      </w:pPr>
      <w:r>
        <w:rPr>
          <w:rFonts w:ascii="Arial" w:cs="Arial" w:hAnsi="Arial"/>
          <w:lang w:val="en-US"/>
        </w:rPr>
        <mc:AlternateContent>
          <mc:Choice Requires="wps">
            <w:drawing xmlns:mc="http://schemas.openxmlformats.org/markup-compatibility/2006">
              <wp:anchor allowOverlap="1" behindDoc="0" distT="0" distB="0" distL="118872" distR="118872" layoutInCell="1" locked="0" relativeHeight="32" simplePos="0">
                <wp:simplePos x="0" y="0"/>
                <wp:positionH relativeFrom="column">
                  <wp:posOffset>-40005</wp:posOffset>
                </wp:positionH>
                <wp:positionV relativeFrom="paragraph">
                  <wp:posOffset>229235</wp:posOffset>
                </wp:positionV>
                <wp:extent cx="5628005" cy="3411220"/>
                <wp:effectExtent l="0" t="0" r="12700" b="12700"/>
                <wp:wrapNone/>
                <wp:docPr id="171" name="Process Flow 32"/>
                <wp:cNvGraphicFramePr>
                  <a:graphicFrameLocks xmlns:a="http://schemas.openxmlformats.org/drawingml/2006/main"/>
                </wp:cNvGraphicFramePr>
                <a:graphic xmlns:a="http://schemas.openxmlformats.org/drawingml/2006/main">
                  <a:graphicData uri="http://schemas.microsoft.com/office/word/2010/wordprocessingShape">
                    <wps:wsp>
                      <wps:cNvPr id="126" name="Process Flow 32"/>
                      <wps:cNvSpPr/>
                      <wps:spPr>
                        <a:xfrm>
                          <a:off x="0" y="0"/>
                          <a:ext cx="5627370" cy="3410585"/>
                        </a:xfrm>
                        <a:prstGeom prst="flowChartProcess">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anchor="ctr"/>
                    </wps:wsp>
                  </a:graphicData>
                </a:graphic>
              </wp:anchor>
            </w:drawing>
          </mc:Choice>
          <mc:Fallback>
            <w:pict>
              <v:shape id="F33CF133-2F2D-0F54-10A298CBEAD2" coordsize="21600,21600" style="position:absolute;width:443.1pt;height:268.55pt;margin-top:18.05pt;margin-left:-3.15pt;mso-wrap-distance-left:9.36pt;mso-wrap-distance-right:9.36pt;mso-wrap-distance-top:0pt;mso-wrap-distance-bottom:0pt;rotation:0.000000;z-index:32;" strokecolor="#000000" o:spt="109" path="m0,0 l0,21600 r21600,0 l21600,0 x e">
                <v:stroke color="#000000" filltype="solid" joinstyle="miter" linestyle="single" mitterlimit="800000" weight="1pt"/>
                <w10:wrap side="both"/>
                <o:lock/>
              </v:shape>
            </w:pict>
          </mc:Fallback>
        </mc:AlternateContent>
      </w:r>
      <w:r>
        <w:rPr>
          <w:rFonts w:ascii="Arial" w:cs="Arial" w:hAnsi="Arial"/>
          <w:lang w:val="en-US"/>
        </w:rPr>
        <w:tab/>
      </w:r>
      <w:r>
        <w:rPr>
          <w:rFonts w:ascii="Arial" w:cs="Arial" w:hAnsi="Arial"/>
          <w:lang w:val="en-US"/>
        </w:rPr>
        <w:tab/>
      </w:r>
      <w:r>
        <w:rPr>
          <w:rFonts w:ascii="Arial" w:cs="Arial" w:hAnsi="Arial"/>
          <w:lang w:val="en-US"/>
        </w:rPr>
        <w:tab/>
      </w:r>
      <w:r>
        <w:rPr>
          <w:rFonts w:ascii="Arial" w:cs="Arial" w:hAnsi="Arial"/>
          <w:lang w:val="en-US"/>
        </w:rPr>
        <w:tab/>
      </w:r>
      <w:r>
        <w:rPr>
          <w:rFonts w:ascii="Arial" w:cs="Arial" w:hAnsi="Arial"/>
          <w:b/>
          <w:bCs/>
          <w:lang w:val="en-US"/>
        </w:rPr>
        <w:t>Simple Stakeholder Map</w:t>
      </w:r>
    </w:p>
    <w:p w14:paraId="000000A0">
      <w:pPr>
        <w:rPr>
          <w:rFonts w:ascii="Arial" w:cs="Arial" w:hAnsi="Arial"/>
          <w:lang w:val="en-US"/>
        </w:rPr>
      </w:pPr>
      <w:r>
        <w:rPr>
          <w:rFonts w:ascii="Arial" w:cs="Arial" w:hAnsi="Arial"/>
          <w:lang w:val="en-US"/>
        </w:rPr>
        <mc:AlternateContent>
          <mc:Choice Requires="wps">
            <w:drawing xmlns:mc="http://schemas.openxmlformats.org/markup-compatibility/2006">
              <wp:anchor allowOverlap="1" behindDoc="1" distT="0" distB="0" distL="118872" distR="118872" layoutInCell="1" locked="0" relativeHeight="503314467" simplePos="0">
                <wp:simplePos x="0" y="0"/>
                <wp:positionH relativeFrom="margin">
                  <wp:posOffset>2812415</wp:posOffset>
                </wp:positionH>
                <wp:positionV relativeFrom="margin">
                  <wp:posOffset>4914265</wp:posOffset>
                </wp:positionV>
                <wp:extent cx="2292350" cy="1163955"/>
                <wp:effectExtent l="0" t="0" r="12700" b="12700"/>
                <wp:wrapNone/>
                <wp:docPr id="172" name="TextBox 33"/>
                <wp:cNvGraphicFramePr>
                  <a:graphicFrameLocks xmlns:a="http://schemas.openxmlformats.org/drawingml/2006/main"/>
                </wp:cNvGraphicFramePr>
                <a:graphic xmlns:a="http://schemas.openxmlformats.org/drawingml/2006/main">
                  <a:graphicData uri="http://schemas.microsoft.com/office/word/2010/wordprocessingShape">
                    <wps:wsp>
                      <wps:cNvPr id="127" name="TextBox 33"/>
                      <wps:cNvSpPr txBox="1"/>
                      <wps:spPr>
                        <a:xfrm>
                          <a:off x="0" y="0"/>
                          <a:ext cx="2292350" cy="1163955"/>
                        </a:xfrm>
                        <a:prstGeom prst="rect">
                          <a:avLst/>
                        </a:prstGeom>
                        <a:noFill/>
                        <a:ln w="12700">
                          <a:solidFill>
                            <a:schemeClr val="tx1"/>
                          </a:solidFill>
                        </a:ln>
                      </wps:spPr>
                      <wps:txbx id="0">
                        <w:txbxContent>
                          <w:p w14:paraId="000000A1">
                            <w:pPr>
                              <w:rPr>
                                <w:rFonts w:ascii="Arial" w:cs="Arial" w:hAnsi="Arial"/>
                              </w:rPr>
                            </w:pPr>
                            <w:r>
                              <w:tab/>
                            </w:r>
                            <w:r>
                              <w:rPr>
                                <w:rFonts w:ascii="Arial" w:cs="Arial" w:hAnsi="Arial"/>
                                <w:b/>
                                <w:bCs/>
                              </w:rPr>
                              <w:t>Low Interest</w:t>
                            </w:r>
                          </w:p>
                          <w:p w14:paraId="000000A2">
                            <w:pPr>
                              <w:numPr>
                                <w:ilvl w:val="0"/>
                                <w:numId w:val="27"/>
                              </w:numPr>
                              <w:rPr>
                                <w:rFonts w:ascii="Arial" w:cs="Arial" w:hAnsi="Arial"/>
                              </w:rPr>
                            </w:pPr>
                            <w:r>
                              <w:rPr>
                                <w:rFonts w:ascii="Arial" w:cs="Arial" w:hAnsi="Arial"/>
                                <w:b/>
                                <w:bCs/>
                              </w:rPr>
                              <w:t>Local MPs</w:t>
                            </w:r>
                          </w:p>
                          <w:p w14:paraId="000000A3">
                            <w:pPr>
                              <w:numPr>
                                <w:ilvl w:val="0"/>
                                <w:numId w:val="27"/>
                              </w:numPr>
                              <w:rPr>
                                <w:rFonts w:ascii="Arial" w:cs="Arial" w:hAnsi="Arial"/>
                              </w:rPr>
                            </w:pPr>
                            <w:r>
                              <w:rPr>
                                <w:rFonts w:ascii="Arial" w:cs="Arial" w:hAnsi="Arial"/>
                                <w:b/>
                                <w:bCs/>
                              </w:rPr>
                              <w:t>Utility Providers</w:t>
                            </w:r>
                          </w:p>
                        </w:txbxContent>
                      </wps:txbx>
                      <wps:bodyPr rtlCol="0"/>
                    </wps:wsp>
                  </a:graphicData>
                </a:graphic>
              </wp:anchor>
            </w:drawing>
          </mc:Choice>
          <mc:Fallback>
            <w:pict>
              <v:shape id="C3BD9574-8B4E-3DB4-D71DD8215156" coordsize="21600,21600" style="position:absolute;width:180.5pt;height:91.65pt;margin-top:386.95pt;margin-left:221.45pt;mso-wrap-distance-left:9.36pt;mso-wrap-distance-right:9.36pt;mso-wrap-distance-top:0pt;mso-wrap-distance-bottom:0pt;mso-position-horizontal-relative:margin;mso-position-vertical-relative:margin;rotation:0.000000;z-index:-2013;" strokecolor="#000000" o:spt="1" path="m0,0 l0,21600 r21600,0 l21600,0 x e">
                <v:stroke color="#000000" filltype="solid" joinstyle="round" linestyle="single" mitterlimit="800000" weight="1pt"/>
                <w10:wrap side="both"/>
                <o:lock/>
              </v:shape>
            </w:pict>
          </mc:Fallback>
        </mc:AlternateContent>
      </w:r>
      <w:r>
        <w:rPr>
          <w:rFonts w:ascii="Arial" w:cs="Arial" w:hAnsi="Arial"/>
          <w:lang w:val="en-US"/>
        </w:rPr>
        <w:tab/>
      </w:r>
      <w:r>
        <w:rPr>
          <w:rFonts w:ascii="Arial" w:cs="Arial" w:hAnsi="Arial"/>
          <w:lang w:val="en-US"/>
        </w:rPr>
        <w:tab/>
      </w:r>
      <w:r>
        <w:rPr>
          <w:rFonts w:ascii="Arial" w:cs="Arial" w:hAnsi="Arial"/>
          <w:lang w:val="en-US"/>
        </w:rPr>
        <w:tab/>
      </w:r>
      <w:r>
        <w:rPr>
          <w:rFonts w:ascii="Arial" w:cs="Arial" w:hAnsi="Arial"/>
          <w:lang w:val="en-US"/>
        </w:rPr>
        <w:tab/>
      </w:r>
      <w:r>
        <w:rPr>
          <w:rFonts w:ascii="Arial" w:cs="Arial" w:hAnsi="Arial"/>
          <w:lang w:val="en-US"/>
        </w:rPr>
        <w:tab/>
      </w:r>
      <w:r>
        <w:rPr>
          <w:rFonts w:ascii="Arial" w:cs="Arial" w:hAnsi="Arial"/>
          <w:b/>
          <w:bCs/>
          <w:lang w:val="en-US"/>
        </w:rPr>
        <w:t>High Power</w:t>
      </w:r>
    </w:p>
    <w:p w14:paraId="000000A4">
      <w:pPr>
        <w:rPr>
          <w:rFonts w:ascii="Arial" w:cs="Arial" w:hAnsi="Arial"/>
          <w:lang w:val="en-US"/>
        </w:rPr>
      </w:pPr>
      <w:r>
        <w:rPr>
          <w:rFonts w:ascii="Arial" w:cs="Arial" w:hAnsi="Arial"/>
          <w:lang w:val="en-US"/>
        </w:rPr>
        <mc:AlternateContent>
          <mc:Choice Requires="wps">
            <w:drawing xmlns:mc="http://schemas.openxmlformats.org/markup-compatibility/2006">
              <wp:anchor allowOverlap="1" behindDoc="0" distT="0" distB="0" distL="118872" distR="118872" layoutInCell="1" locked="0" relativeHeight="33" simplePos="0">
                <wp:simplePos x="0" y="0"/>
                <wp:positionH relativeFrom="margin">
                  <wp:posOffset>320040</wp:posOffset>
                </wp:positionH>
                <wp:positionV relativeFrom="margin">
                  <wp:posOffset>4916805</wp:posOffset>
                </wp:positionV>
                <wp:extent cx="2292350" cy="1163955"/>
                <wp:effectExtent l="0" t="0" r="12700" b="12700"/>
                <wp:wrapNone/>
                <wp:docPr id="173" name="TextBox 33"/>
                <wp:cNvGraphicFramePr>
                  <a:graphicFrameLocks xmlns:a="http://schemas.openxmlformats.org/drawingml/2006/main"/>
                </wp:cNvGraphicFramePr>
                <a:graphic xmlns:a="http://schemas.openxmlformats.org/drawingml/2006/main">
                  <a:graphicData uri="http://schemas.microsoft.com/office/word/2010/wordprocessingShape">
                    <wps:wsp>
                      <wps:cNvPr id="128" name="TextBox 33"/>
                      <wps:cNvSpPr txBox="1"/>
                      <wps:spPr>
                        <a:xfrm>
                          <a:off x="0" y="0"/>
                          <a:ext cx="2292350" cy="1163955"/>
                        </a:xfrm>
                        <a:prstGeom prst="rect">
                          <a:avLst/>
                        </a:prstGeom>
                        <a:noFill/>
                        <a:ln w="12700">
                          <a:solidFill>
                            <a:schemeClr val="tx1"/>
                          </a:solidFill>
                        </a:ln>
                      </wps:spPr>
                      <wps:txbx id="1">
                        <w:txbxContent>
                          <w:p w14:paraId="000000A5">
                            <w:pPr>
                              <w:rPr>
                                <w:rFonts w:ascii="Arial" w:cs="Arial" w:hAnsi="Arial"/>
                              </w:rPr>
                            </w:pPr>
                            <w:r>
                              <w:tab/>
                            </w:r>
                            <w:r>
                              <w:rPr>
                                <w:rFonts w:ascii="Arial" w:cs="Arial" w:hAnsi="Arial"/>
                                <w:b/>
                                <w:bCs/>
                              </w:rPr>
                              <w:t>High Interest</w:t>
                            </w:r>
                          </w:p>
                          <w:p w14:paraId="000000A6">
                            <w:pPr>
                              <w:numPr>
                                <w:ilvl w:val="0"/>
                                <w:numId w:val="26"/>
                              </w:numPr>
                              <w:rPr>
                                <w:rFonts w:ascii="Arial" w:cs="Arial" w:hAnsi="Arial"/>
                              </w:rPr>
                            </w:pPr>
                            <w:r>
                              <w:rPr>
                                <w:rFonts w:ascii="Arial" w:cs="Arial" w:hAnsi="Arial"/>
                                <w:b/>
                                <w:bCs/>
                              </w:rPr>
                              <w:t>Birmingham City Council</w:t>
                            </w:r>
                          </w:p>
                          <w:p w14:paraId="000000A7">
                            <w:pPr>
                              <w:numPr>
                                <w:ilvl w:val="0"/>
                                <w:numId w:val="26"/>
                              </w:numPr>
                              <w:rPr>
                                <w:rFonts w:ascii="Arial" w:cs="Arial" w:hAnsi="Arial"/>
                              </w:rPr>
                            </w:pPr>
                            <w:r>
                              <w:rPr>
                                <w:rFonts w:ascii="Arial" w:cs="Arial" w:hAnsi="Arial"/>
                                <w:b/>
                                <w:bCs/>
                              </w:rPr>
                              <w:t>Funding Bodies</w:t>
                            </w:r>
                          </w:p>
                        </w:txbxContent>
                      </wps:txbx>
                      <wps:bodyPr rtlCol="0"/>
                    </wps:wsp>
                  </a:graphicData>
                </a:graphic>
              </wp:anchor>
            </w:drawing>
          </mc:Choice>
          <mc:Fallback>
            <w:pict>
              <v:shape id="557ED73E-20D1-FF15-CC4EC06F02DE" coordsize="21600,21600" style="position:absolute;width:180.5pt;height:91.65pt;margin-top:387.15pt;margin-left:25.2pt;mso-wrap-distance-left:9.36pt;mso-wrap-distance-right:9.36pt;mso-wrap-distance-top:0pt;mso-wrap-distance-bottom:0pt;mso-position-horizontal-relative:margin;mso-position-vertical-relative:margin;rotation:0.000000;z-index:33;" strokecolor="#000000" o:spt="1" path="m0,0 l0,21600 r21600,0 l21600,0 x e">
                <v:stroke color="#000000" filltype="solid" joinstyle="round" linestyle="single" mitterlimit="800000" weight="1pt"/>
                <w10:wrap side="both"/>
                <o:lock/>
              </v:shape>
            </w:pict>
          </mc:Fallback>
        </mc:AlternateContent>
      </w:r>
      <w:r>
        <w:rPr>
          <w:rFonts w:ascii="Arial" w:cs="Arial" w:hAnsi="Arial"/>
          <w:lang w:val="en-US"/>
        </w:rPr>
        <w:tab/>
      </w:r>
      <w:r>
        <w:rPr>
          <w:rFonts w:ascii="Arial" w:cs="Arial" w:hAnsi="Arial"/>
          <w:lang w:val="en-US"/>
        </w:rPr>
        <w:tab/>
      </w:r>
      <w:r>
        <w:rPr>
          <w:rFonts w:ascii="Arial" w:cs="Arial" w:hAnsi="Arial"/>
          <w:lang w:val="en-US"/>
        </w:rPr>
        <w:tab/>
      </w:r>
      <w:r>
        <w:rPr>
          <w:rFonts w:ascii="Arial" w:cs="Arial" w:hAnsi="Arial"/>
          <w:lang w:val="en-US"/>
        </w:rPr>
        <w:tab/>
      </w:r>
      <w:r>
        <w:rPr>
          <w:rFonts w:ascii="Arial" w:cs="Arial" w:hAnsi="Arial"/>
          <w:lang w:val="en-US"/>
        </w:rPr>
        <w:tab/>
      </w:r>
    </w:p>
    <w:p w14:paraId="000000A8">
      <w:pPr>
        <w:rPr>
          <w:rFonts w:ascii="Arial" w:cs="Arial" w:hAnsi="Arial"/>
          <w:b/>
          <w:bCs/>
          <w:lang w:val="en-US"/>
        </w:rPr>
      </w:pPr>
      <w:r>
        <w:rPr>
          <w:rFonts w:ascii="Arial" w:cs="Arial" w:hAnsi="Arial"/>
          <w:lang w:val="en-US"/>
        </w:rPr>
        <w:tab/>
      </w:r>
      <w:r>
        <w:rPr>
          <w:rFonts w:ascii="Arial" w:cs="Arial" w:hAnsi="Arial"/>
          <w:lang w:val="en-US"/>
        </w:rPr>
        <w:tab/>
      </w:r>
      <w:r>
        <w:rPr>
          <w:rFonts w:ascii="Arial" w:cs="Arial" w:hAnsi="Arial"/>
          <w:lang w:val="en-US"/>
        </w:rPr>
        <w:tab/>
      </w:r>
      <w:r>
        <w:rPr>
          <w:rFonts w:ascii="Arial" w:cs="Arial" w:hAnsi="Arial"/>
          <w:lang w:val="en-US"/>
        </w:rPr>
        <w:tab/>
      </w:r>
      <w:r>
        <w:rPr>
          <w:rFonts w:ascii="Arial" w:cs="Arial" w:hAnsi="Arial"/>
          <w:lang w:val="en-US"/>
        </w:rPr>
        <w:tab/>
      </w:r>
    </w:p>
    <w:p w14:paraId="000000A9">
      <w:pPr>
        <w:rPr>
          <w:rFonts w:ascii="Arial" w:cs="Arial" w:hAnsi="Arial"/>
          <w:b/>
          <w:bCs/>
          <w:lang w:val="en-US"/>
        </w:rPr>
      </w:pPr>
      <w:r>
        <w:rPr>
          <w:rFonts w:ascii="Arial" w:cs="Arial" w:hAnsi="Arial"/>
          <w:b/>
          <w:bCs/>
          <w:lang w:val="en-US"/>
        </w:rPr>
        <w:tab/>
      </w:r>
      <w:r>
        <w:rPr>
          <w:rFonts w:ascii="Arial" w:cs="Arial" w:hAnsi="Arial"/>
          <w:b/>
          <w:bCs/>
          <w:lang w:val="en-US"/>
        </w:rPr>
        <w:tab/>
      </w:r>
    </w:p>
    <w:p w14:paraId="000000AA">
      <w:pPr>
        <w:rPr>
          <w:rFonts w:ascii="Arial" w:cs="Arial" w:hAnsi="Arial"/>
          <w:b/>
          <w:bCs/>
          <w:lang w:val="en-US"/>
        </w:rPr>
      </w:pPr>
    </w:p>
    <w:p w14:paraId="000000AB">
      <w:pPr>
        <w:rPr>
          <w:rFonts w:ascii="Arial" w:cs="Arial" w:hAnsi="Arial"/>
          <w:b/>
          <w:bCs/>
          <w:lang w:val="en-US"/>
        </w:rPr>
      </w:pPr>
      <w:r>
        <w:rPr>
          <w:rFonts w:ascii="Arial" w:cs="Arial" w:hAnsi="Arial"/>
          <w:b/>
          <w:bCs/>
          <w:lang w:val="en-US"/>
        </w:rPr>
        <mc:AlternateContent>
          <mc:Choice Requires="wps">
            <w:drawing xmlns:mc="http://schemas.openxmlformats.org/markup-compatibility/2006">
              <wp:anchor allowOverlap="1" behindDoc="0" distT="0" distB="0" distL="118872" distR="118872" layoutInCell="1" locked="0" relativeHeight="34" simplePos="0">
                <wp:simplePos x="0" y="0"/>
                <wp:positionH relativeFrom="margin">
                  <wp:posOffset>371475</wp:posOffset>
                </wp:positionH>
                <wp:positionV relativeFrom="margin">
                  <wp:posOffset>6201410</wp:posOffset>
                </wp:positionV>
                <wp:extent cx="2292350" cy="1411605"/>
                <wp:effectExtent l="0" t="0" r="12700" b="12700"/>
                <wp:wrapNone/>
                <wp:docPr id="174" name="TextBox 33"/>
                <wp:cNvGraphicFramePr>
                  <a:graphicFrameLocks xmlns:a="http://schemas.openxmlformats.org/drawingml/2006/main"/>
                </wp:cNvGraphicFramePr>
                <a:graphic xmlns:a="http://schemas.openxmlformats.org/drawingml/2006/main">
                  <a:graphicData uri="http://schemas.microsoft.com/office/word/2010/wordprocessingShape">
                    <wps:wsp>
                      <wps:cNvPr id="130" name="TextBox 33"/>
                      <wps:cNvSpPr txBox="1"/>
                      <wps:spPr>
                        <a:xfrm>
                          <a:off x="0" y="0"/>
                          <a:ext cx="2292350" cy="1411605"/>
                        </a:xfrm>
                        <a:prstGeom prst="rect">
                          <a:avLst/>
                        </a:prstGeom>
                        <a:noFill/>
                        <a:ln w="12700">
                          <a:solidFill>
                            <a:schemeClr val="tx1"/>
                          </a:solidFill>
                        </a:ln>
                      </wps:spPr>
                      <wps:txbx id="3">
                        <w:txbxContent>
                          <w:p w14:paraId="000000AC">
                            <w:pPr>
                              <w:rPr>
                                <w:rFonts w:ascii="Arial" w:cs="Arial" w:hAnsi="Arial"/>
                              </w:rPr>
                            </w:pPr>
                            <w:r>
                              <w:tab/>
                            </w:r>
                            <w:r>
                              <w:rPr>
                                <w:rFonts w:ascii="Arial" w:cs="Arial" w:hAnsi="Arial"/>
                                <w:b/>
                                <w:bCs/>
                              </w:rPr>
                              <w:t>High Interest</w:t>
                            </w:r>
                          </w:p>
                          <w:p w14:paraId="000000AD">
                            <w:pPr>
                              <w:numPr>
                                <w:ilvl w:val="0"/>
                                <w:numId w:val="28"/>
                              </w:numPr>
                              <w:rPr>
                                <w:rFonts w:ascii="Arial" w:cs="Arial" w:hAnsi="Arial"/>
                              </w:rPr>
                            </w:pPr>
                            <w:r>
                              <w:rPr>
                                <w:rFonts w:ascii="Arial" w:cs="Arial" w:hAnsi="Arial"/>
                                <w:b/>
                                <w:bCs/>
                              </w:rPr>
                              <w:t>Current Residents</w:t>
                            </w:r>
                          </w:p>
                          <w:p w14:paraId="000000AE">
                            <w:pPr>
                              <w:numPr>
                                <w:ilvl w:val="0"/>
                                <w:numId w:val="28"/>
                              </w:numPr>
                              <w:rPr>
                                <w:rFonts w:ascii="Arial" w:cs="Arial" w:hAnsi="Arial"/>
                              </w:rPr>
                            </w:pPr>
                            <w:r>
                              <w:rPr>
                                <w:rFonts w:ascii="Arial" w:cs="Arial" w:hAnsi="Arial"/>
                                <w:b/>
                                <w:bCs/>
                              </w:rPr>
                              <w:t>Local Community groups</w:t>
                            </w:r>
                          </w:p>
                          <w:p w14:paraId="000000AF">
                            <w:pPr>
                              <w:numPr>
                                <w:ilvl w:val="0"/>
                                <w:numId w:val="28"/>
                              </w:numPr>
                              <w:rPr>
                                <w:rFonts w:ascii="Arial" w:cs="Arial" w:hAnsi="Arial"/>
                                <w:b/>
                                <w:bCs/>
                              </w:rPr>
                            </w:pPr>
                            <w:r>
                              <w:rPr>
                                <w:rFonts w:ascii="Arial" w:cs="Arial" w:hAnsi="Arial"/>
                                <w:b/>
                                <w:bCs/>
                              </w:rPr>
                              <w:t>Local builders</w:t>
                            </w:r>
                          </w:p>
                        </w:txbxContent>
                      </wps:txbx>
                      <wps:bodyPr rtlCol="0"/>
                    </wps:wsp>
                  </a:graphicData>
                </a:graphic>
              </wp:anchor>
            </w:drawing>
          </mc:Choice>
          <mc:Fallback>
            <w:pict>
              <v:shape id="AE2B74B5-7641-FBF2-18B9539138A2" coordsize="21600,21600" style="position:absolute;width:180.5pt;height:111.15pt;margin-top:488.3pt;margin-left:29.25pt;mso-wrap-distance-left:9.36pt;mso-wrap-distance-right:9.36pt;mso-wrap-distance-top:0pt;mso-wrap-distance-bottom:0pt;mso-position-horizontal-relative:margin;mso-position-vertical-relative:margin;rotation:0.000000;z-index:34;" strokecolor="#000000" o:spt="1" path="m0,0 l0,21600 r21600,0 l21600,0 x e">
                <v:stroke color="#000000" filltype="solid" joinstyle="round" linestyle="single" mitterlimit="800000" weight="1pt"/>
                <w10:wrap side="both"/>
                <o:lock/>
              </v:shape>
            </w:pict>
          </mc:Fallback>
        </mc:AlternateContent>
      </w:r>
      <w:r>
        <w:rPr>
          <w:rFonts w:ascii="Arial" w:cs="Arial" w:hAnsi="Arial"/>
          <w:b/>
          <w:bCs/>
          <w:lang w:val="en-US"/>
        </w:rPr>
        <mc:AlternateContent>
          <mc:Choice Requires="wps">
            <w:drawing xmlns:mc="http://schemas.openxmlformats.org/markup-compatibility/2006">
              <wp:anchor allowOverlap="1" behindDoc="0" distT="0" distB="0" distL="118872" distR="118872" layoutInCell="1" locked="0" relativeHeight="36" simplePos="0">
                <wp:simplePos x="0" y="0"/>
                <wp:positionH relativeFrom="margin">
                  <wp:posOffset>2880995</wp:posOffset>
                </wp:positionH>
                <wp:positionV relativeFrom="margin">
                  <wp:posOffset>6217920</wp:posOffset>
                </wp:positionV>
                <wp:extent cx="2292350" cy="1405255"/>
                <wp:effectExtent l="0" t="0" r="12700" b="12700"/>
                <wp:wrapNone/>
                <wp:docPr id="175" name="TextBox 33"/>
                <wp:cNvGraphicFramePr>
                  <a:graphicFrameLocks xmlns:a="http://schemas.openxmlformats.org/drawingml/2006/main"/>
                </wp:cNvGraphicFramePr>
                <a:graphic xmlns:a="http://schemas.openxmlformats.org/drawingml/2006/main">
                  <a:graphicData uri="http://schemas.microsoft.com/office/word/2010/wordprocessingShape">
                    <wps:wsp>
                      <wps:cNvPr id="129" name="TextBox 33"/>
                      <wps:cNvSpPr txBox="1"/>
                      <wps:spPr>
                        <a:xfrm>
                          <a:off x="0" y="0"/>
                          <a:ext cx="2292350" cy="1405255"/>
                        </a:xfrm>
                        <a:prstGeom prst="rect">
                          <a:avLst/>
                        </a:prstGeom>
                        <a:noFill/>
                        <a:ln w="12700">
                          <a:solidFill>
                            <a:schemeClr val="tx1"/>
                          </a:solidFill>
                        </a:ln>
                      </wps:spPr>
                      <wps:txbx id="2">
                        <w:txbxContent>
                          <w:p w14:paraId="000000B0">
                            <w:r>
                              <w:tab/>
                            </w:r>
                            <w:r>
                              <w:rPr>
                                <w:rFonts w:ascii="Arial" w:cs="Arial" w:hAnsi="Arial"/>
                                <w:b/>
                                <w:bCs/>
                              </w:rPr>
                              <w:t>Low Interest</w:t>
                            </w:r>
                          </w:p>
                          <w:p w14:paraId="000000B1">
                            <w:pPr>
                              <w:numPr>
                                <w:ilvl w:val="0"/>
                                <w:numId w:val="29"/>
                              </w:numPr>
                              <w:rPr/>
                            </w:pPr>
                            <w:r>
                              <w:rPr>
                                <w:rFonts w:ascii="Arial" w:cs="Arial" w:hAnsi="Arial"/>
                                <w:b/>
                                <w:bCs/>
                              </w:rPr>
                              <w:t>Residents further away</w:t>
                            </w:r>
                          </w:p>
                          <w:p w14:paraId="000000B2">
                            <w:pPr>
                              <w:numPr>
                                <w:ilvl w:val="0"/>
                                <w:numId w:val="29"/>
                              </w:numPr>
                              <w:rPr/>
                            </w:pPr>
                            <w:r>
                              <w:rPr>
                                <w:rFonts w:ascii="Arial" w:cs="Arial" w:hAnsi="Arial"/>
                                <w:b/>
                                <w:bCs/>
                              </w:rPr>
                              <w:t>Material suppliers</w:t>
                            </w:r>
                          </w:p>
                        </w:txbxContent>
                      </wps:txbx>
                      <wps:bodyPr rtlCol="0"/>
                    </wps:wsp>
                  </a:graphicData>
                </a:graphic>
              </wp:anchor>
            </w:drawing>
          </mc:Choice>
          <mc:Fallback>
            <w:pict>
              <v:shape id="E3B18D49-E940-BF41-B600FBFAFA07" coordsize="21600,21600" style="position:absolute;width:180.5pt;height:110.65pt;margin-top:489.6pt;margin-left:226.85pt;mso-wrap-distance-left:9.36pt;mso-wrap-distance-right:9.36pt;mso-wrap-distance-top:0pt;mso-wrap-distance-bottom:0pt;mso-position-horizontal-relative:margin;mso-position-vertical-relative:margin;rotation:0.000000;z-index:36;" strokecolor="#000000" o:spt="1" path="m0,0 l0,21600 r21600,0 l21600,0 x e">
                <v:stroke color="#000000" filltype="solid" joinstyle="round" linestyle="single" mitterlimit="800000" weight="1pt"/>
                <w10:wrap side="both"/>
                <o:lock/>
              </v:shape>
            </w:pict>
          </mc:Fallback>
        </mc:AlternateContent>
      </w:r>
    </w:p>
    <w:p w14:paraId="000000B3">
      <w:pPr>
        <w:rPr>
          <w:rFonts w:ascii="Arial" w:cs="Arial" w:hAnsi="Arial"/>
          <w:b/>
          <w:bCs/>
          <w:lang w:val="en-US"/>
        </w:rPr>
      </w:pPr>
    </w:p>
    <w:p w14:paraId="000000B4">
      <w:pPr>
        <w:rPr>
          <w:rFonts w:ascii="Arial" w:cs="Arial" w:hAnsi="Arial"/>
          <w:b/>
          <w:bCs/>
          <w:lang w:val="en-US"/>
        </w:rPr>
      </w:pPr>
    </w:p>
    <w:p w14:paraId="000000B5">
      <w:pPr>
        <w:rPr>
          <w:rFonts w:ascii="Arial" w:cs="Arial" w:hAnsi="Arial"/>
          <w:b/>
          <w:bCs/>
          <w:lang w:val="en-US"/>
        </w:rPr>
      </w:pPr>
    </w:p>
    <w:p w14:paraId="000000B6">
      <w:pPr>
        <w:rPr>
          <w:rFonts w:ascii="Arial" w:cs="Arial" w:hAnsi="Arial"/>
          <w:b/>
          <w:bCs/>
          <w:lang w:val="en-US"/>
        </w:rPr>
      </w:pPr>
    </w:p>
    <w:p w14:paraId="000000B7">
      <w:pPr>
        <w:rPr>
          <w:rFonts w:ascii="Arial" w:cs="Arial" w:hAnsi="Arial"/>
          <w:b/>
          <w:bCs/>
          <w:lang w:val="en-US"/>
        </w:rPr>
      </w:pPr>
      <w:r>
        <w:rPr>
          <w:rFonts w:ascii="Arial" w:cs="Arial" w:hAnsi="Arial"/>
          <w:b/>
          <w:bCs/>
          <w:lang w:val="en-US"/>
        </w:rPr>
        <w:t xml:space="preserve">                                                            Low Power</w:t>
      </w:r>
    </w:p>
    <w:p w14:paraId="000000B8">
      <w:pPr>
        <w:rPr>
          <w:rFonts w:ascii="Arial" w:cs="Arial" w:hAnsi="Arial"/>
          <w:b/>
          <w:bCs/>
          <w:lang w:val="en-US"/>
        </w:rPr>
      </w:pPr>
      <w:r>
        <w:rPr>
          <w:rFonts w:ascii="Arial" w:cs="Arial" w:hAnsi="Arial"/>
          <w:b/>
          <w:bCs/>
          <w:lang w:val="en-US"/>
        </w:rPr>
        <w:tab/>
      </w:r>
      <w:r>
        <w:rPr>
          <w:rFonts w:ascii="Arial" w:cs="Arial" w:hAnsi="Arial"/>
          <w:b/>
          <w:bCs/>
          <w:lang w:val="en-US"/>
        </w:rPr>
        <w:tab/>
      </w:r>
      <w:r>
        <w:rPr>
          <w:rFonts w:ascii="Arial" w:cs="Arial" w:hAnsi="Arial"/>
          <w:b/>
          <w:bCs/>
          <w:lang w:val="en-US"/>
        </w:rPr>
        <w:tab/>
      </w:r>
      <w:r>
        <w:rPr>
          <w:rFonts w:ascii="Arial" w:cs="Arial" w:hAnsi="Arial"/>
          <w:b/>
          <w:bCs/>
          <w:lang w:val="en-US"/>
        </w:rPr>
        <w:tab/>
      </w:r>
      <w:r>
        <w:rPr>
          <w:rFonts w:ascii="Arial" w:cs="Arial" w:hAnsi="Arial"/>
          <w:b/>
          <w:bCs/>
          <w:lang w:val="en-US"/>
        </w:rPr>
        <w:tab/>
      </w:r>
      <w:r>
        <w:rPr>
          <w:rFonts w:ascii="Arial" w:cs="Arial" w:hAnsi="Arial"/>
          <w:b/>
          <w:bCs/>
          <w:lang w:val="en-US"/>
        </w:rPr>
        <w:tab/>
      </w:r>
      <w:r>
        <w:rPr>
          <w:rFonts w:ascii="Arial" w:cs="Arial" w:hAnsi="Arial"/>
          <w:b/>
          <w:bCs/>
          <w:lang w:val="en-US"/>
        </w:rPr>
        <w:tab/>
      </w:r>
    </w:p>
    <w:p w14:paraId="000000B9">
      <w:pPr>
        <w:ind w:left="3600"/>
        <w:rPr>
          <w:rFonts w:ascii="Arial" w:cs="Arial" w:hAnsi="Arial"/>
          <w:b/>
          <w:bCs/>
          <w:lang w:val="en-US"/>
        </w:rPr>
      </w:pPr>
      <w:r>
        <w:rPr>
          <w:rFonts w:ascii="Arial" w:cs="Arial" w:hAnsi="Arial"/>
          <w:b/>
          <w:bCs/>
          <w:lang w:val="en-US"/>
        </w:rPr>
        <mc:AlternateContent>
          <mc:Choice Requires="wps">
            <w:drawing xmlns:mc="http://schemas.openxmlformats.org/markup-compatibility/2006">
              <wp:anchor allowOverlap="1" behindDoc="0" distT="0" distB="0" distL="118872" distR="118872" layoutInCell="1" locked="0" relativeHeight="39" simplePos="0">
                <wp:simplePos x="0" y="0"/>
                <wp:positionH relativeFrom="column">
                  <wp:posOffset>3019425</wp:posOffset>
                </wp:positionH>
                <wp:positionV relativeFrom="paragraph">
                  <wp:posOffset>24765</wp:posOffset>
                </wp:positionV>
                <wp:extent cx="807085" cy="102870"/>
                <wp:effectExtent l="0" t="0" r="15330" b="30660"/>
                <wp:wrapNone/>
                <wp:docPr id="176" name="Right Arrow 39"/>
                <wp:cNvGraphicFramePr>
                  <a:graphicFrameLocks xmlns:a="http://schemas.openxmlformats.org/drawingml/2006/main"/>
                </wp:cNvGraphicFramePr>
                <a:graphic xmlns:a="http://schemas.openxmlformats.org/drawingml/2006/main">
                  <a:graphicData uri="http://schemas.microsoft.com/office/word/2010/wordprocessingShape">
                    <wps:wsp>
                      <wps:cNvPr id="131" name="Right Arrow 39"/>
                      <wps:cNvSpPr/>
                      <wps:spPr>
                        <a:xfrm>
                          <a:off x="0" y="0"/>
                          <a:ext cx="807085" cy="102870"/>
                        </a:xfrm>
                        <a:prstGeom prst="rightArrow">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anchor="ctr"/>
                    </wps:wsp>
                  </a:graphicData>
                </a:graphic>
              </wp:anchor>
            </w:drawing>
          </mc:Choice>
          <mc:Fallback>
            <w:pict>
              <v:shape id="3D3F0AF2-5F72-7671-2706D92DDA46" adj="20223,5400" coordsize="21600,21600" style="position:absolute;width:63.55pt;height:8.1pt;margin-top:1.95pt;margin-left:237.75pt;mso-wrap-distance-left:9.36pt;mso-wrap-distance-right:9.36pt;mso-wrap-distance-top:0pt;mso-wrap-distance-bottom:0pt;rotation:0.000000;z-index:39;" fillcolor="#000000" strokecolor="#000000" path="m0,5399 l20223,5399 l20223,0 l21600,10800 l20223,21600 l20223,16199 l0,16199 x e">
                <v:stroke color="#000000" filltype="solid" joinstyle="miter" linestyle="single" mitterlimit="800000" weight="1pt"/>
                <w10:wrap side="both"/>
                <v:fill type="solid" color="#000000" opacity="1.000000"/>
                <o:lock/>
              </v:shape>
            </w:pict>
          </mc:Fallback>
        </mc:AlternateContent>
      </w:r>
      <w:r>
        <w:rPr>
          <w:rFonts w:ascii="Arial" w:cs="Arial" w:hAnsi="Arial"/>
          <w:b/>
          <w:bCs/>
          <w:lang w:val="en-US"/>
        </w:rPr>
        <mc:AlternateContent>
          <mc:Choice Requires="wps">
            <w:drawing xmlns:mc="http://schemas.openxmlformats.org/markup-compatibility/2006">
              <wp:anchor allowOverlap="1" behindDoc="0" distT="0" distB="0" distL="118872" distR="118872" layoutInCell="1" locked="0" relativeHeight="37" simplePos="0">
                <wp:simplePos x="0" y="0"/>
                <wp:positionH relativeFrom="column">
                  <wp:posOffset>1443990</wp:posOffset>
                </wp:positionH>
                <wp:positionV relativeFrom="paragraph">
                  <wp:posOffset>30480</wp:posOffset>
                </wp:positionV>
                <wp:extent cx="800100" cy="95885"/>
                <wp:effectExtent l="0" t="0" r="15330" b="30660"/>
                <wp:wrapNone/>
                <wp:docPr id="177" name="Left Arrow 37"/>
                <wp:cNvGraphicFramePr>
                  <a:graphicFrameLocks xmlns:a="http://schemas.openxmlformats.org/drawingml/2006/main"/>
                </wp:cNvGraphicFramePr>
                <a:graphic xmlns:a="http://schemas.openxmlformats.org/drawingml/2006/main">
                  <a:graphicData uri="http://schemas.microsoft.com/office/word/2010/wordprocessingShape">
                    <wps:wsp>
                      <wps:cNvPr id="132" name="Left Arrow 37"/>
                      <wps:cNvSpPr/>
                      <wps:spPr>
                        <a:xfrm>
                          <a:off x="0" y="0"/>
                          <a:ext cx="800100" cy="95885"/>
                        </a:xfrm>
                        <a:prstGeom prst="leftArrow">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anchor="ctr"/>
                    </wps:wsp>
                  </a:graphicData>
                </a:graphic>
              </wp:anchor>
            </w:drawing>
          </mc:Choice>
          <mc:Fallback>
            <w:pict>
              <v:shape id="FABD75AB-C609-BAE2-F4188ACFE45A" adj="1294,5400" coordsize="21600,21600" style="position:absolute;width:63pt;height:7.55pt;margin-top:2.4pt;margin-left:113.7pt;mso-wrap-distance-left:9.36pt;mso-wrap-distance-right:9.36pt;mso-wrap-distance-top:0pt;mso-wrap-distance-bottom:0pt;rotation:0.000000;z-index:37;" fillcolor="#000000" strokecolor="#000000" o:spt="66" path="m@0,0 l@0,@1 l21600,@1 l21600,@2 l@0,@2 l@0,21600 l0,10800 x e">
                <v:stroke color="#000000" filltype="solid" joinstyle="miter" linestyle="single" mitterlimit="800000" weight="1pt"/>
                <w10:wrap side="both"/>
                <v:formulas>
                  <v:f eqn="val #0"/>
                  <v:f eqn="val #1"/>
                  <v:f eqn="sum 21600 0 #1"/>
                  <v:f eqn="prod #0 #1 10800"/>
                  <v:f eqn="sum #0 0 @3"/>
                </v:formulas>
                <v:handles>
                  <v:h position="#0,#1" xrange="0,21600" yrange="0,10800"/>
                </v:handles>
                <v:fill type="solid" color="#000000" opacity="1.000000"/>
                <o:lock/>
              </v:shape>
            </w:pict>
          </mc:Fallback>
        </mc:AlternateContent>
      </w:r>
      <w:r>
        <w:rPr>
          <w:rFonts w:ascii="Arial" w:cs="Arial" w:hAnsi="Arial"/>
          <w:b/>
          <w:bCs/>
          <w:lang w:val="en-US"/>
        </w:rPr>
        <w:t>INTEREST</w:t>
      </w:r>
      <w:r>
        <w:rPr>
          <w:rFonts w:ascii="Arial" w:cs="Arial" w:hAnsi="Arial"/>
          <w:b/>
          <w:bCs/>
          <w:lang w:val="en-US"/>
        </w:rPr>
        <w:tab/>
      </w:r>
      <w:r>
        <w:rPr>
          <w:rFonts w:ascii="Arial" w:cs="Arial" w:hAnsi="Arial"/>
          <w:b/>
          <w:bCs/>
          <w:lang w:val="en-US"/>
        </w:rPr>
        <w:tab/>
      </w:r>
    </w:p>
    <w:p w14:paraId="000000BA">
      <w:pPr>
        <w:ind w:left="1440" w:firstLine="720"/>
        <w:rPr>
          <w:rFonts w:ascii="Arial" w:cs="Arial" w:hAnsi="Arial"/>
          <w:b/>
          <w:bCs/>
          <w:lang w:val="en-US"/>
        </w:rPr>
      </w:pPr>
      <w:r>
        <w:rPr>
          <w:rFonts w:ascii="Arial" w:cs="Arial" w:hAnsi="Arial"/>
          <w:b/>
          <w:bCs/>
          <w:lang w:val="en-US"/>
        </w:rPr>
        <mc:AlternateContent>
          <mc:Choice Requires="wps">
            <w:drawing xmlns:mc="http://schemas.openxmlformats.org/markup-compatibility/2006">
              <wp:anchor allowOverlap="1" behindDoc="0" distT="0" distB="0" distL="118872" distR="118872" layoutInCell="1" locked="0" relativeHeight="40" simplePos="0">
                <wp:simplePos x="0" y="0"/>
                <wp:positionH relativeFrom="column">
                  <wp:posOffset>2224405</wp:posOffset>
                </wp:positionH>
                <wp:positionV relativeFrom="paragraph">
                  <wp:posOffset>68580</wp:posOffset>
                </wp:positionV>
                <wp:extent cx="482600" cy="44450"/>
                <wp:effectExtent l="1985" t="0" r="0" b="1630"/>
                <wp:wrapNone/>
                <wp:docPr id="178" name="Left Right Circular Arrow 40"/>
                <wp:cNvGraphicFramePr>
                  <a:graphicFrameLocks xmlns:a="http://schemas.openxmlformats.org/drawingml/2006/main"/>
                </wp:cNvGraphicFramePr>
                <a:graphic xmlns:a="http://schemas.openxmlformats.org/drawingml/2006/main">
                  <a:graphicData uri="http://schemas.microsoft.com/office/word/2010/wordprocessingShape">
                    <wps:wsp>
                      <wps:cNvPr id="133" name="Left Right Circular Arrow 40"/>
                      <wps:cNvSpPr/>
                      <wps:spPr>
                        <a:xfrm>
                          <a:off x="0" y="0"/>
                          <a:ext cx="482600" cy="44450"/>
                        </a:xfrm>
                        <a:prstGeom prst="leftRightCircularArrow">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anchor="ctr"/>
                    </wps:wsp>
                  </a:graphicData>
                </a:graphic>
              </wp:anchor>
            </w:drawing>
          </mc:Choice>
          <mc:Fallback>
            <w:pict>
              <v:shape id="2846341B-2748-C01A-AA6ED9F86538" coordsize="21600,21600" style="position:absolute;width:38pt;height:3.5pt;margin-top:5.4pt;margin-left:175.15pt;mso-wrap-distance-left:9.36pt;mso-wrap-distance-right:9.36pt;mso-wrap-distance-top:0pt;mso-wrap-distance-bottom:0pt;rotation:0.000000;z-index:40;" fillcolor="#000000" strokecolor="#000000" path="m2251,6051 l7042,1954 l7042,1954 wa124,1349,21475,20250,7043,1954,14556,1954 l14556,1954 l19348,6051 l10784,4049 l10784,4049 at373,4049,21226,17550,10784,4049,10815,4049 l10815,4049 x e">
                <v:stroke color="#000000" filltype="solid" joinstyle="miter" linestyle="single" mitterlimit="800000" weight="1pt"/>
                <w10:wrap side="both"/>
                <v:fill type="solid" color="#000000" opacity="1.000000"/>
                <o:lock/>
              </v:shape>
            </w:pict>
          </mc:Fallback>
        </mc:AlternateContent>
      </w:r>
      <w:r>
        <w:rPr>
          <w:rFonts w:ascii="Arial" w:cs="Arial" w:hAnsi="Arial"/>
          <w:b/>
          <w:bCs/>
          <w:lang w:val="en-US"/>
        </w:rPr>
        <w:tab/>
        <w:t xml:space="preserve">High </w:t>
      </w:r>
      <w:r>
        <w:rPr>
          <w:rFonts w:ascii="Arial" w:cs="Arial" w:hAnsi="Arial"/>
          <w:b/>
          <w:bCs/>
          <w:lang w:val="en-US"/>
        </w:rPr>
        <w:tab/>
      </w:r>
      <w:r>
        <w:rPr>
          <w:rFonts w:ascii="Arial" w:cs="Arial" w:hAnsi="Arial"/>
          <w:b/>
          <w:bCs/>
          <w:lang w:val="en-US"/>
        </w:rPr>
        <w:tab/>
        <w:t>Low</w:t>
      </w:r>
    </w:p>
    <w:p w14:paraId="000000BB">
      <w:pPr>
        <w:rPr>
          <w:rFonts w:ascii="Arial" w:cs="Arial" w:hAnsi="Arial"/>
          <w:b/>
          <w:bCs/>
          <w:lang w:val="en-US"/>
        </w:rPr>
      </w:pPr>
      <w:r>
        <w:rPr>
          <w:rFonts w:ascii="Arial" w:cs="Arial" w:hAnsi="Arial"/>
          <w:b/>
          <w:bCs/>
          <w:lang w:val="en-US"/>
        </w:rPr>
        <w:t>Full Communication Plan and consultation - Who, What, When, How</w:t>
      </w:r>
    </w:p>
    <w:p w14:paraId="000000BC">
      <w:pPr>
        <w:rPr>
          <w:rFonts w:ascii="Arial" w:cs="Arial" w:hAnsi="Arial"/>
          <w:lang w:val="en-US"/>
        </w:rPr>
      </w:pPr>
      <w:r>
        <w:rPr>
          <w:rFonts w:ascii="Arial" w:cs="Arial" w:hAnsi="Arial"/>
          <w:lang w:val="en-US"/>
        </w:rPr>
        <w:t xml:space="preserve">I have explained everything practically and simply here who takes lead, what information is shared, when contact happens, the best way to send it, and the clear reason why that method works best because we also need to remember that one single way of talking will </w:t>
      </w:r>
      <w:r>
        <w:rPr>
          <w:rFonts w:ascii="Arial" w:cs="Arial" w:hAnsi="Arial"/>
          <w:lang w:val="en-US"/>
        </w:rPr>
        <w:t>enter</w:t>
      </w:r>
      <w:r>
        <w:rPr>
          <w:rFonts w:ascii="Arial" w:cs="Arial" w:hAnsi="Arial"/>
          <w:lang w:val="en-US"/>
        </w:rPr>
        <w:t xml:space="preserve"> work for everyone. Some people like reading long written updates, others only want a quick chat face - to - face, and many prefer just a short text or phone call rather than letters. That is why we offer different ways to keep in touch, so no-one feels left out just because they do not use computers or find official papers hard to follow.</w:t>
      </w:r>
    </w:p>
    <w:p w14:paraId="000000BD">
      <w:pPr>
        <w:rPr>
          <w:rFonts w:ascii="Arial" w:cs="Arial" w:hAnsi="Arial"/>
          <w:lang w:val="en-US"/>
        </w:rPr>
      </w:pPr>
      <w:r>
        <w:rPr>
          <w:rFonts w:ascii="Arial" w:cs="Arial" w:hAnsi="Arial"/>
          <w:lang w:val="en-US"/>
        </w:rPr>
        <w:t xml:space="preserve">We will also make sure we keep to the same times and ways we said we would use. If we say we will send an update every six weeks, we do exactly that even if there us no big news yet. It is just as important to say “ things are moving as planned” as it </w:t>
      </w:r>
      <w:r>
        <w:rPr>
          <w:rFonts w:ascii="Arial" w:cs="Arial" w:hAnsi="Arial"/>
          <w:lang w:val="en-US"/>
        </w:rPr>
        <w:t>is to</w:t>
      </w:r>
      <w:r>
        <w:rPr>
          <w:rFonts w:ascii="Arial" w:cs="Arial" w:hAnsi="Arial"/>
          <w:lang w:val="en-US"/>
        </w:rPr>
        <w:t xml:space="preserve"> share new changes. This stops people guessing or worrying that something has gone wrong without them knowing. Being consisted and reliable builds trust far more than anything else we do. </w:t>
      </w:r>
    </w:p>
    <w:p w14:paraId="000000BE">
      <w:pPr>
        <w:rPr>
          <w:rFonts w:ascii="Arial" w:cs="Arial" w:hAnsi="Arial"/>
          <w:lang w:val="en-US"/>
        </w:rPr>
      </w:pPr>
      <w:r>
        <w:rPr>
          <w:rFonts w:ascii="Arial" w:cs="Arial" w:hAnsi="Arial"/>
          <w:b/>
          <w:bCs/>
          <w:lang w:val="en-US"/>
        </w:rPr>
        <w:t>Bourne (2015)</w:t>
      </w:r>
      <w:r>
        <w:rPr>
          <w:rFonts w:ascii="Arial" w:cs="Arial" w:hAnsi="Arial"/>
          <w:lang w:val="en-US"/>
        </w:rPr>
        <w:t xml:space="preserve"> suggests that if we maintain consitent communication and develop positive relationships with stakeholders helps to build trust and it increases the chances to successful project.</w:t>
      </w:r>
    </w:p>
    <w:tbl>
      <w:tblPr>
        <w:tblStyle w:val="TableGrid"/>
        <w:tblW w:w="9582" w:type="dxa"/>
        <w:tblLook w:val="04A0"/>
      </w:tblPr>
      <w:tblGrid>
        <w:gridCol w:w="1911"/>
        <w:gridCol w:w="1578"/>
        <w:gridCol w:w="1342"/>
        <w:gridCol w:w="1268"/>
        <w:gridCol w:w="1635"/>
        <w:gridCol w:w="1848"/>
      </w:tblGrid>
      <w:tr>
        <w:trPr/>
        <w:tc>
          <w:tcPr>
            <w:cnfStyle w:val="101000000000"/>
            <w:tcW w:w="1926" w:type="dxa"/>
          </w:tcPr>
          <w:p w14:paraId="000000BF">
            <w:pPr>
              <w:rPr>
                <w:rFonts w:ascii="Arial" w:cs="Arial" w:hAnsi="Arial"/>
                <w:b/>
                <w:bCs/>
                <w:lang w:val="en-US"/>
              </w:rPr>
            </w:pPr>
            <w:r>
              <w:rPr>
                <w:rFonts w:ascii="Arial" w:cs="Arial" w:hAnsi="Arial"/>
                <w:b/>
                <w:bCs/>
                <w:lang w:val="en-US"/>
              </w:rPr>
              <w:t>Who we talk to</w:t>
            </w:r>
          </w:p>
        </w:tc>
        <w:tc>
          <w:tcPr>
            <w:cnfStyle w:val="100000000000"/>
            <w:tcW w:w="1591" w:type="dxa"/>
          </w:tcPr>
          <w:p w14:paraId="000000C0">
            <w:pPr>
              <w:rPr>
                <w:rFonts w:ascii="Arial" w:cs="Arial" w:hAnsi="Arial"/>
                <w:b/>
                <w:bCs/>
                <w:lang w:val="en-US"/>
              </w:rPr>
            </w:pPr>
            <w:r>
              <w:rPr>
                <w:rFonts w:ascii="Arial" w:cs="Arial" w:hAnsi="Arial"/>
                <w:b/>
                <w:bCs/>
                <w:lang w:val="en-US"/>
              </w:rPr>
              <w:t>Who will speak from our side</w:t>
            </w:r>
          </w:p>
        </w:tc>
        <w:tc>
          <w:tcPr>
            <w:cnfStyle w:val="100000000000"/>
            <w:tcW w:w="1353" w:type="dxa"/>
          </w:tcPr>
          <w:p w14:paraId="000000C1">
            <w:pPr>
              <w:rPr>
                <w:rFonts w:ascii="Arial" w:cs="Arial" w:hAnsi="Arial"/>
                <w:lang w:val="en-US"/>
              </w:rPr>
            </w:pPr>
            <w:r>
              <w:rPr>
                <w:rFonts w:ascii="Arial" w:cs="Arial" w:hAnsi="Arial"/>
                <w:b/>
                <w:bCs/>
                <w:lang w:val="en-US"/>
              </w:rPr>
              <w:t>What we tell them</w:t>
            </w:r>
          </w:p>
        </w:tc>
        <w:tc>
          <w:tcPr>
            <w:cnfStyle w:val="100000000000"/>
            <w:tcW w:w="1215" w:type="dxa"/>
          </w:tcPr>
          <w:p w14:paraId="000000C2">
            <w:pPr>
              <w:rPr>
                <w:rFonts w:ascii="Arial" w:cs="Arial" w:hAnsi="Arial"/>
                <w:lang w:val="en-US"/>
              </w:rPr>
            </w:pPr>
            <w:r>
              <w:rPr>
                <w:rFonts w:ascii="Arial" w:cs="Arial" w:hAnsi="Arial"/>
                <w:b/>
                <w:bCs/>
                <w:lang w:val="en-US"/>
              </w:rPr>
              <w:t>When we speak</w:t>
            </w:r>
          </w:p>
        </w:tc>
        <w:tc>
          <w:tcPr>
            <w:cnfStyle w:val="100000000000"/>
            <w:tcW w:w="1635" w:type="dxa"/>
          </w:tcPr>
          <w:p w14:paraId="000000C3">
            <w:pPr>
              <w:rPr>
                <w:rFonts w:ascii="Arial" w:cs="Arial" w:hAnsi="Arial"/>
                <w:lang w:val="en-US"/>
              </w:rPr>
            </w:pPr>
            <w:r>
              <w:rPr>
                <w:rFonts w:ascii="Arial" w:cs="Arial" w:hAnsi="Arial"/>
                <w:b/>
                <w:bCs/>
                <w:lang w:val="en-US"/>
              </w:rPr>
              <w:t>How we communicate</w:t>
            </w:r>
          </w:p>
        </w:tc>
        <w:tc>
          <w:tcPr>
            <w:cnfStyle w:val="100000000000"/>
            <w:tcW w:w="1862" w:type="dxa"/>
          </w:tcPr>
          <w:p w14:paraId="000000C4">
            <w:pPr>
              <w:rPr>
                <w:rFonts w:ascii="Arial" w:cs="Arial" w:hAnsi="Arial"/>
                <w:lang w:val="en-US"/>
              </w:rPr>
            </w:pPr>
            <w:r>
              <w:rPr>
                <w:rFonts w:ascii="Arial" w:cs="Arial" w:hAnsi="Arial"/>
                <w:b/>
                <w:bCs/>
                <w:lang w:val="en-US"/>
              </w:rPr>
              <w:t>Reason of doing this way</w:t>
            </w:r>
          </w:p>
        </w:tc>
      </w:tr>
      <w:tr>
        <w:trPr>
          <w:trHeight w:val="686"/>
        </w:trPr>
        <w:tc>
          <w:tcPr>
            <w:cnfStyle w:val="001000100000"/>
            <w:tcW w:w="1926" w:type="dxa"/>
          </w:tcPr>
          <w:p w14:paraId="000000C5">
            <w:pPr>
              <w:rPr>
                <w:rFonts w:ascii="Arial" w:cs="Arial" w:hAnsi="Arial"/>
                <w:lang w:val="en-US"/>
              </w:rPr>
            </w:pPr>
            <w:r>
              <w:rPr>
                <w:rFonts w:ascii="Arial" w:cs="Arial" w:hAnsi="Arial"/>
                <w:b/>
                <w:bCs/>
                <w:lang w:val="en-US"/>
              </w:rPr>
              <w:t>Residents living there now</w:t>
            </w:r>
          </w:p>
        </w:tc>
        <w:tc>
          <w:tcPr>
            <w:cnfStyle w:val="000000100000"/>
            <w:tcW w:w="1591" w:type="dxa"/>
          </w:tcPr>
          <w:p w14:paraId="000000C6">
            <w:pPr>
              <w:rPr>
                <w:rFonts w:ascii="Arial" w:cs="Arial" w:hAnsi="Arial"/>
                <w:lang w:val="en-US"/>
              </w:rPr>
            </w:pPr>
            <w:r>
              <w:rPr>
                <w:rFonts w:ascii="Arial" w:cs="Arial" w:hAnsi="Arial"/>
                <w:lang w:val="en-US"/>
              </w:rPr>
              <w:t>Dedicated persons just for them</w:t>
            </w:r>
          </w:p>
        </w:tc>
        <w:tc>
          <w:tcPr>
            <w:cnfStyle w:val="000000100000"/>
            <w:tcW w:w="1353" w:type="dxa"/>
          </w:tcPr>
          <w:p w14:paraId="000000C7">
            <w:pPr>
              <w:rPr>
                <w:rFonts w:ascii="Arial" w:cs="Arial" w:hAnsi="Arial"/>
                <w:lang w:val="en-US"/>
              </w:rPr>
            </w:pPr>
            <w:r>
              <w:rPr>
                <w:rFonts w:ascii="Arial" w:cs="Arial" w:hAnsi="Arial"/>
                <w:lang w:val="en-US"/>
              </w:rPr>
              <w:t>Timeline; new designs, moving help, costs/ rules</w:t>
            </w:r>
          </w:p>
        </w:tc>
        <w:tc>
          <w:tcPr>
            <w:cnfStyle w:val="000000100000"/>
            <w:tcW w:w="1215" w:type="dxa"/>
          </w:tcPr>
          <w:p w14:paraId="000000C8">
            <w:pPr>
              <w:rPr>
                <w:rFonts w:ascii="Arial" w:cs="Arial" w:hAnsi="Arial"/>
                <w:lang w:val="en-US"/>
              </w:rPr>
            </w:pPr>
            <w:r>
              <w:rPr>
                <w:rFonts w:ascii="Arial" w:cs="Arial" w:hAnsi="Arial"/>
                <w:lang w:val="en-US"/>
              </w:rPr>
              <w:t>Every 4-6 weeks, extra visits if needed</w:t>
            </w:r>
          </w:p>
        </w:tc>
        <w:tc>
          <w:tcPr>
            <w:cnfStyle w:val="000000100000"/>
            <w:tcW w:w="1635" w:type="dxa"/>
          </w:tcPr>
          <w:p w14:paraId="000000C9">
            <w:pPr>
              <w:rPr>
                <w:rFonts w:ascii="Arial" w:cs="Arial" w:hAnsi="Arial"/>
                <w:lang w:val="en-US"/>
              </w:rPr>
            </w:pPr>
            <w:r>
              <w:rPr>
                <w:rFonts w:ascii="Arial" w:cs="Arial" w:hAnsi="Arial"/>
                <w:lang w:val="en-US"/>
              </w:rPr>
              <w:t>Plain letters, drop-in sessions, home visits, free phone number</w:t>
            </w:r>
          </w:p>
        </w:tc>
        <w:tc>
          <w:tcPr>
            <w:cnfStyle w:val="000000100000"/>
            <w:tcW w:w="1862" w:type="dxa"/>
          </w:tcPr>
          <w:p w14:paraId="000000CA">
            <w:pPr>
              <w:rPr>
                <w:rFonts w:ascii="Arial" w:cs="Arial" w:hAnsi="Arial"/>
                <w:lang w:val="en-US"/>
              </w:rPr>
            </w:pPr>
            <w:r>
              <w:rPr>
                <w:rFonts w:ascii="Arial" w:cs="Arial" w:hAnsi="Arial"/>
                <w:lang w:val="en-US"/>
              </w:rPr>
              <w:t>Many are older or don’t use internet much, personal talk stops wrong rumours spreading</w:t>
            </w:r>
          </w:p>
        </w:tc>
      </w:tr>
      <w:tr>
        <w:trPr>
          <w:trHeight w:val="673"/>
        </w:trPr>
        <w:tc>
          <w:tcPr>
            <w:cnfStyle w:val="001000010000"/>
            <w:tcW w:w="1926" w:type="dxa"/>
          </w:tcPr>
          <w:p w14:paraId="000000CB">
            <w:pPr>
              <w:rPr>
                <w:rFonts w:ascii="Arial" w:cs="Arial" w:hAnsi="Arial"/>
                <w:lang w:val="en-US"/>
              </w:rPr>
            </w:pPr>
            <w:r>
              <w:rPr>
                <w:rFonts w:ascii="Arial" w:cs="Arial" w:hAnsi="Arial"/>
                <w:b/>
                <w:bCs/>
                <w:lang w:val="en-US"/>
              </w:rPr>
              <w:t>Council officers</w:t>
            </w:r>
          </w:p>
        </w:tc>
        <w:tc>
          <w:tcPr>
            <w:cnfStyle w:val="000000010000"/>
            <w:tcW w:w="1591" w:type="dxa"/>
          </w:tcPr>
          <w:p w14:paraId="000000CC">
            <w:pPr>
              <w:rPr>
                <w:rFonts w:ascii="Arial" w:cs="Arial" w:hAnsi="Arial"/>
                <w:lang w:val="en-US"/>
              </w:rPr>
            </w:pPr>
            <w:r>
              <w:rPr>
                <w:rFonts w:ascii="Arial" w:cs="Arial" w:hAnsi="Arial"/>
                <w:lang w:val="en-US"/>
              </w:rPr>
              <w:t>Lead project manager</w:t>
            </w:r>
          </w:p>
        </w:tc>
        <w:tc>
          <w:tcPr>
            <w:cnfStyle w:val="000000010000"/>
            <w:tcW w:w="1353" w:type="dxa"/>
          </w:tcPr>
          <w:p w14:paraId="000000CD">
            <w:pPr>
              <w:rPr>
                <w:rFonts w:ascii="Arial" w:cs="Arial" w:hAnsi="Arial"/>
                <w:lang w:val="en-US"/>
              </w:rPr>
            </w:pPr>
            <w:r>
              <w:rPr>
                <w:rFonts w:ascii="Arial" w:cs="Arial" w:hAnsi="Arial"/>
                <w:lang w:val="en-US"/>
              </w:rPr>
              <w:t>Spending; risks, plans, legal checks</w:t>
            </w:r>
          </w:p>
        </w:tc>
        <w:tc>
          <w:tcPr>
            <w:cnfStyle w:val="000000010000"/>
            <w:tcW w:w="1215" w:type="dxa"/>
          </w:tcPr>
          <w:p w14:paraId="000000CE">
            <w:pPr>
              <w:rPr>
                <w:rFonts w:ascii="Arial" w:cs="Arial" w:hAnsi="Arial"/>
                <w:lang w:val="en-US"/>
              </w:rPr>
            </w:pPr>
            <w:r>
              <w:rPr>
                <w:rFonts w:ascii="Arial" w:cs="Arial" w:hAnsi="Arial"/>
                <w:lang w:val="en-US"/>
              </w:rPr>
              <w:t>Every month, quickly if urgent</w:t>
            </w:r>
          </w:p>
        </w:tc>
        <w:tc>
          <w:tcPr>
            <w:cnfStyle w:val="000000010000"/>
            <w:tcW w:w="1635" w:type="dxa"/>
          </w:tcPr>
          <w:p w14:paraId="000000CF">
            <w:pPr>
              <w:rPr>
                <w:rFonts w:ascii="Arial" w:cs="Arial" w:hAnsi="Arial"/>
                <w:lang w:val="en-US"/>
              </w:rPr>
            </w:pPr>
            <w:r>
              <w:rPr>
                <w:rFonts w:ascii="Arial" w:cs="Arial" w:hAnsi="Arial"/>
                <w:lang w:val="en-US"/>
              </w:rPr>
              <w:t>Formal reports, signed letters, set meetings</w:t>
            </w:r>
          </w:p>
        </w:tc>
        <w:tc>
          <w:tcPr>
            <w:cnfStyle w:val="000000010000"/>
            <w:tcW w:w="1862" w:type="dxa"/>
          </w:tcPr>
          <w:p w14:paraId="000000D0">
            <w:pPr>
              <w:rPr>
                <w:rFonts w:ascii="Arial" w:cs="Arial" w:hAnsi="Arial"/>
                <w:lang w:val="en-US"/>
              </w:rPr>
            </w:pPr>
            <w:r>
              <w:rPr>
                <w:rFonts w:ascii="Arial" w:cs="Arial" w:hAnsi="Arial"/>
                <w:lang w:val="en-US"/>
              </w:rPr>
              <w:t>Council needs written records to follow rules</w:t>
            </w:r>
          </w:p>
        </w:tc>
      </w:tr>
      <w:tr>
        <w:trPr>
          <w:trHeight w:val="686"/>
        </w:trPr>
        <w:tc>
          <w:tcPr>
            <w:cnfStyle w:val="001000100000"/>
            <w:tcW w:w="1926" w:type="dxa"/>
          </w:tcPr>
          <w:p w14:paraId="000000D1">
            <w:pPr>
              <w:rPr>
                <w:rFonts w:ascii="Arial" w:cs="Arial" w:hAnsi="Arial"/>
                <w:lang w:val="en-US"/>
              </w:rPr>
            </w:pPr>
            <w:r>
              <w:rPr>
                <w:rFonts w:ascii="Arial" w:cs="Arial" w:hAnsi="Arial"/>
                <w:b/>
                <w:bCs/>
                <w:lang w:val="en-US"/>
              </w:rPr>
              <w:t>Community Groups</w:t>
            </w:r>
          </w:p>
        </w:tc>
        <w:tc>
          <w:tcPr>
            <w:cnfStyle w:val="000000100000"/>
            <w:tcW w:w="1591" w:type="dxa"/>
          </w:tcPr>
          <w:p w14:paraId="000000D2">
            <w:pPr>
              <w:rPr>
                <w:rFonts w:ascii="Arial" w:cs="Arial" w:hAnsi="Arial"/>
                <w:lang w:val="en-US"/>
              </w:rPr>
            </w:pPr>
            <w:r>
              <w:rPr>
                <w:rFonts w:ascii="Arial" w:cs="Arial" w:hAnsi="Arial"/>
                <w:lang w:val="en-US"/>
              </w:rPr>
              <w:t>Engagement officer</w:t>
            </w:r>
          </w:p>
        </w:tc>
        <w:tc>
          <w:tcPr>
            <w:cnfStyle w:val="000000100000"/>
            <w:tcW w:w="1353" w:type="dxa"/>
          </w:tcPr>
          <w:p w14:paraId="000000D3">
            <w:pPr>
              <w:rPr>
                <w:rFonts w:ascii="Arial" w:cs="Arial" w:hAnsi="Arial"/>
                <w:lang w:val="en-US"/>
              </w:rPr>
            </w:pPr>
            <w:r>
              <w:rPr>
                <w:rFonts w:ascii="Arial" w:cs="Arial" w:hAnsi="Arial"/>
                <w:lang w:val="en-US"/>
              </w:rPr>
              <w:t>Early ideas; evert dates, small funding chances</w:t>
            </w:r>
          </w:p>
        </w:tc>
        <w:tc>
          <w:tcPr>
            <w:cnfStyle w:val="000000100000"/>
            <w:tcW w:w="1215" w:type="dxa"/>
          </w:tcPr>
          <w:p w14:paraId="000000D4">
            <w:pPr>
              <w:rPr>
                <w:rFonts w:ascii="Arial" w:cs="Arial" w:hAnsi="Arial"/>
                <w:lang w:val="en-US"/>
              </w:rPr>
            </w:pPr>
            <w:r>
              <w:rPr>
                <w:rFonts w:ascii="Arial" w:cs="Arial" w:hAnsi="Arial"/>
                <w:lang w:val="en-US"/>
              </w:rPr>
              <w:t>Every 2 months plus workshops</w:t>
            </w:r>
          </w:p>
        </w:tc>
        <w:tc>
          <w:tcPr>
            <w:cnfStyle w:val="000000100000"/>
            <w:tcW w:w="1635" w:type="dxa"/>
          </w:tcPr>
          <w:p w14:paraId="000000D5">
            <w:pPr>
              <w:rPr>
                <w:rFonts w:ascii="Arial" w:cs="Arial" w:hAnsi="Arial"/>
                <w:lang w:val="en-US"/>
              </w:rPr>
            </w:pPr>
            <w:r>
              <w:rPr>
                <w:rFonts w:ascii="Arial" w:cs="Arial" w:hAnsi="Arial"/>
                <w:lang w:val="en-US"/>
              </w:rPr>
              <w:t>Hall meetings, simple emails. leaflets</w:t>
            </w:r>
          </w:p>
        </w:tc>
        <w:tc>
          <w:tcPr>
            <w:cnfStyle w:val="000000100000"/>
            <w:tcW w:w="1862" w:type="dxa"/>
          </w:tcPr>
          <w:p w14:paraId="000000D6">
            <w:pPr>
              <w:rPr>
                <w:rFonts w:ascii="Arial" w:cs="Arial" w:hAnsi="Arial"/>
                <w:lang w:val="en-US"/>
              </w:rPr>
            </w:pPr>
            <w:r>
              <w:rPr>
                <w:rFonts w:ascii="Arial" w:cs="Arial" w:hAnsi="Arial"/>
                <w:lang w:val="en-US"/>
              </w:rPr>
              <w:t>They already know what locals really need; workshops get better ideas</w:t>
            </w:r>
          </w:p>
        </w:tc>
      </w:tr>
      <w:tr>
        <w:trPr>
          <w:trHeight w:val="513"/>
        </w:trPr>
        <w:tc>
          <w:tcPr>
            <w:cnfStyle w:val="001000010000"/>
            <w:tcW w:w="1926" w:type="dxa"/>
          </w:tcPr>
          <w:p w14:paraId="000000D7">
            <w:pPr>
              <w:rPr>
                <w:rFonts w:ascii="Arial" w:cs="Arial" w:hAnsi="Arial"/>
                <w:lang w:val="en-US"/>
              </w:rPr>
            </w:pPr>
            <w:r>
              <w:rPr>
                <w:rFonts w:ascii="Arial" w:cs="Arial" w:hAnsi="Arial"/>
                <w:b/>
                <w:bCs/>
                <w:lang w:val="en-US"/>
              </w:rPr>
              <w:t xml:space="preserve">Funders </w:t>
            </w:r>
          </w:p>
        </w:tc>
        <w:tc>
          <w:tcPr>
            <w:cnfStyle w:val="000000010000"/>
            <w:tcW w:w="1591" w:type="dxa"/>
          </w:tcPr>
          <w:p w14:paraId="000000D8">
            <w:pPr>
              <w:rPr>
                <w:rFonts w:ascii="Arial" w:cs="Arial" w:hAnsi="Arial"/>
                <w:lang w:val="en-US"/>
              </w:rPr>
            </w:pPr>
            <w:r>
              <w:rPr>
                <w:rFonts w:ascii="Arial" w:cs="Arial" w:hAnsi="Arial"/>
                <w:lang w:val="en-US"/>
              </w:rPr>
              <w:t>Senior manager</w:t>
            </w:r>
          </w:p>
        </w:tc>
        <w:tc>
          <w:tcPr>
            <w:cnfStyle w:val="000000010000"/>
            <w:tcW w:w="1353" w:type="dxa"/>
          </w:tcPr>
          <w:p w14:paraId="000000D9">
            <w:pPr>
              <w:rPr>
                <w:rFonts w:ascii="Arial" w:cs="Arial" w:hAnsi="Arial"/>
                <w:lang w:val="en-US"/>
              </w:rPr>
            </w:pPr>
            <w:r>
              <w:rPr>
                <w:rFonts w:ascii="Arial" w:cs="Arial" w:hAnsi="Arial"/>
                <w:lang w:val="en-US"/>
              </w:rPr>
              <w:t>Money spent; stages finished, rules followed</w:t>
            </w:r>
          </w:p>
        </w:tc>
        <w:tc>
          <w:tcPr>
            <w:cnfStyle w:val="000000010000"/>
            <w:tcW w:w="1215" w:type="dxa"/>
          </w:tcPr>
          <w:p w14:paraId="000000DA">
            <w:pPr>
              <w:rPr>
                <w:rFonts w:ascii="Arial" w:cs="Arial" w:hAnsi="Arial"/>
                <w:lang w:val="en-US"/>
              </w:rPr>
            </w:pPr>
            <w:r>
              <w:rPr>
                <w:rFonts w:ascii="Arial" w:cs="Arial" w:hAnsi="Arial"/>
                <w:lang w:val="en-US"/>
              </w:rPr>
              <w:t>Every 3 months/ big decision points</w:t>
            </w:r>
          </w:p>
        </w:tc>
        <w:tc>
          <w:tcPr>
            <w:cnfStyle w:val="000000010000"/>
            <w:tcW w:w="1635" w:type="dxa"/>
          </w:tcPr>
          <w:p w14:paraId="000000DB">
            <w:pPr>
              <w:rPr>
                <w:rFonts w:ascii="Arial" w:cs="Arial" w:hAnsi="Arial"/>
                <w:lang w:val="en-US"/>
              </w:rPr>
            </w:pPr>
            <w:r>
              <w:rPr>
                <w:rFonts w:ascii="Arial" w:cs="Arial" w:hAnsi="Arial"/>
                <w:lang w:val="en-US"/>
              </w:rPr>
              <w:t>Standard forms, short presentations</w:t>
            </w:r>
          </w:p>
        </w:tc>
        <w:tc>
          <w:tcPr>
            <w:cnfStyle w:val="000000010000"/>
            <w:tcW w:w="1862" w:type="dxa"/>
          </w:tcPr>
          <w:p w14:paraId="000000DC">
            <w:pPr>
              <w:rPr>
                <w:rFonts w:ascii="Arial" w:cs="Arial" w:hAnsi="Arial"/>
                <w:lang w:val="en-US"/>
              </w:rPr>
            </w:pPr>
            <w:r>
              <w:rPr>
                <w:rFonts w:ascii="Arial" w:cs="Arial" w:hAnsi="Arial"/>
                <w:lang w:val="en-US"/>
              </w:rPr>
              <w:t xml:space="preserve">They need clear </w:t>
            </w:r>
            <w:r>
              <w:rPr>
                <w:rFonts w:ascii="Arial" w:cs="Arial" w:hAnsi="Arial"/>
                <w:lang w:val="en-US"/>
              </w:rPr>
              <w:t>proof</w:t>
            </w:r>
            <w:r>
              <w:rPr>
                <w:rFonts w:ascii="Arial" w:cs="Arial" w:hAnsi="Arial"/>
                <w:lang w:val="en-US"/>
              </w:rPr>
              <w:t xml:space="preserve"> cash is used right</w:t>
            </w:r>
          </w:p>
        </w:tc>
      </w:tr>
      <w:tr>
        <w:trPr>
          <w:trHeight w:val="543"/>
        </w:trPr>
        <w:tc>
          <w:tcPr>
            <w:cnfStyle w:val="001000100000"/>
            <w:tcW w:w="1926" w:type="dxa"/>
          </w:tcPr>
          <w:p w14:paraId="000000DD">
            <w:pPr>
              <w:rPr>
                <w:rFonts w:ascii="Arial" w:cs="Arial" w:hAnsi="Arial"/>
                <w:lang w:val="en-US"/>
              </w:rPr>
            </w:pPr>
            <w:r>
              <w:rPr>
                <w:rFonts w:ascii="Arial" w:cs="Arial" w:hAnsi="Arial"/>
                <w:b/>
                <w:bCs/>
                <w:lang w:val="en-US"/>
              </w:rPr>
              <w:t>Nearby homes / shops</w:t>
            </w:r>
          </w:p>
        </w:tc>
        <w:tc>
          <w:tcPr>
            <w:cnfStyle w:val="000000100000"/>
            <w:tcW w:w="1591" w:type="dxa"/>
          </w:tcPr>
          <w:p w14:paraId="000000DE">
            <w:pPr>
              <w:rPr>
                <w:rFonts w:ascii="Arial" w:cs="Arial" w:hAnsi="Arial"/>
                <w:lang w:val="en-US"/>
              </w:rPr>
            </w:pPr>
            <w:r>
              <w:rPr>
                <w:rFonts w:ascii="Arial" w:cs="Arial" w:hAnsi="Arial"/>
                <w:lang w:val="en-US"/>
              </w:rPr>
              <w:t>Site manager</w:t>
            </w:r>
          </w:p>
        </w:tc>
        <w:tc>
          <w:tcPr>
            <w:cnfStyle w:val="000000100000"/>
            <w:tcW w:w="1353" w:type="dxa"/>
          </w:tcPr>
          <w:p w14:paraId="000000DF">
            <w:pPr>
              <w:rPr>
                <w:rFonts w:ascii="Arial" w:cs="Arial" w:hAnsi="Arial"/>
                <w:lang w:val="en-US"/>
              </w:rPr>
            </w:pPr>
            <w:r>
              <w:rPr>
                <w:rFonts w:ascii="Arial" w:cs="Arial" w:hAnsi="Arial"/>
                <w:lang w:val="en-US"/>
              </w:rPr>
              <w:t>Start/ end dates, traffic changes, work hours</w:t>
            </w:r>
          </w:p>
        </w:tc>
        <w:tc>
          <w:tcPr>
            <w:cnfStyle w:val="000000100000"/>
            <w:tcW w:w="1215" w:type="dxa"/>
          </w:tcPr>
          <w:p w14:paraId="000000E0">
            <w:pPr>
              <w:rPr>
                <w:rFonts w:ascii="Arial" w:cs="Arial" w:hAnsi="Arial"/>
                <w:lang w:val="en-US"/>
              </w:rPr>
            </w:pPr>
            <w:r>
              <w:rPr>
                <w:rFonts w:ascii="Arial" w:cs="Arial" w:hAnsi="Arial"/>
                <w:lang w:val="en-US"/>
              </w:rPr>
              <w:t>Before starting, when big jobs begin</w:t>
            </w:r>
          </w:p>
        </w:tc>
        <w:tc>
          <w:tcPr>
            <w:cnfStyle w:val="000000100000"/>
            <w:tcW w:w="1635" w:type="dxa"/>
          </w:tcPr>
          <w:p w14:paraId="000000E1">
            <w:pPr>
              <w:rPr>
                <w:rFonts w:ascii="Arial" w:cs="Arial" w:hAnsi="Arial"/>
                <w:lang w:val="en-US"/>
              </w:rPr>
            </w:pPr>
            <w:r>
              <w:rPr>
                <w:rFonts w:ascii="Arial" w:cs="Arial" w:hAnsi="Arial"/>
                <w:lang w:val="en-US"/>
              </w:rPr>
              <w:t>Door-to-door notes, boards at site, local paper</w:t>
            </w:r>
          </w:p>
        </w:tc>
        <w:tc>
          <w:tcPr>
            <w:cnfStyle w:val="000000100000"/>
            <w:tcW w:w="1862" w:type="dxa"/>
          </w:tcPr>
          <w:p w14:paraId="000000E2">
            <w:pPr>
              <w:rPr>
                <w:rFonts w:ascii="Arial" w:cs="Arial" w:hAnsi="Arial"/>
                <w:lang w:val="en-US"/>
              </w:rPr>
            </w:pPr>
            <w:r>
              <w:rPr>
                <w:rFonts w:ascii="Arial" w:cs="Arial" w:hAnsi="Arial"/>
                <w:lang w:val="en-US"/>
              </w:rPr>
              <w:t>Advance warning stops complaints and bad feeling</w:t>
            </w:r>
          </w:p>
        </w:tc>
      </w:tr>
    </w:tbl>
    <w:p w14:paraId="000000E3">
      <w:pPr>
        <w:rPr>
          <w:rFonts w:ascii="Arial" w:cs="Arial" w:hAnsi="Arial"/>
          <w:b/>
          <w:bCs/>
          <w:lang w:val="en-US"/>
        </w:rPr>
      </w:pPr>
    </w:p>
    <w:p w14:paraId="000000E4">
      <w:pPr>
        <w:rPr>
          <w:rFonts w:ascii="Arial" w:cs="Arial" w:hAnsi="Arial"/>
          <w:b w:val="off"/>
          <w:bCs w:val="off"/>
          <w:lang w:val="en-US"/>
        </w:rPr>
      </w:pPr>
      <w:r>
        <w:rPr>
          <w:rFonts w:ascii="Arial" w:cs="Arial" w:hAnsi="Arial"/>
          <w:b w:val="off"/>
          <w:bCs w:val="off"/>
          <w:lang w:val="en-US"/>
        </w:rPr>
        <w:t>To reduce risks and support at site of project residents will also recieve advance notice of construction activities and arrangementts for their safety compliance with the Health and Safety at work etc.Act 1974</w:t>
      </w:r>
      <w:r>
        <w:rPr>
          <w:rFonts w:ascii="Arial" w:cs="Arial" w:hAnsi="Arial"/>
          <w:b/>
          <w:bCs/>
          <w:lang w:val="en-US"/>
        </w:rPr>
        <w:t>(Health and Safety at work etc. Act 1974</w:t>
      </w:r>
      <w:r>
        <w:rPr>
          <w:rFonts w:ascii="Arial" w:cs="Arial" w:hAnsi="Arial"/>
          <w:b w:val="off"/>
          <w:bCs w:val="off"/>
          <w:lang w:val="en-US"/>
        </w:rPr>
        <w:t>).</w:t>
      </w:r>
    </w:p>
    <w:p w14:paraId="000000E5">
      <w:pPr>
        <w:ind w:left="2160" w:firstLine="720"/>
        <w:rPr>
          <w:rFonts w:ascii="Arial" w:cs="Arial" w:hAnsi="Arial"/>
          <w:b/>
          <w:bCs/>
          <w:sz w:val="26"/>
          <w:szCs w:val="26"/>
          <w:lang w:val="en-US"/>
        </w:rPr>
      </w:pPr>
    </w:p>
    <w:p w14:paraId="000000E6">
      <w:pPr>
        <w:ind w:left="2160" w:firstLine="720"/>
        <w:rPr>
          <w:rFonts w:ascii="Arial" w:cs="Arial" w:hAnsi="Arial"/>
          <w:b/>
          <w:bCs/>
          <w:sz w:val="26"/>
          <w:szCs w:val="26"/>
          <w:lang w:val="en-US"/>
        </w:rPr>
      </w:pPr>
    </w:p>
    <w:p w14:paraId="000000E7">
      <w:pPr>
        <w:ind w:left="2160" w:firstLine="720"/>
        <w:rPr>
          <w:rFonts w:ascii="Arial" w:cs="Arial" w:hAnsi="Arial"/>
          <w:b/>
          <w:bCs/>
          <w:sz w:val="26"/>
          <w:szCs w:val="26"/>
          <w:lang w:val="en-US"/>
        </w:rPr>
      </w:pPr>
      <w:r>
        <w:rPr>
          <w:rFonts w:ascii="Arial" w:cs="Arial" w:hAnsi="Arial"/>
          <w:b/>
          <w:bCs/>
          <w:sz w:val="26"/>
          <w:szCs w:val="26"/>
          <w:lang w:val="en-US"/>
        </w:rPr>
        <w:t>ELEMENT 3:</w:t>
      </w:r>
    </w:p>
    <w:p w14:paraId="000000E8">
      <w:pPr>
        <w:rPr>
          <w:rFonts w:ascii="Arial" w:cs="Arial" w:hAnsi="Arial"/>
          <w:b/>
          <w:bCs/>
          <w:u w:val="single"/>
          <w:lang w:val="en-US"/>
        </w:rPr>
      </w:pPr>
      <w:r>
        <w:rPr>
          <w:rFonts w:ascii="Arial" w:cs="Arial" w:hAnsi="Arial"/>
          <w:b/>
          <w:bCs/>
          <w:u w:val="single"/>
          <w:lang w:val="en-US"/>
        </w:rPr>
        <w:t>ETHICAL CONSIDERATIONS</w:t>
      </w:r>
    </w:p>
    <w:p w14:paraId="000000E9">
      <w:pPr>
        <w:rPr>
          <w:rFonts w:ascii="Arial" w:cs="Arial" w:hAnsi="Arial"/>
          <w:b/>
          <w:bCs/>
          <w:lang w:val="en-US"/>
        </w:rPr>
      </w:pPr>
      <w:r>
        <w:rPr>
          <w:rFonts w:ascii="Arial" w:cs="Arial" w:hAnsi="Arial"/>
          <w:b/>
          <w:bCs/>
          <w:lang w:val="en-US"/>
        </w:rPr>
        <w:t>Expression of views:</w:t>
      </w:r>
    </w:p>
    <w:p w14:paraId="000000EA">
      <w:pPr>
        <w:rPr>
          <w:rFonts w:ascii="Arial" w:cs="Arial" w:hAnsi="Arial"/>
          <w:lang w:val="en-US"/>
        </w:rPr>
      </w:pPr>
      <w:r>
        <w:rPr>
          <w:rFonts w:ascii="Arial" w:cs="Arial" w:hAnsi="Arial"/>
          <w:lang w:val="en-US"/>
        </w:rPr>
        <w:t xml:space="preserve">Asking people what they think is only useful if we do it properly. We will use more than one way so no-one is left out through meetings, paper forms, simple online questions, phone calls or even putting notes in a box at a local shop. Everything written will be short, in easy </w:t>
      </w:r>
      <w:r>
        <w:rPr>
          <w:rFonts w:ascii="Arial" w:cs="Arial" w:hAnsi="Arial"/>
          <w:lang w:val="en-US"/>
        </w:rPr>
        <w:t>wording, we</w:t>
      </w:r>
      <w:r>
        <w:rPr>
          <w:rFonts w:ascii="Arial" w:cs="Arial" w:hAnsi="Arial"/>
          <w:lang w:val="en-US"/>
        </w:rPr>
        <w:t xml:space="preserve">  can do big prints where helpful, and can be translated if it is required. No-one is forced to answer, it is entirely upon their choice, and nothing bad will happen if they decided not to share their thoughts.</w:t>
      </w:r>
    </w:p>
    <w:p w14:paraId="000000EB">
      <w:pPr>
        <w:rPr>
          <w:rFonts w:ascii="Arial" w:cs="Arial" w:hAnsi="Arial"/>
          <w:b w:val="off"/>
          <w:bCs w:val="off"/>
          <w:lang w:val="en-US"/>
        </w:rPr>
      </w:pPr>
      <w:r>
        <w:rPr>
          <w:rFonts w:ascii="Arial" w:cs="Arial" w:hAnsi="Arial"/>
          <w:b/>
          <w:bCs/>
          <w:lang w:val="en-US"/>
        </w:rPr>
        <w:t xml:space="preserve">Arnstein (1969) </w:t>
      </w:r>
      <w:r>
        <w:rPr>
          <w:rFonts w:ascii="Arial" w:cs="Arial" w:hAnsi="Arial"/>
          <w:b w:val="off"/>
          <w:bCs w:val="off"/>
          <w:lang w:val="en-US"/>
        </w:rPr>
        <w:t>explains that rather than just informing people with simple information we should give them actual reason to influence their decisions.</w:t>
      </w:r>
    </w:p>
    <w:p w14:paraId="000000EC">
      <w:pPr>
        <w:rPr>
          <w:rFonts w:ascii="Arial" w:cs="Arial" w:hAnsi="Arial"/>
          <w:b/>
          <w:bCs/>
          <w:lang w:val="en-US"/>
        </w:rPr>
      </w:pPr>
      <w:r>
        <w:rPr>
          <w:rFonts w:ascii="Arial" w:cs="Arial" w:hAnsi="Arial"/>
          <w:b/>
          <w:bCs/>
          <w:lang w:val="en-US"/>
        </w:rPr>
        <w:t>Rules for keeping information safe:</w:t>
      </w:r>
    </w:p>
    <w:p w14:paraId="000000ED">
      <w:pPr>
        <w:rPr>
          <w:rFonts w:ascii="Arial" w:cs="Arial" w:hAnsi="Arial"/>
          <w:lang w:val="en-US"/>
        </w:rPr>
      </w:pPr>
      <w:r>
        <w:rPr>
          <w:rFonts w:ascii="Arial" w:cs="Arial" w:hAnsi="Arial"/>
          <w:lang w:val="en-US"/>
        </w:rPr>
        <w:t xml:space="preserve">We follow all UK privacy laws fully including the </w:t>
      </w:r>
      <w:r>
        <w:rPr>
          <w:rFonts w:ascii="Arial" w:cs="Arial" w:hAnsi="Arial"/>
          <w:b/>
          <w:bCs/>
          <w:lang w:val="en-US"/>
        </w:rPr>
        <w:t>Data Protection Act</w:t>
      </w:r>
      <w:r>
        <w:rPr>
          <w:rFonts w:ascii="Arial" w:cs="Arial" w:hAnsi="Arial"/>
          <w:lang w:val="en-US"/>
        </w:rPr>
        <w:t xml:space="preserve"> and</w:t>
      </w:r>
      <w:r>
        <w:rPr>
          <w:rFonts w:ascii="Arial" w:cs="Arial" w:hAnsi="Arial"/>
          <w:b/>
          <w:bCs/>
          <w:lang w:val="en-US"/>
        </w:rPr>
        <w:t xml:space="preserve"> GDPR, </w:t>
      </w:r>
      <w:r>
        <w:rPr>
          <w:rFonts w:ascii="Arial" w:cs="Arial" w:hAnsi="Arial"/>
          <w:lang w:val="en-US"/>
        </w:rPr>
        <w:t>and promise these clear rules .</w:t>
      </w:r>
    </w:p>
    <w:p w14:paraId="000000EE">
      <w:pPr>
        <w:numPr>
          <w:ilvl w:val="0"/>
          <w:numId w:val="8"/>
        </w:numPr>
        <w:rPr>
          <w:rFonts w:ascii="Arial" w:cs="Arial" w:hAnsi="Arial"/>
          <w:lang w:val="en-US"/>
        </w:rPr>
      </w:pPr>
      <w:r>
        <w:rPr>
          <w:rFonts w:ascii="Arial" w:cs="Arial" w:hAnsi="Arial"/>
          <w:lang w:val="en-US"/>
        </w:rPr>
        <w:t>We only keep names, phone numbers or addresses if someone gives consent that we can hold them.</w:t>
      </w:r>
    </w:p>
    <w:p w14:paraId="000000EF">
      <w:pPr>
        <w:numPr>
          <w:ilvl w:val="0"/>
          <w:numId w:val="8"/>
        </w:numPr>
        <w:rPr>
          <w:rFonts w:ascii="Arial" w:cs="Arial" w:hAnsi="Arial"/>
          <w:lang w:val="en-US"/>
        </w:rPr>
      </w:pPr>
      <w:r>
        <w:rPr>
          <w:rFonts w:ascii="Arial" w:cs="Arial" w:hAnsi="Arial"/>
          <w:lang w:val="en-US"/>
        </w:rPr>
        <w:t xml:space="preserve">We will never share and sold personal information , it will not be traded or sent to anyone </w:t>
      </w:r>
      <w:r>
        <w:rPr>
          <w:rFonts w:ascii="Arial" w:cs="Arial" w:hAnsi="Arial"/>
          <w:lang w:val="en-US"/>
        </w:rPr>
        <w:t>outside</w:t>
      </w:r>
      <w:r>
        <w:rPr>
          <w:rFonts w:ascii="Arial" w:cs="Arial" w:hAnsi="Arial"/>
          <w:lang w:val="en-US"/>
        </w:rPr>
        <w:t xml:space="preserve"> our project team</w:t>
      </w:r>
    </w:p>
    <w:p w14:paraId="000000F0">
      <w:pPr>
        <w:numPr>
          <w:ilvl w:val="0"/>
          <w:numId w:val="8"/>
        </w:numPr>
        <w:rPr>
          <w:rFonts w:ascii="Arial" w:cs="Arial" w:hAnsi="Arial"/>
          <w:lang w:val="en-US"/>
        </w:rPr>
      </w:pPr>
      <w:r>
        <w:rPr>
          <w:rFonts w:ascii="Arial" w:cs="Arial" w:hAnsi="Arial"/>
          <w:lang w:val="en-US"/>
        </w:rPr>
        <w:t>Anyone can send us ideas or complaints without showing their identity</w:t>
      </w:r>
    </w:p>
    <w:p w14:paraId="000000F1">
      <w:pPr>
        <w:numPr>
          <w:ilvl w:val="0"/>
          <w:numId w:val="8"/>
        </w:numPr>
        <w:rPr>
          <w:rFonts w:ascii="Arial" w:cs="Arial" w:hAnsi="Arial"/>
          <w:lang w:val="en-US"/>
        </w:rPr>
      </w:pPr>
      <w:r>
        <w:rPr>
          <w:rFonts w:ascii="Arial" w:cs="Arial" w:hAnsi="Arial"/>
          <w:lang w:val="en-US"/>
        </w:rPr>
        <w:t xml:space="preserve">All notes, lists or files with personal information will be locked away or kept secure online, and </w:t>
      </w:r>
      <w:r>
        <w:rPr>
          <w:rFonts w:ascii="Arial" w:cs="Arial" w:hAnsi="Arial"/>
          <w:lang w:val="en-US"/>
        </w:rPr>
        <w:t>thenit</w:t>
      </w:r>
      <w:r>
        <w:rPr>
          <w:rFonts w:ascii="Arial" w:cs="Arial" w:hAnsi="Arial"/>
          <w:lang w:val="en-US"/>
        </w:rPr>
        <w:t xml:space="preserve"> will be  fully deleted once the whole project is finished.</w:t>
      </w:r>
    </w:p>
    <w:p w14:paraId="000000F2">
      <w:pPr>
        <w:rPr>
          <w:rFonts w:ascii="Arial" w:cs="Arial" w:hAnsi="Arial"/>
          <w:b/>
          <w:bCs/>
          <w:lang w:val="en-US"/>
        </w:rPr>
      </w:pPr>
      <w:r>
        <w:rPr>
          <w:rFonts w:ascii="Arial" w:cs="Arial" w:hAnsi="Arial"/>
          <w:b/>
          <w:bCs/>
          <w:lang w:val="en-US"/>
        </w:rPr>
        <w:t>Making sure everyone gets heard to avoid bias</w:t>
      </w:r>
    </w:p>
    <w:p w14:paraId="000000F3">
      <w:pPr>
        <w:rPr>
          <w:rFonts w:ascii="Arial" w:cs="Arial" w:hAnsi="Arial"/>
          <w:lang w:val="en-US"/>
        </w:rPr>
      </w:pPr>
      <w:r>
        <w:rPr>
          <w:rFonts w:ascii="Arial" w:cs="Arial" w:hAnsi="Arial"/>
          <w:lang w:val="en-US"/>
        </w:rPr>
        <w:t>Usually when groups ask for opinions, people who have plenty of spare time they come ahead and answer and share their opinions who have good reading skills, have enough money and have internet access . because of this, it can  leaves out lots of people whose views matter just as much. Such as older people, single parents busy with children, people with disabilities or learning needs, families who speak English as a second language, or those on lower incomes who worry about speaking up.</w:t>
      </w:r>
    </w:p>
    <w:p w14:paraId="000000F4">
      <w:pPr>
        <w:rPr>
          <w:rFonts w:ascii="Arial" w:cs="Arial" w:hAnsi="Arial"/>
          <w:lang w:val="en-US"/>
        </w:rPr>
      </w:pPr>
      <w:r>
        <w:rPr>
          <w:rFonts w:ascii="Arial" w:cs="Arial" w:hAnsi="Arial"/>
          <w:lang w:val="en-US"/>
        </w:rPr>
        <w:t>We will work hard to fix this by doing extra small things like:</w:t>
      </w:r>
    </w:p>
    <w:p w14:paraId="000000F5">
      <w:pPr>
        <w:numPr>
          <w:ilvl w:val="0"/>
          <w:numId w:val="9"/>
        </w:numPr>
        <w:rPr>
          <w:rFonts w:ascii="Arial" w:cs="Arial" w:hAnsi="Arial"/>
          <w:lang w:val="en-US"/>
        </w:rPr>
      </w:pPr>
      <w:r>
        <w:rPr>
          <w:rFonts w:ascii="Arial" w:cs="Arial" w:hAnsi="Arial"/>
          <w:lang w:val="en-US"/>
        </w:rPr>
        <w:t xml:space="preserve">We will hold meetings at different times, some in daytime, some evening and some on </w:t>
      </w:r>
      <w:r>
        <w:rPr>
          <w:rFonts w:ascii="Arial" w:cs="Arial" w:hAnsi="Arial"/>
          <w:lang w:val="en-US"/>
        </w:rPr>
        <w:t>Saturdays</w:t>
      </w:r>
      <w:r>
        <w:rPr>
          <w:rFonts w:ascii="Arial" w:cs="Arial" w:hAnsi="Arial"/>
          <w:lang w:val="en-US"/>
        </w:rPr>
        <w:t xml:space="preserve"> and Sundays.</w:t>
      </w:r>
    </w:p>
    <w:p w14:paraId="000000F6">
      <w:pPr>
        <w:numPr>
          <w:ilvl w:val="0"/>
          <w:numId w:val="9"/>
        </w:numPr>
        <w:rPr>
          <w:rFonts w:ascii="Arial" w:cs="Arial" w:hAnsi="Arial"/>
          <w:lang w:val="en-US"/>
        </w:rPr>
      </w:pPr>
      <w:r>
        <w:rPr>
          <w:rFonts w:ascii="Arial" w:cs="Arial" w:hAnsi="Arial"/>
          <w:lang w:val="en-US"/>
        </w:rPr>
        <w:t xml:space="preserve">We will </w:t>
      </w:r>
      <w:r>
        <w:rPr>
          <w:rFonts w:ascii="Arial" w:cs="Arial" w:hAnsi="Arial"/>
          <w:lang w:val="en-US"/>
        </w:rPr>
        <w:t>offer</w:t>
      </w:r>
      <w:r>
        <w:rPr>
          <w:rFonts w:ascii="Arial" w:cs="Arial" w:hAnsi="Arial"/>
          <w:lang w:val="en-US"/>
        </w:rPr>
        <w:t xml:space="preserve"> small help like bus fares or paying for someone to look after children while they attend</w:t>
      </w:r>
    </w:p>
    <w:p w14:paraId="000000F7">
      <w:pPr>
        <w:numPr>
          <w:ilvl w:val="0"/>
          <w:numId w:val="9"/>
        </w:numPr>
        <w:rPr>
          <w:rFonts w:ascii="Arial" w:cs="Arial" w:hAnsi="Arial"/>
          <w:lang w:val="en-US"/>
        </w:rPr>
      </w:pPr>
      <w:r>
        <w:rPr>
          <w:rFonts w:ascii="Arial" w:cs="Arial" w:hAnsi="Arial"/>
          <w:lang w:val="en-US"/>
        </w:rPr>
        <w:t>Get in touch with  trusted local leaders from churches, clubs, groups or care workers to gently invite people who rarely join in for activities.</w:t>
      </w:r>
    </w:p>
    <w:p w14:paraId="000000F8">
      <w:pPr>
        <w:numPr>
          <w:ilvl w:val="0"/>
          <w:numId w:val="10"/>
        </w:numPr>
        <w:spacing w:beforeAutospacing="0" w:afterAutospacing="0" w:line="480" w:lineRule="auto"/>
        <w:rPr>
          <w:rFonts w:ascii="Arial" w:cs="Arial" w:hAnsi="Arial"/>
          <w:lang w:val="en-US"/>
        </w:rPr>
      </w:pPr>
      <w:r>
        <w:rPr>
          <w:rFonts w:ascii="Arial" w:cs="Arial" w:hAnsi="Arial"/>
          <w:lang w:val="en-US"/>
        </w:rPr>
        <w:t>Ask open questions like “ what would make this place better for you?”. Avoid asking things that push people to say “yes” to what we already planned</w:t>
      </w:r>
    </w:p>
    <w:p w14:paraId="000000F9">
      <w:pPr>
        <w:numPr>
          <w:ilvl w:val="0"/>
          <w:numId w:val="10"/>
        </w:numPr>
        <w:spacing w:beforeAutospacing="0" w:afterAutospacing="0" w:line="480" w:lineRule="auto"/>
        <w:rPr>
          <w:rFonts w:ascii="Arial" w:cs="Arial" w:hAnsi="Arial"/>
          <w:lang w:val="en-US"/>
        </w:rPr>
      </w:pPr>
      <w:r>
        <w:rPr>
          <w:rFonts w:ascii="Arial" w:cs="Arial" w:hAnsi="Arial"/>
          <w:lang w:val="en-US"/>
        </w:rPr>
        <w:t>Write down every single opinion or issue fairly, even if it sounds hard to do or we don’t agree with it ourselves</w:t>
      </w:r>
    </w:p>
    <w:p w14:paraId="000000FA">
      <w:pPr>
        <w:spacing w:beforeAutospacing="0" w:afterAutospacing="0" w:line="480" w:lineRule="auto"/>
        <w:rPr>
          <w:rFonts w:ascii="Arial" w:cs="Arial" w:hAnsi="Arial"/>
          <w:b/>
          <w:bCs/>
          <w:lang w:val="en-US"/>
        </w:rPr>
      </w:pPr>
      <w:r>
        <w:rPr>
          <w:rFonts w:ascii="Arial" w:cs="Arial" w:hAnsi="Arial"/>
          <w:b/>
          <w:bCs/>
          <w:lang w:val="en-US"/>
        </w:rPr>
        <w:t xml:space="preserve">Exactly what happens to what people tell us </w:t>
      </w:r>
    </w:p>
    <w:p w14:paraId="000000FB">
      <w:pPr>
        <w:spacing w:beforeAutospacing="0" w:afterAutospacing="0" w:line="480" w:lineRule="auto"/>
        <w:rPr>
          <w:rFonts w:ascii="Arial" w:cs="Arial" w:hAnsi="Arial"/>
          <w:lang w:val="en-US"/>
        </w:rPr>
      </w:pPr>
      <w:r>
        <w:rPr>
          <w:rFonts w:ascii="Arial" w:cs="Arial" w:hAnsi="Arial"/>
          <w:lang w:val="en-US"/>
        </w:rPr>
        <w:t>If people don’t get response back for their suggestions and problems they stop caring faster than speaking up .We make these clear promises  which can leave positive impact on the people:</w:t>
      </w:r>
    </w:p>
    <w:p w14:paraId="000000FC">
      <w:pPr>
        <w:numPr>
          <w:ilvl w:val="0"/>
          <w:numId w:val="11"/>
        </w:numPr>
        <w:spacing w:beforeAutospacing="0" w:afterAutospacing="0" w:line="480" w:lineRule="auto"/>
        <w:rPr>
          <w:rFonts w:ascii="Arial" w:cs="Arial" w:hAnsi="Arial"/>
          <w:lang w:val="en-US"/>
        </w:rPr>
      </w:pPr>
      <w:r>
        <w:rPr>
          <w:rFonts w:ascii="Arial" w:cs="Arial" w:hAnsi="Arial"/>
          <w:lang w:val="en-US"/>
        </w:rPr>
        <w:t>We will write a simple short report listing every main idea or worry people shared</w:t>
      </w:r>
    </w:p>
    <w:p w14:paraId="000000FD">
      <w:pPr>
        <w:numPr>
          <w:ilvl w:val="0"/>
          <w:numId w:val="11"/>
        </w:numPr>
        <w:spacing w:beforeAutospacing="0" w:afterAutospacing="0" w:line="480" w:lineRule="auto"/>
        <w:rPr>
          <w:rFonts w:ascii="Arial" w:cs="Arial" w:hAnsi="Arial"/>
          <w:lang w:val="en-US"/>
        </w:rPr>
      </w:pPr>
      <w:r>
        <w:rPr>
          <w:rFonts w:ascii="Arial" w:cs="Arial" w:hAnsi="Arial"/>
          <w:lang w:val="en-US"/>
        </w:rPr>
        <w:t>We will show clearly which  changes we will make because of what people said</w:t>
      </w:r>
    </w:p>
    <w:p w14:paraId="000000FE">
      <w:pPr>
        <w:numPr>
          <w:ilvl w:val="0"/>
          <w:numId w:val="11"/>
        </w:numPr>
        <w:spacing w:beforeAutospacing="0" w:afterAutospacing="0" w:line="480" w:lineRule="auto"/>
        <w:rPr>
          <w:rFonts w:ascii="Arial" w:cs="Arial" w:hAnsi="Arial"/>
          <w:lang w:val="en-US"/>
        </w:rPr>
      </w:pPr>
      <w:r>
        <w:rPr>
          <w:rFonts w:ascii="Arial" w:cs="Arial" w:hAnsi="Arial"/>
          <w:lang w:val="en-US"/>
        </w:rPr>
        <w:t xml:space="preserve">We will honestly list things we cannot do, and explain the reason of not doing so e.g,    </w:t>
      </w:r>
      <w:r>
        <w:rPr>
          <w:rFonts w:ascii="Arial" w:cs="Arial" w:hAnsi="Arial"/>
          <w:b/>
          <w:bCs/>
          <w:lang w:val="en-US"/>
        </w:rPr>
        <w:t>1.</w:t>
      </w:r>
      <w:r>
        <w:rPr>
          <w:rFonts w:ascii="Arial" w:cs="Arial" w:hAnsi="Arial"/>
          <w:lang w:val="en-US"/>
        </w:rPr>
        <w:t xml:space="preserve"> we do not hold enough budget</w:t>
      </w:r>
    </w:p>
    <w:p w14:paraId="000000FF">
      <w:pPr>
        <w:spacing w:beforeAutospacing="0" w:afterAutospacing="0" w:line="480" w:lineRule="auto"/>
        <w:ind w:left="720"/>
        <w:rPr>
          <w:rFonts w:ascii="Arial" w:cs="Arial" w:hAnsi="Arial"/>
          <w:lang w:val="en-US"/>
        </w:rPr>
      </w:pPr>
      <w:r>
        <w:rPr>
          <w:rFonts w:ascii="Arial" w:cs="Arial" w:hAnsi="Arial"/>
          <w:b/>
          <w:bCs/>
          <w:lang w:val="en-US"/>
        </w:rPr>
        <w:t xml:space="preserve"> 2</w:t>
      </w:r>
      <w:r>
        <w:rPr>
          <w:rFonts w:ascii="Arial" w:cs="Arial" w:hAnsi="Arial"/>
          <w:lang w:val="en-US"/>
        </w:rPr>
        <w:t xml:space="preserve">.we are abide by the law </w:t>
      </w:r>
    </w:p>
    <w:p w14:paraId="00000100">
      <w:pPr>
        <w:spacing w:beforeAutospacing="0" w:afterAutospacing="0" w:line="480" w:lineRule="auto"/>
        <w:ind w:left="720"/>
        <w:rPr>
          <w:rFonts w:ascii="Arial" w:cs="Arial" w:hAnsi="Arial"/>
          <w:lang w:val="en-US"/>
        </w:rPr>
      </w:pPr>
      <w:r>
        <w:rPr>
          <w:rFonts w:ascii="Arial" w:cs="Arial" w:hAnsi="Arial"/>
          <w:b/>
          <w:bCs/>
          <w:lang w:val="en-US"/>
        </w:rPr>
        <w:t>3.</w:t>
      </w:r>
      <w:r>
        <w:rPr>
          <w:rFonts w:ascii="Arial" w:cs="Arial" w:hAnsi="Arial"/>
          <w:lang w:val="en-US"/>
        </w:rPr>
        <w:t xml:space="preserve"> Safety rules do not allow it</w:t>
      </w:r>
    </w:p>
    <w:p w14:paraId="00000101">
      <w:pPr>
        <w:spacing w:beforeAutospacing="0" w:afterAutospacing="0" w:line="480" w:lineRule="auto"/>
        <w:ind w:left="720"/>
        <w:rPr>
          <w:rFonts w:ascii="Arial" w:cs="Arial" w:hAnsi="Arial"/>
          <w:lang w:val="en-US"/>
        </w:rPr>
      </w:pPr>
      <w:r>
        <w:rPr>
          <w:rFonts w:ascii="Arial" w:cs="Arial" w:hAnsi="Arial"/>
          <w:b/>
          <w:bCs/>
          <w:lang w:val="en-US"/>
        </w:rPr>
        <w:t>4.</w:t>
      </w:r>
      <w:r>
        <w:rPr>
          <w:rFonts w:ascii="Arial" w:cs="Arial" w:hAnsi="Arial"/>
          <w:lang w:val="en-US"/>
        </w:rPr>
        <w:t xml:space="preserve"> Land size makes it difficult or impossible</w:t>
      </w:r>
    </w:p>
    <w:p w14:paraId="00000102">
      <w:pPr>
        <w:numPr>
          <w:ilvl w:val="0"/>
          <w:numId w:val="12"/>
        </w:numPr>
        <w:spacing w:beforeAutospacing="0" w:afterAutospacing="0" w:line="480" w:lineRule="auto"/>
        <w:rPr>
          <w:rFonts w:ascii="Arial" w:cs="Arial" w:hAnsi="Arial"/>
          <w:lang w:val="en-US"/>
        </w:rPr>
      </w:pPr>
      <w:r>
        <w:rPr>
          <w:rFonts w:ascii="Arial" w:cs="Arial" w:hAnsi="Arial"/>
          <w:lang w:val="en-US"/>
        </w:rPr>
        <w:t>This report stays open and easy to read at all times until the project ends</w:t>
      </w:r>
    </w:p>
    <w:p w14:paraId="00000103">
      <w:pPr>
        <w:spacing w:beforeAutospacing="0" w:afterAutospacing="0" w:line="480" w:lineRule="auto"/>
        <w:rPr>
          <w:rFonts w:ascii="Arial" w:cs="Arial" w:hAnsi="Arial"/>
          <w:lang w:val="en-US"/>
        </w:rPr>
      </w:pPr>
      <w:r>
        <w:rPr>
          <w:rFonts w:ascii="Arial" w:cs="Arial" w:hAnsi="Arial"/>
          <w:lang w:val="en-US"/>
        </w:rPr>
        <w:t>This is what makes discussions real and honest, rather than just putting words on paper.</w:t>
      </w:r>
    </w:p>
    <w:p w14:paraId="00000104">
      <w:pPr>
        <w:spacing w:beforeAutospacing="0" w:afterAutospacing="0" w:line="480" w:lineRule="auto"/>
        <w:ind w:left="2160" w:firstLine="720"/>
        <w:rPr>
          <w:rFonts w:ascii="Arial" w:cs="Arial" w:hAnsi="Arial"/>
          <w:b/>
          <w:bCs/>
          <w:sz w:val="26"/>
          <w:szCs w:val="26"/>
          <w:lang w:val="en-US"/>
        </w:rPr>
      </w:pPr>
    </w:p>
    <w:p w14:paraId="00000105">
      <w:pPr>
        <w:spacing w:beforeAutospacing="0" w:afterAutospacing="0" w:line="480" w:lineRule="auto"/>
        <w:ind w:left="2160" w:firstLine="720"/>
        <w:rPr>
          <w:rFonts w:ascii="Arial" w:cs="Arial" w:hAnsi="Arial"/>
          <w:b/>
          <w:bCs/>
          <w:sz w:val="26"/>
          <w:szCs w:val="26"/>
          <w:lang w:val="en-US"/>
        </w:rPr>
      </w:pPr>
      <w:r>
        <w:rPr>
          <w:rFonts w:ascii="Arial" w:cs="Arial" w:hAnsi="Arial"/>
          <w:b/>
          <w:bCs/>
          <w:sz w:val="26"/>
          <w:szCs w:val="26"/>
          <w:lang w:val="en-US"/>
        </w:rPr>
        <w:t>ELEMENT 4.</w:t>
      </w:r>
    </w:p>
    <w:p w14:paraId="00000106">
      <w:pPr>
        <w:spacing w:beforeAutospacing="0" w:afterAutospacing="0" w:line="480" w:lineRule="auto"/>
        <w:rPr>
          <w:rFonts w:ascii="Arial" w:cs="Arial" w:hAnsi="Arial"/>
          <w:u w:val="single"/>
          <w:lang w:val="en-US"/>
        </w:rPr>
      </w:pPr>
      <w:r>
        <w:rPr>
          <w:rFonts w:ascii="Arial" w:cs="Arial" w:hAnsi="Arial"/>
          <w:b/>
          <w:bCs/>
          <w:u w:val="single"/>
          <w:lang w:val="en-US"/>
        </w:rPr>
        <w:t>CONCLUSION AND REFLECTION</w:t>
      </w:r>
    </w:p>
    <w:p w14:paraId="00000107">
      <w:pPr>
        <w:spacing w:beforeAutospacing="0" w:afterAutospacing="0" w:line="480" w:lineRule="auto"/>
        <w:rPr>
          <w:rFonts w:ascii="Arial" w:cs="Arial" w:hAnsi="Arial"/>
          <w:b/>
          <w:bCs/>
          <w:lang w:val="en-US"/>
        </w:rPr>
      </w:pPr>
      <w:r>
        <w:rPr>
          <w:rFonts w:ascii="Arial" w:cs="Arial" w:hAnsi="Arial"/>
          <w:b/>
          <w:bCs/>
          <w:lang w:val="en-US"/>
        </w:rPr>
        <w:t>Conclusion</w:t>
      </w:r>
    </w:p>
    <w:p w14:paraId="00000108">
      <w:pPr>
        <w:spacing w:beforeAutospacing="0" w:afterAutospacing="0" w:line="480" w:lineRule="auto"/>
        <w:rPr>
          <w:rFonts w:ascii="Arial" w:cs="Arial" w:hAnsi="Arial"/>
          <w:lang w:val="en-US"/>
        </w:rPr>
      </w:pPr>
      <w:r>
        <w:rPr>
          <w:rFonts w:ascii="Arial" w:cs="Arial" w:hAnsi="Arial"/>
          <w:lang w:val="en-US"/>
        </w:rPr>
        <w:t xml:space="preserve">Working through this whole plan made one thing very clear is that a housing project can never be successful just because the building work is good or the plans are neat on paper. It works well only if everyone is being </w:t>
      </w:r>
      <w:r>
        <w:rPr>
          <w:rFonts w:ascii="Arial" w:cs="Arial" w:hAnsi="Arial"/>
          <w:lang w:val="en-US"/>
        </w:rPr>
        <w:t>involved</w:t>
      </w:r>
      <w:r>
        <w:rPr>
          <w:rFonts w:ascii="Arial" w:cs="Arial" w:hAnsi="Arial"/>
          <w:lang w:val="en-US"/>
        </w:rPr>
        <w:t>, especially if local residents are treated fairly, spoken to them clearly and given a real chance to help shape what happens.</w:t>
      </w:r>
    </w:p>
    <w:p w14:paraId="00000109">
      <w:pPr>
        <w:spacing w:beforeAutospacing="0" w:afterAutospacing="0" w:line="480" w:lineRule="auto"/>
        <w:rPr>
          <w:rFonts w:ascii="Arial" w:cs="Arial" w:hAnsi="Arial"/>
          <w:lang w:val="en-US"/>
        </w:rPr>
      </w:pPr>
      <w:r>
        <w:rPr>
          <w:rFonts w:ascii="Arial" w:cs="Arial" w:hAnsi="Arial"/>
          <w:lang w:val="en-US"/>
        </w:rPr>
        <w:t xml:space="preserve">Once we have worked out who is involved, it is necessary to understand what they want and building simple. We can use honest ways to talk and listen, we must make sure that most of the </w:t>
      </w:r>
      <w:r>
        <w:rPr>
          <w:rFonts w:ascii="Arial" w:cs="Arial" w:hAnsi="Arial"/>
          <w:b/>
          <w:bCs/>
          <w:lang w:val="en-US"/>
        </w:rPr>
        <w:t>usual trouble,</w:t>
      </w:r>
      <w:r>
        <w:rPr>
          <w:rFonts w:ascii="Arial" w:cs="Arial" w:hAnsi="Arial"/>
          <w:lang w:val="en-US"/>
        </w:rPr>
        <w:t xml:space="preserve"> </w:t>
      </w:r>
      <w:r>
        <w:rPr>
          <w:rFonts w:ascii="Arial" w:cs="Arial" w:hAnsi="Arial"/>
          <w:b/>
          <w:bCs/>
          <w:lang w:val="en-US"/>
        </w:rPr>
        <w:t>long delays</w:t>
      </w:r>
      <w:r>
        <w:rPr>
          <w:rFonts w:ascii="Arial" w:cs="Arial" w:hAnsi="Arial"/>
          <w:lang w:val="en-US"/>
        </w:rPr>
        <w:t xml:space="preserve">, </w:t>
      </w:r>
      <w:r>
        <w:rPr>
          <w:rFonts w:ascii="Arial" w:cs="Arial" w:hAnsi="Arial"/>
          <w:b/>
          <w:bCs/>
          <w:lang w:val="en-US"/>
        </w:rPr>
        <w:t>extra costs</w:t>
      </w:r>
      <w:r>
        <w:rPr>
          <w:rFonts w:ascii="Arial" w:cs="Arial" w:hAnsi="Arial"/>
          <w:lang w:val="en-US"/>
        </w:rPr>
        <w:t xml:space="preserve">, </w:t>
      </w:r>
      <w:r>
        <w:rPr>
          <w:rFonts w:ascii="Arial" w:cs="Arial" w:hAnsi="Arial"/>
          <w:b/>
          <w:bCs/>
          <w:lang w:val="en-US"/>
        </w:rPr>
        <w:t>legal Fights</w:t>
      </w:r>
      <w:r>
        <w:rPr>
          <w:rFonts w:ascii="Arial" w:cs="Arial" w:hAnsi="Arial"/>
          <w:lang w:val="en-US"/>
        </w:rPr>
        <w:t xml:space="preserve"> or bad feeling between</w:t>
      </w:r>
      <w:r>
        <w:rPr>
          <w:rFonts w:ascii="Arial" w:cs="Arial" w:hAnsi="Arial"/>
          <w:b/>
          <w:bCs/>
          <w:lang w:val="en-US"/>
        </w:rPr>
        <w:t xml:space="preserve"> neighbours</w:t>
      </w:r>
      <w:r>
        <w:rPr>
          <w:rFonts w:ascii="Arial" w:cs="Arial" w:hAnsi="Arial"/>
          <w:lang w:val="en-US"/>
        </w:rPr>
        <w:t xml:space="preserve"> and the </w:t>
      </w:r>
      <w:r>
        <w:rPr>
          <w:rFonts w:ascii="Arial" w:cs="Arial" w:hAnsi="Arial"/>
          <w:b/>
          <w:bCs/>
          <w:lang w:val="en-US"/>
        </w:rPr>
        <w:t xml:space="preserve">council </w:t>
      </w:r>
      <w:r>
        <w:rPr>
          <w:rFonts w:ascii="Arial" w:cs="Arial" w:hAnsi="Arial"/>
          <w:lang w:val="en-US"/>
        </w:rPr>
        <w:t xml:space="preserve">are avoided. If we listen to them early also often finds simple smart ideas that paid experts sometimes cannot think  of </w:t>
      </w:r>
      <w:r>
        <w:rPr>
          <w:rFonts w:ascii="Arial" w:cs="Arial" w:hAnsi="Arial"/>
          <w:b/>
          <w:bCs/>
          <w:lang w:val="en-US"/>
        </w:rPr>
        <w:t>e.g.</w:t>
      </w:r>
      <w:r>
        <w:rPr>
          <w:rFonts w:ascii="Arial" w:cs="Arial" w:hAnsi="Arial"/>
          <w:lang w:val="en-US"/>
        </w:rPr>
        <w:t xml:space="preserve"> Like better places to park, safer crossing points or extra storage space outside homes.</w:t>
      </w:r>
    </w:p>
    <w:p w14:paraId="0000010A">
      <w:pPr>
        <w:spacing w:beforeAutospacing="0" w:afterAutospacing="0" w:line="480" w:lineRule="auto"/>
        <w:rPr>
          <w:rFonts w:ascii="Arial" w:cs="Arial" w:hAnsi="Arial"/>
          <w:lang w:val="en-US"/>
        </w:rPr>
      </w:pPr>
      <w:r>
        <w:rPr>
          <w:rFonts w:ascii="Arial" w:cs="Arial" w:hAnsi="Arial"/>
          <w:lang w:val="en-US"/>
        </w:rPr>
        <w:t xml:space="preserve">True success is not just finishing building work. It means creating homes and streets people are comfortable and  proud of, where they feel safe and happy, and where the improvements will still be working well in fifty </w:t>
      </w:r>
      <w:r>
        <w:rPr>
          <w:rFonts w:ascii="Arial" w:cs="Arial" w:hAnsi="Arial"/>
          <w:lang w:val="en-US"/>
        </w:rPr>
        <w:t>years’</w:t>
      </w:r>
      <w:r>
        <w:rPr>
          <w:rFonts w:ascii="Arial" w:cs="Arial" w:hAnsi="Arial"/>
          <w:lang w:val="en-US"/>
        </w:rPr>
        <w:t xml:space="preserve"> time. Keeping in touch builds trust that lasts long after the builders leave. </w:t>
      </w:r>
      <w:r>
        <w:rPr>
          <w:rFonts w:ascii="Arial" w:cs="Arial" w:hAnsi="Arial"/>
          <w:lang w:val="en-US"/>
        </w:rPr>
        <w:t>Partnership</w:t>
      </w:r>
      <w:r>
        <w:rPr>
          <w:rFonts w:ascii="Arial" w:cs="Arial" w:hAnsi="Arial"/>
          <w:lang w:val="en-US"/>
        </w:rPr>
        <w:t xml:space="preserve"> working leads to a much better project results, within budget and on schedule, while it will build lasting trust between communities and public bodies.</w:t>
      </w:r>
    </w:p>
    <w:p w14:paraId="0000010B">
      <w:pPr>
        <w:spacing w:beforeAutospacing="0" w:afterAutospacing="0" w:line="480" w:lineRule="auto"/>
        <w:rPr>
          <w:rFonts w:ascii="Arial" w:cs="Arial" w:hAnsi="Arial"/>
          <w:b/>
          <w:bCs/>
          <w:u w:val="single"/>
          <w:lang w:val="en-US"/>
        </w:rPr>
      </w:pPr>
      <w:r>
        <w:rPr>
          <w:rFonts w:ascii="Arial" w:cs="Arial" w:hAnsi="Arial"/>
          <w:b/>
          <w:bCs/>
          <w:u w:val="single"/>
          <w:lang w:val="en-US"/>
        </w:rPr>
        <w:t>My own personal thoughts</w:t>
      </w:r>
    </w:p>
    <w:p w14:paraId="0000010C">
      <w:pPr>
        <w:spacing w:beforeAutospacing="0" w:afterAutospacing="0" w:line="480" w:lineRule="auto"/>
        <w:rPr>
          <w:rFonts w:ascii="Arial" w:cs="Arial" w:hAnsi="Arial"/>
          <w:lang w:val="en-US"/>
        </w:rPr>
      </w:pPr>
      <w:r>
        <w:rPr>
          <w:rFonts w:ascii="Arial" w:cs="Arial" w:hAnsi="Arial"/>
          <w:lang w:val="en-US"/>
        </w:rPr>
        <w:t xml:space="preserve">When i first started learning about this subject, i honestly thought “ stakeholder management” was about just writing formal reports, sending emails to important people and following checklists. But after learning Stakeholder theories especifically </w:t>
      </w:r>
      <w:r>
        <w:rPr>
          <w:rFonts w:ascii="Arial" w:cs="Arial" w:hAnsi="Arial"/>
          <w:b/>
          <w:bCs/>
          <w:lang w:val="en-US"/>
        </w:rPr>
        <w:t xml:space="preserve">Freeman’s theory (1984) </w:t>
      </w:r>
      <w:r>
        <w:rPr>
          <w:rFonts w:ascii="Arial" w:cs="Arial" w:hAnsi="Arial"/>
          <w:b w:val="off"/>
          <w:bCs w:val="off"/>
          <w:lang w:val="en-US"/>
        </w:rPr>
        <w:t xml:space="preserve">and his work it helped me a lot to understand that the sucessful projects entirely depends on working together as a team. </w:t>
      </w:r>
      <w:r>
        <w:rPr>
          <w:rFonts w:ascii="Arial" w:cs="Arial" w:hAnsi="Arial"/>
          <w:lang w:val="en-US"/>
        </w:rPr>
        <w:t>I did not realise it is really all about understanding people, their worries their hopes and what matters most to them in daily life.</w:t>
      </w:r>
    </w:p>
    <w:p w14:paraId="0000010D">
      <w:pPr>
        <w:spacing w:beforeAutospacing="0" w:afterAutospacing="0" w:line="480" w:lineRule="auto"/>
        <w:rPr>
          <w:rFonts w:ascii="Arial" w:cs="Arial" w:hAnsi="Arial"/>
          <w:lang w:val="en-US"/>
        </w:rPr>
      </w:pPr>
      <w:r>
        <w:rPr>
          <w:rFonts w:ascii="Arial" w:cs="Arial" w:hAnsi="Arial"/>
          <w:lang w:val="en-US"/>
        </w:rPr>
        <w:t>One big lesson i learned while writing this is</w:t>
      </w:r>
      <w:r>
        <w:rPr>
          <w:rFonts w:ascii="Arial" w:cs="Arial" w:hAnsi="Arial"/>
          <w:b/>
          <w:bCs/>
          <w:lang w:val="en-US"/>
        </w:rPr>
        <w:t xml:space="preserve"> fear and confusion</w:t>
      </w:r>
      <w:r>
        <w:rPr>
          <w:rFonts w:ascii="Arial" w:cs="Arial" w:hAnsi="Arial"/>
          <w:lang w:val="en-US"/>
        </w:rPr>
        <w:t xml:space="preserve"> cause almost all the problems. If people do not know what is going on, they make up things or rumours. Giving short, true, regular updates does not cost anything at all, but it stops big </w:t>
      </w:r>
      <w:r>
        <w:rPr>
          <w:rFonts w:ascii="Arial" w:cs="Arial" w:hAnsi="Arial"/>
          <w:lang w:val="en-US"/>
        </w:rPr>
        <w:t>arguments</w:t>
      </w:r>
      <w:r>
        <w:rPr>
          <w:rFonts w:ascii="Arial" w:cs="Arial" w:hAnsi="Arial"/>
          <w:lang w:val="en-US"/>
        </w:rPr>
        <w:t xml:space="preserve"> or hold misunderstandings before they even start.</w:t>
      </w:r>
    </w:p>
    <w:p w14:paraId="0000010E">
      <w:pPr>
        <w:spacing w:beforeAutospacing="0" w:afterAutospacing="0" w:line="480" w:lineRule="auto"/>
        <w:rPr>
          <w:rFonts w:ascii="Arial" w:cs="Arial" w:hAnsi="Arial"/>
          <w:lang w:val="en-US"/>
        </w:rPr>
      </w:pPr>
      <w:r>
        <w:rPr>
          <w:rFonts w:ascii="Arial" w:cs="Arial" w:hAnsi="Arial"/>
          <w:lang w:val="en-US"/>
        </w:rPr>
        <w:t xml:space="preserve">I also understood better what “ being ethical” really means. It is not about just obeying laws or to follow the rules written down in books. It </w:t>
      </w:r>
      <w:r>
        <w:rPr>
          <w:rFonts w:ascii="Arial" w:cs="Arial" w:hAnsi="Arial"/>
          <w:lang w:val="en-US"/>
        </w:rPr>
        <w:t>actually</w:t>
      </w:r>
      <w:r>
        <w:rPr>
          <w:rFonts w:ascii="Arial" w:cs="Arial" w:hAnsi="Arial"/>
          <w:lang w:val="en-US"/>
        </w:rPr>
        <w:t xml:space="preserve"> means to make extra effort to find people who are quiet, shy or hard to reach, so they feel that their voices counts just as much anyone else’s. It also means telling the truth even when it is hard. Promising less but delivering more always works better than saying what people want to hear just to keep them happy for now.</w:t>
      </w:r>
    </w:p>
    <w:p w14:paraId="0000010F">
      <w:pPr>
        <w:spacing w:beforeAutospacing="0" w:afterAutospacing="0" w:line="480" w:lineRule="auto"/>
        <w:rPr>
          <w:rFonts w:ascii="Arial" w:cs="Arial" w:hAnsi="Arial"/>
          <w:lang w:val="en-US"/>
        </w:rPr>
      </w:pPr>
      <w:r>
        <w:rPr>
          <w:rFonts w:ascii="Arial" w:cs="Arial" w:hAnsi="Arial"/>
          <w:lang w:val="en-US"/>
        </w:rPr>
        <w:t xml:space="preserve">Another thing i noticed is that we can never please every single person. Some things really are impossible because of money, space or due to safety laws. That is fine as long as we explain openly and clearly why i cannot do something. People respect honesty rather than empty promises. </w:t>
      </w:r>
    </w:p>
    <w:p w14:paraId="00000110">
      <w:pPr>
        <w:spacing w:beforeAutospacing="0" w:afterAutospacing="0" w:line="480" w:lineRule="auto"/>
        <w:rPr>
          <w:rFonts w:ascii="Arial" w:cs="Arial" w:hAnsi="Arial"/>
          <w:lang w:val="en-US"/>
        </w:rPr>
      </w:pPr>
      <w:r>
        <w:rPr>
          <w:rFonts w:ascii="Arial" w:cs="Arial" w:hAnsi="Arial"/>
          <w:lang w:val="en-US"/>
        </w:rPr>
        <w:t>I also learned that being open and honest is very  important than trying to make everyone happy straight away. Sometimes people ask for things that are truly impossible. Whether due to money limits, safety rules or just the size of the land, and hiding the fact only creates bigger problems later. By saying that “ i understand why you want this, but here is exactly it cannot be done” it earns respect and keeps trust strong.</w:t>
      </w:r>
    </w:p>
    <w:p w14:paraId="00000111">
      <w:pPr>
        <w:spacing w:beforeAutospacing="0" w:afterAutospacing="0" w:line="480" w:lineRule="auto"/>
        <w:rPr>
          <w:rFonts w:ascii="Arial" w:cs="Arial" w:hAnsi="Arial"/>
          <w:lang w:val="en-US"/>
        </w:rPr>
      </w:pPr>
      <w:r>
        <w:rPr>
          <w:rFonts w:ascii="Arial" w:cs="Arial" w:hAnsi="Arial"/>
          <w:lang w:val="en-US"/>
        </w:rPr>
        <w:t>Another small but important thing i realised is that little details matter a lot. Sending a letter in plain language instead of formal words, or visiting someone at home instead of asking them to travel, changes how people see the whole project. It shows you care enough to make effort for them.</w:t>
      </w:r>
    </w:p>
    <w:p w14:paraId="00000112">
      <w:pPr>
        <w:spacing w:beforeAutospacing="0" w:afterAutospacing="0" w:line="480" w:lineRule="auto"/>
        <w:rPr>
          <w:rFonts w:ascii="Arial" w:cs="Arial" w:hAnsi="Arial"/>
          <w:lang w:val="en-US"/>
        </w:rPr>
      </w:pPr>
      <w:r>
        <w:rPr>
          <w:rFonts w:ascii="Arial" w:cs="Arial" w:hAnsi="Arial"/>
          <w:lang w:val="en-US"/>
        </w:rPr>
        <w:t>Finally, i now see clearly that projects only ever succeed with communities, never just for them. When people help make the plan, they care more about it, look after it better and stay happy with it long term. That is the real value of good stakeholder work which builds better places and better relationships too.</w:t>
      </w:r>
    </w:p>
    <w:p w14:paraId="00000113">
      <w:pPr>
        <w:spacing w:beforeAutospacing="0" w:afterAutospacing="0" w:line="480" w:lineRule="auto"/>
        <w:rPr>
          <w:rFonts w:ascii="Arial" w:cs="Arial" w:hAnsi="Arial"/>
          <w:lang w:val="en-US"/>
        </w:rPr>
      </w:pPr>
      <w:r>
        <w:rPr>
          <w:rFonts w:ascii="Arial" w:cs="Arial" w:hAnsi="Arial"/>
          <w:lang w:val="en-US"/>
        </w:rPr>
        <w:t>Overall this work taught me that good project management is really just good people skills. If you treat everyone equally, listen properly and keep your word and try to solve difficulties themselves. This is something i will definitely use in every job i do in future.</w:t>
      </w:r>
    </w:p>
    <w:p w14:paraId="00000114">
      <w:pPr>
        <w:spacing w:beforeAutospacing="0" w:afterAutospacing="0" w:line="480" w:lineRule="auto"/>
        <w:rPr>
          <w:rFonts w:ascii="Arial" w:cs="Arial" w:hAnsi="Arial"/>
          <w:b/>
          <w:bCs/>
          <w:u w:val="single"/>
          <w:lang w:val="en-US"/>
        </w:rPr>
      </w:pPr>
    </w:p>
    <w:p w14:paraId="00000115">
      <w:pPr>
        <w:spacing w:beforeAutospacing="0" w:afterAutospacing="0" w:line="480" w:lineRule="auto"/>
        <w:rPr>
          <w:rFonts w:ascii="Arial" w:cs="Arial" w:hAnsi="Arial"/>
          <w:b/>
          <w:bCs/>
          <w:u w:val="single"/>
          <w:lang w:val="en-US"/>
        </w:rPr>
      </w:pPr>
    </w:p>
    <w:p w14:paraId="00000116">
      <w:pPr>
        <w:spacing w:beforeAutospacing="0" w:afterAutospacing="0" w:line="480" w:lineRule="auto"/>
        <w:ind w:left="2160" w:firstLine="720"/>
        <w:rPr>
          <w:rFonts w:ascii="Arial" w:cs="Arial" w:hAnsi="Arial"/>
          <w:b/>
          <w:bCs/>
          <w:sz w:val="26"/>
          <w:szCs w:val="26"/>
          <w:u w:val="single"/>
          <w:lang w:val="en-US"/>
        </w:rPr>
      </w:pPr>
    </w:p>
    <w:p w14:paraId="00000117">
      <w:pPr>
        <w:spacing w:beforeAutospacing="0" w:afterAutospacing="0" w:line="480" w:lineRule="auto"/>
        <w:ind w:left="2160" w:firstLine="720"/>
        <w:rPr>
          <w:rFonts w:ascii="Arial" w:cs="Arial" w:hAnsi="Arial"/>
          <w:b/>
          <w:bCs/>
          <w:sz w:val="26"/>
          <w:szCs w:val="26"/>
          <w:u w:val="single"/>
          <w:lang w:val="en-US"/>
        </w:rPr>
      </w:pPr>
    </w:p>
    <w:p w14:paraId="00000118">
      <w:pPr>
        <w:spacing w:beforeAutospacing="0" w:afterAutospacing="0" w:line="480" w:lineRule="auto"/>
        <w:ind w:left="2160" w:firstLine="720"/>
        <w:rPr>
          <w:rFonts w:ascii="Arial" w:cs="Arial" w:hAnsi="Arial"/>
          <w:b/>
          <w:bCs/>
          <w:sz w:val="26"/>
          <w:szCs w:val="26"/>
          <w:u w:val="single"/>
          <w:lang w:val="en-US"/>
        </w:rPr>
      </w:pPr>
    </w:p>
    <w:p w14:paraId="00000119">
      <w:pPr>
        <w:spacing w:beforeAutospacing="0" w:afterAutospacing="0" w:line="480" w:lineRule="auto"/>
        <w:ind w:left="2160" w:firstLine="720"/>
        <w:rPr>
          <w:rFonts w:ascii="Arial" w:cs="Arial" w:hAnsi="Arial"/>
          <w:b/>
          <w:bCs/>
          <w:sz w:val="26"/>
          <w:szCs w:val="26"/>
          <w:u w:val="single"/>
          <w:lang w:val="en-US"/>
        </w:rPr>
      </w:pPr>
    </w:p>
    <w:p w14:paraId="0000011A">
      <w:pPr>
        <w:spacing w:beforeAutospacing="0" w:afterAutospacing="0" w:line="480" w:lineRule="auto"/>
        <w:ind w:left="2160" w:firstLine="720"/>
        <w:rPr>
          <w:rFonts w:ascii="Arial" w:cs="Arial" w:hAnsi="Arial"/>
          <w:b/>
          <w:bCs/>
          <w:sz w:val="26"/>
          <w:szCs w:val="26"/>
          <w:u w:val="single"/>
          <w:lang w:val="en-US"/>
        </w:rPr>
      </w:pPr>
    </w:p>
    <w:p w14:paraId="0000011B">
      <w:pPr>
        <w:spacing w:beforeAutospacing="0" w:afterAutospacing="0" w:line="480" w:lineRule="auto"/>
        <w:ind w:left="2160" w:firstLine="720"/>
        <w:rPr>
          <w:rFonts w:ascii="Arial" w:cs="Arial" w:hAnsi="Arial"/>
          <w:b/>
          <w:bCs/>
          <w:sz w:val="26"/>
          <w:szCs w:val="26"/>
          <w:u w:val="single"/>
          <w:lang w:val="en-US"/>
        </w:rPr>
      </w:pPr>
    </w:p>
    <w:p w14:paraId="0000011C">
      <w:pPr>
        <w:spacing w:beforeAutospacing="0" w:afterAutospacing="0" w:line="480" w:lineRule="auto"/>
        <w:ind w:left="2160" w:firstLine="720"/>
        <w:rPr>
          <w:rFonts w:ascii="Arial" w:cs="Arial" w:hAnsi="Arial"/>
          <w:b/>
          <w:bCs/>
          <w:sz w:val="26"/>
          <w:szCs w:val="26"/>
          <w:u w:val="single"/>
          <w:lang w:val="en-US"/>
        </w:rPr>
      </w:pPr>
    </w:p>
    <w:p w14:paraId="0000011D">
      <w:pPr>
        <w:spacing w:beforeAutospacing="0" w:afterAutospacing="0" w:line="480" w:lineRule="auto"/>
        <w:ind w:left="2160" w:firstLine="720"/>
        <w:rPr>
          <w:rFonts w:ascii="Arial" w:cs="Arial" w:hAnsi="Arial"/>
          <w:b/>
          <w:bCs/>
          <w:sz w:val="26"/>
          <w:szCs w:val="26"/>
          <w:u w:val="single"/>
          <w:lang w:val="en-US"/>
        </w:rPr>
      </w:pPr>
    </w:p>
    <w:p w14:paraId="0000011E">
      <w:pPr>
        <w:spacing w:beforeAutospacing="0" w:afterAutospacing="0" w:line="480" w:lineRule="auto"/>
        <w:ind w:left="2160" w:firstLine="720"/>
        <w:rPr>
          <w:rFonts w:ascii="Arial" w:cs="Arial" w:hAnsi="Arial"/>
          <w:b/>
          <w:bCs/>
          <w:sz w:val="26"/>
          <w:szCs w:val="26"/>
          <w:u w:val="single"/>
          <w:lang w:val="en-US"/>
        </w:rPr>
      </w:pPr>
    </w:p>
    <w:p w14:paraId="0000011F">
      <w:pPr>
        <w:spacing w:beforeAutospacing="0" w:afterAutospacing="0" w:line="480" w:lineRule="auto"/>
        <w:ind w:left="2160" w:firstLine="720"/>
        <w:rPr>
          <w:rFonts w:ascii="Arial" w:cs="Arial" w:hAnsi="Arial"/>
          <w:b/>
          <w:bCs/>
          <w:sz w:val="26"/>
          <w:szCs w:val="26"/>
          <w:u w:val="single"/>
          <w:lang w:val="en-US"/>
        </w:rPr>
      </w:pPr>
    </w:p>
    <w:p w14:paraId="00000120">
      <w:pPr>
        <w:spacing w:beforeAutospacing="0" w:afterAutospacing="0" w:line="480" w:lineRule="auto"/>
        <w:ind w:left="2160" w:firstLine="720"/>
        <w:rPr>
          <w:rFonts w:ascii="Arial" w:cs="Arial" w:hAnsi="Arial"/>
          <w:b/>
          <w:bCs/>
          <w:sz w:val="26"/>
          <w:szCs w:val="26"/>
          <w:u w:val="single"/>
          <w:lang w:val="en-US"/>
        </w:rPr>
      </w:pPr>
    </w:p>
    <w:p w14:paraId="00000121">
      <w:pPr>
        <w:spacing w:beforeAutospacing="0" w:afterAutospacing="0" w:line="480" w:lineRule="auto"/>
        <w:ind w:left="2160" w:firstLine="720"/>
        <w:rPr>
          <w:rFonts w:ascii="Arial" w:cs="Arial" w:hAnsi="Arial"/>
          <w:b/>
          <w:bCs/>
          <w:sz w:val="26"/>
          <w:szCs w:val="26"/>
          <w:u w:val="single"/>
          <w:lang w:val="en-US"/>
        </w:rPr>
      </w:pPr>
      <w:r>
        <w:rPr>
          <w:rFonts w:ascii="Arial" w:cs="Arial" w:hAnsi="Arial"/>
          <w:b/>
          <w:bCs/>
          <w:sz w:val="26"/>
          <w:szCs w:val="26"/>
          <w:u w:val="single"/>
          <w:lang w:val="en-US"/>
        </w:rPr>
        <w:t>References</w:t>
      </w:r>
    </w:p>
    <w:p w14:paraId="00000122">
      <w:pPr>
        <w:spacing w:beforeAutospacing="0" w:afterAutospacing="0" w:line="480" w:lineRule="auto"/>
        <w:rPr>
          <w:rFonts w:ascii="Arial" w:cs="Arial" w:hAnsi="Arial"/>
          <w:b w:val="off"/>
          <w:bCs w:val="off"/>
          <w:sz w:val="22"/>
          <w:szCs w:val="22"/>
          <w:u w:val="none"/>
          <w:lang w:val="en-US"/>
        </w:rPr>
      </w:pPr>
      <w:r>
        <w:rPr>
          <w:rFonts w:ascii="Arial" w:cs="Arial" w:hAnsi="Arial"/>
          <w:b w:val="off"/>
          <w:bCs w:val="off"/>
          <w:sz w:val="22"/>
          <w:szCs w:val="22"/>
          <w:u w:val="none"/>
          <w:lang w:val="en-US"/>
        </w:rPr>
        <w:t>Arnstein,S.R. (1969)’ A Ladder of Citizen Participation’, Journal of the American Institute of Planners, 35(4),pp.216-224.</w:t>
      </w:r>
    </w:p>
    <w:p w14:paraId="00000123">
      <w:pPr>
        <w:spacing w:beforeAutospacing="0" w:afterAutospacing="0" w:line="480" w:lineRule="auto"/>
        <w:ind w:right="0"/>
        <w:rPr>
          <w:rFonts w:ascii="Arial" w:cs="Arial" w:hAnsi="Arial"/>
          <w:lang w:val="en-US"/>
        </w:rPr>
      </w:pPr>
      <w:r>
        <w:rPr>
          <w:rFonts w:ascii="Arial" w:cs="Arial" w:hAnsi="Arial"/>
          <w:lang w:val="en-US"/>
        </w:rPr>
        <w:t>Birmingham City Council</w:t>
      </w:r>
      <w:r>
        <w:rPr>
          <w:rFonts w:ascii="Arial" w:cs="Arial" w:hAnsi="Arial"/>
          <w:lang w:val="en-US"/>
        </w:rPr>
        <w:t xml:space="preserve"> (</w:t>
      </w:r>
      <w:r>
        <w:rPr>
          <w:rFonts w:ascii="Arial" w:cs="Arial" w:hAnsi="Arial"/>
          <w:b/>
          <w:bCs/>
          <w:lang w:val="en-US"/>
        </w:rPr>
        <w:t>2023</w:t>
      </w:r>
      <w:r>
        <w:rPr>
          <w:rFonts w:ascii="Arial" w:cs="Arial" w:hAnsi="Arial"/>
          <w:lang w:val="en-US"/>
        </w:rPr>
        <w:t>)</w:t>
      </w:r>
      <w:r>
        <w:rPr>
          <w:rFonts w:ascii="Arial" w:cs="Arial" w:hAnsi="Arial"/>
          <w:lang w:val="en-US"/>
        </w:rPr>
        <w:t xml:space="preserve"> Local Housing Strategy documents</w:t>
      </w:r>
      <w:r>
        <w:rPr>
          <w:rFonts w:ascii="Arial" w:cs="Arial" w:hAnsi="Arial"/>
          <w:lang w:val="en-US"/>
        </w:rPr>
        <w:t xml:space="preserve"> </w:t>
      </w:r>
      <w:r>
        <w:rPr>
          <w:rFonts w:ascii="Arial" w:cs="Arial" w:hAnsi="Arial"/>
          <w:b/>
          <w:bCs/>
          <w:lang w:val="en-US"/>
        </w:rPr>
        <w:t>2023</w:t>
      </w:r>
      <w:r>
        <w:rPr>
          <w:rFonts w:ascii="Arial" w:cs="Arial" w:hAnsi="Arial"/>
          <w:lang w:val="en-US"/>
        </w:rPr>
        <w:t>-</w:t>
      </w:r>
      <w:r>
        <w:rPr>
          <w:rFonts w:ascii="Arial" w:cs="Arial" w:hAnsi="Arial"/>
          <w:b/>
          <w:bCs/>
          <w:lang w:val="en-US"/>
        </w:rPr>
        <w:t>2033</w:t>
      </w:r>
      <w:r>
        <w:rPr>
          <w:rFonts w:ascii="Arial" w:cs="Arial" w:hAnsi="Arial"/>
          <w:lang w:val="en-US"/>
        </w:rPr>
        <w:t xml:space="preserve">. Available at: </w:t>
      </w:r>
      <w:r>
        <w:rPr>
          <w:rStyle w:val="Hyperlink"/>
          <w:rFonts w:ascii="Arial" w:cs="Arial" w:hAnsi="Arial"/>
          <w:lang w:val="en-US"/>
        </w:rPr>
        <w:fldChar w:fldCharType="begin"/>
      </w:r>
      <w:r>
        <w:rPr>
          <w:rStyle w:val="Hyperlink"/>
          <w:rFonts w:ascii="Arial" w:cs="Arial" w:hAnsi="Arial"/>
          <w:lang w:val="en-US"/>
        </w:rPr>
        <w:instrText xml:space="preserve">HYPERLINK "http://www.birmingham.gov.uk/housing/housing-strategy-and-policy/local-housing-strategy" </w:instrText>
      </w:r>
      <w:r>
        <w:rPr>
          <w:rStyle w:val="Hyperlink"/>
          <w:rFonts w:ascii="Arial" w:cs="Arial" w:hAnsi="Arial"/>
          <w:lang w:val="en-US"/>
        </w:rPr>
        <w:fldChar w:fldCharType="separate"/>
      </w:r>
      <w:r>
        <w:rPr>
          <w:rStyle w:val="Hyperlink"/>
          <w:rFonts w:ascii="Arial" w:cs="Arial" w:hAnsi="Arial"/>
          <w:lang w:val="en-US"/>
        </w:rPr>
        <w:t>http://www.birmingham.gov.uk/housing/housing-strategy-and-policy/local-housing-strategy</w:t>
      </w:r>
      <w:r>
        <w:rPr>
          <w:rFonts w:ascii="Arial" w:cs="Arial" w:hAnsi="Arial"/>
          <w:lang w:val="en-US"/>
        </w:rPr>
        <w:fldChar w:fldCharType="end"/>
      </w:r>
      <w:r>
        <w:rPr>
          <w:rFonts w:ascii="Arial" w:cs="Arial" w:hAnsi="Arial"/>
          <w:lang w:val="en-US"/>
        </w:rPr>
        <w:t xml:space="preserve"> (</w:t>
      </w:r>
      <w:r>
        <w:rPr>
          <w:rFonts w:ascii="Arial" w:cs="Arial" w:hAnsi="Arial"/>
          <w:b w:val="off"/>
          <w:bCs w:val="off"/>
          <w:lang w:val="en-US"/>
        </w:rPr>
        <w:t>Accessed</w:t>
      </w:r>
      <w:r>
        <w:rPr>
          <w:rFonts w:ascii="Arial" w:cs="Arial" w:hAnsi="Arial"/>
          <w:lang w:val="en-US"/>
        </w:rPr>
        <w:t>: 11 July 2026</w:t>
      </w:r>
      <w:r>
        <w:rPr>
          <w:rFonts w:ascii="Arial" w:cs="Arial" w:hAnsi="Arial"/>
          <w:lang w:val="en-US"/>
        </w:rPr>
        <w:t>)</w:t>
      </w:r>
    </w:p>
    <w:p w14:paraId="00000124">
      <w:pPr>
        <w:spacing w:beforeAutospacing="0" w:afterAutospacing="0" w:line="480" w:lineRule="auto"/>
        <w:ind w:right="0"/>
        <w:rPr>
          <w:rFonts w:ascii="Arial" w:cs="Arial" w:hAnsi="Arial"/>
          <w:lang w:val="en-US"/>
        </w:rPr>
      </w:pPr>
      <w:r>
        <w:rPr>
          <w:rFonts w:ascii="Arial" w:cs="Arial" w:hAnsi="Arial"/>
          <w:lang w:val="en-US"/>
        </w:rPr>
        <w:t>Bourne,L. (2015) Stakeholder Relationship Managament: A Maturity Model for Organisational Implementation. Farnham: Gower.</w:t>
      </w:r>
    </w:p>
    <w:p w14:paraId="00000125">
      <w:pPr>
        <w:spacing w:beforeAutospacing="0" w:afterAutospacing="0" w:line="480" w:lineRule="auto"/>
        <w:ind w:right="0"/>
        <w:rPr>
          <w:rFonts w:ascii="Arial" w:cs="Arial" w:hAnsi="Arial"/>
          <w:lang w:val="en-US"/>
        </w:rPr>
      </w:pPr>
      <w:r>
        <w:rPr>
          <w:rFonts w:ascii="Arial" w:cs="Arial" w:hAnsi="Arial"/>
          <w:lang w:val="en-US"/>
        </w:rPr>
        <w:t>Bryson,J.M.(2004) ‘ what to do when stakeholders matter: Stakeholder identification and analysis techniques’, Public Management Review, 6(1),pp.21-53.</w:t>
      </w:r>
    </w:p>
    <w:p w14:paraId="00000126">
      <w:pPr>
        <w:spacing w:beforeAutospacing="0" w:afterAutospacing="0" w:line="480" w:lineRule="auto"/>
        <w:ind w:right="0"/>
        <w:rPr>
          <w:rFonts w:ascii="Arial" w:cs="Arial" w:hAnsi="Arial"/>
          <w:lang w:val="en-US"/>
        </w:rPr>
      </w:pPr>
      <w:r>
        <w:rPr>
          <w:rFonts w:ascii="Arial" w:cs="Arial" w:hAnsi="Arial"/>
          <w:lang w:val="en-US"/>
        </w:rPr>
        <w:t>Chartered Institute of Building- community Engagement Code and Guidance</w:t>
      </w:r>
      <w:r>
        <w:rPr>
          <w:rFonts w:ascii="Arial" w:cs="Arial" w:hAnsi="Arial"/>
          <w:lang w:val="en-US"/>
        </w:rPr>
        <w:t>. Available at</w:t>
      </w:r>
      <w:r>
        <w:rPr>
          <w:rFonts w:ascii="Arial" w:cs="Arial" w:hAnsi="Arial"/>
          <w:lang w:val="en-US"/>
        </w:rPr>
        <w:t xml:space="preserve">: </w:t>
      </w:r>
      <w:r>
        <w:rPr>
          <w:rStyle w:val="Hyperlink"/>
          <w:rFonts w:ascii="Arial" w:cs="Arial" w:hAnsi="Arial"/>
          <w:lang w:val="en-US"/>
        </w:rPr>
        <w:fldChar w:fldCharType="begin"/>
      </w:r>
      <w:r>
        <w:rPr>
          <w:rStyle w:val="Hyperlink"/>
          <w:rFonts w:ascii="Arial" w:cs="Arial" w:hAnsi="Arial"/>
          <w:lang w:val="en-US"/>
        </w:rPr>
        <w:instrText xml:space="preserve">HYPERLINK "http://www.ciob/standard-and-codes/codes-and-guidance/community-engagement" </w:instrText>
      </w:r>
      <w:r>
        <w:rPr>
          <w:rStyle w:val="Hyperlink"/>
          <w:rFonts w:ascii="Arial" w:cs="Arial" w:hAnsi="Arial"/>
          <w:lang w:val="en-US"/>
        </w:rPr>
        <w:fldChar w:fldCharType="separate"/>
      </w:r>
      <w:r>
        <w:rPr>
          <w:rStyle w:val="Hyperlink"/>
          <w:rFonts w:ascii="Arial" w:cs="Arial" w:hAnsi="Arial"/>
          <w:lang w:val="en-US"/>
        </w:rPr>
        <w:t>http://www.ciob/standard-and-codes/codes-and-guidance/community-engagement</w:t>
      </w:r>
      <w:r>
        <w:rPr>
          <w:rFonts w:ascii="Arial" w:cs="Arial" w:hAnsi="Arial"/>
          <w:lang w:val="en-US"/>
        </w:rPr>
        <w:fldChar w:fldCharType="end"/>
      </w:r>
      <w:r>
        <w:rPr>
          <w:rFonts w:ascii="Arial" w:cs="Arial" w:hAnsi="Arial"/>
          <w:lang w:val="en-US"/>
        </w:rPr>
        <w:t xml:space="preserve"> (</w:t>
      </w:r>
      <w:r>
        <w:rPr>
          <w:rFonts w:ascii="Arial" w:cs="Arial" w:hAnsi="Arial"/>
          <w:b w:val="off"/>
          <w:bCs w:val="off"/>
          <w:lang w:val="en-US"/>
        </w:rPr>
        <w:t>Accessed</w:t>
      </w:r>
      <w:r>
        <w:rPr>
          <w:rFonts w:ascii="Arial" w:cs="Arial" w:hAnsi="Arial"/>
          <w:b w:val="off"/>
          <w:bCs w:val="off"/>
          <w:lang w:val="en-US"/>
        </w:rPr>
        <w:t>:</w:t>
      </w:r>
      <w:r>
        <w:rPr>
          <w:rFonts w:ascii="Arial" w:cs="Arial" w:hAnsi="Arial"/>
          <w:lang w:val="en-US"/>
        </w:rPr>
        <w:t xml:space="preserve"> 8 July 2026</w:t>
      </w:r>
      <w:r>
        <w:rPr>
          <w:rFonts w:ascii="Arial" w:cs="Arial" w:hAnsi="Arial"/>
          <w:lang w:val="en-US"/>
        </w:rPr>
        <w:t>)</w:t>
      </w:r>
    </w:p>
    <w:p w14:paraId="00000127">
      <w:pPr>
        <w:spacing w:beforeAutospacing="0" w:afterAutospacing="0" w:line="480" w:lineRule="auto"/>
        <w:ind w:right="0"/>
        <w:rPr>
          <w:rFonts w:ascii="Arial" w:cs="Arial" w:hAnsi="Arial"/>
          <w:lang w:val="en-US"/>
        </w:rPr>
      </w:pPr>
      <w:r>
        <w:rPr>
          <w:rFonts w:ascii="Arial" w:cs="Arial" w:hAnsi="Arial"/>
          <w:lang w:val="en-US"/>
        </w:rPr>
        <w:t xml:space="preserve">Considerate Construction Scheme.(n.d.) Code of Considerate Practice. Available at: </w:t>
      </w:r>
      <w:r>
        <w:rPr>
          <w:rStyle w:val="Hyperlink"/>
          <w:rFonts w:ascii="Arial" w:cs="Arial" w:hAnsi="Arial"/>
          <w:lang w:val="en-US"/>
        </w:rPr>
        <w:fldChar w:fldCharType="begin"/>
      </w:r>
      <w:r>
        <w:rPr>
          <w:rStyle w:val="Hyperlink"/>
          <w:rFonts w:ascii="Arial" w:cs="Arial" w:hAnsi="Arial"/>
          <w:lang w:val="en-US"/>
        </w:rPr>
        <w:instrText xml:space="preserve">HYPERLINK "http://www.ccscheme.org.uk"</w:instrText>
      </w:r>
      <w:r>
        <w:rPr>
          <w:rStyle w:val="Hyperlink"/>
          <w:rFonts w:ascii="Arial" w:cs="Arial" w:hAnsi="Arial"/>
          <w:lang w:val="en-US"/>
        </w:rPr>
        <w:fldChar w:fldCharType="separate"/>
      </w:r>
      <w:r>
        <w:rPr>
          <w:rStyle w:val="Hyperlink"/>
          <w:rFonts w:ascii="Arial" w:cs="Arial" w:hAnsi="Arial"/>
          <w:lang w:val="en-US"/>
        </w:rPr>
        <w:t>https://www.ccscheme.org.uk</w:t>
      </w:r>
      <w:r>
        <w:rPr>
          <w:rFonts w:ascii="Arial" w:cs="Arial" w:hAnsi="Arial"/>
          <w:lang w:val="en-US"/>
        </w:rPr>
        <w:fldChar w:fldCharType="end"/>
      </w:r>
      <w:r>
        <w:rPr>
          <w:rFonts w:ascii="Arial" w:cs="Arial" w:hAnsi="Arial"/>
          <w:lang w:val="en-US"/>
        </w:rPr>
        <w:t xml:space="preserve">  (Accessed: 8 July 2026)</w:t>
      </w:r>
    </w:p>
    <w:p w14:paraId="00000128">
      <w:pPr>
        <w:spacing w:beforeAutospacing="0" w:afterAutospacing="0" w:line="480" w:lineRule="auto"/>
        <w:ind w:right="0"/>
        <w:rPr>
          <w:rFonts w:ascii="Arial" w:cs="Arial" w:hAnsi="Arial"/>
          <w:lang w:val="en-US"/>
        </w:rPr>
      </w:pPr>
      <w:r>
        <w:rPr>
          <w:rFonts w:ascii="Arial" w:cs="Arial" w:hAnsi="Arial"/>
          <w:lang w:val="en-US"/>
        </w:rPr>
        <w:t>Data Protection Act 2018. London: The Stationery Office</w:t>
      </w:r>
    </w:p>
    <w:p w14:paraId="00000129">
      <w:pPr>
        <w:spacing w:beforeAutospacing="0" w:afterAutospacing="0" w:line="480" w:lineRule="auto"/>
        <w:ind w:right="0"/>
        <w:rPr>
          <w:rFonts w:ascii="Arial" w:cs="Arial" w:hAnsi="Arial"/>
          <w:lang w:val="en-US"/>
        </w:rPr>
      </w:pPr>
      <w:r>
        <w:rPr>
          <w:rFonts w:ascii="Arial" w:cs="Arial" w:hAnsi="Arial"/>
          <w:lang w:val="en-US"/>
        </w:rPr>
        <w:t xml:space="preserve">Department for Levelling Up, Housing and Communities (2024) Community Engagement in Planning Practice Guidance. Available at: </w:t>
      </w:r>
      <w:r>
        <w:rPr>
          <w:rStyle w:val="Hyperlink"/>
          <w:rFonts w:ascii="Arial" w:cs="Arial" w:hAnsi="Arial"/>
          <w:lang w:val="en-US"/>
        </w:rPr>
        <w:fldChar w:fldCharType="begin"/>
      </w:r>
      <w:r>
        <w:rPr>
          <w:rStyle w:val="Hyperlink"/>
          <w:rFonts w:ascii="Arial" w:cs="Arial" w:hAnsi="Arial"/>
          <w:lang w:val="en-US"/>
        </w:rPr>
        <w:instrText xml:space="preserve">HYPERLINK "https://www.gov.uk/government/publications/community-engagement-in-planning-practice-guidance"</w:instrText>
      </w:r>
      <w:r>
        <w:rPr>
          <w:rStyle w:val="Hyperlink"/>
          <w:rFonts w:ascii="Arial" w:cs="Arial" w:hAnsi="Arial"/>
          <w:lang w:val="en-US"/>
        </w:rPr>
        <w:fldChar w:fldCharType="separate"/>
      </w:r>
      <w:r>
        <w:rPr>
          <w:rStyle w:val="Hyperlink"/>
          <w:rFonts w:ascii="Arial" w:cs="Arial" w:hAnsi="Arial"/>
          <w:lang w:val="en-US"/>
        </w:rPr>
        <w:t>https://www.gov.uk/government/publications/community-engagement-in-planning-practice-guidance</w:t>
      </w:r>
      <w:r>
        <w:rPr>
          <w:rFonts w:ascii="Arial" w:cs="Arial" w:hAnsi="Arial"/>
          <w:lang w:val="en-US"/>
        </w:rPr>
        <w:fldChar w:fldCharType="end"/>
      </w:r>
      <w:r>
        <w:rPr>
          <w:rFonts w:ascii="Arial" w:cs="Arial" w:hAnsi="Arial"/>
          <w:lang w:val="en-US"/>
        </w:rPr>
        <w:t xml:space="preserve">  (Accessed: 11 July 2026).</w:t>
      </w:r>
    </w:p>
    <w:p w14:paraId="0000012A">
      <w:pPr>
        <w:spacing w:beforeAutospacing="0" w:afterAutospacing="0" w:line="480" w:lineRule="auto"/>
        <w:ind w:right="0"/>
        <w:rPr>
          <w:rFonts w:ascii="Arial" w:cs="Arial" w:hAnsi="Arial"/>
          <w:lang w:val="en-US"/>
        </w:rPr>
      </w:pPr>
      <w:r>
        <w:rPr>
          <w:rFonts w:ascii="Arial" w:cs="Arial" w:hAnsi="Arial"/>
          <w:lang w:val="en-US"/>
        </w:rPr>
        <w:t>Equality Act 2010. London: The Stationery Office.</w:t>
      </w:r>
    </w:p>
    <w:p w14:paraId="0000012B">
      <w:pPr>
        <w:spacing w:beforeAutospacing="0" w:afterAutospacing="0" w:line="480" w:lineRule="auto"/>
        <w:ind w:right="0"/>
        <w:rPr>
          <w:rFonts w:ascii="Arial" w:cs="Arial" w:hAnsi="Arial"/>
          <w:lang w:val="en-US"/>
        </w:rPr>
      </w:pPr>
      <w:r>
        <w:rPr>
          <w:rFonts w:ascii="Arial" w:cs="Arial" w:hAnsi="Arial"/>
          <w:lang w:val="en-US"/>
        </w:rPr>
        <w:t>Freeman,R.E. (1984) Strategic Management: A Stakeholder Approach. Boston: pitman.</w:t>
      </w:r>
    </w:p>
    <w:p w14:paraId="0000012C">
      <w:pPr>
        <w:spacing w:beforeAutospacing="0" w:afterAutospacing="0" w:line="480" w:lineRule="auto"/>
        <w:ind w:right="0"/>
        <w:rPr>
          <w:rFonts w:ascii="Arial" w:cs="Arial" w:hAnsi="Arial"/>
          <w:lang w:val="en-US"/>
        </w:rPr>
      </w:pPr>
      <w:r>
        <w:rPr>
          <w:rFonts w:ascii="Arial" w:cs="Arial" w:hAnsi="Arial"/>
          <w:lang w:val="en-US"/>
        </w:rPr>
        <w:t>Health and Safety at work etc. Act 1974. London: The Stationery Office.</w:t>
      </w:r>
    </w:p>
    <w:p w14:paraId="0000012D">
      <w:pPr>
        <w:spacing w:beforeAutospacing="0" w:afterAutospacing="0" w:line="480" w:lineRule="auto"/>
        <w:ind w:right="0"/>
        <w:rPr>
          <w:rFonts w:ascii="Arial" w:cs="Arial" w:hAnsi="Arial"/>
          <w:lang w:val="en-US"/>
        </w:rPr>
      </w:pPr>
      <w:r>
        <w:rPr>
          <w:rFonts w:ascii="Arial" w:cs="Arial" w:hAnsi="Arial"/>
          <w:lang w:val="en-US"/>
        </w:rPr>
        <w:t>Housing Sct 1996. London: The Stationery Office.</w:t>
      </w:r>
    </w:p>
    <w:p w14:paraId="0000012E">
      <w:pPr>
        <w:spacing w:beforeAutospacing="0" w:afterAutospacing="0" w:line="480" w:lineRule="auto"/>
        <w:ind w:right="0"/>
        <w:rPr>
          <w:rFonts w:ascii="Arial" w:cs="Arial" w:hAnsi="Arial"/>
          <w:lang w:val="en-US"/>
        </w:rPr>
      </w:pPr>
      <w:r>
        <w:rPr>
          <w:rFonts w:ascii="Arial" w:cs="Arial" w:hAnsi="Arial"/>
          <w:lang w:val="en-US"/>
        </w:rPr>
        <w:t>Uk Information Commissioner’s Office Data Protection for Group</w:t>
      </w:r>
      <w:r>
        <w:rPr>
          <w:rFonts w:ascii="Arial" w:cs="Arial" w:hAnsi="Arial"/>
          <w:lang w:val="en-US"/>
        </w:rPr>
        <w:t xml:space="preserve">. Available at: </w:t>
      </w:r>
      <w:r>
        <w:rPr>
          <w:rStyle w:val="Hyperlink"/>
          <w:rFonts w:ascii="Arial" w:cs="Arial" w:hAnsi="Arial"/>
          <w:lang w:val="en-US"/>
        </w:rPr>
        <w:fldChar w:fldCharType="begin"/>
      </w:r>
      <w:r>
        <w:rPr>
          <w:rStyle w:val="Hyperlink"/>
          <w:rFonts w:ascii="Arial" w:cs="Arial" w:hAnsi="Arial"/>
          <w:lang w:val="en-US"/>
        </w:rPr>
        <w:instrText xml:space="preserve">HYPERLINK "http://www.ico.org.uk/for-orgaisation/charities-clubs-and-groups/" </w:instrText>
      </w:r>
      <w:r>
        <w:rPr>
          <w:rStyle w:val="Hyperlink"/>
          <w:rFonts w:ascii="Arial" w:cs="Arial" w:hAnsi="Arial"/>
          <w:lang w:val="en-US"/>
        </w:rPr>
        <w:fldChar w:fldCharType="separate"/>
      </w:r>
      <w:r>
        <w:rPr>
          <w:rStyle w:val="Hyperlink"/>
          <w:rFonts w:ascii="Arial" w:cs="Arial" w:hAnsi="Arial"/>
          <w:lang w:val="en-US"/>
        </w:rPr>
        <w:t>http://www.ico.org.uk/for-orgaisation/charities-clubs-and-groups/</w:t>
      </w:r>
      <w:r>
        <w:rPr>
          <w:rFonts w:ascii="Arial" w:cs="Arial" w:hAnsi="Arial"/>
          <w:lang w:val="en-US"/>
        </w:rPr>
        <w:fldChar w:fldCharType="end"/>
      </w:r>
      <w:r>
        <w:rPr>
          <w:rFonts w:ascii="Arial" w:cs="Arial" w:hAnsi="Arial"/>
          <w:lang w:val="en-US"/>
        </w:rPr>
        <w:t xml:space="preserve"> (</w:t>
      </w:r>
      <w:r>
        <w:rPr>
          <w:rFonts w:ascii="Arial" w:cs="Arial" w:hAnsi="Arial"/>
          <w:b/>
          <w:bCs/>
          <w:lang w:val="en-US"/>
        </w:rPr>
        <w:t>Accessed</w:t>
      </w:r>
      <w:r>
        <w:rPr>
          <w:rFonts w:ascii="Arial" w:cs="Arial" w:hAnsi="Arial"/>
          <w:lang w:val="en-US"/>
        </w:rPr>
        <w:t xml:space="preserve">: </w:t>
      </w:r>
      <w:r>
        <w:rPr>
          <w:rFonts w:ascii="Arial" w:cs="Arial" w:hAnsi="Arial"/>
          <w:lang w:val="en-US"/>
        </w:rPr>
        <w:t>8/7/2026).</w:t>
      </w:r>
    </w:p>
    <w:p w14:paraId="0000012F">
      <w:pPr>
        <w:spacing w:beforeAutospacing="0" w:afterAutospacing="0" w:line="480" w:lineRule="auto"/>
        <w:ind w:right="0"/>
        <w:rPr>
          <w:rFonts w:ascii="Arial" w:cs="Arial" w:hAnsi="Arial"/>
          <w:lang w:val="en-US"/>
        </w:rPr>
      </w:pPr>
      <w:r>
        <w:rPr>
          <w:rFonts w:ascii="Arial" w:cs="Arial" w:hAnsi="Arial"/>
          <w:lang w:val="en-US"/>
        </w:rPr>
        <w:t>Project Management Institute</w:t>
      </w:r>
      <w:r>
        <w:rPr>
          <w:rFonts w:ascii="Arial" w:cs="Arial" w:hAnsi="Arial"/>
          <w:lang w:val="en-US"/>
        </w:rPr>
        <w:t xml:space="preserve"> </w:t>
      </w:r>
      <w:r>
        <w:rPr>
          <w:rFonts w:ascii="Arial" w:cs="Arial" w:hAnsi="Arial"/>
          <w:lang w:val="en-US"/>
        </w:rPr>
        <w:t>(</w:t>
      </w:r>
      <w:r>
        <w:rPr>
          <w:rFonts w:ascii="Arial" w:cs="Arial" w:hAnsi="Arial"/>
          <w:b/>
          <w:bCs/>
          <w:lang w:val="en-US"/>
        </w:rPr>
        <w:t>2021</w:t>
      </w:r>
      <w:r>
        <w:rPr>
          <w:rFonts w:ascii="Arial" w:cs="Arial" w:hAnsi="Arial"/>
          <w:lang w:val="en-US"/>
        </w:rPr>
        <w:t>)</w:t>
      </w:r>
      <w:r>
        <w:rPr>
          <w:rFonts w:ascii="Arial" w:cs="Arial" w:hAnsi="Arial"/>
          <w:lang w:val="en-US"/>
        </w:rPr>
        <w:t xml:space="preserve"> - simple Guide to working with stakeholders</w:t>
      </w:r>
      <w:r>
        <w:rPr>
          <w:rFonts w:ascii="Arial" w:cs="Arial" w:hAnsi="Arial"/>
          <w:lang w:val="en-US"/>
        </w:rPr>
        <w:t xml:space="preserve">. Available at: </w:t>
      </w:r>
      <w:r>
        <w:rPr>
          <w:rStyle w:val="Hyperlink"/>
          <w:rFonts w:ascii="Arial" w:cs="Arial" w:hAnsi="Arial"/>
          <w:lang w:val="en-US"/>
        </w:rPr>
        <w:fldChar w:fldCharType="begin"/>
      </w:r>
      <w:r>
        <w:rPr>
          <w:rStyle w:val="Hyperlink"/>
          <w:rFonts w:ascii="Arial" w:cs="Arial" w:hAnsi="Arial"/>
          <w:lang w:val="en-US"/>
        </w:rPr>
        <w:instrText xml:space="preserve">HYPERLINK "http://www.pmi.org/learning/library/working-effectively-stakeholders-6521" </w:instrText>
      </w:r>
      <w:r>
        <w:rPr>
          <w:rStyle w:val="Hyperlink"/>
          <w:rFonts w:ascii="Arial" w:cs="Arial" w:hAnsi="Arial"/>
          <w:lang w:val="en-US"/>
        </w:rPr>
        <w:fldChar w:fldCharType="separate"/>
      </w:r>
      <w:r>
        <w:rPr>
          <w:rStyle w:val="Hyperlink"/>
          <w:rFonts w:ascii="Arial" w:cs="Arial" w:hAnsi="Arial"/>
          <w:lang w:val="en-US"/>
        </w:rPr>
        <w:t>http://www.pmi.org/learning/library/working-effectively-stakeholders-6521</w:t>
      </w:r>
      <w:r>
        <w:rPr>
          <w:rFonts w:ascii="Arial" w:cs="Arial" w:hAnsi="Arial"/>
          <w:lang w:val="en-US"/>
        </w:rPr>
        <w:fldChar w:fldCharType="end"/>
      </w:r>
      <w:r>
        <w:rPr>
          <w:rFonts w:ascii="Arial" w:cs="Arial" w:hAnsi="Arial"/>
          <w:lang w:val="en-US"/>
        </w:rPr>
        <w:t xml:space="preserve"> </w:t>
      </w:r>
      <w:r>
        <w:rPr>
          <w:rFonts w:ascii="Arial" w:cs="Arial" w:hAnsi="Arial"/>
          <w:lang w:val="en-US"/>
        </w:rPr>
        <w:t>(</w:t>
      </w:r>
      <w:r>
        <w:rPr>
          <w:rFonts w:ascii="Arial" w:cs="Arial" w:hAnsi="Arial"/>
          <w:b/>
          <w:bCs/>
          <w:lang w:val="en-US"/>
        </w:rPr>
        <w:t>Accessed</w:t>
      </w:r>
      <w:r>
        <w:rPr>
          <w:rFonts w:ascii="Arial" w:cs="Arial" w:hAnsi="Arial"/>
          <w:lang w:val="en-US"/>
        </w:rPr>
        <w:t>: 12/7/2026).</w:t>
      </w:r>
    </w:p>
    <w:p w14:paraId="00000130">
      <w:pPr>
        <w:spacing w:beforeAutospacing="0" w:afterAutospacing="0" w:line="480" w:lineRule="auto"/>
        <w:rPr>
          <w:rFonts w:ascii="Arial" w:cs="Arial" w:hAnsi="Arial"/>
          <w:lang w:val="en-US"/>
        </w:rPr>
      </w:pPr>
    </w:p>
    <w:p w14:paraId="00000131">
      <w:pPr>
        <w:spacing w:beforeAutospacing="0" w:afterAutospacing="0" w:line="480" w:lineRule="auto"/>
        <w:rPr>
          <w:rFonts w:ascii="Arial" w:cs="Arial" w:hAnsi="Arial"/>
          <w:lang w:val="en-US"/>
        </w:rPr>
      </w:pPr>
      <w:r>
        <w:rPr>
          <w:rFonts w:ascii="Arial" w:cs="Arial" w:hAnsi="Arial"/>
          <w:lang w:val="en-US"/>
        </w:rPr>
        <w:t xml:space="preserve"> </w:t>
      </w:r>
    </w:p>
    <w:p w14:paraId="00000132">
      <w:pPr>
        <w:rPr>
          <w:rFonts w:ascii="Arial" w:cs="Arial" w:hAnsi="Arial"/>
          <w:lang w:val="en-US"/>
        </w:rPr>
      </w:pPr>
    </w:p>
    <w:p w14:paraId="00000133">
      <w:pPr>
        <w:rPr>
          <w:rFonts w:ascii="Arial" w:cs="Arial" w:hAnsi="Arial"/>
          <w:b/>
          <w:bCs/>
          <w:lang w:val="en-US"/>
        </w:rPr>
      </w:pPr>
    </w:p>
    <w:p w14:paraId="00000134">
      <w:pPr>
        <w:rPr>
          <w:rFonts w:ascii="Arial" w:cs="Arial" w:hAnsi="Arial"/>
          <w:lang w:val="en-US"/>
        </w:rPr>
      </w:pPr>
    </w:p>
    <w:p w14:paraId="00000135">
      <w:pPr>
        <w:rPr>
          <w:rFonts w:ascii="Arial" w:cs="Arial" w:hAnsi="Arial"/>
          <w:lang w:val="en-US"/>
        </w:rPr>
      </w:pPr>
    </w:p>
    <w:p w14:paraId="00000136"/>
    <w:sectPr>
      <w:pgSz w:w="11906" w:h="16838"/>
      <w:pgMar w:top="1440" w:right="1440" w:bottom="1440" w:left="1440" w:header="708" w:footer="708" w:gutter="0"/>
      <w:paperSrc w:first="1" w:other="1"/>
      <w:cols w:space="72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decorative"/>
    <w:pitch w:val="variable"/>
    <w:sig w:usb0="00000000" w:usb1="10000000" w:usb2="00000000" w:usb3="00000000" w:csb0="00000000" w:csb1="00000000"/>
  </w:font>
  <w:font w:name="Times New Roman">
    <w:panose1 w:val="02020603050405020304"/>
    <w:charset w:val="00"/>
    <w:family w:val="roman"/>
    <w:pitch w:val="variable"/>
    <w:sig w:usb0="00000000" w:usb1="00000000" w:usb2="00000009" w:usb3="00000000" w:csb0="000001ff"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auto"/>
    <w:pitch w:val="variable"/>
  </w:font>
  <w:font w:name="Calibri">
    <w:panose1 w:val="020f0502020204030204"/>
    <w:charset w:val="00"/>
    <w:family w:val="swiss"/>
    <w:pitch w:val="variable"/>
    <w:sig w:usb0="00000000" w:usb1="4000acff" w:usb2="00000001" w:usb3="00000000" w:csb0="0000019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00000000" w:usb1="00000000" w:usb2="00000009" w:usb3="00000000" w:csb0="000001ff" w:csb1="00000000"/>
  </w:font>
  <w:font w:name="Calibri Light">
    <w:panose1 w:val="020f0302020204030204"/>
    <w:charset w:val="00"/>
    <w:family w:val="swiss"/>
    <w:pitch w:val="variable"/>
    <w:sig w:usb0="00000000" w:usb1="4000207b" w:usb2="00000000" w:usb3="00000000" w:csb0="0000019f" w:csb1="00000000"/>
  </w:font>
  <w:font w:name="DengXian Light">
    <w:altName w:val="等线 Light"/>
    <w:panose1 w:val="02010600030101010101"/>
    <w:charset w:val="86"/>
    <w:family w:val="roman"/>
    <w:notTrueType w:val="on"/>
    <w:pitch w:val="default"/>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Helvetica Neue">
    <w:charset w:val="00"/>
    <w:family w:val="swiss"/>
    <w:pitch w:val="variable"/>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1">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2">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3">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4">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5">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6">
    <w:multiLevelType w:val="multilevel"/>
    <w:lvl w:ilvl="0" w:tentative="0">
      <w:start w:val="1"/>
      <w:numFmt w:val="decimal"/>
      <w:lvlText w:val="%1)"/>
      <w:lvlJc w:val="left"/>
      <w:pPr>
        <w:ind w:left="360" w:hanging="360"/>
      </w:pPr>
    </w:lvl>
    <w:lvl w:ilvl="1" w:tentative="1">
      <w:start w:val="1"/>
      <w:numFmt w:val="lowerLetter"/>
      <w:lvlText w:val="%2)"/>
      <w:lvlJc w:val="left"/>
      <w:pPr>
        <w:ind w:left="1080" w:hanging="360"/>
      </w:pPr>
    </w:lvl>
    <w:lvl w:ilvl="2" w:tentative="1">
      <w:start w:val="1"/>
      <w:numFmt w:val="lowerRoman"/>
      <w:lvlText w:val="%3)"/>
      <w:lvlJc w:val="left"/>
      <w:pPr>
        <w:ind w:left="1800" w:hanging="360"/>
      </w:pPr>
    </w:lvl>
    <w:lvl w:ilvl="3" w:tentative="1">
      <w:start w:val="1"/>
      <w:numFmt w:val="decimal"/>
      <w:lvlText w:val="(%4)"/>
      <w:lvlJc w:val="left"/>
      <w:pPr>
        <w:ind w:left="2520" w:hanging="360"/>
      </w:pPr>
    </w:lvl>
    <w:lvl w:ilvl="4" w:tentative="1">
      <w:start w:val="1"/>
      <w:numFmt w:val="lowerLetter"/>
      <w:lvlText w:val="(%5)"/>
      <w:lvlJc w:val="left"/>
      <w:pPr>
        <w:ind w:left="3240" w:hanging="360"/>
      </w:pPr>
    </w:lvl>
    <w:lvl w:ilvl="5" w:tentative="1">
      <w:start w:val="1"/>
      <w:numFmt w:val="lowerRoman"/>
      <w:lvlText w:val="(%6)"/>
      <w:lvlJc w:val="left"/>
      <w:pPr>
        <w:ind w:left="3960" w:hanging="360"/>
      </w:pPr>
    </w:lvl>
    <w:lvl w:ilvl="6" w:tentative="1">
      <w:start w:val="1"/>
      <w:numFmt w:val="decimal"/>
      <w:lvlText w:val="%7."/>
      <w:lvlJc w:val="left"/>
      <w:pPr>
        <w:ind w:left="4680" w:hanging="360"/>
      </w:pPr>
    </w:lvl>
    <w:lvl w:ilvl="7" w:tentative="1">
      <w:start w:val="1"/>
      <w:numFmt w:val="lowerLetter"/>
      <w:lvlText w:val="%8."/>
      <w:lvlJc w:val="left"/>
      <w:pPr>
        <w:ind w:left="5400" w:hanging="360"/>
      </w:pPr>
    </w:lvl>
    <w:lvl w:ilvl="8" w:tentative="1">
      <w:start w:val="1"/>
      <w:numFmt w:val="lowerRoman"/>
      <w:lvlText w:val="%9."/>
      <w:lvlJc w:val="left"/>
      <w:pPr>
        <w:ind w:left="6120" w:hanging="360"/>
      </w:pPr>
    </w:lvl>
  </w:abstractNum>
  <w:abstractNum w:abstractNumId="7">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36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36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360"/>
      </w:pPr>
    </w:lvl>
  </w:abstractNum>
  <w:abstractNum w:abstractNumId="8">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9">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10">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11">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12">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13">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14">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15">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16">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17">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18">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36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36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360"/>
      </w:pPr>
    </w:lvl>
  </w:abstractNum>
  <w:abstractNum w:abstractNumId="19">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20">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21">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22">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23">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24">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25">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26">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27">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28">
    <w:multiLevelType w:val="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29">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36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36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360"/>
      </w:pPr>
    </w:lvl>
  </w:abstractNum>
  <w:abstractNum w:abstractNumId="30">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31">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32">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33">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34">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35">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36">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37">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38">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39">
    <w:multiLevelType w:val="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40">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41">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num w:numId="1">
    <w:abstractNumId w:val="6"/>
  </w:num>
  <w:num w:numId="2">
    <w:abstractNumId w:val="29"/>
  </w:num>
  <w:num w:numId="3">
    <w:abstractNumId w:val="7"/>
  </w:num>
  <w:num w:numId="4">
    <w:abstractNumId w:val="34"/>
  </w:num>
  <w:num w:numId="5">
    <w:abstractNumId w:val="11"/>
  </w:num>
  <w:num w:numId="6">
    <w:abstractNumId w:val="31"/>
  </w:num>
  <w:num w:numId="7">
    <w:abstractNumId w:val="12"/>
  </w:num>
  <w:num w:numId="8">
    <w:abstractNumId w:val="8"/>
  </w:num>
  <w:num w:numId="9">
    <w:abstractNumId w:val="38"/>
  </w:num>
  <w:num w:numId="10">
    <w:abstractNumId w:val="25"/>
  </w:num>
  <w:num w:numId="11">
    <w:abstractNumId w:val="39"/>
  </w:num>
  <w:num w:numId="12">
    <w:abstractNumId w:val="35"/>
  </w:num>
  <w:num w:numId="13">
    <w:abstractNumId w:val="36"/>
  </w:num>
  <w:num w:numId="14">
    <w:abstractNumId w:val="13"/>
  </w:num>
  <w:num w:numId="15">
    <w:abstractNumId w:val="28"/>
  </w:num>
  <w:num w:numId="16">
    <w:abstractNumId w:val="21"/>
  </w:num>
  <w:num w:numId="17">
    <w:abstractNumId w:val="32"/>
  </w:num>
  <w:num w:numId="18">
    <w:abstractNumId w:val="33"/>
  </w:num>
  <w:num w:numId="19">
    <w:abstractNumId w:val="20"/>
  </w:num>
  <w:num w:numId="20">
    <w:abstractNumId w:val="15"/>
  </w:num>
  <w:num w:numId="21">
    <w:abstractNumId w:val="27"/>
  </w:num>
  <w:num w:numId="22">
    <w:abstractNumId w:val="37"/>
  </w:num>
  <w:num w:numId="23">
    <w:abstractNumId w:val="9"/>
  </w:num>
  <w:num w:numId="24">
    <w:abstractNumId w:val="17"/>
  </w:num>
  <w:num w:numId="25">
    <w:abstractNumId w:val="26"/>
  </w:num>
  <w:num w:numId="26">
    <w:abstractNumId w:val="22"/>
  </w:num>
  <w:num w:numId="27">
    <w:abstractNumId w:val="3"/>
  </w:num>
  <w:num w:numId="28">
    <w:abstractNumId w:val="0"/>
  </w:num>
  <w:num w:numId="29">
    <w:abstractNumId w:val="4"/>
  </w:num>
  <w:num w:numId="30">
    <w:abstractNumId w:val="18"/>
  </w:num>
  <w:num w:numId="31">
    <w:abstractNumId w:val="24"/>
  </w:num>
  <w:num w:numId="32">
    <w:abstractNumId w:val="19"/>
  </w:num>
  <w:num w:numId="33">
    <w:abstractNumId w:val="40"/>
  </w:num>
  <w:num w:numId="34">
    <w:abstractNumId w:val="1"/>
  </w:num>
  <w:num w:numId="35">
    <w:abstractNumId w:val="30"/>
  </w:num>
  <w:num w:numId="36">
    <w:abstractNumId w:val="10"/>
  </w:num>
  <w:num w:numId="37">
    <w:abstractNumId w:val="23"/>
  </w:num>
  <w:num w:numId="38">
    <w:abstractNumId w:val="2"/>
  </w:num>
  <w:num w:numId="39">
    <w:abstractNumId w:val="41"/>
  </w:num>
  <w:num w:numId="40">
    <w:abstractNumId w:val="5"/>
  </w:num>
  <w:num w:numId="41">
    <w:abstractNumId w:val="16"/>
  </w:num>
  <w:num w:numId="4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3"/>
  <w:proofState w:spelling="clean"/>
  <w:defaultTabStop w:val="720"/>
  <w:characterSpacingControl w:val="doNotCompress"/>
  <w:compat>
    <w:useFELayout/>
    <w:compatSetting w:name="compatibilityMode" w:uri="http://schemas.microsoft.com/office/word" w:val="14"/>
    <w:compatSetting w:name="useWord2013TrackBottomHyphenation" w:uri="http://schemas.microsoft.com/office/word" w:val="1"/>
  </w:compat>
  <w:rsids>
    <w:rsidRoot w:val="00207990"/>
    <w:rsid w:val="00207990"/>
    <w:rsid w:val="00216E83"/>
    <w:rsid w:val="002D4945"/>
    <w:rsid w:val="00360D04"/>
    <w:rsid w:val="003A7452"/>
    <w:rsid w:val="003B3F0E"/>
    <w:rsid w:val="00453314"/>
    <w:rsid w:val="00465A3C"/>
    <w:rsid w:val="004B4921"/>
    <w:rsid w:val="004F5B72"/>
    <w:rsid w:val="0062709B"/>
    <w:rsid w:val="006613A8"/>
    <w:rsid w:val="007220D5"/>
    <w:rsid w:val="00732FC8"/>
    <w:rsid w:val="007A044E"/>
    <w:rsid w:val="007A16B3"/>
    <w:rsid w:val="007C3089"/>
    <w:rsid w:val="00816BF8"/>
    <w:rsid w:val="00877678"/>
    <w:rsid w:val="00885C6A"/>
    <w:rsid w:val="00895FD1"/>
    <w:rsid w:val="00921D18"/>
    <w:rsid w:val="00956A4D"/>
    <w:rsid w:val="009A721C"/>
    <w:rsid w:val="00A276F6"/>
    <w:rsid w:val="00A75171"/>
    <w:rsid w:val="00A926F7"/>
    <w:rsid w:val="00AA7344"/>
    <w:rsid w:val="00AC0B3A"/>
    <w:rsid w:val="00B227E6"/>
    <w:rsid w:val="00B67408"/>
    <w:rsid w:val="00C77F80"/>
    <w:rsid w:val="00C8750A"/>
    <w:rsid w:val="00D53527"/>
    <w:rsid w:val="00D91980"/>
    <w:rsid w:val="00DF1564"/>
    <w:rsid w:val="00E57D25"/>
    <w:rsid w:val="00FE2FC8"/>
    <w:rsid w:val="00FF6A5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6836E36B"/>
  <w15:docId w15:val="{FD9023E4-F220-3E4D-931A-E2D753013CA4}"/>
  <w:trackRevisions w:val="off"/>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EastAsia" w:hAnsiTheme="minorHAnsi"/>
        <w:sz w:val="22"/>
        <w:szCs w:val="22"/>
        <w:lang w:val="en-GB" w:bidi="ar-SA" w:eastAsia="en-US"/>
      </w:rPr>
    </w:rPrDefault>
    <w:pPrDefault>
      <w:pPr>
        <w:spacing w:beforeAutospacing="0" w:after="200" w:afterAutospacing="0" w:line="276" w:lineRule="auto"/>
      </w:pPr>
    </w:pPrDefault>
  </w:docDefaults>
  <w:style w:type="paragraph" w:default="1" w:styleId="Normal">
    <w:name w:val="Normal"/>
    <w:uiPriority w:val="99"/>
    <w:qFormat w:val="on"/>
  </w:style>
  <w:style w:type="paragraph" w:styleId="Heading1">
    <w:name w:val="Heading 1"/>
    <w:basedOn w:val="Normal"/>
    <w:next w:val="Normal"/>
    <w:link w:val="Heading1Char"/>
    <w:uiPriority w:val="9"/>
    <w:qFormat w:val="on"/>
    <w:pPr>
      <w:keepNext w:val="on"/>
      <w:keepLines w:val="on"/>
      <w:spacing w:before="480" w:beforeAutospacing="0" w:after="0" w:afterAutospacing="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pPr>
      <w:keepNext w:val="on"/>
      <w:keepLines w:val="on"/>
      <w:spacing w:before="200" w:beforeAutospacing="0" w:after="0" w:afterAutospacing="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beforeAutospacing="0" w:after="0" w:afterAutospacing="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beforeAutospacing="0" w:after="0" w:afterAutospacing="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beforeAutospacing="0" w:after="0" w:afterAutospacing="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beforeAutospacing="0" w:after="0" w:afterAutospacing="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beforeAutospacing="0" w:after="0" w:afterAutospacing="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beforeAutospacing="0" w:after="0" w:afterAutospacing="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beforeAutospacing="0" w:after="0" w:afterAutospacing="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NoSpacing">
    <w:name w:val="No Spacing"/>
    <w:uiPriority w:val="1"/>
    <w:qFormat w:val="on"/>
    <w:pPr>
      <w:spacing w:beforeAutospacing="0" w:after="0" w:afterAutospacing="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beforeAutospacing="0" w:after="300" w:afterAutospacing="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beforeAutospacing="0" w:after="280" w:afterAutospacing="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beforeAutospacing="0" w:after="0" w:afterAutospacing="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beforeAutospacing="0" w:after="0" w:afterAutospacing="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character" w:styleId="FollowedHyperlink">
    <w:name w:val="FollowedHyperlink"/>
    <w:basedOn w:val="DefaultParagraphFont"/>
    <w:uiPriority w:val="99"/>
    <w:semiHidden w:val="on"/>
    <w:unhideWhenUsed w:val="on"/>
    <w:rPr>
      <w:color w:val="954f72" w:themeColor="followedHyperlink"/>
      <w:u w:val="single"/>
    </w:rPr>
  </w:style>
  <w:style w:type="paragraph" w:styleId="PlainText">
    <w:name w:val="Plain Text"/>
    <w:basedOn w:val="Normal"/>
    <w:link w:val="PlainTextChar"/>
    <w:uiPriority w:val="99"/>
    <w:semiHidden w:val="on"/>
    <w:unhideWhenUsed w:val="on"/>
    <w:pPr>
      <w:spacing w:beforeAutospacing="0" w:after="0" w:afterAutospacing="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beforeAutospacing="0" w:after="0" w:afterAutospacing="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beforeAutospacing="0" w:after="0" w:afterAutospacing="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val="on"/>
    <w:qFormat w:val="on"/>
    <w:pPr>
      <w:spacing w:beforeAutospacing="0" w:afterAutospacing="0" w:line="240" w:lineRule="auto"/>
    </w:pPr>
    <w:rPr>
      <w:i/>
      <w:iCs/>
      <w:color w:val="44546a" w:themeColor="text2"/>
      <w:sz w:val="18"/>
      <w:szCs w:val="18"/>
    </w:rPr>
  </w:style>
  <w:style w:type="table" w:styleId="TableGrid">
    <w:name w:val="Table Grid"/>
    <w:basedOn w:val="NormalTable"/>
    <w:uiPriority w:val="59"/>
    <w:pPr>
      <w:spacing w:beforeAutospacing="0" w:after="0" w:afterAutospacing="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val="on"/>
    <w:unhideWhenUsed w:val="on"/>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 Type="http://schemas.openxmlformats.org/officeDocument/2006/relationships/numbering" Target="numbering.xml"/><Relationship Id="rId10" Type="http://schemas.openxmlformats.org/officeDocument/2006/relationships/fontTable" Target="fontTable.xml"/><Relationship Id="rId11" Type="http://schemas.openxmlformats.org/officeDocument/2006/relationships/theme" Target="theme/theme1.xml"/><Relationship Id="rId12" Type="http://schemas.openxmlformats.org/officeDocument/2006/relationships/image" Target="media/image2.jpeg"/><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hyperlink" Target="http://www.ciob/standard-and-codes/codes-and-guidance/community-engagement" TargetMode="External"/><Relationship Id="rId7" Type="http://schemas.openxmlformats.org/officeDocument/2006/relationships/hyperlink" Target="http://www.ico.org.uk/for-orgaisation/charities-clubs-and-groups/" TargetMode="External"/><Relationship Id="rId8" Type="http://schemas.openxmlformats.org/officeDocument/2006/relationships/hyperlink" Target="http://www.birmingham.gov.uk/housing/housing-strategy-and-policy/local-housing-strategy" TargetMode="External"/><Relationship Id="rId9" Type="http://schemas.openxmlformats.org/officeDocument/2006/relationships/hyperlink" Target="http://www.pmi.org/learning/library/working-effectively-stakeholders-6521" TargetMode="External"/></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12</Pages>
  <Words>2984</Words>
  <Characters>17014</Characters>
  <Application>Microsoft Office Word</Application>
  <DocSecurity>0</DocSecurity>
  <Lines>141</Lines>
  <Paragraphs>39</Paragraphs>
  <ScaleCrop>false</ScaleCrop>
  <Company/>
  <LinksUpToDate>false</LinksUpToDate>
  <CharactersWithSpaces>19959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iffat nabil</dc:creator>
  <cp:lastModifiedBy>iffat nabil</cp:lastModifiedBy>
</cp:coreProperties>
</file>