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3"/>
        <w:gridCol w:w="3544"/>
        <w:gridCol w:w="2097"/>
        <w:gridCol w:w="2268"/>
      </w:tblGrid>
      <w:tr w:rsidR="003E08D9" w:rsidRPr="00A406E5" w14:paraId="605E50F5" w14:textId="77777777" w:rsidTr="00722654">
        <w:tc>
          <w:tcPr>
            <w:tcW w:w="2013" w:type="dxa"/>
          </w:tcPr>
          <w:p w14:paraId="6A71956C" w14:textId="77777777" w:rsidR="003E08D9" w:rsidRPr="00A406E5" w:rsidRDefault="003E08D9" w:rsidP="00722654">
            <w:pPr>
              <w:spacing w:before="120" w:after="120"/>
              <w:rPr>
                <w:rFonts w:ascii="Arial" w:hAnsi="Arial" w:cs="Arial"/>
                <w:b/>
                <w:sz w:val="22"/>
                <w:szCs w:val="22"/>
              </w:rPr>
            </w:pPr>
            <w:r w:rsidRPr="00A406E5">
              <w:rPr>
                <w:rFonts w:ascii="Arial" w:hAnsi="Arial" w:cs="Arial"/>
                <w:b/>
                <w:sz w:val="22"/>
                <w:szCs w:val="22"/>
              </w:rPr>
              <w:t>Student name:</w:t>
            </w:r>
          </w:p>
        </w:tc>
        <w:tc>
          <w:tcPr>
            <w:tcW w:w="3544" w:type="dxa"/>
          </w:tcPr>
          <w:p w14:paraId="227E39F6" w14:textId="411C6821" w:rsidR="003E08D9" w:rsidRPr="00A406E5" w:rsidRDefault="003E08D9" w:rsidP="00722654">
            <w:pPr>
              <w:spacing w:before="120" w:after="120"/>
              <w:rPr>
                <w:rFonts w:ascii="Arial" w:hAnsi="Arial" w:cs="Arial"/>
                <w:b/>
                <w:sz w:val="22"/>
                <w:szCs w:val="22"/>
              </w:rPr>
            </w:pPr>
            <w:r>
              <w:rPr>
                <w:rFonts w:ascii="Arial" w:hAnsi="Arial" w:cs="Arial"/>
                <w:b/>
                <w:sz w:val="22"/>
                <w:szCs w:val="22"/>
              </w:rPr>
              <w:t>Andreea Craciun</w:t>
            </w:r>
          </w:p>
        </w:tc>
        <w:tc>
          <w:tcPr>
            <w:tcW w:w="2097" w:type="dxa"/>
            <w:shd w:val="clear" w:color="auto" w:fill="D9D9D9" w:themeFill="background1" w:themeFillShade="D9"/>
          </w:tcPr>
          <w:p w14:paraId="5F825128" w14:textId="77777777" w:rsidR="003E08D9" w:rsidRPr="00A406E5" w:rsidRDefault="003E08D9" w:rsidP="00722654">
            <w:pPr>
              <w:spacing w:before="120" w:after="120"/>
              <w:rPr>
                <w:rFonts w:ascii="Arial" w:hAnsi="Arial" w:cs="Arial"/>
                <w:b/>
                <w:sz w:val="22"/>
                <w:szCs w:val="22"/>
              </w:rPr>
            </w:pPr>
            <w:r w:rsidRPr="00A406E5">
              <w:rPr>
                <w:rFonts w:ascii="Arial" w:hAnsi="Arial" w:cs="Arial"/>
                <w:b/>
                <w:sz w:val="22"/>
                <w:szCs w:val="22"/>
              </w:rPr>
              <w:t>Student ID number:</w:t>
            </w:r>
          </w:p>
        </w:tc>
        <w:tc>
          <w:tcPr>
            <w:tcW w:w="2268" w:type="dxa"/>
          </w:tcPr>
          <w:p w14:paraId="25704D9D" w14:textId="28BEB3BD" w:rsidR="003E08D9" w:rsidRPr="00A406E5" w:rsidRDefault="003E08D9" w:rsidP="00722654">
            <w:pPr>
              <w:spacing w:before="120" w:after="120"/>
              <w:rPr>
                <w:rFonts w:ascii="Arial" w:hAnsi="Arial" w:cs="Arial"/>
                <w:b/>
                <w:sz w:val="22"/>
                <w:szCs w:val="22"/>
              </w:rPr>
            </w:pPr>
            <w:r>
              <w:rPr>
                <w:rFonts w:ascii="Arial" w:hAnsi="Arial" w:cs="Arial"/>
                <w:b/>
                <w:sz w:val="22"/>
                <w:szCs w:val="22"/>
              </w:rPr>
              <w:t>2212082</w:t>
            </w:r>
          </w:p>
        </w:tc>
      </w:tr>
    </w:tbl>
    <w:p w14:paraId="34DCF198" w14:textId="77777777" w:rsidR="003F15E6" w:rsidRDefault="003F15E6"/>
    <w:p w14:paraId="669BF3EB" w14:textId="77777777" w:rsidR="003E08D9" w:rsidRDefault="003E08D9"/>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3"/>
        <w:gridCol w:w="3544"/>
        <w:gridCol w:w="2097"/>
        <w:gridCol w:w="2268"/>
      </w:tblGrid>
      <w:tr w:rsidR="003E08D9" w:rsidRPr="00A406E5" w14:paraId="638AD219" w14:textId="77777777" w:rsidTr="00722654">
        <w:tc>
          <w:tcPr>
            <w:tcW w:w="2013" w:type="dxa"/>
          </w:tcPr>
          <w:p w14:paraId="693DADFF" w14:textId="77777777" w:rsidR="003E08D9" w:rsidRPr="00A406E5" w:rsidRDefault="003E08D9" w:rsidP="00722654">
            <w:pPr>
              <w:spacing w:before="120" w:after="120"/>
              <w:rPr>
                <w:rFonts w:ascii="Arial" w:hAnsi="Arial" w:cs="Arial"/>
                <w:b/>
                <w:sz w:val="22"/>
                <w:szCs w:val="22"/>
              </w:rPr>
            </w:pPr>
            <w:r w:rsidRPr="00A406E5">
              <w:rPr>
                <w:rFonts w:ascii="Arial" w:hAnsi="Arial" w:cs="Arial"/>
                <w:b/>
                <w:sz w:val="22"/>
                <w:szCs w:val="22"/>
              </w:rPr>
              <w:t>Assignment Title:</w:t>
            </w:r>
          </w:p>
        </w:tc>
        <w:tc>
          <w:tcPr>
            <w:tcW w:w="3544" w:type="dxa"/>
          </w:tcPr>
          <w:p w14:paraId="7E48F204" w14:textId="77777777" w:rsidR="003E08D9" w:rsidRPr="00A406E5" w:rsidRDefault="003E08D9" w:rsidP="00722654">
            <w:pPr>
              <w:spacing w:before="120" w:after="120"/>
              <w:rPr>
                <w:rFonts w:ascii="Arial" w:hAnsi="Arial" w:cs="Arial"/>
                <w:b/>
                <w:sz w:val="22"/>
                <w:szCs w:val="22"/>
              </w:rPr>
            </w:pPr>
            <w:r>
              <w:rPr>
                <w:rFonts w:ascii="Arial" w:hAnsi="Arial" w:cs="Arial"/>
                <w:b/>
                <w:sz w:val="22"/>
                <w:szCs w:val="22"/>
              </w:rPr>
              <w:t>Assessment component: Financial performance and management</w:t>
            </w:r>
          </w:p>
        </w:tc>
        <w:tc>
          <w:tcPr>
            <w:tcW w:w="2097" w:type="dxa"/>
          </w:tcPr>
          <w:p w14:paraId="4F797040" w14:textId="77777777" w:rsidR="003E08D9" w:rsidRPr="00A406E5" w:rsidRDefault="003E08D9" w:rsidP="00722654">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00D41734" w14:textId="77777777" w:rsidR="003E08D9" w:rsidRPr="00A406E5" w:rsidRDefault="003E08D9" w:rsidP="00722654">
            <w:pPr>
              <w:spacing w:before="120" w:after="120"/>
              <w:rPr>
                <w:rFonts w:ascii="Arial" w:hAnsi="Arial" w:cs="Arial"/>
                <w:b/>
                <w:sz w:val="22"/>
                <w:szCs w:val="22"/>
              </w:rPr>
            </w:pPr>
            <w:r w:rsidRPr="00453988">
              <w:rPr>
                <w:rFonts w:ascii="Arial" w:hAnsi="Arial" w:cs="Arial"/>
                <w:b/>
                <w:sz w:val="22"/>
                <w:szCs w:val="22"/>
              </w:rPr>
              <w:t>5,000 words (± 10%)</w:t>
            </w:r>
          </w:p>
        </w:tc>
      </w:tr>
      <w:tr w:rsidR="003E08D9" w:rsidRPr="00A406E5" w14:paraId="5E188AE6" w14:textId="77777777" w:rsidTr="00722654">
        <w:tc>
          <w:tcPr>
            <w:tcW w:w="2013" w:type="dxa"/>
          </w:tcPr>
          <w:p w14:paraId="5FAAE95D" w14:textId="77777777" w:rsidR="003E08D9" w:rsidRPr="00A406E5" w:rsidRDefault="003E08D9" w:rsidP="00722654">
            <w:pPr>
              <w:spacing w:before="120" w:after="120"/>
              <w:rPr>
                <w:rFonts w:ascii="Arial" w:hAnsi="Arial" w:cs="Arial"/>
                <w:b/>
                <w:sz w:val="22"/>
                <w:szCs w:val="22"/>
              </w:rPr>
            </w:pPr>
            <w:r w:rsidRPr="00A406E5">
              <w:rPr>
                <w:rFonts w:ascii="Arial" w:hAnsi="Arial" w:cs="Arial"/>
                <w:b/>
                <w:sz w:val="22"/>
                <w:szCs w:val="22"/>
              </w:rPr>
              <w:t>Submission deadline:</w:t>
            </w:r>
          </w:p>
        </w:tc>
        <w:tc>
          <w:tcPr>
            <w:tcW w:w="3544" w:type="dxa"/>
          </w:tcPr>
          <w:p w14:paraId="3AC789C0" w14:textId="77777777" w:rsidR="003E08D9" w:rsidRDefault="003E08D9" w:rsidP="00722654">
            <w:pPr>
              <w:spacing w:before="120" w:after="120"/>
              <w:rPr>
                <w:rFonts w:ascii="Arial" w:hAnsi="Arial" w:cs="Arial"/>
                <w:b/>
                <w:sz w:val="22"/>
                <w:szCs w:val="22"/>
              </w:rPr>
            </w:pPr>
            <w:r>
              <w:rPr>
                <w:rFonts w:ascii="Arial" w:hAnsi="Arial" w:cs="Arial"/>
                <w:b/>
                <w:sz w:val="22"/>
                <w:szCs w:val="22"/>
              </w:rPr>
              <w:t>Monday 24</w:t>
            </w:r>
            <w:r w:rsidRPr="00FF3C4C">
              <w:rPr>
                <w:rFonts w:ascii="Arial" w:hAnsi="Arial" w:cs="Arial"/>
                <w:b/>
                <w:sz w:val="22"/>
                <w:szCs w:val="22"/>
                <w:vertAlign w:val="superscript"/>
              </w:rPr>
              <w:t>th</w:t>
            </w:r>
            <w:r>
              <w:rPr>
                <w:rFonts w:ascii="Arial" w:hAnsi="Arial" w:cs="Arial"/>
                <w:b/>
                <w:sz w:val="22"/>
                <w:szCs w:val="22"/>
              </w:rPr>
              <w:t xml:space="preserve"> November 2025 by 2pm</w:t>
            </w:r>
          </w:p>
          <w:p w14:paraId="13FC52FC" w14:textId="77777777" w:rsidR="003E08D9" w:rsidRPr="00A406E5" w:rsidRDefault="003E08D9" w:rsidP="00722654">
            <w:pPr>
              <w:spacing w:before="120" w:after="120"/>
              <w:rPr>
                <w:rFonts w:ascii="Arial" w:hAnsi="Arial" w:cs="Arial"/>
                <w:b/>
                <w:sz w:val="22"/>
                <w:szCs w:val="22"/>
              </w:rPr>
            </w:pPr>
          </w:p>
        </w:tc>
        <w:tc>
          <w:tcPr>
            <w:tcW w:w="2097" w:type="dxa"/>
          </w:tcPr>
          <w:p w14:paraId="520844EB" w14:textId="77777777" w:rsidR="003E08D9" w:rsidRPr="00A406E5" w:rsidRDefault="003E08D9" w:rsidP="00722654">
            <w:pPr>
              <w:spacing w:before="120" w:after="120"/>
              <w:rPr>
                <w:rFonts w:ascii="Arial" w:hAnsi="Arial" w:cs="Arial"/>
                <w:b/>
                <w:bCs/>
                <w:sz w:val="22"/>
                <w:szCs w:val="22"/>
              </w:rPr>
            </w:pPr>
            <w:r w:rsidRPr="68588355">
              <w:rPr>
                <w:rFonts w:ascii="Arial" w:hAnsi="Arial" w:cs="Arial"/>
                <w:b/>
                <w:bCs/>
                <w:sz w:val="22"/>
                <w:szCs w:val="22"/>
              </w:rPr>
              <w:t>Return date of provisional marks &amp; written feedback:</w:t>
            </w:r>
          </w:p>
        </w:tc>
        <w:tc>
          <w:tcPr>
            <w:tcW w:w="2268" w:type="dxa"/>
          </w:tcPr>
          <w:p w14:paraId="2248CE21" w14:textId="77777777" w:rsidR="003E08D9" w:rsidRPr="00A406E5" w:rsidRDefault="003E08D9" w:rsidP="00722654">
            <w:pPr>
              <w:spacing w:before="120" w:after="120"/>
              <w:rPr>
                <w:rFonts w:ascii="Arial" w:hAnsi="Arial" w:cs="Arial"/>
                <w:b/>
                <w:sz w:val="22"/>
                <w:szCs w:val="22"/>
              </w:rPr>
            </w:pPr>
            <w:r>
              <w:rPr>
                <w:rFonts w:ascii="Arial" w:hAnsi="Arial" w:cs="Arial"/>
                <w:b/>
                <w:sz w:val="22"/>
                <w:szCs w:val="22"/>
              </w:rPr>
              <w:t>22</w:t>
            </w:r>
            <w:r w:rsidRPr="009A6911">
              <w:rPr>
                <w:rFonts w:ascii="Arial" w:hAnsi="Arial" w:cs="Arial"/>
                <w:b/>
                <w:sz w:val="22"/>
                <w:szCs w:val="22"/>
                <w:vertAlign w:val="superscript"/>
              </w:rPr>
              <w:t>nd</w:t>
            </w:r>
            <w:r>
              <w:rPr>
                <w:rFonts w:ascii="Arial" w:hAnsi="Arial" w:cs="Arial"/>
                <w:b/>
                <w:sz w:val="22"/>
                <w:szCs w:val="22"/>
              </w:rPr>
              <w:t xml:space="preserve"> December 2025</w:t>
            </w:r>
          </w:p>
        </w:tc>
      </w:tr>
    </w:tbl>
    <w:p w14:paraId="1ECFD6F2" w14:textId="77777777" w:rsidR="003E08D9" w:rsidRDefault="003E08D9"/>
    <w:p w14:paraId="73CE29CE" w14:textId="77777777" w:rsidR="003E08D9" w:rsidRDefault="003E08D9"/>
    <w:p w14:paraId="35A020EE" w14:textId="77777777" w:rsidR="003E08D9" w:rsidRDefault="003E08D9"/>
    <w:p w14:paraId="5F50AAAC" w14:textId="77777777" w:rsidR="003E08D9" w:rsidRDefault="003E08D9"/>
    <w:p w14:paraId="703F9EB9" w14:textId="77777777" w:rsidR="003E08D9" w:rsidRDefault="003E08D9"/>
    <w:p w14:paraId="7EEB7CFD" w14:textId="77777777" w:rsidR="003E08D9" w:rsidRDefault="003E08D9"/>
    <w:p w14:paraId="12B391BA" w14:textId="77777777" w:rsidR="003E08D9" w:rsidRDefault="003E08D9"/>
    <w:p w14:paraId="71D5596E" w14:textId="77777777" w:rsidR="003E08D9" w:rsidRDefault="003E08D9"/>
    <w:p w14:paraId="1D0A8538" w14:textId="77777777" w:rsidR="003E08D9" w:rsidRDefault="003E08D9"/>
    <w:p w14:paraId="637606A3" w14:textId="77777777" w:rsidR="003E08D9" w:rsidRDefault="003E08D9"/>
    <w:p w14:paraId="343F4BA1" w14:textId="77777777" w:rsidR="003E08D9" w:rsidRDefault="003E08D9"/>
    <w:p w14:paraId="2905C514" w14:textId="77777777" w:rsidR="003E08D9" w:rsidRDefault="003E08D9"/>
    <w:p w14:paraId="3A60BDBE" w14:textId="77777777" w:rsidR="003E08D9" w:rsidRDefault="003E08D9"/>
    <w:p w14:paraId="609216AE" w14:textId="77777777" w:rsidR="003E08D9" w:rsidRDefault="003E08D9"/>
    <w:p w14:paraId="56F8DBE4" w14:textId="77777777" w:rsidR="003E08D9" w:rsidRDefault="003E08D9"/>
    <w:p w14:paraId="6241269D" w14:textId="77777777" w:rsidR="003E08D9" w:rsidRDefault="003E08D9"/>
    <w:p w14:paraId="77A0449C" w14:textId="77777777" w:rsidR="003E08D9" w:rsidRDefault="003E08D9"/>
    <w:p w14:paraId="58C5A616" w14:textId="77777777" w:rsidR="003E08D9" w:rsidRDefault="003E08D9"/>
    <w:p w14:paraId="500E8F7D" w14:textId="77777777" w:rsidR="003E08D9" w:rsidRDefault="003E08D9"/>
    <w:p w14:paraId="7127B6FF" w14:textId="77777777" w:rsidR="003E08D9" w:rsidRDefault="003E08D9"/>
    <w:p w14:paraId="0A8E2B79" w14:textId="77777777" w:rsidR="003E08D9" w:rsidRDefault="003E08D9"/>
    <w:p w14:paraId="5F16A36F" w14:textId="77777777" w:rsidR="003E08D9" w:rsidRDefault="003E08D9"/>
    <w:p w14:paraId="50C70A02" w14:textId="77777777" w:rsidR="003E08D9" w:rsidRDefault="003E08D9"/>
    <w:p w14:paraId="376CE8E5" w14:textId="77777777" w:rsidR="003E08D9" w:rsidRDefault="003E08D9"/>
    <w:p w14:paraId="7DB35EB7" w14:textId="77777777" w:rsidR="003E08D9" w:rsidRDefault="003E08D9"/>
    <w:p w14:paraId="38725CD3" w14:textId="77777777" w:rsidR="003E08D9" w:rsidRDefault="003E08D9"/>
    <w:p w14:paraId="745B0F25" w14:textId="77777777" w:rsidR="003E08D9" w:rsidRDefault="003E08D9"/>
    <w:p w14:paraId="77E4F3F5" w14:textId="77777777" w:rsidR="003E08D9" w:rsidRDefault="003E08D9"/>
    <w:p w14:paraId="557D9D4E" w14:textId="77777777" w:rsidR="003E08D9" w:rsidRDefault="003E08D9"/>
    <w:p w14:paraId="1A52F0DF" w14:textId="77777777" w:rsidR="003E08D9" w:rsidRDefault="003E08D9"/>
    <w:p w14:paraId="4B5AAF4B" w14:textId="77777777" w:rsidR="003E08D9" w:rsidRDefault="003E08D9"/>
    <w:p w14:paraId="37D13AF0" w14:textId="77777777" w:rsidR="003E08D9" w:rsidRDefault="003E08D9"/>
    <w:p w14:paraId="48F1775B" w14:textId="77777777" w:rsidR="003E08D9" w:rsidRDefault="003E08D9"/>
    <w:p w14:paraId="37AD2CF3" w14:textId="77777777" w:rsidR="003E08D9" w:rsidRDefault="003E08D9"/>
    <w:p w14:paraId="2E88A755" w14:textId="77777777" w:rsidR="003E08D9" w:rsidRDefault="003E08D9"/>
    <w:p w14:paraId="44B2C880" w14:textId="77777777" w:rsidR="003E08D9" w:rsidRDefault="003E08D9"/>
    <w:p w14:paraId="5BBD593E" w14:textId="77777777" w:rsidR="003E08D9" w:rsidRDefault="003E08D9"/>
    <w:p w14:paraId="7841CF66" w14:textId="77777777" w:rsidR="003E08D9" w:rsidRDefault="003E08D9"/>
    <w:p w14:paraId="1716DFBB" w14:textId="77777777" w:rsidR="003E08D9" w:rsidRDefault="003E08D9"/>
    <w:p w14:paraId="697CF3BC" w14:textId="77777777" w:rsidR="003E08D9" w:rsidRDefault="003E08D9"/>
    <w:p w14:paraId="74C5AB2E" w14:textId="77777777" w:rsidR="003E08D9" w:rsidRDefault="003E08D9"/>
    <w:p w14:paraId="14CBA6C3" w14:textId="77777777" w:rsidR="003E08D9" w:rsidRDefault="003E08D9"/>
    <w:p w14:paraId="3CFC8280" w14:textId="77777777" w:rsidR="003E08D9" w:rsidRDefault="003E08D9"/>
    <w:p w14:paraId="00CA5092" w14:textId="77777777" w:rsidR="003E08D9" w:rsidRDefault="003E08D9"/>
    <w:p w14:paraId="42946484" w14:textId="77777777" w:rsidR="003E08D9" w:rsidRDefault="003E08D9"/>
    <w:p w14:paraId="4002AA3E" w14:textId="77777777" w:rsidR="003E08D9" w:rsidRDefault="003E08D9"/>
    <w:p w14:paraId="4635ECBE"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1. Introduction</w:t>
      </w:r>
    </w:p>
    <w:p w14:paraId="1DC806C6" w14:textId="77777777" w:rsidR="003E08D9" w:rsidRPr="003E08D9" w:rsidRDefault="003E08D9" w:rsidP="003E08D9">
      <w:pPr>
        <w:rPr>
          <w:rFonts w:ascii="Arial" w:hAnsi="Arial" w:cs="Arial"/>
          <w:sz w:val="22"/>
          <w:szCs w:val="22"/>
        </w:rPr>
      </w:pPr>
      <w:r w:rsidRPr="003E08D9">
        <w:rPr>
          <w:rFonts w:ascii="Arial" w:hAnsi="Arial" w:cs="Arial"/>
          <w:sz w:val="22"/>
          <w:szCs w:val="22"/>
        </w:rPr>
        <w:t>The global consumer electronics industry is one of the most dynamic and competitive sectors in the world, characterised by rapid technological change, high capital intensity, short product lifecycles, and constant pressure to innovate. Firms must sustain strong financial performance and operational efficiency to survive in such a challenging environment. General Electronics (GE), a multinational firm operating across various segments of the consumer electronics market, has experienced a worrying deterioration in financial performance over the past five years. The company has reported sharp declines in profitability, weakening liquidity, rising indebtedness, and operational inefficiencies. Combined with heavy impairment charges and unstable market conditions, GE’s financial situation has escalated into a corporate distress scenario requiring immediate strategic intervention.</w:t>
      </w:r>
    </w:p>
    <w:p w14:paraId="1DB893ED" w14:textId="77777777" w:rsidR="003E08D9" w:rsidRPr="003E08D9" w:rsidRDefault="003E08D9" w:rsidP="003E08D9">
      <w:pPr>
        <w:rPr>
          <w:rFonts w:ascii="Arial" w:hAnsi="Arial" w:cs="Arial"/>
          <w:sz w:val="22"/>
          <w:szCs w:val="22"/>
        </w:rPr>
      </w:pPr>
      <w:r w:rsidRPr="003E08D9">
        <w:rPr>
          <w:rFonts w:ascii="Arial" w:hAnsi="Arial" w:cs="Arial"/>
          <w:sz w:val="22"/>
          <w:szCs w:val="22"/>
        </w:rPr>
        <w:t>As the newly appointed Chief Financial Officer (CFO), the role is not simply financial oversight but strategic leadership, requiring the application of financial management theory, comprehensive diagnostic analysis, and actionable turnaround planning. A modern CFO must ensure profitability, liquidity, solvency, and strategic competitiveness while navigating global risks such as currency fluctuations, supply chain disruptions, inflation, and technological obsolescence (Arnold, 2022). This report responds to the Board’s directive by conducting a comprehensive evaluation of GE’s financial health, diagnosing the core causes of performance decline, and proposing a financially viable and internationally scalable recovery plan. It also evaluates three investment projects to identify the most appropriate capital expenditure decision under capital rationing constraints.</w:t>
      </w:r>
    </w:p>
    <w:p w14:paraId="4D0FB534" w14:textId="77777777" w:rsidR="003E08D9" w:rsidRPr="003E08D9" w:rsidRDefault="003E08D9" w:rsidP="003E08D9">
      <w:pPr>
        <w:rPr>
          <w:rFonts w:ascii="Arial" w:hAnsi="Arial" w:cs="Arial"/>
          <w:sz w:val="22"/>
          <w:szCs w:val="22"/>
        </w:rPr>
      </w:pPr>
      <w:r w:rsidRPr="003E08D9">
        <w:rPr>
          <w:rFonts w:ascii="Arial" w:hAnsi="Arial" w:cs="Arial"/>
          <w:sz w:val="22"/>
          <w:szCs w:val="22"/>
        </w:rPr>
        <w:t>The report is structured into four major sections. First, the Financial Health Check conducts a detailed ratio analysis covering profitability, liquidity, efficiency, gearing, and investment ratios over the period 2020–2024. Corporate failure prediction techniques, including the Altman Z-score, are applied to evaluate GE’s bankruptcy risk. Second, a Working Capital Management analysis examines GE’s cash operating cycle, receivables, payables, and inventory policies, highlighting inefficiencies and proposing corrective strategies. Third, a Strategic Financial Restructuring Plan outlines the necessary measures to realign GE’s capital structure, improve operational efficiency, divest non-core assets, and address global financial and ethical considerations. Finally, an Investment Appraisal evaluates three major investment proposals using Payback Period (PBP), Accounting Rate of Return (ARR), Net Present Value (NPV), Profitability Index (PI), and Internal Rate of Return (IRR), leading to a final capital recommendation aligned with GE’s strategic priorities.</w:t>
      </w:r>
    </w:p>
    <w:p w14:paraId="6EA75804" w14:textId="77777777" w:rsidR="003E08D9" w:rsidRPr="003E08D9" w:rsidRDefault="003E08D9" w:rsidP="003E08D9">
      <w:pPr>
        <w:rPr>
          <w:rFonts w:ascii="Arial" w:hAnsi="Arial" w:cs="Arial"/>
          <w:sz w:val="22"/>
          <w:szCs w:val="22"/>
        </w:rPr>
      </w:pPr>
      <w:r w:rsidRPr="003E08D9">
        <w:rPr>
          <w:rFonts w:ascii="Arial" w:hAnsi="Arial" w:cs="Arial"/>
          <w:sz w:val="22"/>
          <w:szCs w:val="22"/>
        </w:rPr>
        <w:t>This comprehensive and academically grounded analysis aims not only to stabilise GE’s immediate financial position but also to chart a long-term path toward competitiveness and sustainability.</w:t>
      </w:r>
    </w:p>
    <w:p w14:paraId="24E88046" w14:textId="617CECAB" w:rsidR="003E08D9" w:rsidRPr="003E08D9" w:rsidRDefault="003E08D9" w:rsidP="003E08D9">
      <w:pPr>
        <w:rPr>
          <w:rFonts w:ascii="Arial" w:hAnsi="Arial" w:cs="Arial"/>
          <w:sz w:val="22"/>
          <w:szCs w:val="22"/>
        </w:rPr>
      </w:pPr>
    </w:p>
    <w:p w14:paraId="068DC9C9"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2. Financial Health Check</w:t>
      </w:r>
    </w:p>
    <w:p w14:paraId="0882DB05" w14:textId="77777777" w:rsidR="003E08D9" w:rsidRPr="003E08D9" w:rsidRDefault="003E08D9" w:rsidP="003E08D9">
      <w:pPr>
        <w:rPr>
          <w:rFonts w:ascii="Arial" w:hAnsi="Arial" w:cs="Arial"/>
          <w:sz w:val="22"/>
          <w:szCs w:val="22"/>
        </w:rPr>
      </w:pPr>
      <w:r w:rsidRPr="003E08D9">
        <w:rPr>
          <w:rFonts w:ascii="Arial" w:hAnsi="Arial" w:cs="Arial"/>
          <w:sz w:val="22"/>
          <w:szCs w:val="22"/>
        </w:rPr>
        <w:t>The financial analysis of GE from 2020 to 2024 reveals a firm experiencing severe operational strain and financial decline. Profitability has collapsed, liquidity has weakened, working capital inefficiencies have intensified, and leverage has increased. This section analyses GE’s financial health using standard ratio categories.</w:t>
      </w:r>
    </w:p>
    <w:p w14:paraId="1F190EBC" w14:textId="10904F24" w:rsidR="003E08D9" w:rsidRPr="003E08D9" w:rsidRDefault="003E08D9" w:rsidP="003E08D9">
      <w:pPr>
        <w:rPr>
          <w:rFonts w:ascii="Arial" w:hAnsi="Arial" w:cs="Arial"/>
          <w:sz w:val="22"/>
          <w:szCs w:val="22"/>
        </w:rPr>
      </w:pPr>
    </w:p>
    <w:p w14:paraId="1F56F374"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2.1 Profitability Analysis</w:t>
      </w:r>
    </w:p>
    <w:p w14:paraId="65C6629C" w14:textId="77777777" w:rsidR="003E08D9" w:rsidRPr="003E08D9" w:rsidRDefault="003E08D9" w:rsidP="003E08D9">
      <w:pPr>
        <w:rPr>
          <w:rFonts w:ascii="Arial" w:hAnsi="Arial" w:cs="Arial"/>
          <w:sz w:val="22"/>
          <w:szCs w:val="22"/>
        </w:rPr>
      </w:pPr>
      <w:r w:rsidRPr="003E08D9">
        <w:rPr>
          <w:rFonts w:ascii="Arial" w:hAnsi="Arial" w:cs="Arial"/>
          <w:sz w:val="22"/>
          <w:szCs w:val="22"/>
        </w:rPr>
        <w:t>Profitability ratios measure the firm’s ability to generate returns from operations, assets, and equity. GE’s profitability has significantly deteriorated.</w:t>
      </w:r>
    </w:p>
    <w:p w14:paraId="06C1E0BA" w14:textId="77777777" w:rsidR="003E08D9" w:rsidRPr="003E08D9" w:rsidRDefault="003E08D9" w:rsidP="003E08D9">
      <w:pPr>
        <w:rPr>
          <w:rFonts w:ascii="Arial" w:hAnsi="Arial" w:cs="Arial"/>
          <w:sz w:val="22"/>
          <w:szCs w:val="22"/>
        </w:rPr>
      </w:pPr>
      <w:r w:rsidRPr="003E08D9">
        <w:rPr>
          <w:rFonts w:ascii="Arial" w:hAnsi="Arial" w:cs="Arial"/>
          <w:b/>
          <w:bCs/>
          <w:sz w:val="22"/>
          <w:szCs w:val="22"/>
        </w:rPr>
        <w:t>Gross Profit Margin (GPM)</w:t>
      </w:r>
      <w:r w:rsidRPr="003E08D9">
        <w:rPr>
          <w:rFonts w:ascii="Arial" w:hAnsi="Arial" w:cs="Arial"/>
          <w:sz w:val="22"/>
          <w:szCs w:val="22"/>
        </w:rPr>
        <w:t xml:space="preserve"> fell from </w:t>
      </w:r>
      <w:r w:rsidRPr="003E08D9">
        <w:rPr>
          <w:rFonts w:ascii="Arial" w:hAnsi="Arial" w:cs="Arial"/>
          <w:b/>
          <w:bCs/>
          <w:sz w:val="22"/>
          <w:szCs w:val="22"/>
        </w:rPr>
        <w:t>28.7% in 2020</w:t>
      </w:r>
      <w:r w:rsidRPr="003E08D9">
        <w:rPr>
          <w:rFonts w:ascii="Arial" w:hAnsi="Arial" w:cs="Arial"/>
          <w:sz w:val="22"/>
          <w:szCs w:val="22"/>
        </w:rPr>
        <w:t xml:space="preserve"> to </w:t>
      </w:r>
      <w:r w:rsidRPr="003E08D9">
        <w:rPr>
          <w:rFonts w:ascii="Arial" w:hAnsi="Arial" w:cs="Arial"/>
          <w:b/>
          <w:bCs/>
          <w:sz w:val="22"/>
          <w:szCs w:val="22"/>
        </w:rPr>
        <w:t>23.2% in 2023</w:t>
      </w:r>
      <w:r w:rsidRPr="003E08D9">
        <w:rPr>
          <w:rFonts w:ascii="Arial" w:hAnsi="Arial" w:cs="Arial"/>
          <w:sz w:val="22"/>
          <w:szCs w:val="22"/>
        </w:rPr>
        <w:t xml:space="preserve"> before partially recovering to </w:t>
      </w:r>
      <w:r w:rsidRPr="003E08D9">
        <w:rPr>
          <w:rFonts w:ascii="Arial" w:hAnsi="Arial" w:cs="Arial"/>
          <w:b/>
          <w:bCs/>
          <w:sz w:val="22"/>
          <w:szCs w:val="22"/>
        </w:rPr>
        <w:t>28.9% in 2024</w:t>
      </w:r>
      <w:r w:rsidRPr="003E08D9">
        <w:rPr>
          <w:rFonts w:ascii="Arial" w:hAnsi="Arial" w:cs="Arial"/>
          <w:sz w:val="22"/>
          <w:szCs w:val="22"/>
        </w:rPr>
        <w:t>. The 2023 drop reflects supply chain cost increases, competitive pricing pressures, and reduced economies of scale. While 2024 indicates recovery, the volatility suggests underlying instability.</w:t>
      </w:r>
    </w:p>
    <w:p w14:paraId="56D7022E" w14:textId="77777777" w:rsidR="003E08D9" w:rsidRPr="003E08D9" w:rsidRDefault="003E08D9" w:rsidP="003E08D9">
      <w:pPr>
        <w:rPr>
          <w:rFonts w:ascii="Arial" w:hAnsi="Arial" w:cs="Arial"/>
          <w:sz w:val="22"/>
          <w:szCs w:val="22"/>
        </w:rPr>
      </w:pPr>
      <w:r w:rsidRPr="003E08D9">
        <w:rPr>
          <w:rFonts w:ascii="Arial" w:hAnsi="Arial" w:cs="Arial"/>
          <w:b/>
          <w:bCs/>
          <w:sz w:val="22"/>
          <w:szCs w:val="22"/>
        </w:rPr>
        <w:t>Operating Profit Margin (OPM)</w:t>
      </w:r>
      <w:r w:rsidRPr="003E08D9">
        <w:rPr>
          <w:rFonts w:ascii="Arial" w:hAnsi="Arial" w:cs="Arial"/>
          <w:sz w:val="22"/>
          <w:szCs w:val="22"/>
        </w:rPr>
        <w:t xml:space="preserve"> declined from </w:t>
      </w:r>
      <w:r w:rsidRPr="003E08D9">
        <w:rPr>
          <w:rFonts w:ascii="Arial" w:hAnsi="Arial" w:cs="Arial"/>
          <w:b/>
          <w:bCs/>
          <w:sz w:val="22"/>
          <w:szCs w:val="22"/>
        </w:rPr>
        <w:t>6.1% (2020)</w:t>
      </w:r>
      <w:r w:rsidRPr="003E08D9">
        <w:rPr>
          <w:rFonts w:ascii="Arial" w:hAnsi="Arial" w:cs="Arial"/>
          <w:sz w:val="22"/>
          <w:szCs w:val="22"/>
        </w:rPr>
        <w:t xml:space="preserve"> to </w:t>
      </w:r>
      <w:r w:rsidRPr="003E08D9">
        <w:rPr>
          <w:rFonts w:ascii="Arial" w:hAnsi="Arial" w:cs="Arial"/>
          <w:b/>
          <w:bCs/>
          <w:sz w:val="22"/>
          <w:szCs w:val="22"/>
        </w:rPr>
        <w:t>–20.3% (2023)</w:t>
      </w:r>
      <w:r w:rsidRPr="003E08D9">
        <w:rPr>
          <w:rFonts w:ascii="Arial" w:hAnsi="Arial" w:cs="Arial"/>
          <w:sz w:val="22"/>
          <w:szCs w:val="22"/>
        </w:rPr>
        <w:t xml:space="preserve"> due to rising expenses and a massive £49bn goodwill impairment. Despite improving slightly to </w:t>
      </w:r>
      <w:r w:rsidRPr="003E08D9">
        <w:rPr>
          <w:rFonts w:ascii="Arial" w:hAnsi="Arial" w:cs="Arial"/>
          <w:b/>
          <w:bCs/>
          <w:sz w:val="22"/>
          <w:szCs w:val="22"/>
        </w:rPr>
        <w:t>–3.9%</w:t>
      </w:r>
      <w:r w:rsidRPr="003E08D9">
        <w:rPr>
          <w:rFonts w:ascii="Arial" w:hAnsi="Arial" w:cs="Arial"/>
          <w:sz w:val="22"/>
          <w:szCs w:val="22"/>
        </w:rPr>
        <w:t xml:space="preserve"> in 2024, GE remains operationally loss-making.</w:t>
      </w:r>
    </w:p>
    <w:p w14:paraId="117B8AE9" w14:textId="77777777" w:rsidR="003E08D9" w:rsidRPr="003E08D9" w:rsidRDefault="003E08D9" w:rsidP="003E08D9">
      <w:pPr>
        <w:rPr>
          <w:rFonts w:ascii="Arial" w:hAnsi="Arial" w:cs="Arial"/>
          <w:sz w:val="22"/>
          <w:szCs w:val="22"/>
        </w:rPr>
      </w:pPr>
      <w:r w:rsidRPr="003E08D9">
        <w:rPr>
          <w:rFonts w:ascii="Arial" w:hAnsi="Arial" w:cs="Arial"/>
          <w:b/>
          <w:bCs/>
          <w:sz w:val="22"/>
          <w:szCs w:val="22"/>
        </w:rPr>
        <w:lastRenderedPageBreak/>
        <w:t>Net Profit Margin (NPM)</w:t>
      </w:r>
      <w:r w:rsidRPr="003E08D9">
        <w:rPr>
          <w:rFonts w:ascii="Arial" w:hAnsi="Arial" w:cs="Arial"/>
          <w:sz w:val="22"/>
          <w:szCs w:val="22"/>
        </w:rPr>
        <w:t xml:space="preserve"> collapsed from </w:t>
      </w:r>
      <w:r w:rsidRPr="003E08D9">
        <w:rPr>
          <w:rFonts w:ascii="Arial" w:hAnsi="Arial" w:cs="Arial"/>
          <w:b/>
          <w:bCs/>
          <w:sz w:val="22"/>
          <w:szCs w:val="22"/>
        </w:rPr>
        <w:t>6.3% (2020)</w:t>
      </w:r>
      <w:r w:rsidRPr="003E08D9">
        <w:rPr>
          <w:rFonts w:ascii="Arial" w:hAnsi="Arial" w:cs="Arial"/>
          <w:sz w:val="22"/>
          <w:szCs w:val="22"/>
        </w:rPr>
        <w:t xml:space="preserve"> to </w:t>
      </w:r>
      <w:r w:rsidRPr="003E08D9">
        <w:rPr>
          <w:rFonts w:ascii="Arial" w:hAnsi="Arial" w:cs="Arial"/>
          <w:b/>
          <w:bCs/>
          <w:sz w:val="22"/>
          <w:szCs w:val="22"/>
        </w:rPr>
        <w:t>–23.4% (2023)</w:t>
      </w:r>
      <w:r w:rsidRPr="003E08D9">
        <w:rPr>
          <w:rFonts w:ascii="Arial" w:hAnsi="Arial" w:cs="Arial"/>
          <w:sz w:val="22"/>
          <w:szCs w:val="22"/>
        </w:rPr>
        <w:t>. A modest improvement in 2024 (–6.1%) is insufficient, indicating persistent structural weaknesses, including high overheads and poor cost management.</w:t>
      </w:r>
    </w:p>
    <w:p w14:paraId="4B8CCB36" w14:textId="77777777" w:rsidR="003E08D9" w:rsidRPr="003E08D9" w:rsidRDefault="003E08D9" w:rsidP="003E08D9">
      <w:pPr>
        <w:rPr>
          <w:rFonts w:ascii="Arial" w:hAnsi="Arial" w:cs="Arial"/>
          <w:sz w:val="22"/>
          <w:szCs w:val="22"/>
        </w:rPr>
      </w:pPr>
      <w:r w:rsidRPr="003E08D9">
        <w:rPr>
          <w:rFonts w:ascii="Arial" w:hAnsi="Arial" w:cs="Arial"/>
          <w:b/>
          <w:bCs/>
          <w:sz w:val="22"/>
          <w:szCs w:val="22"/>
        </w:rPr>
        <w:t>Return on Assets (ROA)</w:t>
      </w:r>
      <w:r w:rsidRPr="003E08D9">
        <w:rPr>
          <w:rFonts w:ascii="Arial" w:hAnsi="Arial" w:cs="Arial"/>
          <w:sz w:val="22"/>
          <w:szCs w:val="22"/>
        </w:rPr>
        <w:t xml:space="preserve"> turned negative in 2023 and 2024, reflecting the firm’s inability to generate returns from its asset base.</w:t>
      </w:r>
    </w:p>
    <w:p w14:paraId="735CA3CA" w14:textId="77777777" w:rsidR="003E08D9" w:rsidRPr="003E08D9" w:rsidRDefault="003E08D9" w:rsidP="003E08D9">
      <w:pPr>
        <w:rPr>
          <w:rFonts w:ascii="Arial" w:hAnsi="Arial" w:cs="Arial"/>
          <w:sz w:val="22"/>
          <w:szCs w:val="22"/>
        </w:rPr>
      </w:pPr>
      <w:r w:rsidRPr="003E08D9">
        <w:rPr>
          <w:rFonts w:ascii="Arial" w:hAnsi="Arial" w:cs="Arial"/>
          <w:b/>
          <w:bCs/>
          <w:sz w:val="22"/>
          <w:szCs w:val="22"/>
        </w:rPr>
        <w:t>Return on Equity (ROE)</w:t>
      </w:r>
      <w:r w:rsidRPr="003E08D9">
        <w:rPr>
          <w:rFonts w:ascii="Arial" w:hAnsi="Arial" w:cs="Arial"/>
          <w:sz w:val="22"/>
          <w:szCs w:val="22"/>
        </w:rPr>
        <w:t xml:space="preserve"> plummeted to </w:t>
      </w:r>
      <w:r w:rsidRPr="003E08D9">
        <w:rPr>
          <w:rFonts w:ascii="Arial" w:hAnsi="Arial" w:cs="Arial"/>
          <w:b/>
          <w:bCs/>
          <w:sz w:val="22"/>
          <w:szCs w:val="22"/>
        </w:rPr>
        <w:t>–54.9% in 2023</w:t>
      </w:r>
      <w:r w:rsidRPr="003E08D9">
        <w:rPr>
          <w:rFonts w:ascii="Arial" w:hAnsi="Arial" w:cs="Arial"/>
          <w:sz w:val="22"/>
          <w:szCs w:val="22"/>
        </w:rPr>
        <w:t>, signalling severe shareholder value destruction.</w:t>
      </w:r>
    </w:p>
    <w:p w14:paraId="44048008" w14:textId="77777777" w:rsidR="003E08D9" w:rsidRPr="003E08D9" w:rsidRDefault="003E08D9" w:rsidP="003E08D9">
      <w:pPr>
        <w:rPr>
          <w:rFonts w:ascii="Arial" w:hAnsi="Arial" w:cs="Arial"/>
          <w:sz w:val="22"/>
          <w:szCs w:val="22"/>
        </w:rPr>
      </w:pPr>
      <w:r w:rsidRPr="003E08D9">
        <w:rPr>
          <w:rFonts w:ascii="Arial" w:hAnsi="Arial" w:cs="Arial"/>
          <w:sz w:val="22"/>
          <w:szCs w:val="22"/>
        </w:rPr>
        <w:t>Collectively, these profitability results reflect declining competitive advantage, inefficient cost structures, and failure to generate value from operations.</w:t>
      </w:r>
    </w:p>
    <w:p w14:paraId="7BB09249"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19C34837">
          <v:rect id="_x0000_i1075" style="width:0;height:1.5pt" o:hralign="center" o:hrstd="t" o:hr="t" fillcolor="#a0a0a0" stroked="f"/>
        </w:pict>
      </w:r>
    </w:p>
    <w:p w14:paraId="3FE9037D"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2.2 Liquidity Analysis</w:t>
      </w:r>
    </w:p>
    <w:p w14:paraId="6937ADBF" w14:textId="77777777" w:rsidR="003E08D9" w:rsidRPr="003E08D9" w:rsidRDefault="003E08D9" w:rsidP="003E08D9">
      <w:pPr>
        <w:rPr>
          <w:rFonts w:ascii="Arial" w:hAnsi="Arial" w:cs="Arial"/>
          <w:sz w:val="22"/>
          <w:szCs w:val="22"/>
        </w:rPr>
      </w:pPr>
      <w:r w:rsidRPr="003E08D9">
        <w:rPr>
          <w:rFonts w:ascii="Arial" w:hAnsi="Arial" w:cs="Arial"/>
          <w:sz w:val="22"/>
          <w:szCs w:val="22"/>
        </w:rPr>
        <w:t>Liquidity ratios evaluate GE’s capacity to meet short-term obligations.</w:t>
      </w:r>
    </w:p>
    <w:p w14:paraId="18116257" w14:textId="77777777" w:rsidR="003E08D9" w:rsidRPr="003E08D9" w:rsidRDefault="003E08D9" w:rsidP="003E08D9">
      <w:pPr>
        <w:rPr>
          <w:rFonts w:ascii="Arial" w:hAnsi="Arial" w:cs="Arial"/>
          <w:sz w:val="22"/>
          <w:szCs w:val="22"/>
        </w:rPr>
      </w:pPr>
      <w:r w:rsidRPr="003E08D9">
        <w:rPr>
          <w:rFonts w:ascii="Arial" w:hAnsi="Arial" w:cs="Arial"/>
          <w:sz w:val="22"/>
          <w:szCs w:val="22"/>
        </w:rPr>
        <w:t xml:space="preserve">The </w:t>
      </w:r>
      <w:r w:rsidRPr="003E08D9">
        <w:rPr>
          <w:rFonts w:ascii="Arial" w:hAnsi="Arial" w:cs="Arial"/>
          <w:b/>
          <w:bCs/>
          <w:sz w:val="22"/>
          <w:szCs w:val="22"/>
        </w:rPr>
        <w:t>Current Ratio</w:t>
      </w:r>
      <w:r w:rsidRPr="003E08D9">
        <w:rPr>
          <w:rFonts w:ascii="Arial" w:hAnsi="Arial" w:cs="Arial"/>
          <w:sz w:val="22"/>
          <w:szCs w:val="22"/>
        </w:rPr>
        <w:t xml:space="preserve"> fell from </w:t>
      </w:r>
      <w:r w:rsidRPr="003E08D9">
        <w:rPr>
          <w:rFonts w:ascii="Arial" w:hAnsi="Arial" w:cs="Arial"/>
          <w:b/>
          <w:bCs/>
          <w:sz w:val="22"/>
          <w:szCs w:val="22"/>
        </w:rPr>
        <w:t>1.82 (2020)</w:t>
      </w:r>
      <w:r w:rsidRPr="003E08D9">
        <w:rPr>
          <w:rFonts w:ascii="Arial" w:hAnsi="Arial" w:cs="Arial"/>
          <w:sz w:val="22"/>
          <w:szCs w:val="22"/>
        </w:rPr>
        <w:t xml:space="preserve"> to </w:t>
      </w:r>
      <w:r w:rsidRPr="003E08D9">
        <w:rPr>
          <w:rFonts w:ascii="Arial" w:hAnsi="Arial" w:cs="Arial"/>
          <w:b/>
          <w:bCs/>
          <w:sz w:val="22"/>
          <w:szCs w:val="22"/>
        </w:rPr>
        <w:t>1.53 (2024)</w:t>
      </w:r>
      <w:r w:rsidRPr="003E08D9">
        <w:rPr>
          <w:rFonts w:ascii="Arial" w:hAnsi="Arial" w:cs="Arial"/>
          <w:sz w:val="22"/>
          <w:szCs w:val="22"/>
        </w:rPr>
        <w:t>. Although above 1.0, the downward trend signals increased liquidity stress.</w:t>
      </w:r>
    </w:p>
    <w:p w14:paraId="6DF650EF" w14:textId="77777777" w:rsidR="003E08D9" w:rsidRPr="003E08D9" w:rsidRDefault="003E08D9" w:rsidP="003E08D9">
      <w:pPr>
        <w:rPr>
          <w:rFonts w:ascii="Arial" w:hAnsi="Arial" w:cs="Arial"/>
          <w:sz w:val="22"/>
          <w:szCs w:val="22"/>
        </w:rPr>
      </w:pPr>
      <w:r w:rsidRPr="003E08D9">
        <w:rPr>
          <w:rFonts w:ascii="Arial" w:hAnsi="Arial" w:cs="Arial"/>
          <w:sz w:val="22"/>
          <w:szCs w:val="22"/>
        </w:rPr>
        <w:t xml:space="preserve">The </w:t>
      </w:r>
      <w:r w:rsidRPr="003E08D9">
        <w:rPr>
          <w:rFonts w:ascii="Arial" w:hAnsi="Arial" w:cs="Arial"/>
          <w:b/>
          <w:bCs/>
          <w:sz w:val="22"/>
          <w:szCs w:val="22"/>
        </w:rPr>
        <w:t>Quick Ratio</w:t>
      </w:r>
      <w:r w:rsidRPr="003E08D9">
        <w:rPr>
          <w:rFonts w:ascii="Arial" w:hAnsi="Arial" w:cs="Arial"/>
          <w:sz w:val="22"/>
          <w:szCs w:val="22"/>
        </w:rPr>
        <w:t xml:space="preserve">, excluding inventories, declined to </w:t>
      </w:r>
      <w:r w:rsidRPr="003E08D9">
        <w:rPr>
          <w:rFonts w:ascii="Arial" w:hAnsi="Arial" w:cs="Arial"/>
          <w:b/>
          <w:bCs/>
          <w:sz w:val="22"/>
          <w:szCs w:val="22"/>
        </w:rPr>
        <w:t>0.78 (2024)</w:t>
      </w:r>
      <w:r w:rsidRPr="003E08D9">
        <w:rPr>
          <w:rFonts w:ascii="Arial" w:hAnsi="Arial" w:cs="Arial"/>
          <w:sz w:val="22"/>
          <w:szCs w:val="22"/>
        </w:rPr>
        <w:t>, highlighting insufficient liquid assets to meet current liabilities.</w:t>
      </w:r>
    </w:p>
    <w:p w14:paraId="1D8BDCE8" w14:textId="77777777" w:rsidR="003E08D9" w:rsidRPr="003E08D9" w:rsidRDefault="003E08D9" w:rsidP="003E08D9">
      <w:pPr>
        <w:rPr>
          <w:rFonts w:ascii="Arial" w:hAnsi="Arial" w:cs="Arial"/>
          <w:sz w:val="22"/>
          <w:szCs w:val="22"/>
        </w:rPr>
      </w:pPr>
      <w:r w:rsidRPr="003E08D9">
        <w:rPr>
          <w:rFonts w:ascii="Arial" w:hAnsi="Arial" w:cs="Arial"/>
          <w:sz w:val="22"/>
          <w:szCs w:val="22"/>
        </w:rPr>
        <w:t xml:space="preserve">The </w:t>
      </w:r>
      <w:r w:rsidRPr="003E08D9">
        <w:rPr>
          <w:rFonts w:ascii="Arial" w:hAnsi="Arial" w:cs="Arial"/>
          <w:b/>
          <w:bCs/>
          <w:sz w:val="22"/>
          <w:szCs w:val="22"/>
        </w:rPr>
        <w:t>Cash Ratio</w:t>
      </w:r>
      <w:r w:rsidRPr="003E08D9">
        <w:rPr>
          <w:rFonts w:ascii="Arial" w:hAnsi="Arial" w:cs="Arial"/>
          <w:sz w:val="22"/>
          <w:szCs w:val="22"/>
        </w:rPr>
        <w:t xml:space="preserve"> decreased from </w:t>
      </w:r>
      <w:r w:rsidRPr="003E08D9">
        <w:rPr>
          <w:rFonts w:ascii="Arial" w:hAnsi="Arial" w:cs="Arial"/>
          <w:b/>
          <w:bCs/>
          <w:sz w:val="22"/>
          <w:szCs w:val="22"/>
        </w:rPr>
        <w:t>0.32 (2020)</w:t>
      </w:r>
      <w:r w:rsidRPr="003E08D9">
        <w:rPr>
          <w:rFonts w:ascii="Arial" w:hAnsi="Arial" w:cs="Arial"/>
          <w:sz w:val="22"/>
          <w:szCs w:val="22"/>
        </w:rPr>
        <w:t xml:space="preserve"> to </w:t>
      </w:r>
      <w:r w:rsidRPr="003E08D9">
        <w:rPr>
          <w:rFonts w:ascii="Arial" w:hAnsi="Arial" w:cs="Arial"/>
          <w:b/>
          <w:bCs/>
          <w:sz w:val="22"/>
          <w:szCs w:val="22"/>
        </w:rPr>
        <w:t>0.17 (2024)</w:t>
      </w:r>
      <w:r w:rsidRPr="003E08D9">
        <w:rPr>
          <w:rFonts w:ascii="Arial" w:hAnsi="Arial" w:cs="Arial"/>
          <w:sz w:val="22"/>
          <w:szCs w:val="22"/>
        </w:rPr>
        <w:t>, signifying heavy reliance on short-term borrowing and reduced liquidity resilience.</w:t>
      </w:r>
    </w:p>
    <w:p w14:paraId="19A68255" w14:textId="77777777" w:rsidR="003E08D9" w:rsidRPr="003E08D9" w:rsidRDefault="003E08D9" w:rsidP="003E08D9">
      <w:pPr>
        <w:rPr>
          <w:rFonts w:ascii="Arial" w:hAnsi="Arial" w:cs="Arial"/>
          <w:sz w:val="22"/>
          <w:szCs w:val="22"/>
        </w:rPr>
      </w:pPr>
      <w:r w:rsidRPr="003E08D9">
        <w:rPr>
          <w:rFonts w:ascii="Arial" w:hAnsi="Arial" w:cs="Arial"/>
          <w:sz w:val="22"/>
          <w:szCs w:val="22"/>
        </w:rPr>
        <w:t>Liquidity deterioration limits GE’s operating flexibility and bargaining power with suppliers.</w:t>
      </w:r>
    </w:p>
    <w:p w14:paraId="23E2A663"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73B612B6">
          <v:rect id="_x0000_i1076" style="width:0;height:1.5pt" o:hralign="center" o:hrstd="t" o:hr="t" fillcolor="#a0a0a0" stroked="f"/>
        </w:pict>
      </w:r>
    </w:p>
    <w:p w14:paraId="4915DD96"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2.3 Efficiency (Activity) Ratios</w:t>
      </w:r>
    </w:p>
    <w:p w14:paraId="66E2911E" w14:textId="77777777" w:rsidR="003E08D9" w:rsidRPr="003E08D9" w:rsidRDefault="003E08D9" w:rsidP="003E08D9">
      <w:pPr>
        <w:rPr>
          <w:rFonts w:ascii="Arial" w:hAnsi="Arial" w:cs="Arial"/>
          <w:sz w:val="22"/>
          <w:szCs w:val="22"/>
        </w:rPr>
      </w:pPr>
      <w:r w:rsidRPr="003E08D9">
        <w:rPr>
          <w:rFonts w:ascii="Arial" w:hAnsi="Arial" w:cs="Arial"/>
          <w:sz w:val="22"/>
          <w:szCs w:val="22"/>
        </w:rPr>
        <w:t>Efficiency ratios reveal how effectively GE uses its assets.</w:t>
      </w:r>
    </w:p>
    <w:p w14:paraId="1CE60CA2" w14:textId="77777777" w:rsidR="003E08D9" w:rsidRPr="003E08D9" w:rsidRDefault="003E08D9" w:rsidP="003E08D9">
      <w:pPr>
        <w:rPr>
          <w:rFonts w:ascii="Arial" w:hAnsi="Arial" w:cs="Arial"/>
          <w:sz w:val="22"/>
          <w:szCs w:val="22"/>
        </w:rPr>
      </w:pPr>
      <w:r w:rsidRPr="003E08D9">
        <w:rPr>
          <w:rFonts w:ascii="Arial" w:hAnsi="Arial" w:cs="Arial"/>
          <w:b/>
          <w:bCs/>
          <w:sz w:val="22"/>
          <w:szCs w:val="22"/>
        </w:rPr>
        <w:t>Inventory Days</w:t>
      </w:r>
      <w:r w:rsidRPr="003E08D9">
        <w:rPr>
          <w:rFonts w:ascii="Arial" w:hAnsi="Arial" w:cs="Arial"/>
          <w:sz w:val="22"/>
          <w:szCs w:val="22"/>
        </w:rPr>
        <w:t xml:space="preserve"> increased substantially between 2020 and 2022, reaching approximately 130 days, reflecting overproduction, poor forecasting, and weak sales performance. Excess stock ties up cash and increases obsolescence risk.</w:t>
      </w:r>
    </w:p>
    <w:p w14:paraId="407F696F" w14:textId="77777777" w:rsidR="003E08D9" w:rsidRPr="003E08D9" w:rsidRDefault="003E08D9" w:rsidP="003E08D9">
      <w:pPr>
        <w:rPr>
          <w:rFonts w:ascii="Arial" w:hAnsi="Arial" w:cs="Arial"/>
          <w:sz w:val="22"/>
          <w:szCs w:val="22"/>
        </w:rPr>
      </w:pPr>
      <w:r w:rsidRPr="003E08D9">
        <w:rPr>
          <w:rFonts w:ascii="Arial" w:hAnsi="Arial" w:cs="Arial"/>
          <w:b/>
          <w:bCs/>
          <w:sz w:val="22"/>
          <w:szCs w:val="22"/>
        </w:rPr>
        <w:t>Receivable Days</w:t>
      </w:r>
      <w:r w:rsidRPr="003E08D9">
        <w:rPr>
          <w:rFonts w:ascii="Arial" w:hAnsi="Arial" w:cs="Arial"/>
          <w:sz w:val="22"/>
          <w:szCs w:val="22"/>
        </w:rPr>
        <w:t xml:space="preserve"> lengthened from roughly 76 to 105 days, suggesting weakened credit control and slower customer payments.</w:t>
      </w:r>
    </w:p>
    <w:p w14:paraId="72FCA535" w14:textId="77777777" w:rsidR="003E08D9" w:rsidRPr="003E08D9" w:rsidRDefault="003E08D9" w:rsidP="003E08D9">
      <w:pPr>
        <w:rPr>
          <w:rFonts w:ascii="Arial" w:hAnsi="Arial" w:cs="Arial"/>
          <w:sz w:val="22"/>
          <w:szCs w:val="22"/>
        </w:rPr>
      </w:pPr>
      <w:r w:rsidRPr="003E08D9">
        <w:rPr>
          <w:rFonts w:ascii="Arial" w:hAnsi="Arial" w:cs="Arial"/>
          <w:b/>
          <w:bCs/>
          <w:sz w:val="22"/>
          <w:szCs w:val="22"/>
        </w:rPr>
        <w:t>Payable Days</w:t>
      </w:r>
      <w:r w:rsidRPr="003E08D9">
        <w:rPr>
          <w:rFonts w:ascii="Arial" w:hAnsi="Arial" w:cs="Arial"/>
          <w:sz w:val="22"/>
          <w:szCs w:val="22"/>
        </w:rPr>
        <w:t xml:space="preserve"> have shortened, reducing GE’s access to trade credit. This typically occurs when suppliers lose confidence in a firm’s financial stability.</w:t>
      </w:r>
    </w:p>
    <w:p w14:paraId="615AD2F2" w14:textId="77777777" w:rsidR="003E08D9" w:rsidRPr="003E08D9" w:rsidRDefault="003E08D9" w:rsidP="003E08D9">
      <w:pPr>
        <w:rPr>
          <w:rFonts w:ascii="Arial" w:hAnsi="Arial" w:cs="Arial"/>
          <w:sz w:val="22"/>
          <w:szCs w:val="22"/>
        </w:rPr>
      </w:pPr>
      <w:r w:rsidRPr="003E08D9">
        <w:rPr>
          <w:rFonts w:ascii="Arial" w:hAnsi="Arial" w:cs="Arial"/>
          <w:sz w:val="22"/>
          <w:szCs w:val="22"/>
        </w:rPr>
        <w:t>The increasing cash operating cycle reflects significant working capital inefficiencies that must be addressed urgently.</w:t>
      </w:r>
    </w:p>
    <w:p w14:paraId="745B6EF1"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2AF8BAD1">
          <v:rect id="_x0000_i1077" style="width:0;height:1.5pt" o:hralign="center" o:hrstd="t" o:hr="t" fillcolor="#a0a0a0" stroked="f"/>
        </w:pict>
      </w:r>
    </w:p>
    <w:p w14:paraId="72BC1C5E"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2.4 Solvency and Gearing Ratios</w:t>
      </w:r>
    </w:p>
    <w:p w14:paraId="35993610" w14:textId="77777777" w:rsidR="003E08D9" w:rsidRPr="003E08D9" w:rsidRDefault="003E08D9" w:rsidP="003E08D9">
      <w:pPr>
        <w:rPr>
          <w:rFonts w:ascii="Arial" w:hAnsi="Arial" w:cs="Arial"/>
          <w:sz w:val="22"/>
          <w:szCs w:val="22"/>
        </w:rPr>
      </w:pPr>
      <w:r w:rsidRPr="003E08D9">
        <w:rPr>
          <w:rFonts w:ascii="Arial" w:hAnsi="Arial" w:cs="Arial"/>
          <w:sz w:val="22"/>
          <w:szCs w:val="22"/>
        </w:rPr>
        <w:t>GE’s solvency position has deteriorated dramatically.</w:t>
      </w:r>
    </w:p>
    <w:p w14:paraId="51BBDDA7" w14:textId="77777777" w:rsidR="003E08D9" w:rsidRPr="003E08D9" w:rsidRDefault="003E08D9" w:rsidP="003E08D9">
      <w:pPr>
        <w:rPr>
          <w:rFonts w:ascii="Arial" w:hAnsi="Arial" w:cs="Arial"/>
          <w:sz w:val="22"/>
          <w:szCs w:val="22"/>
        </w:rPr>
      </w:pPr>
      <w:r w:rsidRPr="003E08D9">
        <w:rPr>
          <w:rFonts w:ascii="Arial" w:hAnsi="Arial" w:cs="Arial"/>
          <w:sz w:val="22"/>
          <w:szCs w:val="22"/>
        </w:rPr>
        <w:t xml:space="preserve">The </w:t>
      </w:r>
      <w:r w:rsidRPr="003E08D9">
        <w:rPr>
          <w:rFonts w:ascii="Arial" w:hAnsi="Arial" w:cs="Arial"/>
          <w:b/>
          <w:bCs/>
          <w:sz w:val="22"/>
          <w:szCs w:val="22"/>
        </w:rPr>
        <w:t>Debt-to-Equity Ratio</w:t>
      </w:r>
      <w:r w:rsidRPr="003E08D9">
        <w:rPr>
          <w:rFonts w:ascii="Arial" w:hAnsi="Arial" w:cs="Arial"/>
          <w:sz w:val="22"/>
          <w:szCs w:val="22"/>
        </w:rPr>
        <w:t xml:space="preserve"> increased from 0.63 in 2020 to 1.11 in 2024, indicating rising leverage.</w:t>
      </w:r>
    </w:p>
    <w:p w14:paraId="2F332157" w14:textId="77777777" w:rsidR="003E08D9" w:rsidRPr="003E08D9" w:rsidRDefault="003E08D9" w:rsidP="003E08D9">
      <w:pPr>
        <w:rPr>
          <w:rFonts w:ascii="Arial" w:hAnsi="Arial" w:cs="Arial"/>
          <w:sz w:val="22"/>
          <w:szCs w:val="22"/>
        </w:rPr>
      </w:pPr>
      <w:r w:rsidRPr="003E08D9">
        <w:rPr>
          <w:rFonts w:ascii="Arial" w:hAnsi="Arial" w:cs="Arial"/>
          <w:b/>
          <w:bCs/>
          <w:sz w:val="22"/>
          <w:szCs w:val="22"/>
        </w:rPr>
        <w:t>Interest Coverage</w:t>
      </w:r>
      <w:r w:rsidRPr="003E08D9">
        <w:rPr>
          <w:rFonts w:ascii="Arial" w:hAnsi="Arial" w:cs="Arial"/>
          <w:sz w:val="22"/>
          <w:szCs w:val="22"/>
        </w:rPr>
        <w:t xml:space="preserve"> turned negative in 2023 and 2024 because EBIT is negative. This is one of the most serious indicators of financial distress.</w:t>
      </w:r>
    </w:p>
    <w:p w14:paraId="5792DFFE" w14:textId="77777777" w:rsidR="003E08D9" w:rsidRPr="003E08D9" w:rsidRDefault="003E08D9" w:rsidP="003E08D9">
      <w:pPr>
        <w:rPr>
          <w:rFonts w:ascii="Arial" w:hAnsi="Arial" w:cs="Arial"/>
          <w:sz w:val="22"/>
          <w:szCs w:val="22"/>
        </w:rPr>
      </w:pPr>
      <w:r w:rsidRPr="003E08D9">
        <w:rPr>
          <w:rFonts w:ascii="Arial" w:hAnsi="Arial" w:cs="Arial"/>
          <w:sz w:val="22"/>
          <w:szCs w:val="22"/>
        </w:rPr>
        <w:t>The company’s declining equity base, rising long-term obligations, and heavy impairments all contribute to a weakened capital structure.</w:t>
      </w:r>
    </w:p>
    <w:p w14:paraId="38A807DD"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2323B094">
          <v:rect id="_x0000_i1078" style="width:0;height:1.5pt" o:hralign="center" o:hrstd="t" o:hr="t" fillcolor="#a0a0a0" stroked="f"/>
        </w:pict>
      </w:r>
    </w:p>
    <w:p w14:paraId="2142750A"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2.5 Market and Investor Ratios</w:t>
      </w:r>
    </w:p>
    <w:p w14:paraId="0D90CC9D" w14:textId="77777777" w:rsidR="003E08D9" w:rsidRPr="003E08D9" w:rsidRDefault="003E08D9" w:rsidP="003E08D9">
      <w:pPr>
        <w:rPr>
          <w:rFonts w:ascii="Arial" w:hAnsi="Arial" w:cs="Arial"/>
          <w:sz w:val="22"/>
          <w:szCs w:val="22"/>
        </w:rPr>
      </w:pPr>
      <w:r w:rsidRPr="003E08D9">
        <w:rPr>
          <w:rFonts w:ascii="Arial" w:hAnsi="Arial" w:cs="Arial"/>
          <w:b/>
          <w:bCs/>
          <w:sz w:val="22"/>
          <w:szCs w:val="22"/>
        </w:rPr>
        <w:t>Earnings per Share (EPS)</w:t>
      </w:r>
      <w:r w:rsidRPr="003E08D9">
        <w:rPr>
          <w:rFonts w:ascii="Arial" w:hAnsi="Arial" w:cs="Arial"/>
          <w:sz w:val="22"/>
          <w:szCs w:val="22"/>
        </w:rPr>
        <w:t xml:space="preserve"> declined from </w:t>
      </w:r>
      <w:r w:rsidRPr="003E08D9">
        <w:rPr>
          <w:rFonts w:ascii="Arial" w:hAnsi="Arial" w:cs="Arial"/>
          <w:b/>
          <w:bCs/>
          <w:sz w:val="22"/>
          <w:szCs w:val="22"/>
        </w:rPr>
        <w:t>£2.78 (2020)</w:t>
      </w:r>
      <w:r w:rsidRPr="003E08D9">
        <w:rPr>
          <w:rFonts w:ascii="Arial" w:hAnsi="Arial" w:cs="Arial"/>
          <w:sz w:val="22"/>
          <w:szCs w:val="22"/>
        </w:rPr>
        <w:t xml:space="preserve"> to </w:t>
      </w:r>
      <w:r w:rsidRPr="003E08D9">
        <w:rPr>
          <w:rFonts w:ascii="Arial" w:hAnsi="Arial" w:cs="Arial"/>
          <w:b/>
          <w:bCs/>
          <w:sz w:val="22"/>
          <w:szCs w:val="22"/>
        </w:rPr>
        <w:t>–£7.64 (2023)</w:t>
      </w:r>
      <w:r w:rsidRPr="003E08D9">
        <w:rPr>
          <w:rFonts w:ascii="Arial" w:hAnsi="Arial" w:cs="Arial"/>
          <w:sz w:val="22"/>
          <w:szCs w:val="22"/>
        </w:rPr>
        <w:t>, severely damaging shareholder value and undermining the firm’s ability to raise equity financing.</w:t>
      </w:r>
    </w:p>
    <w:p w14:paraId="07065D8F"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2B39F0A3">
          <v:rect id="_x0000_i1079" style="width:0;height:1.5pt" o:hralign="center" o:hrstd="t" o:hr="t" fillcolor="#a0a0a0" stroked="f"/>
        </w:pict>
      </w:r>
    </w:p>
    <w:p w14:paraId="1A3FE51C"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2.6 Corporate Failure Prediction: Altman Z-Score</w:t>
      </w:r>
    </w:p>
    <w:p w14:paraId="20451274" w14:textId="77777777" w:rsidR="003E08D9" w:rsidRPr="003E08D9" w:rsidRDefault="003E08D9" w:rsidP="003E08D9">
      <w:pPr>
        <w:rPr>
          <w:rFonts w:ascii="Arial" w:hAnsi="Arial" w:cs="Arial"/>
          <w:sz w:val="22"/>
          <w:szCs w:val="22"/>
        </w:rPr>
      </w:pPr>
      <w:r w:rsidRPr="003E08D9">
        <w:rPr>
          <w:rFonts w:ascii="Arial" w:hAnsi="Arial" w:cs="Arial"/>
          <w:sz w:val="22"/>
          <w:szCs w:val="22"/>
        </w:rPr>
        <w:t xml:space="preserve">Using GE’s financial data, the Altman Z-Score would fall below </w:t>
      </w:r>
      <w:r w:rsidRPr="003E08D9">
        <w:rPr>
          <w:rFonts w:ascii="Arial" w:hAnsi="Arial" w:cs="Arial"/>
          <w:b/>
          <w:bCs/>
          <w:sz w:val="22"/>
          <w:szCs w:val="22"/>
        </w:rPr>
        <w:t>1.81</w:t>
      </w:r>
      <w:r w:rsidRPr="003E08D9">
        <w:rPr>
          <w:rFonts w:ascii="Arial" w:hAnsi="Arial" w:cs="Arial"/>
          <w:sz w:val="22"/>
          <w:szCs w:val="22"/>
        </w:rPr>
        <w:t xml:space="preserve">, placing GE in the </w:t>
      </w:r>
      <w:r w:rsidRPr="003E08D9">
        <w:rPr>
          <w:rFonts w:ascii="Arial" w:hAnsi="Arial" w:cs="Arial"/>
          <w:b/>
          <w:bCs/>
          <w:sz w:val="22"/>
          <w:szCs w:val="22"/>
        </w:rPr>
        <w:t>distress zone</w:t>
      </w:r>
      <w:r w:rsidRPr="003E08D9">
        <w:rPr>
          <w:rFonts w:ascii="Arial" w:hAnsi="Arial" w:cs="Arial"/>
          <w:sz w:val="22"/>
          <w:szCs w:val="22"/>
        </w:rPr>
        <w:t>, indicating high bankruptcy likelihood without significant restructuring.</w:t>
      </w:r>
    </w:p>
    <w:p w14:paraId="14E1B739" w14:textId="77777777" w:rsidR="003E08D9" w:rsidRPr="003E08D9" w:rsidRDefault="003E08D9" w:rsidP="003E08D9">
      <w:pPr>
        <w:rPr>
          <w:rFonts w:ascii="Arial" w:hAnsi="Arial" w:cs="Arial"/>
          <w:sz w:val="22"/>
          <w:szCs w:val="22"/>
        </w:rPr>
      </w:pPr>
      <w:r w:rsidRPr="003E08D9">
        <w:rPr>
          <w:rFonts w:ascii="Arial" w:hAnsi="Arial" w:cs="Arial"/>
          <w:sz w:val="22"/>
          <w:szCs w:val="22"/>
        </w:rPr>
        <w:t>Key contributors include:</w:t>
      </w:r>
    </w:p>
    <w:p w14:paraId="323EB955" w14:textId="77777777" w:rsidR="003E08D9" w:rsidRPr="003E08D9" w:rsidRDefault="003E08D9" w:rsidP="003E08D9">
      <w:pPr>
        <w:numPr>
          <w:ilvl w:val="0"/>
          <w:numId w:val="1"/>
        </w:numPr>
        <w:rPr>
          <w:rFonts w:ascii="Arial" w:hAnsi="Arial" w:cs="Arial"/>
          <w:sz w:val="22"/>
          <w:szCs w:val="22"/>
        </w:rPr>
      </w:pPr>
      <w:r w:rsidRPr="003E08D9">
        <w:rPr>
          <w:rFonts w:ascii="Arial" w:hAnsi="Arial" w:cs="Arial"/>
          <w:sz w:val="22"/>
          <w:szCs w:val="22"/>
        </w:rPr>
        <w:t>negative working capital</w:t>
      </w:r>
    </w:p>
    <w:p w14:paraId="2B58D17D" w14:textId="77777777" w:rsidR="003E08D9" w:rsidRPr="003E08D9" w:rsidRDefault="003E08D9" w:rsidP="003E08D9">
      <w:pPr>
        <w:numPr>
          <w:ilvl w:val="0"/>
          <w:numId w:val="1"/>
        </w:numPr>
        <w:rPr>
          <w:rFonts w:ascii="Arial" w:hAnsi="Arial" w:cs="Arial"/>
          <w:sz w:val="22"/>
          <w:szCs w:val="22"/>
        </w:rPr>
      </w:pPr>
      <w:r w:rsidRPr="003E08D9">
        <w:rPr>
          <w:rFonts w:ascii="Arial" w:hAnsi="Arial" w:cs="Arial"/>
          <w:sz w:val="22"/>
          <w:szCs w:val="22"/>
        </w:rPr>
        <w:t>negative EBIT</w:t>
      </w:r>
    </w:p>
    <w:p w14:paraId="09697990" w14:textId="77777777" w:rsidR="003E08D9" w:rsidRPr="003E08D9" w:rsidRDefault="003E08D9" w:rsidP="003E08D9">
      <w:pPr>
        <w:numPr>
          <w:ilvl w:val="0"/>
          <w:numId w:val="1"/>
        </w:numPr>
        <w:rPr>
          <w:rFonts w:ascii="Arial" w:hAnsi="Arial" w:cs="Arial"/>
          <w:sz w:val="22"/>
          <w:szCs w:val="22"/>
        </w:rPr>
      </w:pPr>
      <w:r w:rsidRPr="003E08D9">
        <w:rPr>
          <w:rFonts w:ascii="Arial" w:hAnsi="Arial" w:cs="Arial"/>
          <w:sz w:val="22"/>
          <w:szCs w:val="22"/>
        </w:rPr>
        <w:t>declining retained earnings</w:t>
      </w:r>
    </w:p>
    <w:p w14:paraId="2E6931ED" w14:textId="77777777" w:rsidR="003E08D9" w:rsidRPr="003E08D9" w:rsidRDefault="003E08D9" w:rsidP="003E08D9">
      <w:pPr>
        <w:numPr>
          <w:ilvl w:val="0"/>
          <w:numId w:val="1"/>
        </w:numPr>
        <w:rPr>
          <w:rFonts w:ascii="Arial" w:hAnsi="Arial" w:cs="Arial"/>
          <w:sz w:val="22"/>
          <w:szCs w:val="22"/>
        </w:rPr>
      </w:pPr>
      <w:r w:rsidRPr="003E08D9">
        <w:rPr>
          <w:rFonts w:ascii="Arial" w:hAnsi="Arial" w:cs="Arial"/>
          <w:sz w:val="22"/>
          <w:szCs w:val="22"/>
        </w:rPr>
        <w:t>rising debt</w:t>
      </w:r>
    </w:p>
    <w:p w14:paraId="14AD15CF" w14:textId="77777777" w:rsidR="003E08D9" w:rsidRPr="003E08D9" w:rsidRDefault="003E08D9" w:rsidP="003E08D9">
      <w:pPr>
        <w:numPr>
          <w:ilvl w:val="0"/>
          <w:numId w:val="1"/>
        </w:numPr>
        <w:rPr>
          <w:rFonts w:ascii="Arial" w:hAnsi="Arial" w:cs="Arial"/>
          <w:sz w:val="22"/>
          <w:szCs w:val="22"/>
        </w:rPr>
      </w:pPr>
      <w:r w:rsidRPr="003E08D9">
        <w:rPr>
          <w:rFonts w:ascii="Arial" w:hAnsi="Arial" w:cs="Arial"/>
          <w:sz w:val="22"/>
          <w:szCs w:val="22"/>
        </w:rPr>
        <w:t>shrinking equity</w:t>
      </w:r>
    </w:p>
    <w:p w14:paraId="4F2A6F54" w14:textId="77777777" w:rsidR="003E08D9" w:rsidRPr="003E08D9" w:rsidRDefault="003E08D9" w:rsidP="003E08D9">
      <w:pPr>
        <w:rPr>
          <w:rFonts w:ascii="Arial" w:hAnsi="Arial" w:cs="Arial"/>
          <w:sz w:val="22"/>
          <w:szCs w:val="22"/>
        </w:rPr>
      </w:pPr>
      <w:r w:rsidRPr="003E08D9">
        <w:rPr>
          <w:rFonts w:ascii="Arial" w:hAnsi="Arial" w:cs="Arial"/>
          <w:sz w:val="22"/>
          <w:szCs w:val="22"/>
        </w:rPr>
        <w:t>This clearly signals an urgent need for strategic intervention.</w:t>
      </w:r>
    </w:p>
    <w:p w14:paraId="29FDCE25" w14:textId="77777777" w:rsidR="003E08D9" w:rsidRPr="003E08D9" w:rsidRDefault="003E08D9" w:rsidP="003E08D9">
      <w:pPr>
        <w:rPr>
          <w:rFonts w:ascii="Arial" w:hAnsi="Arial" w:cs="Arial"/>
          <w:sz w:val="22"/>
          <w:szCs w:val="22"/>
        </w:rPr>
      </w:pPr>
      <w:r w:rsidRPr="003E08D9">
        <w:rPr>
          <w:rFonts w:ascii="Arial" w:hAnsi="Arial" w:cs="Arial"/>
          <w:sz w:val="22"/>
          <w:szCs w:val="22"/>
        </w:rPr>
        <w:lastRenderedPageBreak/>
        <w:pict w14:anchorId="68D17301">
          <v:rect id="_x0000_i1080" style="width:0;height:1.5pt" o:hralign="center" o:hrstd="t" o:hr="t" fillcolor="#a0a0a0" stroked="f"/>
        </w:pict>
      </w:r>
    </w:p>
    <w:p w14:paraId="08DA391C"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2.7 Summary of Financial Condition</w:t>
      </w:r>
    </w:p>
    <w:p w14:paraId="36CDAE94" w14:textId="77777777" w:rsidR="003E08D9" w:rsidRPr="003E08D9" w:rsidRDefault="003E08D9" w:rsidP="003E08D9">
      <w:pPr>
        <w:rPr>
          <w:rFonts w:ascii="Arial" w:hAnsi="Arial" w:cs="Arial"/>
          <w:sz w:val="22"/>
          <w:szCs w:val="22"/>
        </w:rPr>
      </w:pPr>
      <w:r w:rsidRPr="003E08D9">
        <w:rPr>
          <w:rFonts w:ascii="Arial" w:hAnsi="Arial" w:cs="Arial"/>
          <w:sz w:val="22"/>
          <w:szCs w:val="22"/>
        </w:rPr>
        <w:t>GE’s financial health has deteriorated across every major dimension. The combination of falling profitability, weakening liquidity, inefficient working capital, rising leverage, and collapsing shareholder value indicates severe corporate distress and the need for immediate and comprehensive financial restructuring.</w:t>
      </w:r>
    </w:p>
    <w:p w14:paraId="484020EC" w14:textId="77777777" w:rsidR="003E08D9" w:rsidRPr="003E08D9" w:rsidRDefault="003E08D9" w:rsidP="003E08D9">
      <w:pPr>
        <w:rPr>
          <w:rFonts w:ascii="Arial" w:hAnsi="Arial" w:cs="Arial"/>
          <w:sz w:val="22"/>
          <w:szCs w:val="22"/>
        </w:rPr>
      </w:pPr>
    </w:p>
    <w:p w14:paraId="7806F422"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3. Working Capital Management Analysis</w:t>
      </w:r>
    </w:p>
    <w:p w14:paraId="3DD0C6AB" w14:textId="77777777" w:rsidR="003E08D9" w:rsidRPr="003E08D9" w:rsidRDefault="003E08D9" w:rsidP="003E08D9">
      <w:pPr>
        <w:rPr>
          <w:rFonts w:ascii="Arial" w:hAnsi="Arial" w:cs="Arial"/>
          <w:sz w:val="22"/>
          <w:szCs w:val="22"/>
        </w:rPr>
      </w:pPr>
      <w:r w:rsidRPr="003E08D9">
        <w:rPr>
          <w:rFonts w:ascii="Arial" w:hAnsi="Arial" w:cs="Arial"/>
          <w:sz w:val="22"/>
          <w:szCs w:val="22"/>
        </w:rPr>
        <w:t>Working capital management is a critical area for GE, particularly given the firm’s deteriorating liquidity and increased reliance on short-term financing. Effective working capital management is essential for maintaining daily operations, minimising financing costs, and supporting long-term strategic investments (</w:t>
      </w:r>
      <w:proofErr w:type="spellStart"/>
      <w:r w:rsidRPr="003E08D9">
        <w:rPr>
          <w:rFonts w:ascii="Arial" w:hAnsi="Arial" w:cs="Arial"/>
          <w:sz w:val="22"/>
          <w:szCs w:val="22"/>
        </w:rPr>
        <w:t>Atrill</w:t>
      </w:r>
      <w:proofErr w:type="spellEnd"/>
      <w:r w:rsidRPr="003E08D9">
        <w:rPr>
          <w:rFonts w:ascii="Arial" w:hAnsi="Arial" w:cs="Arial"/>
          <w:sz w:val="22"/>
          <w:szCs w:val="22"/>
        </w:rPr>
        <w:t xml:space="preserve"> &amp; McLaney, 2019). GE’s performance across receivables, payables, and inventory demonstrates substantial inefficiencies, which have directly contributed to cash shortages and operational instability.</w:t>
      </w:r>
    </w:p>
    <w:p w14:paraId="0D6273F4"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1D3354A1">
          <v:rect id="_x0000_i1257" style="width:0;height:1.5pt" o:hralign="center" o:hrstd="t" o:hr="t" fillcolor="#a0a0a0" stroked="f"/>
        </w:pict>
      </w:r>
    </w:p>
    <w:p w14:paraId="1507055A"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3.1 Cash Operating Cycle Assessment</w:t>
      </w:r>
    </w:p>
    <w:p w14:paraId="4964F987" w14:textId="77777777" w:rsidR="003E08D9" w:rsidRPr="003E08D9" w:rsidRDefault="003E08D9" w:rsidP="003E08D9">
      <w:pPr>
        <w:rPr>
          <w:rFonts w:ascii="Arial" w:hAnsi="Arial" w:cs="Arial"/>
          <w:sz w:val="22"/>
          <w:szCs w:val="22"/>
        </w:rPr>
      </w:pPr>
      <w:r w:rsidRPr="003E08D9">
        <w:rPr>
          <w:rFonts w:ascii="Arial" w:hAnsi="Arial" w:cs="Arial"/>
          <w:sz w:val="22"/>
          <w:szCs w:val="22"/>
        </w:rPr>
        <w:t xml:space="preserve">The Cash Operating Cycle (COC) measures the time between the outlay of cash for purchases and the collection of cash from sales. GE’s COC increased significantly during the period 2020–2024, expanding from approximately </w:t>
      </w:r>
      <w:r w:rsidRPr="003E08D9">
        <w:rPr>
          <w:rFonts w:ascii="Arial" w:hAnsi="Arial" w:cs="Arial"/>
          <w:b/>
          <w:bCs/>
          <w:sz w:val="22"/>
          <w:szCs w:val="22"/>
        </w:rPr>
        <w:t>107 days</w:t>
      </w:r>
      <w:r w:rsidRPr="003E08D9">
        <w:rPr>
          <w:rFonts w:ascii="Arial" w:hAnsi="Arial" w:cs="Arial"/>
          <w:sz w:val="22"/>
          <w:szCs w:val="22"/>
        </w:rPr>
        <w:t xml:space="preserve"> to </w:t>
      </w:r>
      <w:r w:rsidRPr="003E08D9">
        <w:rPr>
          <w:rFonts w:ascii="Arial" w:hAnsi="Arial" w:cs="Arial"/>
          <w:b/>
          <w:bCs/>
          <w:sz w:val="22"/>
          <w:szCs w:val="22"/>
        </w:rPr>
        <w:t>159 days</w:t>
      </w:r>
      <w:r w:rsidRPr="003E08D9">
        <w:rPr>
          <w:rFonts w:ascii="Arial" w:hAnsi="Arial" w:cs="Arial"/>
          <w:sz w:val="22"/>
          <w:szCs w:val="22"/>
        </w:rPr>
        <w:t>, a 49% deterioration.</w:t>
      </w:r>
    </w:p>
    <w:p w14:paraId="41C593D9" w14:textId="77777777" w:rsidR="003E08D9" w:rsidRPr="003E08D9" w:rsidRDefault="003E08D9" w:rsidP="003E08D9">
      <w:pPr>
        <w:rPr>
          <w:rFonts w:ascii="Arial" w:hAnsi="Arial" w:cs="Arial"/>
          <w:sz w:val="22"/>
          <w:szCs w:val="22"/>
        </w:rPr>
      </w:pPr>
      <w:r w:rsidRPr="003E08D9">
        <w:rPr>
          <w:rFonts w:ascii="Arial" w:hAnsi="Arial" w:cs="Arial"/>
          <w:sz w:val="22"/>
          <w:szCs w:val="22"/>
        </w:rPr>
        <w:t>This lengthening of the cycle is driven by three connected factors:</w:t>
      </w:r>
    </w:p>
    <w:p w14:paraId="53C5C392"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55425FFB">
          <v:rect id="_x0000_i1258" style="width:0;height:1.5pt" o:hralign="center" o:hrstd="t" o:hr="t" fillcolor="#a0a0a0" stroked="f"/>
        </w:pict>
      </w:r>
    </w:p>
    <w:p w14:paraId="64ECACC7"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1. Increasing Inventory Days</w:t>
      </w:r>
    </w:p>
    <w:p w14:paraId="66AD27FB" w14:textId="77777777" w:rsidR="003E08D9" w:rsidRPr="003E08D9" w:rsidRDefault="003E08D9" w:rsidP="003E08D9">
      <w:pPr>
        <w:rPr>
          <w:rFonts w:ascii="Arial" w:hAnsi="Arial" w:cs="Arial"/>
          <w:sz w:val="22"/>
          <w:szCs w:val="22"/>
        </w:rPr>
      </w:pPr>
      <w:r w:rsidRPr="003E08D9">
        <w:rPr>
          <w:rFonts w:ascii="Arial" w:hAnsi="Arial" w:cs="Arial"/>
          <w:sz w:val="22"/>
          <w:szCs w:val="22"/>
        </w:rPr>
        <w:t>Inventory Days rose significantly between 2020 and 2022, indicating excessive inventory accumulation. This reflects:</w:t>
      </w:r>
    </w:p>
    <w:p w14:paraId="1BE3B249" w14:textId="77777777" w:rsidR="003E08D9" w:rsidRPr="003E08D9" w:rsidRDefault="003E08D9" w:rsidP="003E08D9">
      <w:pPr>
        <w:numPr>
          <w:ilvl w:val="0"/>
          <w:numId w:val="2"/>
        </w:numPr>
        <w:rPr>
          <w:rFonts w:ascii="Arial" w:hAnsi="Arial" w:cs="Arial"/>
          <w:sz w:val="22"/>
          <w:szCs w:val="22"/>
        </w:rPr>
      </w:pPr>
      <w:r w:rsidRPr="003E08D9">
        <w:rPr>
          <w:rFonts w:ascii="Arial" w:hAnsi="Arial" w:cs="Arial"/>
          <w:sz w:val="22"/>
          <w:szCs w:val="22"/>
        </w:rPr>
        <w:t>weak demand forecasting</w:t>
      </w:r>
    </w:p>
    <w:p w14:paraId="093B55CB" w14:textId="77777777" w:rsidR="003E08D9" w:rsidRPr="003E08D9" w:rsidRDefault="003E08D9" w:rsidP="003E08D9">
      <w:pPr>
        <w:numPr>
          <w:ilvl w:val="0"/>
          <w:numId w:val="2"/>
        </w:numPr>
        <w:rPr>
          <w:rFonts w:ascii="Arial" w:hAnsi="Arial" w:cs="Arial"/>
          <w:sz w:val="22"/>
          <w:szCs w:val="22"/>
        </w:rPr>
      </w:pPr>
      <w:r w:rsidRPr="003E08D9">
        <w:rPr>
          <w:rFonts w:ascii="Arial" w:hAnsi="Arial" w:cs="Arial"/>
          <w:sz w:val="22"/>
          <w:szCs w:val="22"/>
        </w:rPr>
        <w:t>overproduction relative to sales volume</w:t>
      </w:r>
    </w:p>
    <w:p w14:paraId="4456F3DC" w14:textId="77777777" w:rsidR="003E08D9" w:rsidRPr="003E08D9" w:rsidRDefault="003E08D9" w:rsidP="003E08D9">
      <w:pPr>
        <w:numPr>
          <w:ilvl w:val="0"/>
          <w:numId w:val="2"/>
        </w:numPr>
        <w:rPr>
          <w:rFonts w:ascii="Arial" w:hAnsi="Arial" w:cs="Arial"/>
          <w:sz w:val="22"/>
          <w:szCs w:val="22"/>
        </w:rPr>
      </w:pPr>
      <w:r w:rsidRPr="003E08D9">
        <w:rPr>
          <w:rFonts w:ascii="Arial" w:hAnsi="Arial" w:cs="Arial"/>
          <w:sz w:val="22"/>
          <w:szCs w:val="22"/>
        </w:rPr>
        <w:t>slow-moving or obsolete product lines</w:t>
      </w:r>
    </w:p>
    <w:p w14:paraId="56D611B7" w14:textId="77777777" w:rsidR="003E08D9" w:rsidRPr="003E08D9" w:rsidRDefault="003E08D9" w:rsidP="003E08D9">
      <w:pPr>
        <w:rPr>
          <w:rFonts w:ascii="Arial" w:hAnsi="Arial" w:cs="Arial"/>
          <w:sz w:val="22"/>
          <w:szCs w:val="22"/>
        </w:rPr>
      </w:pPr>
      <w:r w:rsidRPr="003E08D9">
        <w:rPr>
          <w:rFonts w:ascii="Arial" w:hAnsi="Arial" w:cs="Arial"/>
          <w:sz w:val="22"/>
          <w:szCs w:val="22"/>
        </w:rPr>
        <w:t>In the consumer electronics industry—where products become obsolete rapidly—high inventory levels lead to depreciation in stock value and increased holding costs, both of which negatively affect profitability.</w:t>
      </w:r>
    </w:p>
    <w:p w14:paraId="6D728EAA"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6E690290">
          <v:rect id="_x0000_i1259" style="width:0;height:1.5pt" o:hralign="center" o:hrstd="t" o:hr="t" fillcolor="#a0a0a0" stroked="f"/>
        </w:pict>
      </w:r>
    </w:p>
    <w:p w14:paraId="5ED81341"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2. Prolonged Receivables Collection Period</w:t>
      </w:r>
    </w:p>
    <w:p w14:paraId="22679C6D" w14:textId="77777777" w:rsidR="003E08D9" w:rsidRPr="003E08D9" w:rsidRDefault="003E08D9" w:rsidP="003E08D9">
      <w:pPr>
        <w:rPr>
          <w:rFonts w:ascii="Arial" w:hAnsi="Arial" w:cs="Arial"/>
          <w:sz w:val="22"/>
          <w:szCs w:val="22"/>
        </w:rPr>
      </w:pPr>
      <w:r w:rsidRPr="003E08D9">
        <w:rPr>
          <w:rFonts w:ascii="Arial" w:hAnsi="Arial" w:cs="Arial"/>
          <w:sz w:val="22"/>
          <w:szCs w:val="22"/>
        </w:rPr>
        <w:t>Receivables Days increased from approximately 76 days in 2020 to 105 days in 2024. This extension reflects:</w:t>
      </w:r>
    </w:p>
    <w:p w14:paraId="7BE8C614" w14:textId="77777777" w:rsidR="003E08D9" w:rsidRPr="003E08D9" w:rsidRDefault="003E08D9" w:rsidP="003E08D9">
      <w:pPr>
        <w:numPr>
          <w:ilvl w:val="0"/>
          <w:numId w:val="3"/>
        </w:numPr>
        <w:rPr>
          <w:rFonts w:ascii="Arial" w:hAnsi="Arial" w:cs="Arial"/>
          <w:sz w:val="22"/>
          <w:szCs w:val="22"/>
        </w:rPr>
      </w:pPr>
      <w:r w:rsidRPr="003E08D9">
        <w:rPr>
          <w:rFonts w:ascii="Arial" w:hAnsi="Arial" w:cs="Arial"/>
          <w:sz w:val="22"/>
          <w:szCs w:val="22"/>
        </w:rPr>
        <w:t>ineffective credit control</w:t>
      </w:r>
    </w:p>
    <w:p w14:paraId="2C03EE38" w14:textId="77777777" w:rsidR="003E08D9" w:rsidRPr="003E08D9" w:rsidRDefault="003E08D9" w:rsidP="003E08D9">
      <w:pPr>
        <w:numPr>
          <w:ilvl w:val="0"/>
          <w:numId w:val="3"/>
        </w:numPr>
        <w:rPr>
          <w:rFonts w:ascii="Arial" w:hAnsi="Arial" w:cs="Arial"/>
          <w:sz w:val="22"/>
          <w:szCs w:val="22"/>
        </w:rPr>
      </w:pPr>
      <w:r w:rsidRPr="003E08D9">
        <w:rPr>
          <w:rFonts w:ascii="Arial" w:hAnsi="Arial" w:cs="Arial"/>
          <w:sz w:val="22"/>
          <w:szCs w:val="22"/>
        </w:rPr>
        <w:t>overly generous credit terms</w:t>
      </w:r>
    </w:p>
    <w:p w14:paraId="2DD6A50C" w14:textId="77777777" w:rsidR="003E08D9" w:rsidRPr="003E08D9" w:rsidRDefault="003E08D9" w:rsidP="003E08D9">
      <w:pPr>
        <w:numPr>
          <w:ilvl w:val="0"/>
          <w:numId w:val="3"/>
        </w:numPr>
        <w:rPr>
          <w:rFonts w:ascii="Arial" w:hAnsi="Arial" w:cs="Arial"/>
          <w:sz w:val="22"/>
          <w:szCs w:val="22"/>
        </w:rPr>
      </w:pPr>
      <w:r w:rsidRPr="003E08D9">
        <w:rPr>
          <w:rFonts w:ascii="Arial" w:hAnsi="Arial" w:cs="Arial"/>
          <w:sz w:val="22"/>
          <w:szCs w:val="22"/>
        </w:rPr>
        <w:t>poor enforcement of collection policies</w:t>
      </w:r>
    </w:p>
    <w:p w14:paraId="1E869ADF" w14:textId="77777777" w:rsidR="003E08D9" w:rsidRPr="003E08D9" w:rsidRDefault="003E08D9" w:rsidP="003E08D9">
      <w:pPr>
        <w:numPr>
          <w:ilvl w:val="0"/>
          <w:numId w:val="3"/>
        </w:numPr>
        <w:rPr>
          <w:rFonts w:ascii="Arial" w:hAnsi="Arial" w:cs="Arial"/>
          <w:sz w:val="22"/>
          <w:szCs w:val="22"/>
        </w:rPr>
      </w:pPr>
      <w:r w:rsidRPr="003E08D9">
        <w:rPr>
          <w:rFonts w:ascii="Arial" w:hAnsi="Arial" w:cs="Arial"/>
          <w:sz w:val="22"/>
          <w:szCs w:val="22"/>
        </w:rPr>
        <w:t>potential financial strain among customers</w:t>
      </w:r>
    </w:p>
    <w:p w14:paraId="2CF02ADD" w14:textId="77777777" w:rsidR="003E08D9" w:rsidRPr="003E08D9" w:rsidRDefault="003E08D9" w:rsidP="003E08D9">
      <w:pPr>
        <w:rPr>
          <w:rFonts w:ascii="Arial" w:hAnsi="Arial" w:cs="Arial"/>
          <w:sz w:val="22"/>
          <w:szCs w:val="22"/>
        </w:rPr>
      </w:pPr>
      <w:r w:rsidRPr="003E08D9">
        <w:rPr>
          <w:rFonts w:ascii="Arial" w:hAnsi="Arial" w:cs="Arial"/>
          <w:sz w:val="22"/>
          <w:szCs w:val="22"/>
        </w:rPr>
        <w:t>Slow customer payments reduce operating cash flow and increase GE’s reliance on external financing.</w:t>
      </w:r>
    </w:p>
    <w:p w14:paraId="14A92F90"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4D943B1C">
          <v:rect id="_x0000_i1260" style="width:0;height:1.5pt" o:hralign="center" o:hrstd="t" o:hr="t" fillcolor="#a0a0a0" stroked="f"/>
        </w:pict>
      </w:r>
    </w:p>
    <w:p w14:paraId="39926188"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3. Shortened Payables Period</w:t>
      </w:r>
    </w:p>
    <w:p w14:paraId="3FB47D6A" w14:textId="77777777" w:rsidR="003E08D9" w:rsidRPr="003E08D9" w:rsidRDefault="003E08D9" w:rsidP="003E08D9">
      <w:pPr>
        <w:rPr>
          <w:rFonts w:ascii="Arial" w:hAnsi="Arial" w:cs="Arial"/>
          <w:sz w:val="22"/>
          <w:szCs w:val="22"/>
        </w:rPr>
      </w:pPr>
      <w:r w:rsidRPr="003E08D9">
        <w:rPr>
          <w:rFonts w:ascii="Arial" w:hAnsi="Arial" w:cs="Arial"/>
          <w:sz w:val="22"/>
          <w:szCs w:val="22"/>
        </w:rPr>
        <w:t>Despite rising receivables and inventory days, GE is paying suppliers more quickly—contrary to what is expected for a company in financial distress.</w:t>
      </w:r>
    </w:p>
    <w:p w14:paraId="0A3C31A4" w14:textId="77777777" w:rsidR="003E08D9" w:rsidRPr="003E08D9" w:rsidRDefault="003E08D9" w:rsidP="003E08D9">
      <w:pPr>
        <w:rPr>
          <w:rFonts w:ascii="Arial" w:hAnsi="Arial" w:cs="Arial"/>
          <w:sz w:val="22"/>
          <w:szCs w:val="22"/>
        </w:rPr>
      </w:pPr>
      <w:r w:rsidRPr="003E08D9">
        <w:rPr>
          <w:rFonts w:ascii="Arial" w:hAnsi="Arial" w:cs="Arial"/>
          <w:sz w:val="22"/>
          <w:szCs w:val="22"/>
        </w:rPr>
        <w:t>The cause is likely reduced supplier trust, leading to:</w:t>
      </w:r>
    </w:p>
    <w:p w14:paraId="424903CB" w14:textId="77777777" w:rsidR="003E08D9" w:rsidRPr="003E08D9" w:rsidRDefault="003E08D9" w:rsidP="003E08D9">
      <w:pPr>
        <w:numPr>
          <w:ilvl w:val="0"/>
          <w:numId w:val="4"/>
        </w:numPr>
        <w:rPr>
          <w:rFonts w:ascii="Arial" w:hAnsi="Arial" w:cs="Arial"/>
          <w:sz w:val="22"/>
          <w:szCs w:val="22"/>
        </w:rPr>
      </w:pPr>
      <w:r w:rsidRPr="003E08D9">
        <w:rPr>
          <w:rFonts w:ascii="Arial" w:hAnsi="Arial" w:cs="Arial"/>
          <w:sz w:val="22"/>
          <w:szCs w:val="22"/>
        </w:rPr>
        <w:t>shortened credit terms</w:t>
      </w:r>
    </w:p>
    <w:p w14:paraId="06236AD3" w14:textId="77777777" w:rsidR="003E08D9" w:rsidRPr="003E08D9" w:rsidRDefault="003E08D9" w:rsidP="003E08D9">
      <w:pPr>
        <w:numPr>
          <w:ilvl w:val="0"/>
          <w:numId w:val="4"/>
        </w:numPr>
        <w:rPr>
          <w:rFonts w:ascii="Arial" w:hAnsi="Arial" w:cs="Arial"/>
          <w:sz w:val="22"/>
          <w:szCs w:val="22"/>
        </w:rPr>
      </w:pPr>
      <w:r w:rsidRPr="003E08D9">
        <w:rPr>
          <w:rFonts w:ascii="Arial" w:hAnsi="Arial" w:cs="Arial"/>
          <w:sz w:val="22"/>
          <w:szCs w:val="22"/>
        </w:rPr>
        <w:t>stricter payment requirements</w:t>
      </w:r>
    </w:p>
    <w:p w14:paraId="17C5DF98" w14:textId="77777777" w:rsidR="003E08D9" w:rsidRPr="003E08D9" w:rsidRDefault="003E08D9" w:rsidP="003E08D9">
      <w:pPr>
        <w:numPr>
          <w:ilvl w:val="0"/>
          <w:numId w:val="4"/>
        </w:numPr>
        <w:rPr>
          <w:rFonts w:ascii="Arial" w:hAnsi="Arial" w:cs="Arial"/>
          <w:sz w:val="22"/>
          <w:szCs w:val="22"/>
        </w:rPr>
      </w:pPr>
      <w:r w:rsidRPr="003E08D9">
        <w:rPr>
          <w:rFonts w:ascii="Arial" w:hAnsi="Arial" w:cs="Arial"/>
          <w:sz w:val="22"/>
          <w:szCs w:val="22"/>
        </w:rPr>
        <w:t>reduced access to trade credit</w:t>
      </w:r>
    </w:p>
    <w:p w14:paraId="1D1F93E0" w14:textId="77777777" w:rsidR="003E08D9" w:rsidRPr="003E08D9" w:rsidRDefault="003E08D9" w:rsidP="003E08D9">
      <w:pPr>
        <w:rPr>
          <w:rFonts w:ascii="Arial" w:hAnsi="Arial" w:cs="Arial"/>
          <w:sz w:val="22"/>
          <w:szCs w:val="22"/>
        </w:rPr>
      </w:pPr>
      <w:r w:rsidRPr="003E08D9">
        <w:rPr>
          <w:rFonts w:ascii="Arial" w:hAnsi="Arial" w:cs="Arial"/>
          <w:sz w:val="22"/>
          <w:szCs w:val="22"/>
        </w:rPr>
        <w:t>This further increases GE’s working capital needs and diminishes liquidity.</w:t>
      </w:r>
    </w:p>
    <w:p w14:paraId="5F78C10E"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4AAC711F">
          <v:rect id="_x0000_i1261" style="width:0;height:1.5pt" o:hralign="center" o:hrstd="t" o:hr="t" fillcolor="#a0a0a0" stroked="f"/>
        </w:pict>
      </w:r>
    </w:p>
    <w:p w14:paraId="36931745"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Conclusion of COC Assessment</w:t>
      </w:r>
    </w:p>
    <w:p w14:paraId="43F07C18" w14:textId="77777777" w:rsidR="003E08D9" w:rsidRPr="003E08D9" w:rsidRDefault="003E08D9" w:rsidP="003E08D9">
      <w:pPr>
        <w:rPr>
          <w:rFonts w:ascii="Arial" w:hAnsi="Arial" w:cs="Arial"/>
          <w:sz w:val="22"/>
          <w:szCs w:val="22"/>
        </w:rPr>
      </w:pPr>
      <w:r w:rsidRPr="003E08D9">
        <w:rPr>
          <w:rFonts w:ascii="Arial" w:hAnsi="Arial" w:cs="Arial"/>
          <w:sz w:val="22"/>
          <w:szCs w:val="22"/>
        </w:rPr>
        <w:t xml:space="preserve">The combination of rising inventory days, increasing receivable days, and declining payable days has significantly strained GE's cash flow and contributed to its declining financial </w:t>
      </w:r>
      <w:r w:rsidRPr="003E08D9">
        <w:rPr>
          <w:rFonts w:ascii="Arial" w:hAnsi="Arial" w:cs="Arial"/>
          <w:sz w:val="22"/>
          <w:szCs w:val="22"/>
        </w:rPr>
        <w:lastRenderedPageBreak/>
        <w:t>stability. Without intervention, GE risks further liquidity crises and increased dependency on expensive short-term borrowing.</w:t>
      </w:r>
    </w:p>
    <w:p w14:paraId="7BD5903D"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547C84D5">
          <v:rect id="_x0000_i1262" style="width:0;height:1.5pt" o:hralign="center" o:hrstd="t" o:hr="t" fillcolor="#a0a0a0" stroked="f"/>
        </w:pict>
      </w:r>
    </w:p>
    <w:p w14:paraId="4B0B671A"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3.2 Critical Evaluation of Working Capital Weaknesses</w:t>
      </w:r>
    </w:p>
    <w:p w14:paraId="0F7F1C80" w14:textId="77777777" w:rsidR="003E08D9" w:rsidRPr="003E08D9" w:rsidRDefault="003E08D9" w:rsidP="003E08D9">
      <w:pPr>
        <w:rPr>
          <w:rFonts w:ascii="Arial" w:hAnsi="Arial" w:cs="Arial"/>
          <w:sz w:val="22"/>
          <w:szCs w:val="22"/>
        </w:rPr>
      </w:pPr>
      <w:r w:rsidRPr="003E08D9">
        <w:rPr>
          <w:rFonts w:ascii="Arial" w:hAnsi="Arial" w:cs="Arial"/>
          <w:sz w:val="22"/>
          <w:szCs w:val="22"/>
        </w:rPr>
        <w:t>GE’s working capital weaknesses stem from structural inefficiencies rather than isolated events.</w:t>
      </w:r>
    </w:p>
    <w:p w14:paraId="1A751BFD"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4800BFA9">
          <v:rect id="_x0000_i1263" style="width:0;height:1.5pt" o:hralign="center" o:hrstd="t" o:hr="t" fillcolor="#a0a0a0" stroked="f"/>
        </w:pict>
      </w:r>
    </w:p>
    <w:p w14:paraId="19BF8950"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A. Inventory Management Deficiencies</w:t>
      </w:r>
    </w:p>
    <w:p w14:paraId="640371B7" w14:textId="77777777" w:rsidR="003E08D9" w:rsidRPr="003E08D9" w:rsidRDefault="003E08D9" w:rsidP="003E08D9">
      <w:pPr>
        <w:rPr>
          <w:rFonts w:ascii="Arial" w:hAnsi="Arial" w:cs="Arial"/>
          <w:sz w:val="22"/>
          <w:szCs w:val="22"/>
        </w:rPr>
      </w:pPr>
      <w:r w:rsidRPr="003E08D9">
        <w:rPr>
          <w:rFonts w:ascii="Arial" w:hAnsi="Arial" w:cs="Arial"/>
          <w:sz w:val="22"/>
          <w:szCs w:val="22"/>
        </w:rPr>
        <w:t>The accumulation of inventory indicates:</w:t>
      </w:r>
    </w:p>
    <w:p w14:paraId="732E6766" w14:textId="77777777" w:rsidR="003E08D9" w:rsidRPr="003E08D9" w:rsidRDefault="003E08D9" w:rsidP="003E08D9">
      <w:pPr>
        <w:numPr>
          <w:ilvl w:val="0"/>
          <w:numId w:val="5"/>
        </w:numPr>
        <w:rPr>
          <w:rFonts w:ascii="Arial" w:hAnsi="Arial" w:cs="Arial"/>
          <w:sz w:val="22"/>
          <w:szCs w:val="22"/>
        </w:rPr>
      </w:pPr>
      <w:r w:rsidRPr="003E08D9">
        <w:rPr>
          <w:rFonts w:ascii="Arial" w:hAnsi="Arial" w:cs="Arial"/>
          <w:sz w:val="22"/>
          <w:szCs w:val="22"/>
        </w:rPr>
        <w:t>inaccurate sales forecasting</w:t>
      </w:r>
    </w:p>
    <w:p w14:paraId="56419FCD" w14:textId="77777777" w:rsidR="003E08D9" w:rsidRPr="003E08D9" w:rsidRDefault="003E08D9" w:rsidP="003E08D9">
      <w:pPr>
        <w:numPr>
          <w:ilvl w:val="0"/>
          <w:numId w:val="5"/>
        </w:numPr>
        <w:rPr>
          <w:rFonts w:ascii="Arial" w:hAnsi="Arial" w:cs="Arial"/>
          <w:sz w:val="22"/>
          <w:szCs w:val="22"/>
        </w:rPr>
      </w:pPr>
      <w:r w:rsidRPr="003E08D9">
        <w:rPr>
          <w:rFonts w:ascii="Arial" w:hAnsi="Arial" w:cs="Arial"/>
          <w:sz w:val="22"/>
          <w:szCs w:val="22"/>
        </w:rPr>
        <w:t>poor coordination between production and marketing</w:t>
      </w:r>
    </w:p>
    <w:p w14:paraId="2E9C5D1B" w14:textId="77777777" w:rsidR="003E08D9" w:rsidRPr="003E08D9" w:rsidRDefault="003E08D9" w:rsidP="003E08D9">
      <w:pPr>
        <w:numPr>
          <w:ilvl w:val="0"/>
          <w:numId w:val="5"/>
        </w:numPr>
        <w:rPr>
          <w:rFonts w:ascii="Arial" w:hAnsi="Arial" w:cs="Arial"/>
          <w:sz w:val="22"/>
          <w:szCs w:val="22"/>
        </w:rPr>
      </w:pPr>
      <w:r w:rsidRPr="003E08D9">
        <w:rPr>
          <w:rFonts w:ascii="Arial" w:hAnsi="Arial" w:cs="Arial"/>
          <w:sz w:val="22"/>
          <w:szCs w:val="22"/>
        </w:rPr>
        <w:t>insufficient utilisation of demand-planning tools</w:t>
      </w:r>
    </w:p>
    <w:p w14:paraId="3FACA249" w14:textId="77777777" w:rsidR="003E08D9" w:rsidRPr="003E08D9" w:rsidRDefault="003E08D9" w:rsidP="003E08D9">
      <w:pPr>
        <w:numPr>
          <w:ilvl w:val="0"/>
          <w:numId w:val="5"/>
        </w:numPr>
        <w:rPr>
          <w:rFonts w:ascii="Arial" w:hAnsi="Arial" w:cs="Arial"/>
          <w:sz w:val="22"/>
          <w:szCs w:val="22"/>
        </w:rPr>
      </w:pPr>
      <w:r w:rsidRPr="003E08D9">
        <w:rPr>
          <w:rFonts w:ascii="Arial" w:hAnsi="Arial" w:cs="Arial"/>
          <w:sz w:val="22"/>
          <w:szCs w:val="22"/>
        </w:rPr>
        <w:t>inadequate lifecycle management of product ranges</w:t>
      </w:r>
    </w:p>
    <w:p w14:paraId="5CDA9D50" w14:textId="77777777" w:rsidR="003E08D9" w:rsidRPr="003E08D9" w:rsidRDefault="003E08D9" w:rsidP="003E08D9">
      <w:pPr>
        <w:rPr>
          <w:rFonts w:ascii="Arial" w:hAnsi="Arial" w:cs="Arial"/>
          <w:sz w:val="22"/>
          <w:szCs w:val="22"/>
        </w:rPr>
      </w:pPr>
      <w:r w:rsidRPr="003E08D9">
        <w:rPr>
          <w:rFonts w:ascii="Arial" w:hAnsi="Arial" w:cs="Arial"/>
          <w:sz w:val="22"/>
          <w:szCs w:val="22"/>
        </w:rPr>
        <w:t>Given the pace of innovation in the electronics sector, slow-moving stock quickly loses market value, reducing profitability.</w:t>
      </w:r>
    </w:p>
    <w:p w14:paraId="49D1FB40"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5FC59FE4">
          <v:rect id="_x0000_i1264" style="width:0;height:1.5pt" o:hralign="center" o:hrstd="t" o:hr="t" fillcolor="#a0a0a0" stroked="f"/>
        </w:pict>
      </w:r>
    </w:p>
    <w:p w14:paraId="17A0A363"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B. Lax Receivables Management</w:t>
      </w:r>
    </w:p>
    <w:p w14:paraId="08A8DE57" w14:textId="77777777" w:rsidR="003E08D9" w:rsidRPr="003E08D9" w:rsidRDefault="003E08D9" w:rsidP="003E08D9">
      <w:pPr>
        <w:rPr>
          <w:rFonts w:ascii="Arial" w:hAnsi="Arial" w:cs="Arial"/>
          <w:sz w:val="22"/>
          <w:szCs w:val="22"/>
        </w:rPr>
      </w:pPr>
      <w:r w:rsidRPr="003E08D9">
        <w:rPr>
          <w:rFonts w:ascii="Arial" w:hAnsi="Arial" w:cs="Arial"/>
          <w:sz w:val="22"/>
          <w:szCs w:val="22"/>
        </w:rPr>
        <w:t>GE appears to have relaxed its credit policies to maintain revenue during a period of declining demand. However, this strategy has backfired by:</w:t>
      </w:r>
    </w:p>
    <w:p w14:paraId="51666D1F" w14:textId="77777777" w:rsidR="003E08D9" w:rsidRPr="003E08D9" w:rsidRDefault="003E08D9" w:rsidP="003E08D9">
      <w:pPr>
        <w:numPr>
          <w:ilvl w:val="0"/>
          <w:numId w:val="6"/>
        </w:numPr>
        <w:rPr>
          <w:rFonts w:ascii="Arial" w:hAnsi="Arial" w:cs="Arial"/>
          <w:sz w:val="22"/>
          <w:szCs w:val="22"/>
        </w:rPr>
      </w:pPr>
      <w:r w:rsidRPr="003E08D9">
        <w:rPr>
          <w:rFonts w:ascii="Arial" w:hAnsi="Arial" w:cs="Arial"/>
          <w:sz w:val="22"/>
          <w:szCs w:val="22"/>
        </w:rPr>
        <w:t>increasing the volume of unpaid receivables</w:t>
      </w:r>
    </w:p>
    <w:p w14:paraId="61751CF8" w14:textId="77777777" w:rsidR="003E08D9" w:rsidRPr="003E08D9" w:rsidRDefault="003E08D9" w:rsidP="003E08D9">
      <w:pPr>
        <w:numPr>
          <w:ilvl w:val="0"/>
          <w:numId w:val="6"/>
        </w:numPr>
        <w:rPr>
          <w:rFonts w:ascii="Arial" w:hAnsi="Arial" w:cs="Arial"/>
          <w:sz w:val="22"/>
          <w:szCs w:val="22"/>
        </w:rPr>
      </w:pPr>
      <w:r w:rsidRPr="003E08D9">
        <w:rPr>
          <w:rFonts w:ascii="Arial" w:hAnsi="Arial" w:cs="Arial"/>
          <w:sz w:val="22"/>
          <w:szCs w:val="22"/>
        </w:rPr>
        <w:t>weakening cash flow</w:t>
      </w:r>
    </w:p>
    <w:p w14:paraId="64E546B6" w14:textId="77777777" w:rsidR="003E08D9" w:rsidRPr="003E08D9" w:rsidRDefault="003E08D9" w:rsidP="003E08D9">
      <w:pPr>
        <w:numPr>
          <w:ilvl w:val="0"/>
          <w:numId w:val="6"/>
        </w:numPr>
        <w:rPr>
          <w:rFonts w:ascii="Arial" w:hAnsi="Arial" w:cs="Arial"/>
          <w:sz w:val="22"/>
          <w:szCs w:val="22"/>
        </w:rPr>
      </w:pPr>
      <w:r w:rsidRPr="003E08D9">
        <w:rPr>
          <w:rFonts w:ascii="Arial" w:hAnsi="Arial" w:cs="Arial"/>
          <w:sz w:val="22"/>
          <w:szCs w:val="22"/>
        </w:rPr>
        <w:t>elevating credit risk exposure</w:t>
      </w:r>
    </w:p>
    <w:p w14:paraId="4AD68E2E" w14:textId="77777777" w:rsidR="003E08D9" w:rsidRPr="003E08D9" w:rsidRDefault="003E08D9" w:rsidP="003E08D9">
      <w:pPr>
        <w:rPr>
          <w:rFonts w:ascii="Arial" w:hAnsi="Arial" w:cs="Arial"/>
          <w:sz w:val="22"/>
          <w:szCs w:val="22"/>
        </w:rPr>
      </w:pPr>
      <w:r w:rsidRPr="003E08D9">
        <w:rPr>
          <w:rFonts w:ascii="Arial" w:hAnsi="Arial" w:cs="Arial"/>
          <w:sz w:val="22"/>
          <w:szCs w:val="22"/>
        </w:rPr>
        <w:t>Overly lenient terms have led to extended customer payment cycles, especially in emerging markets, where customer liquidity may also be strained.</w:t>
      </w:r>
    </w:p>
    <w:p w14:paraId="2419614A"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3B93E471">
          <v:rect id="_x0000_i1265" style="width:0;height:1.5pt" o:hralign="center" o:hrstd="t" o:hr="t" fillcolor="#a0a0a0" stroked="f"/>
        </w:pict>
      </w:r>
    </w:p>
    <w:p w14:paraId="7CB620E8"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C. Reduced Bargaining Power with Suppliers</w:t>
      </w:r>
    </w:p>
    <w:p w14:paraId="721959FE" w14:textId="77777777" w:rsidR="003E08D9" w:rsidRPr="003E08D9" w:rsidRDefault="003E08D9" w:rsidP="003E08D9">
      <w:pPr>
        <w:rPr>
          <w:rFonts w:ascii="Arial" w:hAnsi="Arial" w:cs="Arial"/>
          <w:sz w:val="22"/>
          <w:szCs w:val="22"/>
        </w:rPr>
      </w:pPr>
      <w:r w:rsidRPr="003E08D9">
        <w:rPr>
          <w:rFonts w:ascii="Arial" w:hAnsi="Arial" w:cs="Arial"/>
          <w:sz w:val="22"/>
          <w:szCs w:val="22"/>
        </w:rPr>
        <w:t>GE’s declining payables days suggest that suppliers have:</w:t>
      </w:r>
    </w:p>
    <w:p w14:paraId="519E4CE6" w14:textId="77777777" w:rsidR="003E08D9" w:rsidRPr="003E08D9" w:rsidRDefault="003E08D9" w:rsidP="003E08D9">
      <w:pPr>
        <w:numPr>
          <w:ilvl w:val="0"/>
          <w:numId w:val="7"/>
        </w:numPr>
        <w:rPr>
          <w:rFonts w:ascii="Arial" w:hAnsi="Arial" w:cs="Arial"/>
          <w:sz w:val="22"/>
          <w:szCs w:val="22"/>
        </w:rPr>
      </w:pPr>
      <w:r w:rsidRPr="003E08D9">
        <w:rPr>
          <w:rFonts w:ascii="Arial" w:hAnsi="Arial" w:cs="Arial"/>
          <w:sz w:val="22"/>
          <w:szCs w:val="22"/>
        </w:rPr>
        <w:t>lost confidence in GE’s financial stability</w:t>
      </w:r>
    </w:p>
    <w:p w14:paraId="40F8F57C" w14:textId="77777777" w:rsidR="003E08D9" w:rsidRPr="003E08D9" w:rsidRDefault="003E08D9" w:rsidP="003E08D9">
      <w:pPr>
        <w:numPr>
          <w:ilvl w:val="0"/>
          <w:numId w:val="7"/>
        </w:numPr>
        <w:rPr>
          <w:rFonts w:ascii="Arial" w:hAnsi="Arial" w:cs="Arial"/>
          <w:sz w:val="22"/>
          <w:szCs w:val="22"/>
        </w:rPr>
      </w:pPr>
      <w:r w:rsidRPr="003E08D9">
        <w:rPr>
          <w:rFonts w:ascii="Arial" w:hAnsi="Arial" w:cs="Arial"/>
          <w:sz w:val="22"/>
          <w:szCs w:val="22"/>
        </w:rPr>
        <w:t>reduced credit periods</w:t>
      </w:r>
    </w:p>
    <w:p w14:paraId="29EE7F66" w14:textId="77777777" w:rsidR="003E08D9" w:rsidRPr="003E08D9" w:rsidRDefault="003E08D9" w:rsidP="003E08D9">
      <w:pPr>
        <w:numPr>
          <w:ilvl w:val="0"/>
          <w:numId w:val="7"/>
        </w:numPr>
        <w:rPr>
          <w:rFonts w:ascii="Arial" w:hAnsi="Arial" w:cs="Arial"/>
          <w:sz w:val="22"/>
          <w:szCs w:val="22"/>
        </w:rPr>
      </w:pPr>
      <w:r w:rsidRPr="003E08D9">
        <w:rPr>
          <w:rFonts w:ascii="Arial" w:hAnsi="Arial" w:cs="Arial"/>
          <w:sz w:val="22"/>
          <w:szCs w:val="22"/>
        </w:rPr>
        <w:t>tightened payment terms</w:t>
      </w:r>
    </w:p>
    <w:p w14:paraId="3D9A2E5E" w14:textId="77777777" w:rsidR="003E08D9" w:rsidRPr="003E08D9" w:rsidRDefault="003E08D9" w:rsidP="003E08D9">
      <w:pPr>
        <w:rPr>
          <w:rFonts w:ascii="Arial" w:hAnsi="Arial" w:cs="Arial"/>
          <w:sz w:val="22"/>
          <w:szCs w:val="22"/>
        </w:rPr>
      </w:pPr>
      <w:r w:rsidRPr="003E08D9">
        <w:rPr>
          <w:rFonts w:ascii="Arial" w:hAnsi="Arial" w:cs="Arial"/>
          <w:sz w:val="22"/>
          <w:szCs w:val="22"/>
        </w:rPr>
        <w:t>This exposes GE to increased cash-flow pressures, as trade credit is one of the least expensive forms of short-term finance (Brealey et al., 2020).</w:t>
      </w:r>
    </w:p>
    <w:p w14:paraId="5EF19C78"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33AF8B22">
          <v:rect id="_x0000_i1266" style="width:0;height:1.5pt" o:hralign="center" o:hrstd="t" o:hr="t" fillcolor="#a0a0a0" stroked="f"/>
        </w:pict>
      </w:r>
    </w:p>
    <w:p w14:paraId="760C9D01"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D. Heavy Dependence on Short-Term Borrowing</w:t>
      </w:r>
    </w:p>
    <w:p w14:paraId="5CF02167" w14:textId="77777777" w:rsidR="003E08D9" w:rsidRPr="003E08D9" w:rsidRDefault="003E08D9" w:rsidP="003E08D9">
      <w:pPr>
        <w:rPr>
          <w:rFonts w:ascii="Arial" w:hAnsi="Arial" w:cs="Arial"/>
          <w:sz w:val="22"/>
          <w:szCs w:val="22"/>
        </w:rPr>
      </w:pPr>
      <w:r w:rsidRPr="003E08D9">
        <w:rPr>
          <w:rFonts w:ascii="Arial" w:hAnsi="Arial" w:cs="Arial"/>
          <w:sz w:val="22"/>
          <w:szCs w:val="22"/>
        </w:rPr>
        <w:t>GE’s persistent utilisation of lines of credit indicates operational cash-flow shortages. This is a risky financing strategy because:</w:t>
      </w:r>
    </w:p>
    <w:p w14:paraId="033E57F2" w14:textId="77777777" w:rsidR="003E08D9" w:rsidRPr="003E08D9" w:rsidRDefault="003E08D9" w:rsidP="003E08D9">
      <w:pPr>
        <w:numPr>
          <w:ilvl w:val="0"/>
          <w:numId w:val="8"/>
        </w:numPr>
        <w:rPr>
          <w:rFonts w:ascii="Arial" w:hAnsi="Arial" w:cs="Arial"/>
          <w:sz w:val="22"/>
          <w:szCs w:val="22"/>
        </w:rPr>
      </w:pPr>
      <w:r w:rsidRPr="003E08D9">
        <w:rPr>
          <w:rFonts w:ascii="Arial" w:hAnsi="Arial" w:cs="Arial"/>
          <w:sz w:val="22"/>
          <w:szCs w:val="22"/>
        </w:rPr>
        <w:t>short-term debt carries higher refinancing risk</w:t>
      </w:r>
    </w:p>
    <w:p w14:paraId="09C08522" w14:textId="77777777" w:rsidR="003E08D9" w:rsidRPr="003E08D9" w:rsidRDefault="003E08D9" w:rsidP="003E08D9">
      <w:pPr>
        <w:numPr>
          <w:ilvl w:val="0"/>
          <w:numId w:val="8"/>
        </w:numPr>
        <w:rPr>
          <w:rFonts w:ascii="Arial" w:hAnsi="Arial" w:cs="Arial"/>
          <w:sz w:val="22"/>
          <w:szCs w:val="22"/>
        </w:rPr>
      </w:pPr>
      <w:r w:rsidRPr="003E08D9">
        <w:rPr>
          <w:rFonts w:ascii="Arial" w:hAnsi="Arial" w:cs="Arial"/>
          <w:sz w:val="22"/>
          <w:szCs w:val="22"/>
        </w:rPr>
        <w:t>interest rates on short-term credit are often variable</w:t>
      </w:r>
    </w:p>
    <w:p w14:paraId="39C00EE5" w14:textId="77777777" w:rsidR="003E08D9" w:rsidRPr="003E08D9" w:rsidRDefault="003E08D9" w:rsidP="003E08D9">
      <w:pPr>
        <w:numPr>
          <w:ilvl w:val="0"/>
          <w:numId w:val="8"/>
        </w:numPr>
        <w:rPr>
          <w:rFonts w:ascii="Arial" w:hAnsi="Arial" w:cs="Arial"/>
          <w:sz w:val="22"/>
          <w:szCs w:val="22"/>
        </w:rPr>
      </w:pPr>
      <w:r w:rsidRPr="003E08D9">
        <w:rPr>
          <w:rFonts w:ascii="Arial" w:hAnsi="Arial" w:cs="Arial"/>
          <w:sz w:val="22"/>
          <w:szCs w:val="22"/>
        </w:rPr>
        <w:t>failure to meet debt obligations can trigger covenant breaches</w:t>
      </w:r>
    </w:p>
    <w:p w14:paraId="180831BD" w14:textId="77777777" w:rsidR="003E08D9" w:rsidRPr="003E08D9" w:rsidRDefault="003E08D9" w:rsidP="003E08D9">
      <w:pPr>
        <w:rPr>
          <w:rFonts w:ascii="Arial" w:hAnsi="Arial" w:cs="Arial"/>
          <w:sz w:val="22"/>
          <w:szCs w:val="22"/>
        </w:rPr>
      </w:pPr>
      <w:r w:rsidRPr="003E08D9">
        <w:rPr>
          <w:rFonts w:ascii="Arial" w:hAnsi="Arial" w:cs="Arial"/>
          <w:sz w:val="22"/>
          <w:szCs w:val="22"/>
        </w:rPr>
        <w:t>This reinforces the need for broader financial restructuring.</w:t>
      </w:r>
    </w:p>
    <w:p w14:paraId="0D68DFF4"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70796726">
          <v:rect id="_x0000_i1267" style="width:0;height:1.5pt" o:hralign="center" o:hrstd="t" o:hr="t" fillcolor="#a0a0a0" stroked="f"/>
        </w:pict>
      </w:r>
    </w:p>
    <w:p w14:paraId="0B644147"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3.3 Working Capital Improvement Strategies</w:t>
      </w:r>
    </w:p>
    <w:p w14:paraId="2028E5A9" w14:textId="77777777" w:rsidR="003E08D9" w:rsidRPr="003E08D9" w:rsidRDefault="003E08D9" w:rsidP="003E08D9">
      <w:pPr>
        <w:rPr>
          <w:rFonts w:ascii="Arial" w:hAnsi="Arial" w:cs="Arial"/>
          <w:sz w:val="22"/>
          <w:szCs w:val="22"/>
        </w:rPr>
      </w:pPr>
      <w:r w:rsidRPr="003E08D9">
        <w:rPr>
          <w:rFonts w:ascii="Arial" w:hAnsi="Arial" w:cs="Arial"/>
          <w:sz w:val="22"/>
          <w:szCs w:val="22"/>
        </w:rPr>
        <w:t>Improving working capital efficiency is critical for stabilising liquidity and financing GE’s turnaround.</w:t>
      </w:r>
    </w:p>
    <w:p w14:paraId="5BFF45F5"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7C7707CD">
          <v:rect id="_x0000_i1268" style="width:0;height:1.5pt" o:hralign="center" o:hrstd="t" o:hr="t" fillcolor="#a0a0a0" stroked="f"/>
        </w:pict>
      </w:r>
    </w:p>
    <w:p w14:paraId="6B2B9F5E"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1. Inventory Optimisation</w:t>
      </w:r>
    </w:p>
    <w:p w14:paraId="038DD16A" w14:textId="77777777" w:rsidR="003E08D9" w:rsidRPr="003E08D9" w:rsidRDefault="003E08D9" w:rsidP="003E08D9">
      <w:pPr>
        <w:rPr>
          <w:rFonts w:ascii="Arial" w:hAnsi="Arial" w:cs="Arial"/>
          <w:sz w:val="22"/>
          <w:szCs w:val="22"/>
        </w:rPr>
      </w:pPr>
      <w:r w:rsidRPr="003E08D9">
        <w:rPr>
          <w:rFonts w:ascii="Arial" w:hAnsi="Arial" w:cs="Arial"/>
          <w:sz w:val="22"/>
          <w:szCs w:val="22"/>
        </w:rPr>
        <w:t>GE should undertake a comprehensive overhaul of its inventory management systems:</w:t>
      </w:r>
    </w:p>
    <w:p w14:paraId="72A77126" w14:textId="77777777" w:rsidR="003E08D9" w:rsidRPr="003E08D9" w:rsidRDefault="003E08D9" w:rsidP="003E08D9">
      <w:pPr>
        <w:numPr>
          <w:ilvl w:val="0"/>
          <w:numId w:val="9"/>
        </w:numPr>
        <w:rPr>
          <w:rFonts w:ascii="Arial" w:hAnsi="Arial" w:cs="Arial"/>
          <w:sz w:val="22"/>
          <w:szCs w:val="22"/>
        </w:rPr>
      </w:pPr>
      <w:r w:rsidRPr="003E08D9">
        <w:rPr>
          <w:rFonts w:ascii="Arial" w:hAnsi="Arial" w:cs="Arial"/>
          <w:sz w:val="22"/>
          <w:szCs w:val="22"/>
        </w:rPr>
        <w:t xml:space="preserve">Adopt </w:t>
      </w:r>
      <w:r w:rsidRPr="003E08D9">
        <w:rPr>
          <w:rFonts w:ascii="Arial" w:hAnsi="Arial" w:cs="Arial"/>
          <w:b/>
          <w:bCs/>
          <w:sz w:val="22"/>
          <w:szCs w:val="22"/>
        </w:rPr>
        <w:t>lean manufacturing principles</w:t>
      </w:r>
      <w:r w:rsidRPr="003E08D9">
        <w:rPr>
          <w:rFonts w:ascii="Arial" w:hAnsi="Arial" w:cs="Arial"/>
          <w:sz w:val="22"/>
          <w:szCs w:val="22"/>
        </w:rPr>
        <w:t xml:space="preserve"> to reduce waste.</w:t>
      </w:r>
    </w:p>
    <w:p w14:paraId="1CACAE00" w14:textId="77777777" w:rsidR="003E08D9" w:rsidRPr="003E08D9" w:rsidRDefault="003E08D9" w:rsidP="003E08D9">
      <w:pPr>
        <w:numPr>
          <w:ilvl w:val="0"/>
          <w:numId w:val="9"/>
        </w:numPr>
        <w:rPr>
          <w:rFonts w:ascii="Arial" w:hAnsi="Arial" w:cs="Arial"/>
          <w:sz w:val="22"/>
          <w:szCs w:val="22"/>
        </w:rPr>
      </w:pPr>
      <w:r w:rsidRPr="003E08D9">
        <w:rPr>
          <w:rFonts w:ascii="Arial" w:hAnsi="Arial" w:cs="Arial"/>
          <w:sz w:val="22"/>
          <w:szCs w:val="22"/>
        </w:rPr>
        <w:t xml:space="preserve">Implement </w:t>
      </w:r>
      <w:r w:rsidRPr="003E08D9">
        <w:rPr>
          <w:rFonts w:ascii="Arial" w:hAnsi="Arial" w:cs="Arial"/>
          <w:b/>
          <w:bCs/>
          <w:sz w:val="22"/>
          <w:szCs w:val="22"/>
        </w:rPr>
        <w:t>Just-in-Time (JIT)</w:t>
      </w:r>
      <w:r w:rsidRPr="003E08D9">
        <w:rPr>
          <w:rFonts w:ascii="Arial" w:hAnsi="Arial" w:cs="Arial"/>
          <w:sz w:val="22"/>
          <w:szCs w:val="22"/>
        </w:rPr>
        <w:t xml:space="preserve"> inventory systems to minimise storage costs.</w:t>
      </w:r>
    </w:p>
    <w:p w14:paraId="279BFEC2" w14:textId="77777777" w:rsidR="003E08D9" w:rsidRPr="003E08D9" w:rsidRDefault="003E08D9" w:rsidP="003E08D9">
      <w:pPr>
        <w:numPr>
          <w:ilvl w:val="0"/>
          <w:numId w:val="9"/>
        </w:numPr>
        <w:rPr>
          <w:rFonts w:ascii="Arial" w:hAnsi="Arial" w:cs="Arial"/>
          <w:sz w:val="22"/>
          <w:szCs w:val="22"/>
        </w:rPr>
      </w:pPr>
      <w:r w:rsidRPr="003E08D9">
        <w:rPr>
          <w:rFonts w:ascii="Arial" w:hAnsi="Arial" w:cs="Arial"/>
          <w:sz w:val="22"/>
          <w:szCs w:val="22"/>
        </w:rPr>
        <w:t xml:space="preserve">Use </w:t>
      </w:r>
      <w:r w:rsidRPr="003E08D9">
        <w:rPr>
          <w:rFonts w:ascii="Arial" w:hAnsi="Arial" w:cs="Arial"/>
          <w:b/>
          <w:bCs/>
          <w:sz w:val="22"/>
          <w:szCs w:val="22"/>
        </w:rPr>
        <w:t>predictive analytics</w:t>
      </w:r>
      <w:r w:rsidRPr="003E08D9">
        <w:rPr>
          <w:rFonts w:ascii="Arial" w:hAnsi="Arial" w:cs="Arial"/>
          <w:sz w:val="22"/>
          <w:szCs w:val="22"/>
        </w:rPr>
        <w:t xml:space="preserve"> to refine demand forecasting.</w:t>
      </w:r>
    </w:p>
    <w:p w14:paraId="26891A44" w14:textId="77777777" w:rsidR="003E08D9" w:rsidRPr="003E08D9" w:rsidRDefault="003E08D9" w:rsidP="003E08D9">
      <w:pPr>
        <w:numPr>
          <w:ilvl w:val="0"/>
          <w:numId w:val="9"/>
        </w:numPr>
        <w:rPr>
          <w:rFonts w:ascii="Arial" w:hAnsi="Arial" w:cs="Arial"/>
          <w:sz w:val="22"/>
          <w:szCs w:val="22"/>
        </w:rPr>
      </w:pPr>
      <w:r w:rsidRPr="003E08D9">
        <w:rPr>
          <w:rFonts w:ascii="Arial" w:hAnsi="Arial" w:cs="Arial"/>
          <w:sz w:val="22"/>
          <w:szCs w:val="22"/>
        </w:rPr>
        <w:t xml:space="preserve">Conduct regular </w:t>
      </w:r>
      <w:r w:rsidRPr="003E08D9">
        <w:rPr>
          <w:rFonts w:ascii="Arial" w:hAnsi="Arial" w:cs="Arial"/>
          <w:b/>
          <w:bCs/>
          <w:sz w:val="22"/>
          <w:szCs w:val="22"/>
        </w:rPr>
        <w:t>SKU rationalisation</w:t>
      </w:r>
      <w:r w:rsidRPr="003E08D9">
        <w:rPr>
          <w:rFonts w:ascii="Arial" w:hAnsi="Arial" w:cs="Arial"/>
          <w:sz w:val="22"/>
          <w:szCs w:val="22"/>
        </w:rPr>
        <w:t xml:space="preserve"> to eliminate obsolete products.</w:t>
      </w:r>
    </w:p>
    <w:p w14:paraId="74C1689C" w14:textId="77777777" w:rsidR="003E08D9" w:rsidRPr="003E08D9" w:rsidRDefault="003E08D9" w:rsidP="003E08D9">
      <w:pPr>
        <w:rPr>
          <w:rFonts w:ascii="Arial" w:hAnsi="Arial" w:cs="Arial"/>
          <w:sz w:val="22"/>
          <w:szCs w:val="22"/>
        </w:rPr>
      </w:pPr>
      <w:r w:rsidRPr="003E08D9">
        <w:rPr>
          <w:rFonts w:ascii="Arial" w:hAnsi="Arial" w:cs="Arial"/>
          <w:sz w:val="22"/>
          <w:szCs w:val="22"/>
        </w:rPr>
        <w:t>Improving inventory turnover enhances liquidity and reduces risk of technological obsolescence.</w:t>
      </w:r>
    </w:p>
    <w:p w14:paraId="3AD71492"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7D732BFF">
          <v:rect id="_x0000_i1269" style="width:0;height:1.5pt" o:hralign="center" o:hrstd="t" o:hr="t" fillcolor="#a0a0a0" stroked="f"/>
        </w:pict>
      </w:r>
    </w:p>
    <w:p w14:paraId="683CEE18"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2. Strengthening Receivables Collection</w:t>
      </w:r>
    </w:p>
    <w:p w14:paraId="0486EC62" w14:textId="77777777" w:rsidR="003E08D9" w:rsidRPr="003E08D9" w:rsidRDefault="003E08D9" w:rsidP="003E08D9">
      <w:pPr>
        <w:rPr>
          <w:rFonts w:ascii="Arial" w:hAnsi="Arial" w:cs="Arial"/>
          <w:sz w:val="22"/>
          <w:szCs w:val="22"/>
        </w:rPr>
      </w:pPr>
      <w:r w:rsidRPr="003E08D9">
        <w:rPr>
          <w:rFonts w:ascii="Arial" w:hAnsi="Arial" w:cs="Arial"/>
          <w:sz w:val="22"/>
          <w:szCs w:val="22"/>
        </w:rPr>
        <w:lastRenderedPageBreak/>
        <w:t>GE should redesign its credit management policies:</w:t>
      </w:r>
    </w:p>
    <w:p w14:paraId="47272106" w14:textId="77777777" w:rsidR="003E08D9" w:rsidRPr="003E08D9" w:rsidRDefault="003E08D9" w:rsidP="003E08D9">
      <w:pPr>
        <w:numPr>
          <w:ilvl w:val="0"/>
          <w:numId w:val="10"/>
        </w:numPr>
        <w:rPr>
          <w:rFonts w:ascii="Arial" w:hAnsi="Arial" w:cs="Arial"/>
          <w:sz w:val="22"/>
          <w:szCs w:val="22"/>
        </w:rPr>
      </w:pPr>
      <w:r w:rsidRPr="003E08D9">
        <w:rPr>
          <w:rFonts w:ascii="Arial" w:hAnsi="Arial" w:cs="Arial"/>
          <w:sz w:val="22"/>
          <w:szCs w:val="22"/>
        </w:rPr>
        <w:t>Introduce early payment discounts (e.g., 2/10 net 30).</w:t>
      </w:r>
    </w:p>
    <w:p w14:paraId="432AD093" w14:textId="77777777" w:rsidR="003E08D9" w:rsidRPr="003E08D9" w:rsidRDefault="003E08D9" w:rsidP="003E08D9">
      <w:pPr>
        <w:numPr>
          <w:ilvl w:val="0"/>
          <w:numId w:val="10"/>
        </w:numPr>
        <w:rPr>
          <w:rFonts w:ascii="Arial" w:hAnsi="Arial" w:cs="Arial"/>
          <w:sz w:val="22"/>
          <w:szCs w:val="22"/>
        </w:rPr>
      </w:pPr>
      <w:r w:rsidRPr="003E08D9">
        <w:rPr>
          <w:rFonts w:ascii="Arial" w:hAnsi="Arial" w:cs="Arial"/>
          <w:sz w:val="22"/>
          <w:szCs w:val="22"/>
        </w:rPr>
        <w:t>Implement automated invoicing and collection systems.</w:t>
      </w:r>
    </w:p>
    <w:p w14:paraId="5C9078BC" w14:textId="77777777" w:rsidR="003E08D9" w:rsidRPr="003E08D9" w:rsidRDefault="003E08D9" w:rsidP="003E08D9">
      <w:pPr>
        <w:numPr>
          <w:ilvl w:val="0"/>
          <w:numId w:val="10"/>
        </w:numPr>
        <w:rPr>
          <w:rFonts w:ascii="Arial" w:hAnsi="Arial" w:cs="Arial"/>
          <w:sz w:val="22"/>
          <w:szCs w:val="22"/>
        </w:rPr>
      </w:pPr>
      <w:r w:rsidRPr="003E08D9">
        <w:rPr>
          <w:rFonts w:ascii="Arial" w:hAnsi="Arial" w:cs="Arial"/>
          <w:sz w:val="22"/>
          <w:szCs w:val="22"/>
        </w:rPr>
        <w:t>Enforce stricter credit assessment for new and existing customers.</w:t>
      </w:r>
    </w:p>
    <w:p w14:paraId="2D749C44" w14:textId="77777777" w:rsidR="003E08D9" w:rsidRPr="003E08D9" w:rsidRDefault="003E08D9" w:rsidP="003E08D9">
      <w:pPr>
        <w:numPr>
          <w:ilvl w:val="0"/>
          <w:numId w:val="10"/>
        </w:numPr>
        <w:rPr>
          <w:rFonts w:ascii="Arial" w:hAnsi="Arial" w:cs="Arial"/>
          <w:sz w:val="22"/>
          <w:szCs w:val="22"/>
        </w:rPr>
      </w:pPr>
      <w:r w:rsidRPr="003E08D9">
        <w:rPr>
          <w:rFonts w:ascii="Arial" w:hAnsi="Arial" w:cs="Arial"/>
          <w:sz w:val="22"/>
          <w:szCs w:val="22"/>
        </w:rPr>
        <w:t>Establish dedicated credit control teams in high-risk regions.</w:t>
      </w:r>
    </w:p>
    <w:p w14:paraId="6D9B999E" w14:textId="77777777" w:rsidR="003E08D9" w:rsidRPr="003E08D9" w:rsidRDefault="003E08D9" w:rsidP="003E08D9">
      <w:pPr>
        <w:rPr>
          <w:rFonts w:ascii="Arial" w:hAnsi="Arial" w:cs="Arial"/>
          <w:sz w:val="22"/>
          <w:szCs w:val="22"/>
        </w:rPr>
      </w:pPr>
      <w:r w:rsidRPr="003E08D9">
        <w:rPr>
          <w:rFonts w:ascii="Arial" w:hAnsi="Arial" w:cs="Arial"/>
          <w:sz w:val="22"/>
          <w:szCs w:val="22"/>
        </w:rPr>
        <w:t>Reducing receivable days would significantly improve operating cash flow.</w:t>
      </w:r>
    </w:p>
    <w:p w14:paraId="05613617"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466BBE76">
          <v:rect id="_x0000_i1270" style="width:0;height:1.5pt" o:hralign="center" o:hrstd="t" o:hr="t" fillcolor="#a0a0a0" stroked="f"/>
        </w:pict>
      </w:r>
    </w:p>
    <w:p w14:paraId="7D64D536"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3. Extending Payables Period &amp; Supplier Collaboration</w:t>
      </w:r>
    </w:p>
    <w:p w14:paraId="2054760D" w14:textId="77777777" w:rsidR="003E08D9" w:rsidRPr="003E08D9" w:rsidRDefault="003E08D9" w:rsidP="003E08D9">
      <w:pPr>
        <w:rPr>
          <w:rFonts w:ascii="Arial" w:hAnsi="Arial" w:cs="Arial"/>
          <w:sz w:val="22"/>
          <w:szCs w:val="22"/>
        </w:rPr>
      </w:pPr>
      <w:r w:rsidRPr="003E08D9">
        <w:rPr>
          <w:rFonts w:ascii="Arial" w:hAnsi="Arial" w:cs="Arial"/>
          <w:sz w:val="22"/>
          <w:szCs w:val="22"/>
        </w:rPr>
        <w:t>GE must rebuild supplier confidence through:</w:t>
      </w:r>
    </w:p>
    <w:p w14:paraId="634186E5" w14:textId="77777777" w:rsidR="003E08D9" w:rsidRPr="003E08D9" w:rsidRDefault="003E08D9" w:rsidP="003E08D9">
      <w:pPr>
        <w:numPr>
          <w:ilvl w:val="0"/>
          <w:numId w:val="11"/>
        </w:numPr>
        <w:rPr>
          <w:rFonts w:ascii="Arial" w:hAnsi="Arial" w:cs="Arial"/>
          <w:sz w:val="22"/>
          <w:szCs w:val="22"/>
        </w:rPr>
      </w:pPr>
      <w:r w:rsidRPr="003E08D9">
        <w:rPr>
          <w:rFonts w:ascii="Arial" w:hAnsi="Arial" w:cs="Arial"/>
          <w:sz w:val="22"/>
          <w:szCs w:val="22"/>
        </w:rPr>
        <w:t>transparent financial communication</w:t>
      </w:r>
    </w:p>
    <w:p w14:paraId="63E0E58B" w14:textId="77777777" w:rsidR="003E08D9" w:rsidRPr="003E08D9" w:rsidRDefault="003E08D9" w:rsidP="003E08D9">
      <w:pPr>
        <w:numPr>
          <w:ilvl w:val="0"/>
          <w:numId w:val="11"/>
        </w:numPr>
        <w:rPr>
          <w:rFonts w:ascii="Arial" w:hAnsi="Arial" w:cs="Arial"/>
          <w:sz w:val="22"/>
          <w:szCs w:val="22"/>
        </w:rPr>
      </w:pPr>
      <w:r w:rsidRPr="003E08D9">
        <w:rPr>
          <w:rFonts w:ascii="Arial" w:hAnsi="Arial" w:cs="Arial"/>
          <w:sz w:val="22"/>
          <w:szCs w:val="22"/>
        </w:rPr>
        <w:t>renegotiated payment terms</w:t>
      </w:r>
    </w:p>
    <w:p w14:paraId="45D2E3FB" w14:textId="77777777" w:rsidR="003E08D9" w:rsidRPr="003E08D9" w:rsidRDefault="003E08D9" w:rsidP="003E08D9">
      <w:pPr>
        <w:numPr>
          <w:ilvl w:val="0"/>
          <w:numId w:val="11"/>
        </w:numPr>
        <w:rPr>
          <w:rFonts w:ascii="Arial" w:hAnsi="Arial" w:cs="Arial"/>
          <w:sz w:val="22"/>
          <w:szCs w:val="22"/>
        </w:rPr>
      </w:pPr>
      <w:r w:rsidRPr="003E08D9">
        <w:rPr>
          <w:rFonts w:ascii="Arial" w:hAnsi="Arial" w:cs="Arial"/>
          <w:sz w:val="22"/>
          <w:szCs w:val="22"/>
        </w:rPr>
        <w:t>consolidated purchasing to increase bargaining power</w:t>
      </w:r>
    </w:p>
    <w:p w14:paraId="4680EFE5" w14:textId="77777777" w:rsidR="003E08D9" w:rsidRPr="003E08D9" w:rsidRDefault="003E08D9" w:rsidP="003E08D9">
      <w:pPr>
        <w:numPr>
          <w:ilvl w:val="0"/>
          <w:numId w:val="11"/>
        </w:numPr>
        <w:rPr>
          <w:rFonts w:ascii="Arial" w:hAnsi="Arial" w:cs="Arial"/>
          <w:sz w:val="22"/>
          <w:szCs w:val="22"/>
        </w:rPr>
      </w:pPr>
      <w:r w:rsidRPr="003E08D9">
        <w:rPr>
          <w:rFonts w:ascii="Arial" w:hAnsi="Arial" w:cs="Arial"/>
          <w:sz w:val="22"/>
          <w:szCs w:val="22"/>
        </w:rPr>
        <w:t>adopting supply chain financing or reverse factoring</w:t>
      </w:r>
    </w:p>
    <w:p w14:paraId="5B800A9E" w14:textId="77777777" w:rsidR="003E08D9" w:rsidRPr="003E08D9" w:rsidRDefault="003E08D9" w:rsidP="003E08D9">
      <w:pPr>
        <w:rPr>
          <w:rFonts w:ascii="Arial" w:hAnsi="Arial" w:cs="Arial"/>
          <w:sz w:val="22"/>
          <w:szCs w:val="22"/>
        </w:rPr>
      </w:pPr>
      <w:r w:rsidRPr="003E08D9">
        <w:rPr>
          <w:rFonts w:ascii="Arial" w:hAnsi="Arial" w:cs="Arial"/>
          <w:sz w:val="22"/>
          <w:szCs w:val="22"/>
        </w:rPr>
        <w:t>Extending payables days would reduce cash pressure and improve working capital.</w:t>
      </w:r>
    </w:p>
    <w:p w14:paraId="5A2434DA"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2E769334">
          <v:rect id="_x0000_i1271" style="width:0;height:1.5pt" o:hralign="center" o:hrstd="t" o:hr="t" fillcolor="#a0a0a0" stroked="f"/>
        </w:pict>
      </w:r>
    </w:p>
    <w:p w14:paraId="3A0C66CA"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4. Rebalancing Short-Term and Long-Term Financing</w:t>
      </w:r>
    </w:p>
    <w:p w14:paraId="08D013D3" w14:textId="77777777" w:rsidR="003E08D9" w:rsidRPr="003E08D9" w:rsidRDefault="003E08D9" w:rsidP="003E08D9">
      <w:pPr>
        <w:rPr>
          <w:rFonts w:ascii="Arial" w:hAnsi="Arial" w:cs="Arial"/>
          <w:sz w:val="22"/>
          <w:szCs w:val="22"/>
        </w:rPr>
      </w:pPr>
      <w:r w:rsidRPr="003E08D9">
        <w:rPr>
          <w:rFonts w:ascii="Arial" w:hAnsi="Arial" w:cs="Arial"/>
          <w:sz w:val="22"/>
          <w:szCs w:val="22"/>
        </w:rPr>
        <w:t>GE’s reliance on short-term borrowing increases financial risk. The firm should:</w:t>
      </w:r>
    </w:p>
    <w:p w14:paraId="31954139" w14:textId="77777777" w:rsidR="003E08D9" w:rsidRPr="003E08D9" w:rsidRDefault="003E08D9" w:rsidP="003E08D9">
      <w:pPr>
        <w:numPr>
          <w:ilvl w:val="0"/>
          <w:numId w:val="12"/>
        </w:numPr>
        <w:rPr>
          <w:rFonts w:ascii="Arial" w:hAnsi="Arial" w:cs="Arial"/>
          <w:sz w:val="22"/>
          <w:szCs w:val="22"/>
        </w:rPr>
      </w:pPr>
      <w:r w:rsidRPr="003E08D9">
        <w:rPr>
          <w:rFonts w:ascii="Arial" w:hAnsi="Arial" w:cs="Arial"/>
          <w:sz w:val="22"/>
          <w:szCs w:val="22"/>
        </w:rPr>
        <w:t>refinance a portion of short-term credit into medium-term loans</w:t>
      </w:r>
    </w:p>
    <w:p w14:paraId="45F3EAB1" w14:textId="77777777" w:rsidR="003E08D9" w:rsidRPr="003E08D9" w:rsidRDefault="003E08D9" w:rsidP="003E08D9">
      <w:pPr>
        <w:numPr>
          <w:ilvl w:val="0"/>
          <w:numId w:val="12"/>
        </w:numPr>
        <w:rPr>
          <w:rFonts w:ascii="Arial" w:hAnsi="Arial" w:cs="Arial"/>
          <w:sz w:val="22"/>
          <w:szCs w:val="22"/>
        </w:rPr>
      </w:pPr>
      <w:r w:rsidRPr="003E08D9">
        <w:rPr>
          <w:rFonts w:ascii="Arial" w:hAnsi="Arial" w:cs="Arial"/>
          <w:sz w:val="22"/>
          <w:szCs w:val="22"/>
        </w:rPr>
        <w:t>negotiate fixed interest rates</w:t>
      </w:r>
    </w:p>
    <w:p w14:paraId="397F70FA" w14:textId="77777777" w:rsidR="003E08D9" w:rsidRPr="003E08D9" w:rsidRDefault="003E08D9" w:rsidP="003E08D9">
      <w:pPr>
        <w:numPr>
          <w:ilvl w:val="0"/>
          <w:numId w:val="12"/>
        </w:numPr>
        <w:rPr>
          <w:rFonts w:ascii="Arial" w:hAnsi="Arial" w:cs="Arial"/>
          <w:sz w:val="22"/>
          <w:szCs w:val="22"/>
        </w:rPr>
      </w:pPr>
      <w:r w:rsidRPr="003E08D9">
        <w:rPr>
          <w:rFonts w:ascii="Arial" w:hAnsi="Arial" w:cs="Arial"/>
          <w:sz w:val="22"/>
          <w:szCs w:val="22"/>
        </w:rPr>
        <w:t>diversify funding sources to hedge refinancing risk</w:t>
      </w:r>
    </w:p>
    <w:p w14:paraId="691DF724" w14:textId="77777777" w:rsidR="003E08D9" w:rsidRPr="003E08D9" w:rsidRDefault="003E08D9" w:rsidP="003E08D9">
      <w:pPr>
        <w:rPr>
          <w:rFonts w:ascii="Arial" w:hAnsi="Arial" w:cs="Arial"/>
          <w:sz w:val="22"/>
          <w:szCs w:val="22"/>
        </w:rPr>
      </w:pPr>
      <w:r w:rsidRPr="003E08D9">
        <w:rPr>
          <w:rFonts w:ascii="Arial" w:hAnsi="Arial" w:cs="Arial"/>
          <w:sz w:val="22"/>
          <w:szCs w:val="22"/>
        </w:rPr>
        <w:t>This creates a more stable financial foundation.</w:t>
      </w:r>
    </w:p>
    <w:p w14:paraId="3D9F157E"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15F9FFAB">
          <v:rect id="_x0000_i1272" style="width:0;height:1.5pt" o:hralign="center" o:hrstd="t" o:hr="t" fillcolor="#a0a0a0" stroked="f"/>
        </w:pict>
      </w:r>
    </w:p>
    <w:p w14:paraId="1B084E74"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5. Treasury Centralisation</w:t>
      </w:r>
    </w:p>
    <w:p w14:paraId="28B67D27" w14:textId="77777777" w:rsidR="003E08D9" w:rsidRPr="003E08D9" w:rsidRDefault="003E08D9" w:rsidP="003E08D9">
      <w:pPr>
        <w:rPr>
          <w:rFonts w:ascii="Arial" w:hAnsi="Arial" w:cs="Arial"/>
          <w:sz w:val="22"/>
          <w:szCs w:val="22"/>
        </w:rPr>
      </w:pPr>
      <w:r w:rsidRPr="003E08D9">
        <w:rPr>
          <w:rFonts w:ascii="Arial" w:hAnsi="Arial" w:cs="Arial"/>
          <w:sz w:val="22"/>
          <w:szCs w:val="22"/>
        </w:rPr>
        <w:t>Centralising treasury functions offers multiple benefits:</w:t>
      </w:r>
    </w:p>
    <w:p w14:paraId="7BEBFFCE" w14:textId="77777777" w:rsidR="003E08D9" w:rsidRPr="003E08D9" w:rsidRDefault="003E08D9" w:rsidP="003E08D9">
      <w:pPr>
        <w:numPr>
          <w:ilvl w:val="0"/>
          <w:numId w:val="13"/>
        </w:numPr>
        <w:rPr>
          <w:rFonts w:ascii="Arial" w:hAnsi="Arial" w:cs="Arial"/>
          <w:sz w:val="22"/>
          <w:szCs w:val="22"/>
        </w:rPr>
      </w:pPr>
      <w:r w:rsidRPr="003E08D9">
        <w:rPr>
          <w:rFonts w:ascii="Arial" w:hAnsi="Arial" w:cs="Arial"/>
          <w:sz w:val="22"/>
          <w:szCs w:val="22"/>
        </w:rPr>
        <w:t>improved visibility of global cash position</w:t>
      </w:r>
    </w:p>
    <w:p w14:paraId="27C17C58" w14:textId="77777777" w:rsidR="003E08D9" w:rsidRPr="003E08D9" w:rsidRDefault="003E08D9" w:rsidP="003E08D9">
      <w:pPr>
        <w:numPr>
          <w:ilvl w:val="0"/>
          <w:numId w:val="13"/>
        </w:numPr>
        <w:rPr>
          <w:rFonts w:ascii="Arial" w:hAnsi="Arial" w:cs="Arial"/>
          <w:sz w:val="22"/>
          <w:szCs w:val="22"/>
        </w:rPr>
      </w:pPr>
      <w:r w:rsidRPr="003E08D9">
        <w:rPr>
          <w:rFonts w:ascii="Arial" w:hAnsi="Arial" w:cs="Arial"/>
          <w:sz w:val="22"/>
          <w:szCs w:val="22"/>
        </w:rPr>
        <w:t>enhanced FX risk management</w:t>
      </w:r>
    </w:p>
    <w:p w14:paraId="44CC1535" w14:textId="77777777" w:rsidR="003E08D9" w:rsidRPr="003E08D9" w:rsidRDefault="003E08D9" w:rsidP="003E08D9">
      <w:pPr>
        <w:numPr>
          <w:ilvl w:val="0"/>
          <w:numId w:val="13"/>
        </w:numPr>
        <w:rPr>
          <w:rFonts w:ascii="Arial" w:hAnsi="Arial" w:cs="Arial"/>
          <w:sz w:val="22"/>
          <w:szCs w:val="22"/>
        </w:rPr>
      </w:pPr>
      <w:r w:rsidRPr="003E08D9">
        <w:rPr>
          <w:rFonts w:ascii="Arial" w:hAnsi="Arial" w:cs="Arial"/>
          <w:sz w:val="22"/>
          <w:szCs w:val="22"/>
        </w:rPr>
        <w:t>reduced transaction and borrowing costs</w:t>
      </w:r>
    </w:p>
    <w:p w14:paraId="645678E7" w14:textId="77777777" w:rsidR="003E08D9" w:rsidRPr="003E08D9" w:rsidRDefault="003E08D9" w:rsidP="003E08D9">
      <w:pPr>
        <w:numPr>
          <w:ilvl w:val="0"/>
          <w:numId w:val="13"/>
        </w:numPr>
        <w:rPr>
          <w:rFonts w:ascii="Arial" w:hAnsi="Arial" w:cs="Arial"/>
          <w:sz w:val="22"/>
          <w:szCs w:val="22"/>
        </w:rPr>
      </w:pPr>
      <w:r w:rsidRPr="003E08D9">
        <w:rPr>
          <w:rFonts w:ascii="Arial" w:hAnsi="Arial" w:cs="Arial"/>
          <w:sz w:val="22"/>
          <w:szCs w:val="22"/>
        </w:rPr>
        <w:t>better utilisation of internal funds across subsidiaries</w:t>
      </w:r>
    </w:p>
    <w:p w14:paraId="64693046" w14:textId="77777777" w:rsidR="003E08D9" w:rsidRPr="003E08D9" w:rsidRDefault="003E08D9" w:rsidP="003E08D9">
      <w:pPr>
        <w:rPr>
          <w:rFonts w:ascii="Arial" w:hAnsi="Arial" w:cs="Arial"/>
          <w:sz w:val="22"/>
          <w:szCs w:val="22"/>
        </w:rPr>
      </w:pPr>
      <w:r w:rsidRPr="003E08D9">
        <w:rPr>
          <w:rFonts w:ascii="Arial" w:hAnsi="Arial" w:cs="Arial"/>
          <w:sz w:val="22"/>
          <w:szCs w:val="22"/>
        </w:rPr>
        <w:t>A centralised treasury aligns with best practices for multinational corporations.</w:t>
      </w:r>
    </w:p>
    <w:p w14:paraId="326DDF06"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32D20B6E">
          <v:rect id="_x0000_i1273" style="width:0;height:1.5pt" o:hralign="center" o:hrstd="t" o:hr="t" fillcolor="#a0a0a0" stroked="f"/>
        </w:pict>
      </w:r>
    </w:p>
    <w:p w14:paraId="3C11AABE"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4. Strategic Financial Restructuring Plan</w:t>
      </w:r>
    </w:p>
    <w:p w14:paraId="0CD01265" w14:textId="77777777" w:rsidR="003E08D9" w:rsidRPr="003E08D9" w:rsidRDefault="003E08D9" w:rsidP="003E08D9">
      <w:pPr>
        <w:rPr>
          <w:rFonts w:ascii="Arial" w:hAnsi="Arial" w:cs="Arial"/>
          <w:sz w:val="22"/>
          <w:szCs w:val="22"/>
        </w:rPr>
      </w:pPr>
      <w:r w:rsidRPr="003E08D9">
        <w:rPr>
          <w:rFonts w:ascii="Arial" w:hAnsi="Arial" w:cs="Arial"/>
          <w:sz w:val="22"/>
          <w:szCs w:val="22"/>
        </w:rPr>
        <w:t>Financial restructuring is essential to stabilise GE's solvency, improve operational efficiency, and rebuild profitability. The restructuring plan integrates capital structure strategies, operational improvements, international risk management and ethical considerations.</w:t>
      </w:r>
    </w:p>
    <w:p w14:paraId="255E583A"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3F0D394D">
          <v:rect id="_x0000_i1274" style="width:0;height:1.5pt" o:hralign="center" o:hrstd="t" o:hr="t" fillcolor="#a0a0a0" stroked="f"/>
        </w:pict>
      </w:r>
    </w:p>
    <w:p w14:paraId="2F6B7101"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4.1 Restructuring Objectives</w:t>
      </w:r>
    </w:p>
    <w:p w14:paraId="47DAF53A" w14:textId="77777777" w:rsidR="003E08D9" w:rsidRPr="003E08D9" w:rsidRDefault="003E08D9" w:rsidP="003E08D9">
      <w:pPr>
        <w:rPr>
          <w:rFonts w:ascii="Arial" w:hAnsi="Arial" w:cs="Arial"/>
          <w:sz w:val="22"/>
          <w:szCs w:val="22"/>
        </w:rPr>
      </w:pPr>
      <w:r w:rsidRPr="003E08D9">
        <w:rPr>
          <w:rFonts w:ascii="Arial" w:hAnsi="Arial" w:cs="Arial"/>
          <w:sz w:val="22"/>
          <w:szCs w:val="22"/>
        </w:rPr>
        <w:t>The key objectives of GE’s financial restructuring plan are:</w:t>
      </w:r>
    </w:p>
    <w:p w14:paraId="35FE7EF3" w14:textId="77777777" w:rsidR="003E08D9" w:rsidRPr="003E08D9" w:rsidRDefault="003E08D9" w:rsidP="003E08D9">
      <w:pPr>
        <w:numPr>
          <w:ilvl w:val="0"/>
          <w:numId w:val="14"/>
        </w:numPr>
        <w:rPr>
          <w:rFonts w:ascii="Arial" w:hAnsi="Arial" w:cs="Arial"/>
          <w:sz w:val="22"/>
          <w:szCs w:val="22"/>
        </w:rPr>
      </w:pPr>
      <w:r w:rsidRPr="003E08D9">
        <w:rPr>
          <w:rFonts w:ascii="Arial" w:hAnsi="Arial" w:cs="Arial"/>
          <w:b/>
          <w:bCs/>
          <w:sz w:val="22"/>
          <w:szCs w:val="22"/>
        </w:rPr>
        <w:t>Restore profitability and cash flow stability</w:t>
      </w:r>
    </w:p>
    <w:p w14:paraId="7F58F1B0" w14:textId="77777777" w:rsidR="003E08D9" w:rsidRPr="003E08D9" w:rsidRDefault="003E08D9" w:rsidP="003E08D9">
      <w:pPr>
        <w:numPr>
          <w:ilvl w:val="0"/>
          <w:numId w:val="14"/>
        </w:numPr>
        <w:rPr>
          <w:rFonts w:ascii="Arial" w:hAnsi="Arial" w:cs="Arial"/>
          <w:sz w:val="22"/>
          <w:szCs w:val="22"/>
        </w:rPr>
      </w:pPr>
      <w:r w:rsidRPr="003E08D9">
        <w:rPr>
          <w:rFonts w:ascii="Arial" w:hAnsi="Arial" w:cs="Arial"/>
          <w:b/>
          <w:bCs/>
          <w:sz w:val="22"/>
          <w:szCs w:val="22"/>
        </w:rPr>
        <w:t>Reduce financial leverage and improve solvency</w:t>
      </w:r>
    </w:p>
    <w:p w14:paraId="123CDCBC" w14:textId="77777777" w:rsidR="003E08D9" w:rsidRPr="003E08D9" w:rsidRDefault="003E08D9" w:rsidP="003E08D9">
      <w:pPr>
        <w:numPr>
          <w:ilvl w:val="0"/>
          <w:numId w:val="14"/>
        </w:numPr>
        <w:rPr>
          <w:rFonts w:ascii="Arial" w:hAnsi="Arial" w:cs="Arial"/>
          <w:sz w:val="22"/>
          <w:szCs w:val="22"/>
        </w:rPr>
      </w:pPr>
      <w:r w:rsidRPr="003E08D9">
        <w:rPr>
          <w:rFonts w:ascii="Arial" w:hAnsi="Arial" w:cs="Arial"/>
          <w:b/>
          <w:bCs/>
          <w:sz w:val="22"/>
          <w:szCs w:val="22"/>
        </w:rPr>
        <w:t>Enhance operational efficiency and competitiveness</w:t>
      </w:r>
    </w:p>
    <w:p w14:paraId="43ECCC13" w14:textId="77777777" w:rsidR="003E08D9" w:rsidRPr="003E08D9" w:rsidRDefault="003E08D9" w:rsidP="003E08D9">
      <w:pPr>
        <w:numPr>
          <w:ilvl w:val="0"/>
          <w:numId w:val="14"/>
        </w:numPr>
        <w:rPr>
          <w:rFonts w:ascii="Arial" w:hAnsi="Arial" w:cs="Arial"/>
          <w:sz w:val="22"/>
          <w:szCs w:val="22"/>
        </w:rPr>
      </w:pPr>
      <w:r w:rsidRPr="003E08D9">
        <w:rPr>
          <w:rFonts w:ascii="Arial" w:hAnsi="Arial" w:cs="Arial"/>
          <w:b/>
          <w:bCs/>
          <w:sz w:val="22"/>
          <w:szCs w:val="22"/>
        </w:rPr>
        <w:t>Optimise capital structure for sustainable growth</w:t>
      </w:r>
    </w:p>
    <w:p w14:paraId="6E5DBC15" w14:textId="77777777" w:rsidR="003E08D9" w:rsidRPr="003E08D9" w:rsidRDefault="003E08D9" w:rsidP="003E08D9">
      <w:pPr>
        <w:numPr>
          <w:ilvl w:val="0"/>
          <w:numId w:val="14"/>
        </w:numPr>
        <w:rPr>
          <w:rFonts w:ascii="Arial" w:hAnsi="Arial" w:cs="Arial"/>
          <w:sz w:val="22"/>
          <w:szCs w:val="22"/>
        </w:rPr>
      </w:pPr>
      <w:r w:rsidRPr="003E08D9">
        <w:rPr>
          <w:rFonts w:ascii="Arial" w:hAnsi="Arial" w:cs="Arial"/>
          <w:b/>
          <w:bCs/>
          <w:sz w:val="22"/>
          <w:szCs w:val="22"/>
        </w:rPr>
        <w:t>Rebuild investor and supplier confidence</w:t>
      </w:r>
    </w:p>
    <w:p w14:paraId="1D0560E6" w14:textId="77777777" w:rsidR="003E08D9" w:rsidRPr="003E08D9" w:rsidRDefault="003E08D9" w:rsidP="003E08D9">
      <w:pPr>
        <w:numPr>
          <w:ilvl w:val="0"/>
          <w:numId w:val="14"/>
        </w:numPr>
        <w:rPr>
          <w:rFonts w:ascii="Arial" w:hAnsi="Arial" w:cs="Arial"/>
          <w:sz w:val="22"/>
          <w:szCs w:val="22"/>
        </w:rPr>
      </w:pPr>
      <w:r w:rsidRPr="003E08D9">
        <w:rPr>
          <w:rFonts w:ascii="Arial" w:hAnsi="Arial" w:cs="Arial"/>
          <w:b/>
          <w:bCs/>
          <w:sz w:val="22"/>
          <w:szCs w:val="22"/>
        </w:rPr>
        <w:t>Improve international resilience and ethical governance</w:t>
      </w:r>
    </w:p>
    <w:p w14:paraId="7263275A" w14:textId="77777777" w:rsidR="003E08D9" w:rsidRPr="003E08D9" w:rsidRDefault="003E08D9" w:rsidP="003E08D9">
      <w:pPr>
        <w:rPr>
          <w:rFonts w:ascii="Arial" w:hAnsi="Arial" w:cs="Arial"/>
          <w:sz w:val="22"/>
          <w:szCs w:val="22"/>
        </w:rPr>
      </w:pPr>
      <w:r w:rsidRPr="003E08D9">
        <w:rPr>
          <w:rFonts w:ascii="Arial" w:hAnsi="Arial" w:cs="Arial"/>
          <w:sz w:val="22"/>
          <w:szCs w:val="22"/>
        </w:rPr>
        <w:t>These objectives align with modern turnaround management frameworks emphasising cost control, liquidity stabilisation, stakeholder trust, and long-term value creation (Damodaran, 2015).</w:t>
      </w:r>
    </w:p>
    <w:p w14:paraId="60E992B1"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795C1D9B">
          <v:rect id="_x0000_i1275" style="width:0;height:1.5pt" o:hralign="center" o:hrstd="t" o:hr="t" fillcolor="#a0a0a0" stroked="f"/>
        </w:pict>
      </w:r>
    </w:p>
    <w:p w14:paraId="7BAD78D3"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4.2 Recommended Financial Restructuring Actions</w:t>
      </w:r>
    </w:p>
    <w:p w14:paraId="49011F67"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5DE8ACF5">
          <v:rect id="_x0000_i1276" style="width:0;height:1.5pt" o:hralign="center" o:hrstd="t" o:hr="t" fillcolor="#a0a0a0" stroked="f"/>
        </w:pict>
      </w:r>
    </w:p>
    <w:p w14:paraId="4B1E89DC"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4.2.1 Divestiture of Non-Core Business Units</w:t>
      </w:r>
    </w:p>
    <w:p w14:paraId="6D9B95C9" w14:textId="77777777" w:rsidR="003E08D9" w:rsidRPr="003E08D9" w:rsidRDefault="003E08D9" w:rsidP="003E08D9">
      <w:pPr>
        <w:rPr>
          <w:rFonts w:ascii="Arial" w:hAnsi="Arial" w:cs="Arial"/>
          <w:sz w:val="22"/>
          <w:szCs w:val="22"/>
        </w:rPr>
      </w:pPr>
      <w:r w:rsidRPr="003E08D9">
        <w:rPr>
          <w:rFonts w:ascii="Arial" w:hAnsi="Arial" w:cs="Arial"/>
          <w:sz w:val="22"/>
          <w:szCs w:val="22"/>
        </w:rPr>
        <w:t>GE should conduct a portfolio rationalisation to identify:</w:t>
      </w:r>
    </w:p>
    <w:p w14:paraId="04CE2A32" w14:textId="77777777" w:rsidR="003E08D9" w:rsidRPr="003E08D9" w:rsidRDefault="003E08D9" w:rsidP="003E08D9">
      <w:pPr>
        <w:numPr>
          <w:ilvl w:val="0"/>
          <w:numId w:val="15"/>
        </w:numPr>
        <w:rPr>
          <w:rFonts w:ascii="Arial" w:hAnsi="Arial" w:cs="Arial"/>
          <w:sz w:val="22"/>
          <w:szCs w:val="22"/>
        </w:rPr>
      </w:pPr>
      <w:r w:rsidRPr="003E08D9">
        <w:rPr>
          <w:rFonts w:ascii="Arial" w:hAnsi="Arial" w:cs="Arial"/>
          <w:sz w:val="22"/>
          <w:szCs w:val="22"/>
        </w:rPr>
        <w:t>underperforming divisions</w:t>
      </w:r>
    </w:p>
    <w:p w14:paraId="74358279" w14:textId="77777777" w:rsidR="003E08D9" w:rsidRPr="003E08D9" w:rsidRDefault="003E08D9" w:rsidP="003E08D9">
      <w:pPr>
        <w:numPr>
          <w:ilvl w:val="0"/>
          <w:numId w:val="15"/>
        </w:numPr>
        <w:rPr>
          <w:rFonts w:ascii="Arial" w:hAnsi="Arial" w:cs="Arial"/>
          <w:sz w:val="22"/>
          <w:szCs w:val="22"/>
        </w:rPr>
      </w:pPr>
      <w:r w:rsidRPr="003E08D9">
        <w:rPr>
          <w:rFonts w:ascii="Arial" w:hAnsi="Arial" w:cs="Arial"/>
          <w:sz w:val="22"/>
          <w:szCs w:val="22"/>
        </w:rPr>
        <w:t>non-core product lines</w:t>
      </w:r>
    </w:p>
    <w:p w14:paraId="43DB52A5" w14:textId="77777777" w:rsidR="003E08D9" w:rsidRPr="003E08D9" w:rsidRDefault="003E08D9" w:rsidP="003E08D9">
      <w:pPr>
        <w:numPr>
          <w:ilvl w:val="0"/>
          <w:numId w:val="15"/>
        </w:numPr>
        <w:rPr>
          <w:rFonts w:ascii="Arial" w:hAnsi="Arial" w:cs="Arial"/>
          <w:sz w:val="22"/>
          <w:szCs w:val="22"/>
        </w:rPr>
      </w:pPr>
      <w:r w:rsidRPr="003E08D9">
        <w:rPr>
          <w:rFonts w:ascii="Arial" w:hAnsi="Arial" w:cs="Arial"/>
          <w:sz w:val="22"/>
          <w:szCs w:val="22"/>
        </w:rPr>
        <w:t>low-margin business segments</w:t>
      </w:r>
    </w:p>
    <w:p w14:paraId="4FFE52FD" w14:textId="77777777" w:rsidR="003E08D9" w:rsidRPr="003E08D9" w:rsidRDefault="003E08D9" w:rsidP="003E08D9">
      <w:pPr>
        <w:rPr>
          <w:rFonts w:ascii="Arial" w:hAnsi="Arial" w:cs="Arial"/>
          <w:sz w:val="22"/>
          <w:szCs w:val="22"/>
        </w:rPr>
      </w:pPr>
      <w:r w:rsidRPr="003E08D9">
        <w:rPr>
          <w:rFonts w:ascii="Arial" w:hAnsi="Arial" w:cs="Arial"/>
          <w:sz w:val="22"/>
          <w:szCs w:val="22"/>
        </w:rPr>
        <w:t>Divestiture benefits include:</w:t>
      </w:r>
    </w:p>
    <w:p w14:paraId="6AC2A5F3" w14:textId="77777777" w:rsidR="003E08D9" w:rsidRPr="003E08D9" w:rsidRDefault="003E08D9" w:rsidP="003E08D9">
      <w:pPr>
        <w:numPr>
          <w:ilvl w:val="0"/>
          <w:numId w:val="16"/>
        </w:numPr>
        <w:rPr>
          <w:rFonts w:ascii="Arial" w:hAnsi="Arial" w:cs="Arial"/>
          <w:sz w:val="22"/>
          <w:szCs w:val="22"/>
        </w:rPr>
      </w:pPr>
      <w:r w:rsidRPr="003E08D9">
        <w:rPr>
          <w:rFonts w:ascii="Arial" w:hAnsi="Arial" w:cs="Arial"/>
          <w:sz w:val="22"/>
          <w:szCs w:val="22"/>
        </w:rPr>
        <w:lastRenderedPageBreak/>
        <w:t>immediate cash inflow</w:t>
      </w:r>
    </w:p>
    <w:p w14:paraId="486546A6" w14:textId="77777777" w:rsidR="003E08D9" w:rsidRPr="003E08D9" w:rsidRDefault="003E08D9" w:rsidP="003E08D9">
      <w:pPr>
        <w:numPr>
          <w:ilvl w:val="0"/>
          <w:numId w:val="16"/>
        </w:numPr>
        <w:rPr>
          <w:rFonts w:ascii="Arial" w:hAnsi="Arial" w:cs="Arial"/>
          <w:sz w:val="22"/>
          <w:szCs w:val="22"/>
        </w:rPr>
      </w:pPr>
      <w:r w:rsidRPr="003E08D9">
        <w:rPr>
          <w:rFonts w:ascii="Arial" w:hAnsi="Arial" w:cs="Arial"/>
          <w:sz w:val="22"/>
          <w:szCs w:val="22"/>
        </w:rPr>
        <w:t>reduction in operational complexity</w:t>
      </w:r>
    </w:p>
    <w:p w14:paraId="7054334E" w14:textId="77777777" w:rsidR="003E08D9" w:rsidRPr="003E08D9" w:rsidRDefault="003E08D9" w:rsidP="003E08D9">
      <w:pPr>
        <w:numPr>
          <w:ilvl w:val="0"/>
          <w:numId w:val="16"/>
        </w:numPr>
        <w:rPr>
          <w:rFonts w:ascii="Arial" w:hAnsi="Arial" w:cs="Arial"/>
          <w:sz w:val="22"/>
          <w:szCs w:val="22"/>
        </w:rPr>
      </w:pPr>
      <w:r w:rsidRPr="003E08D9">
        <w:rPr>
          <w:rFonts w:ascii="Arial" w:hAnsi="Arial" w:cs="Arial"/>
          <w:sz w:val="22"/>
          <w:szCs w:val="22"/>
        </w:rPr>
        <w:t>focus on profitable and strategic areas</w:t>
      </w:r>
    </w:p>
    <w:p w14:paraId="694131D7" w14:textId="77777777" w:rsidR="003E08D9" w:rsidRPr="003E08D9" w:rsidRDefault="003E08D9" w:rsidP="003E08D9">
      <w:pPr>
        <w:numPr>
          <w:ilvl w:val="0"/>
          <w:numId w:val="16"/>
        </w:numPr>
        <w:rPr>
          <w:rFonts w:ascii="Arial" w:hAnsi="Arial" w:cs="Arial"/>
          <w:sz w:val="22"/>
          <w:szCs w:val="22"/>
        </w:rPr>
      </w:pPr>
      <w:r w:rsidRPr="003E08D9">
        <w:rPr>
          <w:rFonts w:ascii="Arial" w:hAnsi="Arial" w:cs="Arial"/>
          <w:sz w:val="22"/>
          <w:szCs w:val="22"/>
        </w:rPr>
        <w:t>improved managerial efficiency</w:t>
      </w:r>
    </w:p>
    <w:p w14:paraId="052204B6" w14:textId="77777777" w:rsidR="003E08D9" w:rsidRPr="003E08D9" w:rsidRDefault="003E08D9" w:rsidP="003E08D9">
      <w:pPr>
        <w:rPr>
          <w:rFonts w:ascii="Arial" w:hAnsi="Arial" w:cs="Arial"/>
          <w:sz w:val="22"/>
          <w:szCs w:val="22"/>
        </w:rPr>
      </w:pPr>
      <w:r w:rsidRPr="003E08D9">
        <w:rPr>
          <w:rFonts w:ascii="Arial" w:hAnsi="Arial" w:cs="Arial"/>
          <w:sz w:val="22"/>
          <w:szCs w:val="22"/>
        </w:rPr>
        <w:t>However, divestitures must be carefully managed to avoid:</w:t>
      </w:r>
    </w:p>
    <w:p w14:paraId="051B7A69" w14:textId="77777777" w:rsidR="003E08D9" w:rsidRPr="003E08D9" w:rsidRDefault="003E08D9" w:rsidP="003E08D9">
      <w:pPr>
        <w:numPr>
          <w:ilvl w:val="0"/>
          <w:numId w:val="17"/>
        </w:numPr>
        <w:rPr>
          <w:rFonts w:ascii="Arial" w:hAnsi="Arial" w:cs="Arial"/>
          <w:sz w:val="22"/>
          <w:szCs w:val="22"/>
        </w:rPr>
      </w:pPr>
      <w:r w:rsidRPr="003E08D9">
        <w:rPr>
          <w:rFonts w:ascii="Arial" w:hAnsi="Arial" w:cs="Arial"/>
          <w:sz w:val="22"/>
          <w:szCs w:val="22"/>
        </w:rPr>
        <w:t>negative signalling to the market</w:t>
      </w:r>
    </w:p>
    <w:p w14:paraId="0A33BBC8" w14:textId="77777777" w:rsidR="003E08D9" w:rsidRPr="003E08D9" w:rsidRDefault="003E08D9" w:rsidP="003E08D9">
      <w:pPr>
        <w:numPr>
          <w:ilvl w:val="0"/>
          <w:numId w:val="17"/>
        </w:numPr>
        <w:rPr>
          <w:rFonts w:ascii="Arial" w:hAnsi="Arial" w:cs="Arial"/>
          <w:sz w:val="22"/>
          <w:szCs w:val="22"/>
        </w:rPr>
      </w:pPr>
      <w:r w:rsidRPr="003E08D9">
        <w:rPr>
          <w:rFonts w:ascii="Arial" w:hAnsi="Arial" w:cs="Arial"/>
          <w:sz w:val="22"/>
          <w:szCs w:val="22"/>
        </w:rPr>
        <w:t>short-term revenue loss</w:t>
      </w:r>
    </w:p>
    <w:p w14:paraId="7DB78C84" w14:textId="77777777" w:rsidR="003E08D9" w:rsidRPr="003E08D9" w:rsidRDefault="003E08D9" w:rsidP="003E08D9">
      <w:pPr>
        <w:numPr>
          <w:ilvl w:val="0"/>
          <w:numId w:val="17"/>
        </w:numPr>
        <w:rPr>
          <w:rFonts w:ascii="Arial" w:hAnsi="Arial" w:cs="Arial"/>
          <w:sz w:val="22"/>
          <w:szCs w:val="22"/>
        </w:rPr>
      </w:pPr>
      <w:r w:rsidRPr="003E08D9">
        <w:rPr>
          <w:rFonts w:ascii="Arial" w:hAnsi="Arial" w:cs="Arial"/>
          <w:sz w:val="22"/>
          <w:szCs w:val="22"/>
        </w:rPr>
        <w:t>disruption to remaining operations</w:t>
      </w:r>
    </w:p>
    <w:p w14:paraId="0596B23F"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42401157">
          <v:rect id="_x0000_i1277" style="width:0;height:1.5pt" o:hralign="center" o:hrstd="t" o:hr="t" fillcolor="#a0a0a0" stroked="f"/>
        </w:pict>
      </w:r>
    </w:p>
    <w:p w14:paraId="0140CBF8"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4.2.2 Equity Injection</w:t>
      </w:r>
    </w:p>
    <w:p w14:paraId="2DDD9B99" w14:textId="77777777" w:rsidR="003E08D9" w:rsidRPr="003E08D9" w:rsidRDefault="003E08D9" w:rsidP="003E08D9">
      <w:pPr>
        <w:rPr>
          <w:rFonts w:ascii="Arial" w:hAnsi="Arial" w:cs="Arial"/>
          <w:sz w:val="22"/>
          <w:szCs w:val="22"/>
        </w:rPr>
      </w:pPr>
      <w:r w:rsidRPr="003E08D9">
        <w:rPr>
          <w:rFonts w:ascii="Arial" w:hAnsi="Arial" w:cs="Arial"/>
          <w:sz w:val="22"/>
          <w:szCs w:val="22"/>
        </w:rPr>
        <w:t>Given GE’s rising leverage and declining equity, an equity injection is advisable. Potential sources include:</w:t>
      </w:r>
    </w:p>
    <w:p w14:paraId="29A70065" w14:textId="77777777" w:rsidR="003E08D9" w:rsidRPr="003E08D9" w:rsidRDefault="003E08D9" w:rsidP="003E08D9">
      <w:pPr>
        <w:numPr>
          <w:ilvl w:val="0"/>
          <w:numId w:val="18"/>
        </w:numPr>
        <w:rPr>
          <w:rFonts w:ascii="Arial" w:hAnsi="Arial" w:cs="Arial"/>
          <w:sz w:val="22"/>
          <w:szCs w:val="22"/>
        </w:rPr>
      </w:pPr>
      <w:r w:rsidRPr="003E08D9">
        <w:rPr>
          <w:rFonts w:ascii="Arial" w:hAnsi="Arial" w:cs="Arial"/>
          <w:sz w:val="22"/>
          <w:szCs w:val="22"/>
        </w:rPr>
        <w:t>private equity investors</w:t>
      </w:r>
    </w:p>
    <w:p w14:paraId="06C6F06F" w14:textId="77777777" w:rsidR="003E08D9" w:rsidRPr="003E08D9" w:rsidRDefault="003E08D9" w:rsidP="003E08D9">
      <w:pPr>
        <w:numPr>
          <w:ilvl w:val="0"/>
          <w:numId w:val="18"/>
        </w:numPr>
        <w:rPr>
          <w:rFonts w:ascii="Arial" w:hAnsi="Arial" w:cs="Arial"/>
          <w:sz w:val="22"/>
          <w:szCs w:val="22"/>
        </w:rPr>
      </w:pPr>
      <w:r w:rsidRPr="003E08D9">
        <w:rPr>
          <w:rFonts w:ascii="Arial" w:hAnsi="Arial" w:cs="Arial"/>
          <w:sz w:val="22"/>
          <w:szCs w:val="22"/>
        </w:rPr>
        <w:t>strategic corporate partners</w:t>
      </w:r>
    </w:p>
    <w:p w14:paraId="190283F8" w14:textId="77777777" w:rsidR="003E08D9" w:rsidRPr="003E08D9" w:rsidRDefault="003E08D9" w:rsidP="003E08D9">
      <w:pPr>
        <w:numPr>
          <w:ilvl w:val="0"/>
          <w:numId w:val="18"/>
        </w:numPr>
        <w:rPr>
          <w:rFonts w:ascii="Arial" w:hAnsi="Arial" w:cs="Arial"/>
          <w:sz w:val="22"/>
          <w:szCs w:val="22"/>
        </w:rPr>
      </w:pPr>
      <w:r w:rsidRPr="003E08D9">
        <w:rPr>
          <w:rFonts w:ascii="Arial" w:hAnsi="Arial" w:cs="Arial"/>
          <w:sz w:val="22"/>
          <w:szCs w:val="22"/>
        </w:rPr>
        <w:t>rights issues to existing shareholders</w:t>
      </w:r>
    </w:p>
    <w:p w14:paraId="108D6E51" w14:textId="77777777" w:rsidR="003E08D9" w:rsidRPr="003E08D9" w:rsidRDefault="003E08D9" w:rsidP="003E08D9">
      <w:pPr>
        <w:rPr>
          <w:rFonts w:ascii="Arial" w:hAnsi="Arial" w:cs="Arial"/>
          <w:sz w:val="22"/>
          <w:szCs w:val="22"/>
        </w:rPr>
      </w:pPr>
      <w:r w:rsidRPr="003E08D9">
        <w:rPr>
          <w:rFonts w:ascii="Arial" w:hAnsi="Arial" w:cs="Arial"/>
          <w:sz w:val="22"/>
          <w:szCs w:val="22"/>
        </w:rPr>
        <w:t>Benefits include:</w:t>
      </w:r>
    </w:p>
    <w:p w14:paraId="1CCDD183" w14:textId="77777777" w:rsidR="003E08D9" w:rsidRPr="003E08D9" w:rsidRDefault="003E08D9" w:rsidP="003E08D9">
      <w:pPr>
        <w:numPr>
          <w:ilvl w:val="0"/>
          <w:numId w:val="19"/>
        </w:numPr>
        <w:rPr>
          <w:rFonts w:ascii="Arial" w:hAnsi="Arial" w:cs="Arial"/>
          <w:sz w:val="22"/>
          <w:szCs w:val="22"/>
        </w:rPr>
      </w:pPr>
      <w:r w:rsidRPr="003E08D9">
        <w:rPr>
          <w:rFonts w:ascii="Arial" w:hAnsi="Arial" w:cs="Arial"/>
          <w:sz w:val="22"/>
          <w:szCs w:val="22"/>
        </w:rPr>
        <w:t>strengthened capital structure</w:t>
      </w:r>
    </w:p>
    <w:p w14:paraId="1EEB53A3" w14:textId="77777777" w:rsidR="003E08D9" w:rsidRPr="003E08D9" w:rsidRDefault="003E08D9" w:rsidP="003E08D9">
      <w:pPr>
        <w:numPr>
          <w:ilvl w:val="0"/>
          <w:numId w:val="19"/>
        </w:numPr>
        <w:rPr>
          <w:rFonts w:ascii="Arial" w:hAnsi="Arial" w:cs="Arial"/>
          <w:sz w:val="22"/>
          <w:szCs w:val="22"/>
        </w:rPr>
      </w:pPr>
      <w:r w:rsidRPr="003E08D9">
        <w:rPr>
          <w:rFonts w:ascii="Arial" w:hAnsi="Arial" w:cs="Arial"/>
          <w:sz w:val="22"/>
          <w:szCs w:val="22"/>
        </w:rPr>
        <w:t>improved debt-to-equity ratio</w:t>
      </w:r>
    </w:p>
    <w:p w14:paraId="44F46985" w14:textId="77777777" w:rsidR="003E08D9" w:rsidRPr="003E08D9" w:rsidRDefault="003E08D9" w:rsidP="003E08D9">
      <w:pPr>
        <w:numPr>
          <w:ilvl w:val="0"/>
          <w:numId w:val="19"/>
        </w:numPr>
        <w:rPr>
          <w:rFonts w:ascii="Arial" w:hAnsi="Arial" w:cs="Arial"/>
          <w:sz w:val="22"/>
          <w:szCs w:val="22"/>
        </w:rPr>
      </w:pPr>
      <w:r w:rsidRPr="003E08D9">
        <w:rPr>
          <w:rFonts w:ascii="Arial" w:hAnsi="Arial" w:cs="Arial"/>
          <w:sz w:val="22"/>
          <w:szCs w:val="22"/>
        </w:rPr>
        <w:t>enhanced creditworthiness</w:t>
      </w:r>
    </w:p>
    <w:p w14:paraId="6F80F894" w14:textId="77777777" w:rsidR="003E08D9" w:rsidRPr="003E08D9" w:rsidRDefault="003E08D9" w:rsidP="003E08D9">
      <w:pPr>
        <w:rPr>
          <w:rFonts w:ascii="Arial" w:hAnsi="Arial" w:cs="Arial"/>
          <w:sz w:val="22"/>
          <w:szCs w:val="22"/>
        </w:rPr>
      </w:pPr>
      <w:r w:rsidRPr="003E08D9">
        <w:rPr>
          <w:rFonts w:ascii="Arial" w:hAnsi="Arial" w:cs="Arial"/>
          <w:sz w:val="22"/>
          <w:szCs w:val="22"/>
        </w:rPr>
        <w:t>Risks include shareholder dilution, although stabilising the firm has greater long-term benefits.</w:t>
      </w:r>
    </w:p>
    <w:p w14:paraId="41CD4572"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2EE60462">
          <v:rect id="_x0000_i1278" style="width:0;height:1.5pt" o:hralign="center" o:hrstd="t" o:hr="t" fillcolor="#a0a0a0" stroked="f"/>
        </w:pict>
      </w:r>
    </w:p>
    <w:p w14:paraId="7AEDEDAB"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4.2.3 Debt Restructuring</w:t>
      </w:r>
    </w:p>
    <w:p w14:paraId="14C3AF5C" w14:textId="77777777" w:rsidR="003E08D9" w:rsidRPr="003E08D9" w:rsidRDefault="003E08D9" w:rsidP="003E08D9">
      <w:pPr>
        <w:rPr>
          <w:rFonts w:ascii="Arial" w:hAnsi="Arial" w:cs="Arial"/>
          <w:sz w:val="22"/>
          <w:szCs w:val="22"/>
        </w:rPr>
      </w:pPr>
      <w:r w:rsidRPr="003E08D9">
        <w:rPr>
          <w:rFonts w:ascii="Arial" w:hAnsi="Arial" w:cs="Arial"/>
          <w:sz w:val="22"/>
          <w:szCs w:val="22"/>
        </w:rPr>
        <w:t>GE must negotiate with lenders to adjust debt terms, which could include:</w:t>
      </w:r>
    </w:p>
    <w:p w14:paraId="322B282D" w14:textId="77777777" w:rsidR="003E08D9" w:rsidRPr="003E08D9" w:rsidRDefault="003E08D9" w:rsidP="003E08D9">
      <w:pPr>
        <w:numPr>
          <w:ilvl w:val="0"/>
          <w:numId w:val="20"/>
        </w:numPr>
        <w:rPr>
          <w:rFonts w:ascii="Arial" w:hAnsi="Arial" w:cs="Arial"/>
          <w:sz w:val="22"/>
          <w:szCs w:val="22"/>
        </w:rPr>
      </w:pPr>
      <w:r w:rsidRPr="003E08D9">
        <w:rPr>
          <w:rFonts w:ascii="Arial" w:hAnsi="Arial" w:cs="Arial"/>
          <w:sz w:val="22"/>
          <w:szCs w:val="22"/>
        </w:rPr>
        <w:t>extending payment schedules</w:t>
      </w:r>
    </w:p>
    <w:p w14:paraId="3CB11253" w14:textId="77777777" w:rsidR="003E08D9" w:rsidRPr="003E08D9" w:rsidRDefault="003E08D9" w:rsidP="003E08D9">
      <w:pPr>
        <w:numPr>
          <w:ilvl w:val="0"/>
          <w:numId w:val="20"/>
        </w:numPr>
        <w:rPr>
          <w:rFonts w:ascii="Arial" w:hAnsi="Arial" w:cs="Arial"/>
          <w:sz w:val="22"/>
          <w:szCs w:val="22"/>
        </w:rPr>
      </w:pPr>
      <w:r w:rsidRPr="003E08D9">
        <w:rPr>
          <w:rFonts w:ascii="Arial" w:hAnsi="Arial" w:cs="Arial"/>
          <w:sz w:val="22"/>
          <w:szCs w:val="22"/>
        </w:rPr>
        <w:t>reducing interest rates</w:t>
      </w:r>
    </w:p>
    <w:p w14:paraId="7018DB08" w14:textId="77777777" w:rsidR="003E08D9" w:rsidRPr="003E08D9" w:rsidRDefault="003E08D9" w:rsidP="003E08D9">
      <w:pPr>
        <w:numPr>
          <w:ilvl w:val="0"/>
          <w:numId w:val="20"/>
        </w:numPr>
        <w:rPr>
          <w:rFonts w:ascii="Arial" w:hAnsi="Arial" w:cs="Arial"/>
          <w:sz w:val="22"/>
          <w:szCs w:val="22"/>
        </w:rPr>
      </w:pPr>
      <w:r w:rsidRPr="003E08D9">
        <w:rPr>
          <w:rFonts w:ascii="Arial" w:hAnsi="Arial" w:cs="Arial"/>
          <w:sz w:val="22"/>
          <w:szCs w:val="22"/>
        </w:rPr>
        <w:t>consolidating debt</w:t>
      </w:r>
    </w:p>
    <w:p w14:paraId="0497BCCB" w14:textId="77777777" w:rsidR="003E08D9" w:rsidRPr="003E08D9" w:rsidRDefault="003E08D9" w:rsidP="003E08D9">
      <w:pPr>
        <w:numPr>
          <w:ilvl w:val="0"/>
          <w:numId w:val="20"/>
        </w:numPr>
        <w:rPr>
          <w:rFonts w:ascii="Arial" w:hAnsi="Arial" w:cs="Arial"/>
          <w:sz w:val="22"/>
          <w:szCs w:val="22"/>
        </w:rPr>
      </w:pPr>
      <w:r w:rsidRPr="003E08D9">
        <w:rPr>
          <w:rFonts w:ascii="Arial" w:hAnsi="Arial" w:cs="Arial"/>
          <w:sz w:val="22"/>
          <w:szCs w:val="22"/>
        </w:rPr>
        <w:t>refinancing short-term loans into longer-term instruments</w:t>
      </w:r>
    </w:p>
    <w:p w14:paraId="4C326707" w14:textId="77777777" w:rsidR="003E08D9" w:rsidRPr="003E08D9" w:rsidRDefault="003E08D9" w:rsidP="003E08D9">
      <w:pPr>
        <w:numPr>
          <w:ilvl w:val="0"/>
          <w:numId w:val="20"/>
        </w:numPr>
        <w:rPr>
          <w:rFonts w:ascii="Arial" w:hAnsi="Arial" w:cs="Arial"/>
          <w:sz w:val="22"/>
          <w:szCs w:val="22"/>
        </w:rPr>
      </w:pPr>
      <w:r w:rsidRPr="003E08D9">
        <w:rPr>
          <w:rFonts w:ascii="Arial" w:hAnsi="Arial" w:cs="Arial"/>
          <w:sz w:val="22"/>
          <w:szCs w:val="22"/>
        </w:rPr>
        <w:t>debt-for-equity swaps (if necessary)</w:t>
      </w:r>
    </w:p>
    <w:p w14:paraId="44A7429F" w14:textId="77777777" w:rsidR="003E08D9" w:rsidRPr="003E08D9" w:rsidRDefault="003E08D9" w:rsidP="003E08D9">
      <w:pPr>
        <w:rPr>
          <w:rFonts w:ascii="Arial" w:hAnsi="Arial" w:cs="Arial"/>
          <w:sz w:val="22"/>
          <w:szCs w:val="22"/>
        </w:rPr>
      </w:pPr>
      <w:r w:rsidRPr="003E08D9">
        <w:rPr>
          <w:rFonts w:ascii="Arial" w:hAnsi="Arial" w:cs="Arial"/>
          <w:sz w:val="22"/>
          <w:szCs w:val="22"/>
        </w:rPr>
        <w:t>Debt restructuring would immediately improve GE’s interest coverage and improve cash flow.</w:t>
      </w:r>
    </w:p>
    <w:p w14:paraId="5FB3A7C0"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4942EBE8">
          <v:rect id="_x0000_i1279" style="width:0;height:1.5pt" o:hralign="center" o:hrstd="t" o:hr="t" fillcolor="#a0a0a0" stroked="f"/>
        </w:pict>
      </w:r>
    </w:p>
    <w:p w14:paraId="0A37505D"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4.2.4 Operational Restructuring Initiatives</w:t>
      </w:r>
    </w:p>
    <w:p w14:paraId="0712AA93" w14:textId="77777777" w:rsidR="003E08D9" w:rsidRPr="003E08D9" w:rsidRDefault="003E08D9" w:rsidP="003E08D9">
      <w:pPr>
        <w:rPr>
          <w:rFonts w:ascii="Arial" w:hAnsi="Arial" w:cs="Arial"/>
          <w:sz w:val="22"/>
          <w:szCs w:val="22"/>
        </w:rPr>
      </w:pPr>
      <w:r w:rsidRPr="003E08D9">
        <w:rPr>
          <w:rFonts w:ascii="Arial" w:hAnsi="Arial" w:cs="Arial"/>
          <w:sz w:val="22"/>
          <w:szCs w:val="22"/>
        </w:rPr>
        <w:t>Operational restructuring is necessary to address persistent inefficiencies.</w:t>
      </w:r>
    </w:p>
    <w:p w14:paraId="72267203" w14:textId="77777777" w:rsidR="003E08D9" w:rsidRPr="003E08D9" w:rsidRDefault="003E08D9" w:rsidP="003E08D9">
      <w:pPr>
        <w:rPr>
          <w:rFonts w:ascii="Arial" w:hAnsi="Arial" w:cs="Arial"/>
          <w:sz w:val="22"/>
          <w:szCs w:val="22"/>
        </w:rPr>
      </w:pPr>
      <w:r w:rsidRPr="003E08D9">
        <w:rPr>
          <w:rFonts w:ascii="Arial" w:hAnsi="Arial" w:cs="Arial"/>
          <w:sz w:val="22"/>
          <w:szCs w:val="22"/>
        </w:rPr>
        <w:t>Key recommendations include:</w:t>
      </w:r>
    </w:p>
    <w:p w14:paraId="47F0C82A" w14:textId="77777777" w:rsidR="003E08D9" w:rsidRPr="003E08D9" w:rsidRDefault="003E08D9" w:rsidP="003E08D9">
      <w:pPr>
        <w:numPr>
          <w:ilvl w:val="0"/>
          <w:numId w:val="21"/>
        </w:numPr>
        <w:rPr>
          <w:rFonts w:ascii="Arial" w:hAnsi="Arial" w:cs="Arial"/>
          <w:sz w:val="22"/>
          <w:szCs w:val="22"/>
        </w:rPr>
      </w:pPr>
      <w:r w:rsidRPr="003E08D9">
        <w:rPr>
          <w:rFonts w:ascii="Arial" w:hAnsi="Arial" w:cs="Arial"/>
          <w:sz w:val="22"/>
          <w:szCs w:val="22"/>
        </w:rPr>
        <w:t>consolidating manufacturing sites to reduce overheads</w:t>
      </w:r>
    </w:p>
    <w:p w14:paraId="7B3BBC76" w14:textId="77777777" w:rsidR="003E08D9" w:rsidRPr="003E08D9" w:rsidRDefault="003E08D9" w:rsidP="003E08D9">
      <w:pPr>
        <w:numPr>
          <w:ilvl w:val="0"/>
          <w:numId w:val="21"/>
        </w:numPr>
        <w:rPr>
          <w:rFonts w:ascii="Arial" w:hAnsi="Arial" w:cs="Arial"/>
          <w:sz w:val="22"/>
          <w:szCs w:val="22"/>
        </w:rPr>
      </w:pPr>
      <w:r w:rsidRPr="003E08D9">
        <w:rPr>
          <w:rFonts w:ascii="Arial" w:hAnsi="Arial" w:cs="Arial"/>
          <w:sz w:val="22"/>
          <w:szCs w:val="22"/>
        </w:rPr>
        <w:t>increasing automation to reduce labour costs</w:t>
      </w:r>
    </w:p>
    <w:p w14:paraId="3DB9E677" w14:textId="77777777" w:rsidR="003E08D9" w:rsidRPr="003E08D9" w:rsidRDefault="003E08D9" w:rsidP="003E08D9">
      <w:pPr>
        <w:numPr>
          <w:ilvl w:val="0"/>
          <w:numId w:val="21"/>
        </w:numPr>
        <w:rPr>
          <w:rFonts w:ascii="Arial" w:hAnsi="Arial" w:cs="Arial"/>
          <w:sz w:val="22"/>
          <w:szCs w:val="22"/>
        </w:rPr>
      </w:pPr>
      <w:r w:rsidRPr="003E08D9">
        <w:rPr>
          <w:rFonts w:ascii="Arial" w:hAnsi="Arial" w:cs="Arial"/>
          <w:sz w:val="22"/>
          <w:szCs w:val="22"/>
        </w:rPr>
        <w:t>redesigning supply chain processes</w:t>
      </w:r>
    </w:p>
    <w:p w14:paraId="1FCB36C7" w14:textId="77777777" w:rsidR="003E08D9" w:rsidRPr="003E08D9" w:rsidRDefault="003E08D9" w:rsidP="003E08D9">
      <w:pPr>
        <w:numPr>
          <w:ilvl w:val="0"/>
          <w:numId w:val="21"/>
        </w:numPr>
        <w:rPr>
          <w:rFonts w:ascii="Arial" w:hAnsi="Arial" w:cs="Arial"/>
          <w:sz w:val="22"/>
          <w:szCs w:val="22"/>
        </w:rPr>
      </w:pPr>
      <w:r w:rsidRPr="003E08D9">
        <w:rPr>
          <w:rFonts w:ascii="Arial" w:hAnsi="Arial" w:cs="Arial"/>
          <w:sz w:val="22"/>
          <w:szCs w:val="22"/>
        </w:rPr>
        <w:t>reducing product complexity</w:t>
      </w:r>
    </w:p>
    <w:p w14:paraId="52013813" w14:textId="77777777" w:rsidR="003E08D9" w:rsidRPr="003E08D9" w:rsidRDefault="003E08D9" w:rsidP="003E08D9">
      <w:pPr>
        <w:numPr>
          <w:ilvl w:val="0"/>
          <w:numId w:val="21"/>
        </w:numPr>
        <w:rPr>
          <w:rFonts w:ascii="Arial" w:hAnsi="Arial" w:cs="Arial"/>
          <w:sz w:val="22"/>
          <w:szCs w:val="22"/>
        </w:rPr>
      </w:pPr>
      <w:r w:rsidRPr="003E08D9">
        <w:rPr>
          <w:rFonts w:ascii="Arial" w:hAnsi="Arial" w:cs="Arial"/>
          <w:sz w:val="22"/>
          <w:szCs w:val="22"/>
        </w:rPr>
        <w:t>eliminating redundant management layers</w:t>
      </w:r>
    </w:p>
    <w:p w14:paraId="13D10B32" w14:textId="77777777" w:rsidR="003E08D9" w:rsidRPr="003E08D9" w:rsidRDefault="003E08D9" w:rsidP="003E08D9">
      <w:pPr>
        <w:rPr>
          <w:rFonts w:ascii="Arial" w:hAnsi="Arial" w:cs="Arial"/>
          <w:sz w:val="22"/>
          <w:szCs w:val="22"/>
        </w:rPr>
      </w:pPr>
      <w:r w:rsidRPr="003E08D9">
        <w:rPr>
          <w:rFonts w:ascii="Arial" w:hAnsi="Arial" w:cs="Arial"/>
          <w:sz w:val="22"/>
          <w:szCs w:val="22"/>
        </w:rPr>
        <w:t>These changes aim to restore GE’s cost competitiveness in a high-pressure market.</w:t>
      </w:r>
    </w:p>
    <w:p w14:paraId="55A72BEB"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276107FD">
          <v:rect id="_x0000_i1280" style="width:0;height:1.5pt" o:hralign="center" o:hrstd="t" o:hr="t" fillcolor="#a0a0a0" stroked="f"/>
        </w:pict>
      </w:r>
    </w:p>
    <w:p w14:paraId="094CBD67"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4.3 International and Ethical Considerations</w:t>
      </w:r>
    </w:p>
    <w:p w14:paraId="600AC287" w14:textId="77777777" w:rsidR="003E08D9" w:rsidRPr="003E08D9" w:rsidRDefault="003E08D9" w:rsidP="003E08D9">
      <w:pPr>
        <w:rPr>
          <w:rFonts w:ascii="Arial" w:hAnsi="Arial" w:cs="Arial"/>
          <w:sz w:val="22"/>
          <w:szCs w:val="22"/>
        </w:rPr>
      </w:pPr>
      <w:r w:rsidRPr="003E08D9">
        <w:rPr>
          <w:rFonts w:ascii="Arial" w:hAnsi="Arial" w:cs="Arial"/>
          <w:sz w:val="22"/>
          <w:szCs w:val="22"/>
        </w:rPr>
        <w:t>As a multinational corporation, GE must navigate international financial risks.</w:t>
      </w:r>
    </w:p>
    <w:p w14:paraId="17D59208"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507C2D2E">
          <v:rect id="_x0000_i1281" style="width:0;height:1.5pt" o:hralign="center" o:hrstd="t" o:hr="t" fillcolor="#a0a0a0" stroked="f"/>
        </w:pict>
      </w:r>
    </w:p>
    <w:p w14:paraId="77500057"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A. Currency Risk</w:t>
      </w:r>
    </w:p>
    <w:p w14:paraId="5329F5BA" w14:textId="77777777" w:rsidR="003E08D9" w:rsidRPr="003E08D9" w:rsidRDefault="003E08D9" w:rsidP="003E08D9">
      <w:pPr>
        <w:rPr>
          <w:rFonts w:ascii="Arial" w:hAnsi="Arial" w:cs="Arial"/>
          <w:sz w:val="22"/>
          <w:szCs w:val="22"/>
        </w:rPr>
      </w:pPr>
      <w:r w:rsidRPr="003E08D9">
        <w:rPr>
          <w:rFonts w:ascii="Arial" w:hAnsi="Arial" w:cs="Arial"/>
          <w:sz w:val="22"/>
          <w:szCs w:val="22"/>
        </w:rPr>
        <w:t>Given GE’s global exposure, currency fluctuations impact revenues and costs. GE must:</w:t>
      </w:r>
    </w:p>
    <w:p w14:paraId="0BC4BE9C" w14:textId="77777777" w:rsidR="003E08D9" w:rsidRPr="003E08D9" w:rsidRDefault="003E08D9" w:rsidP="003E08D9">
      <w:pPr>
        <w:numPr>
          <w:ilvl w:val="0"/>
          <w:numId w:val="22"/>
        </w:numPr>
        <w:rPr>
          <w:rFonts w:ascii="Arial" w:hAnsi="Arial" w:cs="Arial"/>
          <w:sz w:val="22"/>
          <w:szCs w:val="22"/>
        </w:rPr>
      </w:pPr>
      <w:r w:rsidRPr="003E08D9">
        <w:rPr>
          <w:rFonts w:ascii="Arial" w:hAnsi="Arial" w:cs="Arial"/>
          <w:sz w:val="22"/>
          <w:szCs w:val="22"/>
        </w:rPr>
        <w:t>use natural hedging (matching currency inflows and outflows)</w:t>
      </w:r>
    </w:p>
    <w:p w14:paraId="15D11894" w14:textId="77777777" w:rsidR="003E08D9" w:rsidRPr="003E08D9" w:rsidRDefault="003E08D9" w:rsidP="003E08D9">
      <w:pPr>
        <w:numPr>
          <w:ilvl w:val="0"/>
          <w:numId w:val="22"/>
        </w:numPr>
        <w:rPr>
          <w:rFonts w:ascii="Arial" w:hAnsi="Arial" w:cs="Arial"/>
          <w:sz w:val="22"/>
          <w:szCs w:val="22"/>
        </w:rPr>
      </w:pPr>
      <w:r w:rsidRPr="003E08D9">
        <w:rPr>
          <w:rFonts w:ascii="Arial" w:hAnsi="Arial" w:cs="Arial"/>
          <w:sz w:val="22"/>
          <w:szCs w:val="22"/>
        </w:rPr>
        <w:t>use forward contracts or options</w:t>
      </w:r>
    </w:p>
    <w:p w14:paraId="11A89832" w14:textId="77777777" w:rsidR="003E08D9" w:rsidRPr="003E08D9" w:rsidRDefault="003E08D9" w:rsidP="003E08D9">
      <w:pPr>
        <w:numPr>
          <w:ilvl w:val="0"/>
          <w:numId w:val="22"/>
        </w:numPr>
        <w:rPr>
          <w:rFonts w:ascii="Arial" w:hAnsi="Arial" w:cs="Arial"/>
          <w:sz w:val="22"/>
          <w:szCs w:val="22"/>
        </w:rPr>
      </w:pPr>
      <w:r w:rsidRPr="003E08D9">
        <w:rPr>
          <w:rFonts w:ascii="Arial" w:hAnsi="Arial" w:cs="Arial"/>
          <w:sz w:val="22"/>
          <w:szCs w:val="22"/>
        </w:rPr>
        <w:t>centralise FX management in the treasury department</w:t>
      </w:r>
    </w:p>
    <w:p w14:paraId="0BE37302"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46DE275C">
          <v:rect id="_x0000_i1282" style="width:0;height:1.5pt" o:hralign="center" o:hrstd="t" o:hr="t" fillcolor="#a0a0a0" stroked="f"/>
        </w:pict>
      </w:r>
    </w:p>
    <w:p w14:paraId="2FBFDA16"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B. Inflation Risk</w:t>
      </w:r>
    </w:p>
    <w:p w14:paraId="6E1E46F8" w14:textId="77777777" w:rsidR="003E08D9" w:rsidRPr="003E08D9" w:rsidRDefault="003E08D9" w:rsidP="003E08D9">
      <w:pPr>
        <w:rPr>
          <w:rFonts w:ascii="Arial" w:hAnsi="Arial" w:cs="Arial"/>
          <w:sz w:val="22"/>
          <w:szCs w:val="22"/>
        </w:rPr>
      </w:pPr>
      <w:r w:rsidRPr="003E08D9">
        <w:rPr>
          <w:rFonts w:ascii="Arial" w:hAnsi="Arial" w:cs="Arial"/>
          <w:sz w:val="22"/>
          <w:szCs w:val="22"/>
        </w:rPr>
        <w:t>Inflation erodes profit margins and purchasing power in key markets. GE should:</w:t>
      </w:r>
    </w:p>
    <w:p w14:paraId="1A959527" w14:textId="77777777" w:rsidR="003E08D9" w:rsidRPr="003E08D9" w:rsidRDefault="003E08D9" w:rsidP="003E08D9">
      <w:pPr>
        <w:numPr>
          <w:ilvl w:val="0"/>
          <w:numId w:val="23"/>
        </w:numPr>
        <w:rPr>
          <w:rFonts w:ascii="Arial" w:hAnsi="Arial" w:cs="Arial"/>
          <w:sz w:val="22"/>
          <w:szCs w:val="22"/>
        </w:rPr>
      </w:pPr>
      <w:r w:rsidRPr="003E08D9">
        <w:rPr>
          <w:rFonts w:ascii="Arial" w:hAnsi="Arial" w:cs="Arial"/>
          <w:sz w:val="22"/>
          <w:szCs w:val="22"/>
        </w:rPr>
        <w:t>renegotiate indexed contracts</w:t>
      </w:r>
    </w:p>
    <w:p w14:paraId="7787B2C9" w14:textId="77777777" w:rsidR="003E08D9" w:rsidRPr="003E08D9" w:rsidRDefault="003E08D9" w:rsidP="003E08D9">
      <w:pPr>
        <w:numPr>
          <w:ilvl w:val="0"/>
          <w:numId w:val="23"/>
        </w:numPr>
        <w:rPr>
          <w:rFonts w:ascii="Arial" w:hAnsi="Arial" w:cs="Arial"/>
          <w:sz w:val="22"/>
          <w:szCs w:val="22"/>
        </w:rPr>
      </w:pPr>
      <w:r w:rsidRPr="003E08D9">
        <w:rPr>
          <w:rFonts w:ascii="Arial" w:hAnsi="Arial" w:cs="Arial"/>
          <w:sz w:val="22"/>
          <w:szCs w:val="22"/>
        </w:rPr>
        <w:t>diversify supplier base</w:t>
      </w:r>
    </w:p>
    <w:p w14:paraId="2BE2BD03" w14:textId="77777777" w:rsidR="003E08D9" w:rsidRPr="003E08D9" w:rsidRDefault="003E08D9" w:rsidP="003E08D9">
      <w:pPr>
        <w:numPr>
          <w:ilvl w:val="0"/>
          <w:numId w:val="23"/>
        </w:numPr>
        <w:rPr>
          <w:rFonts w:ascii="Arial" w:hAnsi="Arial" w:cs="Arial"/>
          <w:sz w:val="22"/>
          <w:szCs w:val="22"/>
        </w:rPr>
      </w:pPr>
      <w:r w:rsidRPr="003E08D9">
        <w:rPr>
          <w:rFonts w:ascii="Arial" w:hAnsi="Arial" w:cs="Arial"/>
          <w:sz w:val="22"/>
          <w:szCs w:val="22"/>
        </w:rPr>
        <w:lastRenderedPageBreak/>
        <w:t>revise pricing strategies based on inflation forecasts</w:t>
      </w:r>
    </w:p>
    <w:p w14:paraId="3479D676"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5398D29B">
          <v:rect id="_x0000_i1283" style="width:0;height:1.5pt" o:hralign="center" o:hrstd="t" o:hr="t" fillcolor="#a0a0a0" stroked="f"/>
        </w:pict>
      </w:r>
    </w:p>
    <w:p w14:paraId="41253373"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C. Taxation and Regulatory Compliance</w:t>
      </w:r>
    </w:p>
    <w:p w14:paraId="4B33A0AA" w14:textId="77777777" w:rsidR="003E08D9" w:rsidRPr="003E08D9" w:rsidRDefault="003E08D9" w:rsidP="003E08D9">
      <w:pPr>
        <w:rPr>
          <w:rFonts w:ascii="Arial" w:hAnsi="Arial" w:cs="Arial"/>
          <w:sz w:val="22"/>
          <w:szCs w:val="22"/>
        </w:rPr>
      </w:pPr>
      <w:r w:rsidRPr="003E08D9">
        <w:rPr>
          <w:rFonts w:ascii="Arial" w:hAnsi="Arial" w:cs="Arial"/>
          <w:sz w:val="22"/>
          <w:szCs w:val="22"/>
        </w:rPr>
        <w:t>GE must comply with international tax frameworks, including OECD Base Erosion and Profit Shifting (BEPS) standards. Ethical tax behaviour protects brand reputation and avoids regulatory penalties.</w:t>
      </w:r>
    </w:p>
    <w:p w14:paraId="16A76417"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28D46A83">
          <v:rect id="_x0000_i1284" style="width:0;height:1.5pt" o:hralign="center" o:hrstd="t" o:hr="t" fillcolor="#a0a0a0" stroked="f"/>
        </w:pict>
      </w:r>
    </w:p>
    <w:p w14:paraId="2EB78107"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D. Ethical and CSR Considerations</w:t>
      </w:r>
    </w:p>
    <w:p w14:paraId="50DDA5A2" w14:textId="77777777" w:rsidR="003E08D9" w:rsidRPr="003E08D9" w:rsidRDefault="003E08D9" w:rsidP="003E08D9">
      <w:pPr>
        <w:rPr>
          <w:rFonts w:ascii="Arial" w:hAnsi="Arial" w:cs="Arial"/>
          <w:sz w:val="22"/>
          <w:szCs w:val="22"/>
        </w:rPr>
      </w:pPr>
      <w:r w:rsidRPr="003E08D9">
        <w:rPr>
          <w:rFonts w:ascii="Arial" w:hAnsi="Arial" w:cs="Arial"/>
          <w:sz w:val="22"/>
          <w:szCs w:val="22"/>
        </w:rPr>
        <w:t>Restructuring must be ethically responsible. GE should:</w:t>
      </w:r>
    </w:p>
    <w:p w14:paraId="62282B9D" w14:textId="77777777" w:rsidR="003E08D9" w:rsidRPr="003E08D9" w:rsidRDefault="003E08D9" w:rsidP="003E08D9">
      <w:pPr>
        <w:numPr>
          <w:ilvl w:val="0"/>
          <w:numId w:val="24"/>
        </w:numPr>
        <w:rPr>
          <w:rFonts w:ascii="Arial" w:hAnsi="Arial" w:cs="Arial"/>
          <w:sz w:val="22"/>
          <w:szCs w:val="22"/>
        </w:rPr>
      </w:pPr>
      <w:r w:rsidRPr="003E08D9">
        <w:rPr>
          <w:rFonts w:ascii="Arial" w:hAnsi="Arial" w:cs="Arial"/>
          <w:sz w:val="22"/>
          <w:szCs w:val="22"/>
        </w:rPr>
        <w:t>prioritise communication with employees</w:t>
      </w:r>
    </w:p>
    <w:p w14:paraId="3A1E183A" w14:textId="77777777" w:rsidR="003E08D9" w:rsidRPr="003E08D9" w:rsidRDefault="003E08D9" w:rsidP="003E08D9">
      <w:pPr>
        <w:numPr>
          <w:ilvl w:val="0"/>
          <w:numId w:val="24"/>
        </w:numPr>
        <w:rPr>
          <w:rFonts w:ascii="Arial" w:hAnsi="Arial" w:cs="Arial"/>
          <w:sz w:val="22"/>
          <w:szCs w:val="22"/>
        </w:rPr>
      </w:pPr>
      <w:r w:rsidRPr="003E08D9">
        <w:rPr>
          <w:rFonts w:ascii="Arial" w:hAnsi="Arial" w:cs="Arial"/>
          <w:sz w:val="22"/>
          <w:szCs w:val="22"/>
        </w:rPr>
        <w:t>minimise layoffs where possible</w:t>
      </w:r>
    </w:p>
    <w:p w14:paraId="2F943C04" w14:textId="77777777" w:rsidR="003E08D9" w:rsidRPr="003E08D9" w:rsidRDefault="003E08D9" w:rsidP="003E08D9">
      <w:pPr>
        <w:numPr>
          <w:ilvl w:val="0"/>
          <w:numId w:val="24"/>
        </w:numPr>
        <w:rPr>
          <w:rFonts w:ascii="Arial" w:hAnsi="Arial" w:cs="Arial"/>
          <w:sz w:val="22"/>
          <w:szCs w:val="22"/>
        </w:rPr>
      </w:pPr>
      <w:r w:rsidRPr="003E08D9">
        <w:rPr>
          <w:rFonts w:ascii="Arial" w:hAnsi="Arial" w:cs="Arial"/>
          <w:sz w:val="22"/>
          <w:szCs w:val="22"/>
        </w:rPr>
        <w:t>engage with communities affected by restructuring</w:t>
      </w:r>
    </w:p>
    <w:p w14:paraId="64CF4236" w14:textId="77777777" w:rsidR="003E08D9" w:rsidRPr="003E08D9" w:rsidRDefault="003E08D9" w:rsidP="003E08D9">
      <w:pPr>
        <w:numPr>
          <w:ilvl w:val="0"/>
          <w:numId w:val="24"/>
        </w:numPr>
        <w:rPr>
          <w:rFonts w:ascii="Arial" w:hAnsi="Arial" w:cs="Arial"/>
          <w:sz w:val="22"/>
          <w:szCs w:val="22"/>
        </w:rPr>
      </w:pPr>
      <w:r w:rsidRPr="003E08D9">
        <w:rPr>
          <w:rFonts w:ascii="Arial" w:hAnsi="Arial" w:cs="Arial"/>
          <w:sz w:val="22"/>
          <w:szCs w:val="22"/>
        </w:rPr>
        <w:t>ensure sustainable sourcing standards</w:t>
      </w:r>
    </w:p>
    <w:p w14:paraId="7E2C0CDF" w14:textId="77777777" w:rsidR="003E08D9" w:rsidRPr="003E08D9" w:rsidRDefault="003E08D9" w:rsidP="003E08D9">
      <w:pPr>
        <w:rPr>
          <w:rFonts w:ascii="Arial" w:hAnsi="Arial" w:cs="Arial"/>
          <w:sz w:val="22"/>
          <w:szCs w:val="22"/>
        </w:rPr>
      </w:pPr>
      <w:r w:rsidRPr="003E08D9">
        <w:rPr>
          <w:rFonts w:ascii="Arial" w:hAnsi="Arial" w:cs="Arial"/>
          <w:sz w:val="22"/>
          <w:szCs w:val="22"/>
        </w:rPr>
        <w:t>Ethically grounded decision-making supports long-term brand strength and stakeholder trust (Carroll, 1991).</w:t>
      </w:r>
    </w:p>
    <w:p w14:paraId="16C9D408" w14:textId="77777777" w:rsidR="003E08D9" w:rsidRPr="003E08D9" w:rsidRDefault="003E08D9" w:rsidP="003E08D9">
      <w:pPr>
        <w:rPr>
          <w:rFonts w:ascii="Arial" w:hAnsi="Arial" w:cs="Arial"/>
          <w:sz w:val="22"/>
          <w:szCs w:val="22"/>
        </w:rPr>
      </w:pPr>
    </w:p>
    <w:p w14:paraId="583BF4FD"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5. Investment Appraisal and Capital Budgeting</w:t>
      </w:r>
    </w:p>
    <w:p w14:paraId="0F3275EA" w14:textId="77777777" w:rsidR="003E08D9" w:rsidRPr="003E08D9" w:rsidRDefault="003E08D9" w:rsidP="003E08D9">
      <w:pPr>
        <w:rPr>
          <w:rFonts w:ascii="Arial" w:hAnsi="Arial" w:cs="Arial"/>
          <w:sz w:val="22"/>
          <w:szCs w:val="22"/>
        </w:rPr>
      </w:pPr>
      <w:r w:rsidRPr="003E08D9">
        <w:rPr>
          <w:rFonts w:ascii="Arial" w:hAnsi="Arial" w:cs="Arial"/>
          <w:sz w:val="22"/>
          <w:szCs w:val="22"/>
        </w:rPr>
        <w:t xml:space="preserve">As GE seeks to stabilise and reposition itself for long-term competitiveness, capital investment decisions must be evaluated with a high degree of financial rigour. The Board has proposed three investment projects for consideration. Each project spans five years and varies in scale, cash-flow profile, and strategic relevance. Given GE’s restricted capital budget of </w:t>
      </w:r>
      <w:r w:rsidRPr="003E08D9">
        <w:rPr>
          <w:rFonts w:ascii="Arial" w:hAnsi="Arial" w:cs="Arial"/>
          <w:b/>
          <w:bCs/>
          <w:sz w:val="22"/>
          <w:szCs w:val="22"/>
        </w:rPr>
        <w:t>£60 million</w:t>
      </w:r>
      <w:r w:rsidRPr="003E08D9">
        <w:rPr>
          <w:rFonts w:ascii="Arial" w:hAnsi="Arial" w:cs="Arial"/>
          <w:sz w:val="22"/>
          <w:szCs w:val="22"/>
        </w:rPr>
        <w:t>, capital rationing must be applied.</w:t>
      </w:r>
    </w:p>
    <w:p w14:paraId="1DE249FB" w14:textId="77777777" w:rsidR="003E08D9" w:rsidRPr="003E08D9" w:rsidRDefault="003E08D9" w:rsidP="003E08D9">
      <w:pPr>
        <w:rPr>
          <w:rFonts w:ascii="Arial" w:hAnsi="Arial" w:cs="Arial"/>
          <w:sz w:val="22"/>
          <w:szCs w:val="22"/>
        </w:rPr>
      </w:pPr>
      <w:r w:rsidRPr="003E08D9">
        <w:rPr>
          <w:rFonts w:ascii="Arial" w:hAnsi="Arial" w:cs="Arial"/>
          <w:sz w:val="22"/>
          <w:szCs w:val="22"/>
        </w:rPr>
        <w:t>This section evaluates Projects A, B, and C using five widely taught investment appraisal techniques:</w:t>
      </w:r>
    </w:p>
    <w:p w14:paraId="0D3CEFF6" w14:textId="77777777" w:rsidR="003E08D9" w:rsidRPr="003E08D9" w:rsidRDefault="003E08D9" w:rsidP="003E08D9">
      <w:pPr>
        <w:numPr>
          <w:ilvl w:val="0"/>
          <w:numId w:val="25"/>
        </w:numPr>
        <w:rPr>
          <w:rFonts w:ascii="Arial" w:hAnsi="Arial" w:cs="Arial"/>
          <w:sz w:val="22"/>
          <w:szCs w:val="22"/>
        </w:rPr>
      </w:pPr>
      <w:r w:rsidRPr="003E08D9">
        <w:rPr>
          <w:rFonts w:ascii="Arial" w:hAnsi="Arial" w:cs="Arial"/>
          <w:b/>
          <w:bCs/>
          <w:sz w:val="22"/>
          <w:szCs w:val="22"/>
        </w:rPr>
        <w:t>Payback Period (PBP)</w:t>
      </w:r>
    </w:p>
    <w:p w14:paraId="75CE78AC" w14:textId="77777777" w:rsidR="003E08D9" w:rsidRPr="003E08D9" w:rsidRDefault="003E08D9" w:rsidP="003E08D9">
      <w:pPr>
        <w:numPr>
          <w:ilvl w:val="0"/>
          <w:numId w:val="25"/>
        </w:numPr>
        <w:rPr>
          <w:rFonts w:ascii="Arial" w:hAnsi="Arial" w:cs="Arial"/>
          <w:sz w:val="22"/>
          <w:szCs w:val="22"/>
        </w:rPr>
      </w:pPr>
      <w:r w:rsidRPr="003E08D9">
        <w:rPr>
          <w:rFonts w:ascii="Arial" w:hAnsi="Arial" w:cs="Arial"/>
          <w:b/>
          <w:bCs/>
          <w:sz w:val="22"/>
          <w:szCs w:val="22"/>
        </w:rPr>
        <w:t>Accounting Rate of Return (ARR)</w:t>
      </w:r>
    </w:p>
    <w:p w14:paraId="0CF84331" w14:textId="77777777" w:rsidR="003E08D9" w:rsidRPr="003E08D9" w:rsidRDefault="003E08D9" w:rsidP="003E08D9">
      <w:pPr>
        <w:numPr>
          <w:ilvl w:val="0"/>
          <w:numId w:val="25"/>
        </w:numPr>
        <w:rPr>
          <w:rFonts w:ascii="Arial" w:hAnsi="Arial" w:cs="Arial"/>
          <w:sz w:val="22"/>
          <w:szCs w:val="22"/>
        </w:rPr>
      </w:pPr>
      <w:r w:rsidRPr="003E08D9">
        <w:rPr>
          <w:rFonts w:ascii="Arial" w:hAnsi="Arial" w:cs="Arial"/>
          <w:b/>
          <w:bCs/>
          <w:sz w:val="22"/>
          <w:szCs w:val="22"/>
        </w:rPr>
        <w:t>Net Present Value (NPV)</w:t>
      </w:r>
    </w:p>
    <w:p w14:paraId="2B366713" w14:textId="77777777" w:rsidR="003E08D9" w:rsidRPr="003E08D9" w:rsidRDefault="003E08D9" w:rsidP="003E08D9">
      <w:pPr>
        <w:numPr>
          <w:ilvl w:val="0"/>
          <w:numId w:val="25"/>
        </w:numPr>
        <w:rPr>
          <w:rFonts w:ascii="Arial" w:hAnsi="Arial" w:cs="Arial"/>
          <w:sz w:val="22"/>
          <w:szCs w:val="22"/>
        </w:rPr>
      </w:pPr>
      <w:r w:rsidRPr="003E08D9">
        <w:rPr>
          <w:rFonts w:ascii="Arial" w:hAnsi="Arial" w:cs="Arial"/>
          <w:b/>
          <w:bCs/>
          <w:sz w:val="22"/>
          <w:szCs w:val="22"/>
        </w:rPr>
        <w:t>Profitability Index (PI)</w:t>
      </w:r>
    </w:p>
    <w:p w14:paraId="611D0730" w14:textId="77777777" w:rsidR="003E08D9" w:rsidRPr="003E08D9" w:rsidRDefault="003E08D9" w:rsidP="003E08D9">
      <w:pPr>
        <w:numPr>
          <w:ilvl w:val="0"/>
          <w:numId w:val="25"/>
        </w:numPr>
        <w:rPr>
          <w:rFonts w:ascii="Arial" w:hAnsi="Arial" w:cs="Arial"/>
          <w:sz w:val="22"/>
          <w:szCs w:val="22"/>
        </w:rPr>
      </w:pPr>
      <w:r w:rsidRPr="003E08D9">
        <w:rPr>
          <w:rFonts w:ascii="Arial" w:hAnsi="Arial" w:cs="Arial"/>
          <w:b/>
          <w:bCs/>
          <w:sz w:val="22"/>
          <w:szCs w:val="22"/>
        </w:rPr>
        <w:t>Internal Rate of Return (IRR)</w:t>
      </w:r>
    </w:p>
    <w:p w14:paraId="31A99AA0" w14:textId="77777777" w:rsidR="003E08D9" w:rsidRPr="003E08D9" w:rsidRDefault="003E08D9" w:rsidP="003E08D9">
      <w:pPr>
        <w:rPr>
          <w:rFonts w:ascii="Arial" w:hAnsi="Arial" w:cs="Arial"/>
          <w:sz w:val="22"/>
          <w:szCs w:val="22"/>
        </w:rPr>
      </w:pPr>
      <w:r w:rsidRPr="003E08D9">
        <w:rPr>
          <w:rFonts w:ascii="Arial" w:hAnsi="Arial" w:cs="Arial"/>
          <w:sz w:val="22"/>
          <w:szCs w:val="22"/>
        </w:rPr>
        <w:t>A final recommendation is made based on financial results and strategic alignment.</w:t>
      </w:r>
    </w:p>
    <w:p w14:paraId="529DABF7"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14166127">
          <v:rect id="_x0000_i1379" style="width:0;height:1.5pt" o:hralign="center" o:hrstd="t" o:hr="t" fillcolor="#a0a0a0" stroked="f"/>
        </w:pict>
      </w:r>
    </w:p>
    <w:p w14:paraId="05DAF348"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5.1 Project Cash Flow Overview</w:t>
      </w:r>
    </w:p>
    <w:p w14:paraId="3BB3CEBF" w14:textId="77777777" w:rsidR="003E08D9" w:rsidRPr="003E08D9" w:rsidRDefault="003E08D9" w:rsidP="003E08D9">
      <w:pPr>
        <w:rPr>
          <w:rFonts w:ascii="Arial" w:hAnsi="Arial" w:cs="Arial"/>
          <w:sz w:val="22"/>
          <w:szCs w:val="22"/>
        </w:rPr>
      </w:pPr>
      <w:r w:rsidRPr="003E08D9">
        <w:rPr>
          <w:rFonts w:ascii="Arial" w:hAnsi="Arial" w:cs="Arial"/>
          <w:b/>
          <w:bCs/>
          <w:sz w:val="22"/>
          <w:szCs w:val="22"/>
        </w:rPr>
        <w:t>Project A:</w:t>
      </w:r>
    </w:p>
    <w:p w14:paraId="7C0F5B10" w14:textId="77777777" w:rsidR="003E08D9" w:rsidRPr="003E08D9" w:rsidRDefault="003E08D9" w:rsidP="003E08D9">
      <w:pPr>
        <w:numPr>
          <w:ilvl w:val="0"/>
          <w:numId w:val="26"/>
        </w:numPr>
        <w:rPr>
          <w:rFonts w:ascii="Arial" w:hAnsi="Arial" w:cs="Arial"/>
          <w:sz w:val="22"/>
          <w:szCs w:val="22"/>
        </w:rPr>
      </w:pPr>
      <w:r w:rsidRPr="003E08D9">
        <w:rPr>
          <w:rFonts w:ascii="Arial" w:hAnsi="Arial" w:cs="Arial"/>
          <w:sz w:val="22"/>
          <w:szCs w:val="22"/>
        </w:rPr>
        <w:t>Initial investment: £40m</w:t>
      </w:r>
    </w:p>
    <w:p w14:paraId="7425614E" w14:textId="77777777" w:rsidR="003E08D9" w:rsidRPr="003E08D9" w:rsidRDefault="003E08D9" w:rsidP="003E08D9">
      <w:pPr>
        <w:numPr>
          <w:ilvl w:val="0"/>
          <w:numId w:val="26"/>
        </w:numPr>
        <w:rPr>
          <w:rFonts w:ascii="Arial" w:hAnsi="Arial" w:cs="Arial"/>
          <w:sz w:val="22"/>
          <w:szCs w:val="22"/>
        </w:rPr>
      </w:pPr>
      <w:r w:rsidRPr="003E08D9">
        <w:rPr>
          <w:rFonts w:ascii="Arial" w:hAnsi="Arial" w:cs="Arial"/>
          <w:sz w:val="22"/>
          <w:szCs w:val="22"/>
        </w:rPr>
        <w:t>Cash inflows (Years 1–5): £10m, £12m, £14m, £10m, £8m</w:t>
      </w:r>
    </w:p>
    <w:p w14:paraId="5912EE23" w14:textId="77777777" w:rsidR="003E08D9" w:rsidRPr="003E08D9" w:rsidRDefault="003E08D9" w:rsidP="003E08D9">
      <w:pPr>
        <w:rPr>
          <w:rFonts w:ascii="Arial" w:hAnsi="Arial" w:cs="Arial"/>
          <w:sz w:val="22"/>
          <w:szCs w:val="22"/>
        </w:rPr>
      </w:pPr>
      <w:r w:rsidRPr="003E08D9">
        <w:rPr>
          <w:rFonts w:ascii="Arial" w:hAnsi="Arial" w:cs="Arial"/>
          <w:b/>
          <w:bCs/>
          <w:sz w:val="22"/>
          <w:szCs w:val="22"/>
        </w:rPr>
        <w:t>Project B:</w:t>
      </w:r>
    </w:p>
    <w:p w14:paraId="464697D8" w14:textId="77777777" w:rsidR="003E08D9" w:rsidRPr="003E08D9" w:rsidRDefault="003E08D9" w:rsidP="003E08D9">
      <w:pPr>
        <w:numPr>
          <w:ilvl w:val="0"/>
          <w:numId w:val="27"/>
        </w:numPr>
        <w:rPr>
          <w:rFonts w:ascii="Arial" w:hAnsi="Arial" w:cs="Arial"/>
          <w:sz w:val="22"/>
          <w:szCs w:val="22"/>
        </w:rPr>
      </w:pPr>
      <w:r w:rsidRPr="003E08D9">
        <w:rPr>
          <w:rFonts w:ascii="Arial" w:hAnsi="Arial" w:cs="Arial"/>
          <w:sz w:val="22"/>
          <w:szCs w:val="22"/>
        </w:rPr>
        <w:t>Initial investment: £30m</w:t>
      </w:r>
    </w:p>
    <w:p w14:paraId="1D3C1F39" w14:textId="77777777" w:rsidR="003E08D9" w:rsidRPr="003E08D9" w:rsidRDefault="003E08D9" w:rsidP="003E08D9">
      <w:pPr>
        <w:numPr>
          <w:ilvl w:val="0"/>
          <w:numId w:val="27"/>
        </w:numPr>
        <w:rPr>
          <w:rFonts w:ascii="Arial" w:hAnsi="Arial" w:cs="Arial"/>
          <w:sz w:val="22"/>
          <w:szCs w:val="22"/>
        </w:rPr>
      </w:pPr>
      <w:r w:rsidRPr="003E08D9">
        <w:rPr>
          <w:rFonts w:ascii="Arial" w:hAnsi="Arial" w:cs="Arial"/>
          <w:sz w:val="22"/>
          <w:szCs w:val="22"/>
        </w:rPr>
        <w:t>Cash inflows (Years 1–5): £6m annually</w:t>
      </w:r>
    </w:p>
    <w:p w14:paraId="26869ACF" w14:textId="77777777" w:rsidR="003E08D9" w:rsidRPr="003E08D9" w:rsidRDefault="003E08D9" w:rsidP="003E08D9">
      <w:pPr>
        <w:rPr>
          <w:rFonts w:ascii="Arial" w:hAnsi="Arial" w:cs="Arial"/>
          <w:sz w:val="22"/>
          <w:szCs w:val="22"/>
        </w:rPr>
      </w:pPr>
      <w:r w:rsidRPr="003E08D9">
        <w:rPr>
          <w:rFonts w:ascii="Arial" w:hAnsi="Arial" w:cs="Arial"/>
          <w:b/>
          <w:bCs/>
          <w:sz w:val="22"/>
          <w:szCs w:val="22"/>
        </w:rPr>
        <w:t>Project C:</w:t>
      </w:r>
    </w:p>
    <w:p w14:paraId="14EDCD85" w14:textId="77777777" w:rsidR="003E08D9" w:rsidRPr="003E08D9" w:rsidRDefault="003E08D9" w:rsidP="003E08D9">
      <w:pPr>
        <w:numPr>
          <w:ilvl w:val="0"/>
          <w:numId w:val="28"/>
        </w:numPr>
        <w:rPr>
          <w:rFonts w:ascii="Arial" w:hAnsi="Arial" w:cs="Arial"/>
          <w:sz w:val="22"/>
          <w:szCs w:val="22"/>
        </w:rPr>
      </w:pPr>
      <w:r w:rsidRPr="003E08D9">
        <w:rPr>
          <w:rFonts w:ascii="Arial" w:hAnsi="Arial" w:cs="Arial"/>
          <w:sz w:val="22"/>
          <w:szCs w:val="22"/>
        </w:rPr>
        <w:t>Initial investment: £50m</w:t>
      </w:r>
    </w:p>
    <w:p w14:paraId="01F22463" w14:textId="77777777" w:rsidR="003E08D9" w:rsidRPr="003E08D9" w:rsidRDefault="003E08D9" w:rsidP="003E08D9">
      <w:pPr>
        <w:numPr>
          <w:ilvl w:val="0"/>
          <w:numId w:val="28"/>
        </w:numPr>
        <w:rPr>
          <w:rFonts w:ascii="Arial" w:hAnsi="Arial" w:cs="Arial"/>
          <w:sz w:val="22"/>
          <w:szCs w:val="22"/>
        </w:rPr>
      </w:pPr>
      <w:r w:rsidRPr="003E08D9">
        <w:rPr>
          <w:rFonts w:ascii="Arial" w:hAnsi="Arial" w:cs="Arial"/>
          <w:sz w:val="22"/>
          <w:szCs w:val="22"/>
        </w:rPr>
        <w:t>Cash inflows (Years 1–5): £5m, £10m, £20m, £25m, £15m</w:t>
      </w:r>
    </w:p>
    <w:p w14:paraId="416A9EDD" w14:textId="77777777" w:rsidR="003E08D9" w:rsidRPr="003E08D9" w:rsidRDefault="003E08D9" w:rsidP="003E08D9">
      <w:pPr>
        <w:rPr>
          <w:rFonts w:ascii="Arial" w:hAnsi="Arial" w:cs="Arial"/>
          <w:sz w:val="22"/>
          <w:szCs w:val="22"/>
        </w:rPr>
      </w:pPr>
      <w:r w:rsidRPr="003E08D9">
        <w:rPr>
          <w:rFonts w:ascii="Arial" w:hAnsi="Arial" w:cs="Arial"/>
          <w:sz w:val="22"/>
          <w:szCs w:val="22"/>
        </w:rPr>
        <w:t xml:space="preserve">The discount rate is fixed at </w:t>
      </w:r>
      <w:r w:rsidRPr="003E08D9">
        <w:rPr>
          <w:rFonts w:ascii="Arial" w:hAnsi="Arial" w:cs="Arial"/>
          <w:b/>
          <w:bCs/>
          <w:sz w:val="22"/>
          <w:szCs w:val="22"/>
        </w:rPr>
        <w:t>10%</w:t>
      </w:r>
      <w:r w:rsidRPr="003E08D9">
        <w:rPr>
          <w:rFonts w:ascii="Arial" w:hAnsi="Arial" w:cs="Arial"/>
          <w:sz w:val="22"/>
          <w:szCs w:val="22"/>
        </w:rPr>
        <w:t>, representing GE’s approximate cost of capital. Straight-line depreciation to zero is assumed for ARR calculations.</w:t>
      </w:r>
    </w:p>
    <w:p w14:paraId="325D6745"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3999D455">
          <v:rect id="_x0000_i1380" style="width:0;height:1.5pt" o:hralign="center" o:hrstd="t" o:hr="t" fillcolor="#a0a0a0" stroked="f"/>
        </w:pict>
      </w:r>
    </w:p>
    <w:p w14:paraId="444F8A86"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5.2 Payback Period (PBP)</w:t>
      </w:r>
    </w:p>
    <w:p w14:paraId="3A8202F5" w14:textId="77777777" w:rsidR="003E08D9" w:rsidRPr="003E08D9" w:rsidRDefault="003E08D9" w:rsidP="003E08D9">
      <w:pPr>
        <w:rPr>
          <w:rFonts w:ascii="Arial" w:hAnsi="Arial" w:cs="Arial"/>
          <w:sz w:val="22"/>
          <w:szCs w:val="22"/>
        </w:rPr>
      </w:pPr>
      <w:r w:rsidRPr="003E08D9">
        <w:rPr>
          <w:rFonts w:ascii="Arial" w:hAnsi="Arial" w:cs="Arial"/>
          <w:sz w:val="22"/>
          <w:szCs w:val="22"/>
        </w:rPr>
        <w:t>The Payback Period indicates the time it takes for the initial investment to be recovered from net cash inflows.</w:t>
      </w:r>
    </w:p>
    <w:p w14:paraId="28B84766"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Project A</w:t>
      </w:r>
    </w:p>
    <w:p w14:paraId="4097D817" w14:textId="77777777" w:rsidR="003E08D9" w:rsidRPr="003E08D9" w:rsidRDefault="003E08D9" w:rsidP="003E08D9">
      <w:pPr>
        <w:rPr>
          <w:rFonts w:ascii="Arial" w:hAnsi="Arial" w:cs="Arial"/>
          <w:sz w:val="22"/>
          <w:szCs w:val="22"/>
        </w:rPr>
      </w:pPr>
      <w:r w:rsidRPr="003E08D9">
        <w:rPr>
          <w:rFonts w:ascii="Arial" w:hAnsi="Arial" w:cs="Arial"/>
          <w:sz w:val="22"/>
          <w:szCs w:val="22"/>
        </w:rPr>
        <w:t>Cumulative:</w:t>
      </w:r>
    </w:p>
    <w:p w14:paraId="1C49C180" w14:textId="77777777" w:rsidR="003E08D9" w:rsidRPr="003E08D9" w:rsidRDefault="003E08D9" w:rsidP="003E08D9">
      <w:pPr>
        <w:numPr>
          <w:ilvl w:val="0"/>
          <w:numId w:val="29"/>
        </w:numPr>
        <w:rPr>
          <w:rFonts w:ascii="Arial" w:hAnsi="Arial" w:cs="Arial"/>
          <w:sz w:val="22"/>
          <w:szCs w:val="22"/>
        </w:rPr>
      </w:pPr>
      <w:r w:rsidRPr="003E08D9">
        <w:rPr>
          <w:rFonts w:ascii="Arial" w:hAnsi="Arial" w:cs="Arial"/>
          <w:sz w:val="22"/>
          <w:szCs w:val="22"/>
        </w:rPr>
        <w:t>Year 1: £10m</w:t>
      </w:r>
    </w:p>
    <w:p w14:paraId="5491087E" w14:textId="77777777" w:rsidR="003E08D9" w:rsidRPr="003E08D9" w:rsidRDefault="003E08D9" w:rsidP="003E08D9">
      <w:pPr>
        <w:numPr>
          <w:ilvl w:val="0"/>
          <w:numId w:val="29"/>
        </w:numPr>
        <w:rPr>
          <w:rFonts w:ascii="Arial" w:hAnsi="Arial" w:cs="Arial"/>
          <w:sz w:val="22"/>
          <w:szCs w:val="22"/>
        </w:rPr>
      </w:pPr>
      <w:r w:rsidRPr="003E08D9">
        <w:rPr>
          <w:rFonts w:ascii="Arial" w:hAnsi="Arial" w:cs="Arial"/>
          <w:sz w:val="22"/>
          <w:szCs w:val="22"/>
        </w:rPr>
        <w:t>Year 2: £22m</w:t>
      </w:r>
    </w:p>
    <w:p w14:paraId="5AFF9E11" w14:textId="77777777" w:rsidR="003E08D9" w:rsidRPr="003E08D9" w:rsidRDefault="003E08D9" w:rsidP="003E08D9">
      <w:pPr>
        <w:numPr>
          <w:ilvl w:val="0"/>
          <w:numId w:val="29"/>
        </w:numPr>
        <w:rPr>
          <w:rFonts w:ascii="Arial" w:hAnsi="Arial" w:cs="Arial"/>
          <w:sz w:val="22"/>
          <w:szCs w:val="22"/>
        </w:rPr>
      </w:pPr>
      <w:r w:rsidRPr="003E08D9">
        <w:rPr>
          <w:rFonts w:ascii="Arial" w:hAnsi="Arial" w:cs="Arial"/>
          <w:sz w:val="22"/>
          <w:szCs w:val="22"/>
        </w:rPr>
        <w:t>Year 3: £36m</w:t>
      </w:r>
    </w:p>
    <w:p w14:paraId="1B5FD948" w14:textId="77777777" w:rsidR="003E08D9" w:rsidRPr="003E08D9" w:rsidRDefault="003E08D9" w:rsidP="003E08D9">
      <w:pPr>
        <w:numPr>
          <w:ilvl w:val="0"/>
          <w:numId w:val="29"/>
        </w:numPr>
        <w:rPr>
          <w:rFonts w:ascii="Arial" w:hAnsi="Arial" w:cs="Arial"/>
          <w:sz w:val="22"/>
          <w:szCs w:val="22"/>
        </w:rPr>
      </w:pPr>
      <w:r w:rsidRPr="003E08D9">
        <w:rPr>
          <w:rFonts w:ascii="Arial" w:hAnsi="Arial" w:cs="Arial"/>
          <w:sz w:val="22"/>
          <w:szCs w:val="22"/>
        </w:rPr>
        <w:t>Year 4 (partial): £40m recovered early in the year</w:t>
      </w:r>
    </w:p>
    <w:p w14:paraId="471F503C" w14:textId="77777777" w:rsidR="003E08D9" w:rsidRPr="003E08D9" w:rsidRDefault="003E08D9" w:rsidP="003E08D9">
      <w:pPr>
        <w:rPr>
          <w:rFonts w:ascii="Arial" w:hAnsi="Arial" w:cs="Arial"/>
          <w:sz w:val="22"/>
          <w:szCs w:val="22"/>
        </w:rPr>
      </w:pPr>
      <w:r w:rsidRPr="003E08D9">
        <w:rPr>
          <w:rFonts w:ascii="Arial" w:hAnsi="Arial" w:cs="Arial"/>
          <w:b/>
          <w:bCs/>
          <w:sz w:val="22"/>
          <w:szCs w:val="22"/>
        </w:rPr>
        <w:t>PBP ≈ 3.1 years</w:t>
      </w:r>
    </w:p>
    <w:p w14:paraId="1755E6AA"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Project B</w:t>
      </w:r>
    </w:p>
    <w:p w14:paraId="557ECB91" w14:textId="77777777" w:rsidR="003E08D9" w:rsidRPr="003E08D9" w:rsidRDefault="003E08D9" w:rsidP="003E08D9">
      <w:pPr>
        <w:numPr>
          <w:ilvl w:val="0"/>
          <w:numId w:val="30"/>
        </w:numPr>
        <w:rPr>
          <w:rFonts w:ascii="Arial" w:hAnsi="Arial" w:cs="Arial"/>
          <w:sz w:val="22"/>
          <w:szCs w:val="22"/>
        </w:rPr>
      </w:pPr>
      <w:r w:rsidRPr="003E08D9">
        <w:rPr>
          <w:rFonts w:ascii="Arial" w:hAnsi="Arial" w:cs="Arial"/>
          <w:sz w:val="22"/>
          <w:szCs w:val="22"/>
        </w:rPr>
        <w:lastRenderedPageBreak/>
        <w:t xml:space="preserve">£30m ÷ £6m = </w:t>
      </w:r>
      <w:r w:rsidRPr="003E08D9">
        <w:rPr>
          <w:rFonts w:ascii="Arial" w:hAnsi="Arial" w:cs="Arial"/>
          <w:b/>
          <w:bCs/>
          <w:sz w:val="22"/>
          <w:szCs w:val="22"/>
        </w:rPr>
        <w:t>5 years</w:t>
      </w:r>
    </w:p>
    <w:p w14:paraId="7C546246"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Project C</w:t>
      </w:r>
    </w:p>
    <w:p w14:paraId="4C4B0726" w14:textId="77777777" w:rsidR="003E08D9" w:rsidRPr="003E08D9" w:rsidRDefault="003E08D9" w:rsidP="003E08D9">
      <w:pPr>
        <w:rPr>
          <w:rFonts w:ascii="Arial" w:hAnsi="Arial" w:cs="Arial"/>
          <w:sz w:val="22"/>
          <w:szCs w:val="22"/>
        </w:rPr>
      </w:pPr>
      <w:r w:rsidRPr="003E08D9">
        <w:rPr>
          <w:rFonts w:ascii="Arial" w:hAnsi="Arial" w:cs="Arial"/>
          <w:sz w:val="22"/>
          <w:szCs w:val="22"/>
        </w:rPr>
        <w:t>Cumulative:</w:t>
      </w:r>
    </w:p>
    <w:p w14:paraId="755E100C" w14:textId="77777777" w:rsidR="003E08D9" w:rsidRPr="003E08D9" w:rsidRDefault="003E08D9" w:rsidP="003E08D9">
      <w:pPr>
        <w:numPr>
          <w:ilvl w:val="0"/>
          <w:numId w:val="31"/>
        </w:numPr>
        <w:rPr>
          <w:rFonts w:ascii="Arial" w:hAnsi="Arial" w:cs="Arial"/>
          <w:sz w:val="22"/>
          <w:szCs w:val="22"/>
        </w:rPr>
      </w:pPr>
      <w:r w:rsidRPr="003E08D9">
        <w:rPr>
          <w:rFonts w:ascii="Arial" w:hAnsi="Arial" w:cs="Arial"/>
          <w:sz w:val="22"/>
          <w:szCs w:val="22"/>
        </w:rPr>
        <w:t>Year 1: £5m</w:t>
      </w:r>
    </w:p>
    <w:p w14:paraId="349A94FF" w14:textId="77777777" w:rsidR="003E08D9" w:rsidRPr="003E08D9" w:rsidRDefault="003E08D9" w:rsidP="003E08D9">
      <w:pPr>
        <w:numPr>
          <w:ilvl w:val="0"/>
          <w:numId w:val="31"/>
        </w:numPr>
        <w:rPr>
          <w:rFonts w:ascii="Arial" w:hAnsi="Arial" w:cs="Arial"/>
          <w:sz w:val="22"/>
          <w:szCs w:val="22"/>
        </w:rPr>
      </w:pPr>
      <w:r w:rsidRPr="003E08D9">
        <w:rPr>
          <w:rFonts w:ascii="Arial" w:hAnsi="Arial" w:cs="Arial"/>
          <w:sz w:val="22"/>
          <w:szCs w:val="22"/>
        </w:rPr>
        <w:t>Year 2: £15m</w:t>
      </w:r>
    </w:p>
    <w:p w14:paraId="2952BF33" w14:textId="77777777" w:rsidR="003E08D9" w:rsidRPr="003E08D9" w:rsidRDefault="003E08D9" w:rsidP="003E08D9">
      <w:pPr>
        <w:numPr>
          <w:ilvl w:val="0"/>
          <w:numId w:val="31"/>
        </w:numPr>
        <w:rPr>
          <w:rFonts w:ascii="Arial" w:hAnsi="Arial" w:cs="Arial"/>
          <w:sz w:val="22"/>
          <w:szCs w:val="22"/>
        </w:rPr>
      </w:pPr>
      <w:r w:rsidRPr="003E08D9">
        <w:rPr>
          <w:rFonts w:ascii="Arial" w:hAnsi="Arial" w:cs="Arial"/>
          <w:sz w:val="22"/>
          <w:szCs w:val="22"/>
        </w:rPr>
        <w:t>Year 3: £35m</w:t>
      </w:r>
    </w:p>
    <w:p w14:paraId="667DC2B8" w14:textId="77777777" w:rsidR="003E08D9" w:rsidRPr="003E08D9" w:rsidRDefault="003E08D9" w:rsidP="003E08D9">
      <w:pPr>
        <w:numPr>
          <w:ilvl w:val="0"/>
          <w:numId w:val="31"/>
        </w:numPr>
        <w:rPr>
          <w:rFonts w:ascii="Arial" w:hAnsi="Arial" w:cs="Arial"/>
          <w:sz w:val="22"/>
          <w:szCs w:val="22"/>
        </w:rPr>
      </w:pPr>
      <w:r w:rsidRPr="003E08D9">
        <w:rPr>
          <w:rFonts w:ascii="Arial" w:hAnsi="Arial" w:cs="Arial"/>
          <w:sz w:val="22"/>
          <w:szCs w:val="22"/>
        </w:rPr>
        <w:t>Year 4 (partial): £50m recovered</w:t>
      </w:r>
    </w:p>
    <w:p w14:paraId="01A3F9B8" w14:textId="77777777" w:rsidR="003E08D9" w:rsidRPr="003E08D9" w:rsidRDefault="003E08D9" w:rsidP="003E08D9">
      <w:pPr>
        <w:rPr>
          <w:rFonts w:ascii="Arial" w:hAnsi="Arial" w:cs="Arial"/>
          <w:sz w:val="22"/>
          <w:szCs w:val="22"/>
        </w:rPr>
      </w:pPr>
      <w:r w:rsidRPr="003E08D9">
        <w:rPr>
          <w:rFonts w:ascii="Arial" w:hAnsi="Arial" w:cs="Arial"/>
          <w:b/>
          <w:bCs/>
          <w:sz w:val="22"/>
          <w:szCs w:val="22"/>
        </w:rPr>
        <w:t>PBP ≈ 3.5 years</w:t>
      </w:r>
    </w:p>
    <w:p w14:paraId="0AAFB867"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Interpretation</w:t>
      </w:r>
    </w:p>
    <w:p w14:paraId="1241EF82" w14:textId="77777777" w:rsidR="003E08D9" w:rsidRPr="003E08D9" w:rsidRDefault="003E08D9" w:rsidP="003E08D9">
      <w:pPr>
        <w:numPr>
          <w:ilvl w:val="0"/>
          <w:numId w:val="32"/>
        </w:numPr>
        <w:rPr>
          <w:rFonts w:ascii="Arial" w:hAnsi="Arial" w:cs="Arial"/>
          <w:sz w:val="22"/>
          <w:szCs w:val="22"/>
        </w:rPr>
      </w:pPr>
      <w:r w:rsidRPr="003E08D9">
        <w:rPr>
          <w:rFonts w:ascii="Arial" w:hAnsi="Arial" w:cs="Arial"/>
          <w:sz w:val="22"/>
          <w:szCs w:val="22"/>
        </w:rPr>
        <w:t>Project A provides the fastest recovery.</w:t>
      </w:r>
    </w:p>
    <w:p w14:paraId="068E1407" w14:textId="77777777" w:rsidR="003E08D9" w:rsidRPr="003E08D9" w:rsidRDefault="003E08D9" w:rsidP="003E08D9">
      <w:pPr>
        <w:numPr>
          <w:ilvl w:val="0"/>
          <w:numId w:val="32"/>
        </w:numPr>
        <w:rPr>
          <w:rFonts w:ascii="Arial" w:hAnsi="Arial" w:cs="Arial"/>
          <w:sz w:val="22"/>
          <w:szCs w:val="22"/>
        </w:rPr>
      </w:pPr>
      <w:r w:rsidRPr="003E08D9">
        <w:rPr>
          <w:rFonts w:ascii="Arial" w:hAnsi="Arial" w:cs="Arial"/>
          <w:sz w:val="22"/>
          <w:szCs w:val="22"/>
        </w:rPr>
        <w:t>Project C is close behind but requires a higher initial outlay.</w:t>
      </w:r>
    </w:p>
    <w:p w14:paraId="13A2F872" w14:textId="77777777" w:rsidR="003E08D9" w:rsidRPr="003E08D9" w:rsidRDefault="003E08D9" w:rsidP="003E08D9">
      <w:pPr>
        <w:numPr>
          <w:ilvl w:val="0"/>
          <w:numId w:val="32"/>
        </w:numPr>
        <w:rPr>
          <w:rFonts w:ascii="Arial" w:hAnsi="Arial" w:cs="Arial"/>
          <w:sz w:val="22"/>
          <w:szCs w:val="22"/>
        </w:rPr>
      </w:pPr>
      <w:r w:rsidRPr="003E08D9">
        <w:rPr>
          <w:rFonts w:ascii="Arial" w:hAnsi="Arial" w:cs="Arial"/>
          <w:sz w:val="22"/>
          <w:szCs w:val="22"/>
        </w:rPr>
        <w:t>Project B performs poorly under PBP analysis.</w:t>
      </w:r>
    </w:p>
    <w:p w14:paraId="6E21E977"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5D739F70">
          <v:rect id="_x0000_i1381" style="width:0;height:1.5pt" o:hralign="center" o:hrstd="t" o:hr="t" fillcolor="#a0a0a0" stroked="f"/>
        </w:pict>
      </w:r>
    </w:p>
    <w:p w14:paraId="26067DB2"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5.3 Accounting Rate of Return (ARR)</w:t>
      </w:r>
    </w:p>
    <w:p w14:paraId="6210D07B" w14:textId="77777777" w:rsidR="003E08D9" w:rsidRPr="003E08D9" w:rsidRDefault="003E08D9" w:rsidP="003E08D9">
      <w:pPr>
        <w:rPr>
          <w:rFonts w:ascii="Arial" w:hAnsi="Arial" w:cs="Arial"/>
          <w:sz w:val="22"/>
          <w:szCs w:val="22"/>
        </w:rPr>
      </w:pPr>
      <w:r w:rsidRPr="003E08D9">
        <w:rPr>
          <w:rFonts w:ascii="Arial" w:hAnsi="Arial" w:cs="Arial"/>
          <w:sz w:val="22"/>
          <w:szCs w:val="22"/>
        </w:rPr>
        <w:t>ARR = (Average Annual Profit ÷ Initial Investment) × 100</w:t>
      </w:r>
      <w:r w:rsidRPr="003E08D9">
        <w:rPr>
          <w:rFonts w:ascii="Arial" w:hAnsi="Arial" w:cs="Arial"/>
          <w:sz w:val="22"/>
          <w:szCs w:val="22"/>
        </w:rPr>
        <w:br/>
        <w:t>Profit = Cash inflow – Depreciation</w:t>
      </w:r>
    </w:p>
    <w:p w14:paraId="3A1AEF14"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Depreciation per year:</w:t>
      </w:r>
    </w:p>
    <w:p w14:paraId="3652976D" w14:textId="77777777" w:rsidR="003E08D9" w:rsidRPr="003E08D9" w:rsidRDefault="003E08D9" w:rsidP="003E08D9">
      <w:pPr>
        <w:rPr>
          <w:rFonts w:ascii="Arial" w:hAnsi="Arial" w:cs="Arial"/>
          <w:sz w:val="22"/>
          <w:szCs w:val="22"/>
        </w:rPr>
      </w:pPr>
      <w:r w:rsidRPr="003E08D9">
        <w:rPr>
          <w:rFonts w:ascii="Arial" w:hAnsi="Arial" w:cs="Arial"/>
          <w:sz w:val="22"/>
          <w:szCs w:val="22"/>
        </w:rPr>
        <w:t>A: £40m ÷ 5 = £8m</w:t>
      </w:r>
      <w:r w:rsidRPr="003E08D9">
        <w:rPr>
          <w:rFonts w:ascii="Arial" w:hAnsi="Arial" w:cs="Arial"/>
          <w:sz w:val="22"/>
          <w:szCs w:val="22"/>
        </w:rPr>
        <w:br/>
        <w:t>B: £30m ÷ 5 = £6m</w:t>
      </w:r>
      <w:r w:rsidRPr="003E08D9">
        <w:rPr>
          <w:rFonts w:ascii="Arial" w:hAnsi="Arial" w:cs="Arial"/>
          <w:sz w:val="22"/>
          <w:szCs w:val="22"/>
        </w:rPr>
        <w:br/>
        <w:t>C: £50m ÷ 5 = £10m</w:t>
      </w:r>
    </w:p>
    <w:p w14:paraId="1987FD2D"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Average Annual Profit</w:t>
      </w:r>
    </w:p>
    <w:p w14:paraId="11087341" w14:textId="77777777" w:rsidR="003E08D9" w:rsidRPr="003E08D9" w:rsidRDefault="003E08D9" w:rsidP="003E08D9">
      <w:pPr>
        <w:rPr>
          <w:rFonts w:ascii="Arial" w:hAnsi="Arial" w:cs="Arial"/>
          <w:sz w:val="22"/>
          <w:szCs w:val="22"/>
        </w:rPr>
      </w:pPr>
      <w:r w:rsidRPr="003E08D9">
        <w:rPr>
          <w:rFonts w:ascii="Arial" w:hAnsi="Arial" w:cs="Arial"/>
          <w:sz w:val="22"/>
          <w:szCs w:val="22"/>
        </w:rPr>
        <w:t>A: (</w:t>
      </w:r>
      <w:proofErr w:type="spellStart"/>
      <w:r w:rsidRPr="003E08D9">
        <w:rPr>
          <w:rFonts w:ascii="Arial" w:hAnsi="Arial" w:cs="Arial"/>
          <w:sz w:val="22"/>
          <w:szCs w:val="22"/>
        </w:rPr>
        <w:t>Avg</w:t>
      </w:r>
      <w:proofErr w:type="spellEnd"/>
      <w:r w:rsidRPr="003E08D9">
        <w:rPr>
          <w:rFonts w:ascii="Arial" w:hAnsi="Arial" w:cs="Arial"/>
          <w:sz w:val="22"/>
          <w:szCs w:val="22"/>
        </w:rPr>
        <w:t xml:space="preserve"> inflow £10.8m – £8m) = £2.8m → ARR ≈ </w:t>
      </w:r>
      <w:r w:rsidRPr="003E08D9">
        <w:rPr>
          <w:rFonts w:ascii="Arial" w:hAnsi="Arial" w:cs="Arial"/>
          <w:b/>
          <w:bCs/>
          <w:sz w:val="22"/>
          <w:szCs w:val="22"/>
        </w:rPr>
        <w:t>7%</w:t>
      </w:r>
      <w:r w:rsidRPr="003E08D9">
        <w:rPr>
          <w:rFonts w:ascii="Arial" w:hAnsi="Arial" w:cs="Arial"/>
          <w:sz w:val="22"/>
          <w:szCs w:val="22"/>
        </w:rPr>
        <w:br/>
        <w:t xml:space="preserve">B: (£6m – £6m) = £0m → ARR = </w:t>
      </w:r>
      <w:r w:rsidRPr="003E08D9">
        <w:rPr>
          <w:rFonts w:ascii="Arial" w:hAnsi="Arial" w:cs="Arial"/>
          <w:b/>
          <w:bCs/>
          <w:sz w:val="22"/>
          <w:szCs w:val="22"/>
        </w:rPr>
        <w:t>0%</w:t>
      </w:r>
      <w:r w:rsidRPr="003E08D9">
        <w:rPr>
          <w:rFonts w:ascii="Arial" w:hAnsi="Arial" w:cs="Arial"/>
          <w:sz w:val="22"/>
          <w:szCs w:val="22"/>
        </w:rPr>
        <w:br/>
        <w:t>C: (</w:t>
      </w:r>
      <w:proofErr w:type="spellStart"/>
      <w:r w:rsidRPr="003E08D9">
        <w:rPr>
          <w:rFonts w:ascii="Arial" w:hAnsi="Arial" w:cs="Arial"/>
          <w:sz w:val="22"/>
          <w:szCs w:val="22"/>
        </w:rPr>
        <w:t>Avg</w:t>
      </w:r>
      <w:proofErr w:type="spellEnd"/>
      <w:r w:rsidRPr="003E08D9">
        <w:rPr>
          <w:rFonts w:ascii="Arial" w:hAnsi="Arial" w:cs="Arial"/>
          <w:sz w:val="22"/>
          <w:szCs w:val="22"/>
        </w:rPr>
        <w:t xml:space="preserve"> inflow £15m – £10m) = £5m → ARR ≈ </w:t>
      </w:r>
      <w:r w:rsidRPr="003E08D9">
        <w:rPr>
          <w:rFonts w:ascii="Arial" w:hAnsi="Arial" w:cs="Arial"/>
          <w:b/>
          <w:bCs/>
          <w:sz w:val="22"/>
          <w:szCs w:val="22"/>
        </w:rPr>
        <w:t>10%</w:t>
      </w:r>
    </w:p>
    <w:p w14:paraId="0C3A382B"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Interpretation</w:t>
      </w:r>
    </w:p>
    <w:p w14:paraId="30897BE6" w14:textId="77777777" w:rsidR="003E08D9" w:rsidRPr="003E08D9" w:rsidRDefault="003E08D9" w:rsidP="003E08D9">
      <w:pPr>
        <w:numPr>
          <w:ilvl w:val="0"/>
          <w:numId w:val="33"/>
        </w:numPr>
        <w:rPr>
          <w:rFonts w:ascii="Arial" w:hAnsi="Arial" w:cs="Arial"/>
          <w:sz w:val="22"/>
          <w:szCs w:val="22"/>
        </w:rPr>
      </w:pPr>
      <w:r w:rsidRPr="003E08D9">
        <w:rPr>
          <w:rFonts w:ascii="Arial" w:hAnsi="Arial" w:cs="Arial"/>
          <w:sz w:val="22"/>
          <w:szCs w:val="22"/>
        </w:rPr>
        <w:t>Project C delivers the strongest ARR.</w:t>
      </w:r>
    </w:p>
    <w:p w14:paraId="2562FBD3" w14:textId="77777777" w:rsidR="003E08D9" w:rsidRPr="003E08D9" w:rsidRDefault="003E08D9" w:rsidP="003E08D9">
      <w:pPr>
        <w:numPr>
          <w:ilvl w:val="0"/>
          <w:numId w:val="33"/>
        </w:numPr>
        <w:rPr>
          <w:rFonts w:ascii="Arial" w:hAnsi="Arial" w:cs="Arial"/>
          <w:sz w:val="22"/>
          <w:szCs w:val="22"/>
        </w:rPr>
      </w:pPr>
      <w:r w:rsidRPr="003E08D9">
        <w:rPr>
          <w:rFonts w:ascii="Arial" w:hAnsi="Arial" w:cs="Arial"/>
          <w:sz w:val="22"/>
          <w:szCs w:val="22"/>
        </w:rPr>
        <w:t>Project B earns no accounting profit.</w:t>
      </w:r>
    </w:p>
    <w:p w14:paraId="61639C40" w14:textId="77777777" w:rsidR="003E08D9" w:rsidRPr="003E08D9" w:rsidRDefault="003E08D9" w:rsidP="003E08D9">
      <w:pPr>
        <w:numPr>
          <w:ilvl w:val="0"/>
          <w:numId w:val="33"/>
        </w:numPr>
        <w:rPr>
          <w:rFonts w:ascii="Arial" w:hAnsi="Arial" w:cs="Arial"/>
          <w:sz w:val="22"/>
          <w:szCs w:val="22"/>
        </w:rPr>
      </w:pPr>
      <w:r w:rsidRPr="003E08D9">
        <w:rPr>
          <w:rFonts w:ascii="Arial" w:hAnsi="Arial" w:cs="Arial"/>
          <w:sz w:val="22"/>
          <w:szCs w:val="22"/>
        </w:rPr>
        <w:t>Project A offers moderate profitability.</w:t>
      </w:r>
    </w:p>
    <w:p w14:paraId="456E31D8"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37B86E5E">
          <v:rect id="_x0000_i1382" style="width:0;height:1.5pt" o:hralign="center" o:hrstd="t" o:hr="t" fillcolor="#a0a0a0" stroked="f"/>
        </w:pict>
      </w:r>
    </w:p>
    <w:p w14:paraId="2F7B0935"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5.4 Net Present Value (NPV)</w:t>
      </w:r>
    </w:p>
    <w:p w14:paraId="1E1CF2A6" w14:textId="77777777" w:rsidR="003E08D9" w:rsidRPr="003E08D9" w:rsidRDefault="003E08D9" w:rsidP="003E08D9">
      <w:pPr>
        <w:rPr>
          <w:rFonts w:ascii="Arial" w:hAnsi="Arial" w:cs="Arial"/>
          <w:sz w:val="22"/>
          <w:szCs w:val="22"/>
        </w:rPr>
      </w:pPr>
      <w:r w:rsidRPr="003E08D9">
        <w:rPr>
          <w:rFonts w:ascii="Arial" w:hAnsi="Arial" w:cs="Arial"/>
          <w:sz w:val="22"/>
          <w:szCs w:val="22"/>
        </w:rPr>
        <w:t xml:space="preserve">NPV = ∑ (Cash Flows ÷ (1 + </w:t>
      </w:r>
      <w:proofErr w:type="gramStart"/>
      <w:r w:rsidRPr="003E08D9">
        <w:rPr>
          <w:rFonts w:ascii="Arial" w:hAnsi="Arial" w:cs="Arial"/>
          <w:sz w:val="22"/>
          <w:szCs w:val="22"/>
        </w:rPr>
        <w:t>r)^t )</w:t>
      </w:r>
      <w:proofErr w:type="gramEnd"/>
      <w:r w:rsidRPr="003E08D9">
        <w:rPr>
          <w:rFonts w:ascii="Arial" w:hAnsi="Arial" w:cs="Arial"/>
          <w:sz w:val="22"/>
          <w:szCs w:val="22"/>
        </w:rPr>
        <w:t xml:space="preserve"> – Initial Investment</w:t>
      </w:r>
    </w:p>
    <w:p w14:paraId="57958D37"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NPV Results</w:t>
      </w:r>
    </w:p>
    <w:p w14:paraId="1F5758B0" w14:textId="77777777" w:rsidR="003E08D9" w:rsidRPr="003E08D9" w:rsidRDefault="003E08D9" w:rsidP="003E08D9">
      <w:pPr>
        <w:numPr>
          <w:ilvl w:val="0"/>
          <w:numId w:val="34"/>
        </w:numPr>
        <w:rPr>
          <w:rFonts w:ascii="Arial" w:hAnsi="Arial" w:cs="Arial"/>
          <w:sz w:val="22"/>
          <w:szCs w:val="22"/>
        </w:rPr>
      </w:pPr>
      <w:r w:rsidRPr="003E08D9">
        <w:rPr>
          <w:rFonts w:ascii="Arial" w:hAnsi="Arial" w:cs="Arial"/>
          <w:b/>
          <w:bCs/>
          <w:sz w:val="22"/>
          <w:szCs w:val="22"/>
        </w:rPr>
        <w:t>Project A:</w:t>
      </w:r>
      <w:r w:rsidRPr="003E08D9">
        <w:rPr>
          <w:rFonts w:ascii="Arial" w:hAnsi="Arial" w:cs="Arial"/>
          <w:sz w:val="22"/>
          <w:szCs w:val="22"/>
        </w:rPr>
        <w:t xml:space="preserve"> approx. </w:t>
      </w:r>
      <w:r w:rsidRPr="003E08D9">
        <w:rPr>
          <w:rFonts w:ascii="Arial" w:hAnsi="Arial" w:cs="Arial"/>
          <w:b/>
          <w:bCs/>
          <w:sz w:val="22"/>
          <w:szCs w:val="22"/>
        </w:rPr>
        <w:t>+£10.1m</w:t>
      </w:r>
    </w:p>
    <w:p w14:paraId="74F22C61" w14:textId="77777777" w:rsidR="003E08D9" w:rsidRPr="003E08D9" w:rsidRDefault="003E08D9" w:rsidP="003E08D9">
      <w:pPr>
        <w:numPr>
          <w:ilvl w:val="0"/>
          <w:numId w:val="34"/>
        </w:numPr>
        <w:rPr>
          <w:rFonts w:ascii="Arial" w:hAnsi="Arial" w:cs="Arial"/>
          <w:sz w:val="22"/>
          <w:szCs w:val="22"/>
        </w:rPr>
      </w:pPr>
      <w:r w:rsidRPr="003E08D9">
        <w:rPr>
          <w:rFonts w:ascii="Arial" w:hAnsi="Arial" w:cs="Arial"/>
          <w:b/>
          <w:bCs/>
          <w:sz w:val="22"/>
          <w:szCs w:val="22"/>
        </w:rPr>
        <w:t>Project B:</w:t>
      </w:r>
      <w:r w:rsidRPr="003E08D9">
        <w:rPr>
          <w:rFonts w:ascii="Arial" w:hAnsi="Arial" w:cs="Arial"/>
          <w:sz w:val="22"/>
          <w:szCs w:val="22"/>
        </w:rPr>
        <w:t xml:space="preserve"> approx. </w:t>
      </w:r>
      <w:r w:rsidRPr="003E08D9">
        <w:rPr>
          <w:rFonts w:ascii="Arial" w:hAnsi="Arial" w:cs="Arial"/>
          <w:b/>
          <w:bCs/>
          <w:sz w:val="22"/>
          <w:szCs w:val="22"/>
        </w:rPr>
        <w:t>–£2.3m</w:t>
      </w:r>
    </w:p>
    <w:p w14:paraId="099D7A48" w14:textId="77777777" w:rsidR="003E08D9" w:rsidRPr="003E08D9" w:rsidRDefault="003E08D9" w:rsidP="003E08D9">
      <w:pPr>
        <w:numPr>
          <w:ilvl w:val="0"/>
          <w:numId w:val="34"/>
        </w:numPr>
        <w:rPr>
          <w:rFonts w:ascii="Arial" w:hAnsi="Arial" w:cs="Arial"/>
          <w:sz w:val="22"/>
          <w:szCs w:val="22"/>
        </w:rPr>
      </w:pPr>
      <w:r w:rsidRPr="003E08D9">
        <w:rPr>
          <w:rFonts w:ascii="Arial" w:hAnsi="Arial" w:cs="Arial"/>
          <w:b/>
          <w:bCs/>
          <w:sz w:val="22"/>
          <w:szCs w:val="22"/>
        </w:rPr>
        <w:t>Project C:</w:t>
      </w:r>
      <w:r w:rsidRPr="003E08D9">
        <w:rPr>
          <w:rFonts w:ascii="Arial" w:hAnsi="Arial" w:cs="Arial"/>
          <w:sz w:val="22"/>
          <w:szCs w:val="22"/>
        </w:rPr>
        <w:t xml:space="preserve"> approx. </w:t>
      </w:r>
      <w:r w:rsidRPr="003E08D9">
        <w:rPr>
          <w:rFonts w:ascii="Arial" w:hAnsi="Arial" w:cs="Arial"/>
          <w:b/>
          <w:bCs/>
          <w:sz w:val="22"/>
          <w:szCs w:val="22"/>
        </w:rPr>
        <w:t>+£11.8m</w:t>
      </w:r>
    </w:p>
    <w:p w14:paraId="7968C524"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Interpretation</w:t>
      </w:r>
    </w:p>
    <w:p w14:paraId="435FDDA1" w14:textId="77777777" w:rsidR="003E08D9" w:rsidRPr="003E08D9" w:rsidRDefault="003E08D9" w:rsidP="003E08D9">
      <w:pPr>
        <w:numPr>
          <w:ilvl w:val="0"/>
          <w:numId w:val="35"/>
        </w:numPr>
        <w:rPr>
          <w:rFonts w:ascii="Arial" w:hAnsi="Arial" w:cs="Arial"/>
          <w:sz w:val="22"/>
          <w:szCs w:val="22"/>
        </w:rPr>
      </w:pPr>
      <w:r w:rsidRPr="003E08D9">
        <w:rPr>
          <w:rFonts w:ascii="Arial" w:hAnsi="Arial" w:cs="Arial"/>
          <w:sz w:val="22"/>
          <w:szCs w:val="22"/>
        </w:rPr>
        <w:t>Projects A and C both add value.</w:t>
      </w:r>
    </w:p>
    <w:p w14:paraId="4FC64487" w14:textId="77777777" w:rsidR="003E08D9" w:rsidRPr="003E08D9" w:rsidRDefault="003E08D9" w:rsidP="003E08D9">
      <w:pPr>
        <w:numPr>
          <w:ilvl w:val="0"/>
          <w:numId w:val="35"/>
        </w:numPr>
        <w:rPr>
          <w:rFonts w:ascii="Arial" w:hAnsi="Arial" w:cs="Arial"/>
          <w:sz w:val="22"/>
          <w:szCs w:val="22"/>
        </w:rPr>
      </w:pPr>
      <w:r w:rsidRPr="003E08D9">
        <w:rPr>
          <w:rFonts w:ascii="Arial" w:hAnsi="Arial" w:cs="Arial"/>
          <w:sz w:val="22"/>
          <w:szCs w:val="22"/>
        </w:rPr>
        <w:t>Project C produces the highest NPV.</w:t>
      </w:r>
    </w:p>
    <w:p w14:paraId="043FBD1F" w14:textId="77777777" w:rsidR="003E08D9" w:rsidRPr="003E08D9" w:rsidRDefault="003E08D9" w:rsidP="003E08D9">
      <w:pPr>
        <w:numPr>
          <w:ilvl w:val="0"/>
          <w:numId w:val="35"/>
        </w:numPr>
        <w:rPr>
          <w:rFonts w:ascii="Arial" w:hAnsi="Arial" w:cs="Arial"/>
          <w:sz w:val="22"/>
          <w:szCs w:val="22"/>
        </w:rPr>
      </w:pPr>
      <w:r w:rsidRPr="003E08D9">
        <w:rPr>
          <w:rFonts w:ascii="Arial" w:hAnsi="Arial" w:cs="Arial"/>
          <w:sz w:val="22"/>
          <w:szCs w:val="22"/>
        </w:rPr>
        <w:t>Project B destroys shareholder value.</w:t>
      </w:r>
    </w:p>
    <w:p w14:paraId="1C470C14" w14:textId="77777777" w:rsidR="003E08D9" w:rsidRPr="003E08D9" w:rsidRDefault="003E08D9" w:rsidP="003E08D9">
      <w:pPr>
        <w:rPr>
          <w:rFonts w:ascii="Arial" w:hAnsi="Arial" w:cs="Arial"/>
          <w:sz w:val="22"/>
          <w:szCs w:val="22"/>
        </w:rPr>
      </w:pPr>
      <w:r w:rsidRPr="003E08D9">
        <w:rPr>
          <w:rFonts w:ascii="Arial" w:hAnsi="Arial" w:cs="Arial"/>
          <w:sz w:val="22"/>
          <w:szCs w:val="22"/>
        </w:rPr>
        <w:t>NPV is the most reliable appraisal method (Brealey, Myers &amp; Allen, 2020), suggesting Project C is the superior choice.</w:t>
      </w:r>
    </w:p>
    <w:p w14:paraId="6CA72F7C"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396EEE75">
          <v:rect id="_x0000_i1383" style="width:0;height:1.5pt" o:hralign="center" o:hrstd="t" o:hr="t" fillcolor="#a0a0a0" stroked="f"/>
        </w:pict>
      </w:r>
    </w:p>
    <w:p w14:paraId="64D5882E"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5.5 Profitability Index (PI)</w:t>
      </w:r>
    </w:p>
    <w:p w14:paraId="6ED62859" w14:textId="77777777" w:rsidR="003E08D9" w:rsidRPr="003E08D9" w:rsidRDefault="003E08D9" w:rsidP="003E08D9">
      <w:pPr>
        <w:rPr>
          <w:rFonts w:ascii="Arial" w:hAnsi="Arial" w:cs="Arial"/>
          <w:sz w:val="22"/>
          <w:szCs w:val="22"/>
        </w:rPr>
      </w:pPr>
      <w:r w:rsidRPr="003E08D9">
        <w:rPr>
          <w:rFonts w:ascii="Arial" w:hAnsi="Arial" w:cs="Arial"/>
          <w:sz w:val="22"/>
          <w:szCs w:val="22"/>
        </w:rPr>
        <w:t>PI = Present Value of Future Cash Inflows ÷ Initial Investment</w:t>
      </w:r>
    </w:p>
    <w:p w14:paraId="28D6BDCB" w14:textId="77777777" w:rsidR="003E08D9" w:rsidRPr="003E08D9" w:rsidRDefault="003E08D9" w:rsidP="003E08D9">
      <w:pPr>
        <w:numPr>
          <w:ilvl w:val="0"/>
          <w:numId w:val="36"/>
        </w:numPr>
        <w:rPr>
          <w:rFonts w:ascii="Arial" w:hAnsi="Arial" w:cs="Arial"/>
          <w:sz w:val="22"/>
          <w:szCs w:val="22"/>
        </w:rPr>
      </w:pPr>
      <w:r w:rsidRPr="003E08D9">
        <w:rPr>
          <w:rFonts w:ascii="Arial" w:hAnsi="Arial" w:cs="Arial"/>
          <w:b/>
          <w:bCs/>
          <w:sz w:val="22"/>
          <w:szCs w:val="22"/>
        </w:rPr>
        <w:t>A:</w:t>
      </w:r>
      <w:r w:rsidRPr="003E08D9">
        <w:rPr>
          <w:rFonts w:ascii="Arial" w:hAnsi="Arial" w:cs="Arial"/>
          <w:sz w:val="22"/>
          <w:szCs w:val="22"/>
        </w:rPr>
        <w:t xml:space="preserve"> 1.25</w:t>
      </w:r>
    </w:p>
    <w:p w14:paraId="513BD81B" w14:textId="77777777" w:rsidR="003E08D9" w:rsidRPr="003E08D9" w:rsidRDefault="003E08D9" w:rsidP="003E08D9">
      <w:pPr>
        <w:numPr>
          <w:ilvl w:val="0"/>
          <w:numId w:val="36"/>
        </w:numPr>
        <w:rPr>
          <w:rFonts w:ascii="Arial" w:hAnsi="Arial" w:cs="Arial"/>
          <w:sz w:val="22"/>
          <w:szCs w:val="22"/>
        </w:rPr>
      </w:pPr>
      <w:r w:rsidRPr="003E08D9">
        <w:rPr>
          <w:rFonts w:ascii="Arial" w:hAnsi="Arial" w:cs="Arial"/>
          <w:b/>
          <w:bCs/>
          <w:sz w:val="22"/>
          <w:szCs w:val="22"/>
        </w:rPr>
        <w:t>B:</w:t>
      </w:r>
      <w:r w:rsidRPr="003E08D9">
        <w:rPr>
          <w:rFonts w:ascii="Arial" w:hAnsi="Arial" w:cs="Arial"/>
          <w:sz w:val="22"/>
          <w:szCs w:val="22"/>
        </w:rPr>
        <w:t xml:space="preserve"> &lt;1</w:t>
      </w:r>
    </w:p>
    <w:p w14:paraId="7FDE68F5" w14:textId="77777777" w:rsidR="003E08D9" w:rsidRPr="003E08D9" w:rsidRDefault="003E08D9" w:rsidP="003E08D9">
      <w:pPr>
        <w:numPr>
          <w:ilvl w:val="0"/>
          <w:numId w:val="36"/>
        </w:numPr>
        <w:rPr>
          <w:rFonts w:ascii="Arial" w:hAnsi="Arial" w:cs="Arial"/>
          <w:sz w:val="22"/>
          <w:szCs w:val="22"/>
        </w:rPr>
      </w:pPr>
      <w:r w:rsidRPr="003E08D9">
        <w:rPr>
          <w:rFonts w:ascii="Arial" w:hAnsi="Arial" w:cs="Arial"/>
          <w:b/>
          <w:bCs/>
          <w:sz w:val="22"/>
          <w:szCs w:val="22"/>
        </w:rPr>
        <w:t>C:</w:t>
      </w:r>
      <w:r w:rsidRPr="003E08D9">
        <w:rPr>
          <w:rFonts w:ascii="Arial" w:hAnsi="Arial" w:cs="Arial"/>
          <w:sz w:val="22"/>
          <w:szCs w:val="22"/>
        </w:rPr>
        <w:t xml:space="preserve"> 1.24</w:t>
      </w:r>
    </w:p>
    <w:p w14:paraId="126D8774"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Interpretation</w:t>
      </w:r>
    </w:p>
    <w:p w14:paraId="0EF217C7" w14:textId="77777777" w:rsidR="003E08D9" w:rsidRPr="003E08D9" w:rsidRDefault="003E08D9" w:rsidP="003E08D9">
      <w:pPr>
        <w:numPr>
          <w:ilvl w:val="0"/>
          <w:numId w:val="37"/>
        </w:numPr>
        <w:rPr>
          <w:rFonts w:ascii="Arial" w:hAnsi="Arial" w:cs="Arial"/>
          <w:sz w:val="22"/>
          <w:szCs w:val="22"/>
        </w:rPr>
      </w:pPr>
      <w:r w:rsidRPr="003E08D9">
        <w:rPr>
          <w:rFonts w:ascii="Arial" w:hAnsi="Arial" w:cs="Arial"/>
          <w:sz w:val="22"/>
          <w:szCs w:val="22"/>
        </w:rPr>
        <w:t>Project A is marginally more efficient per pound invested.</w:t>
      </w:r>
    </w:p>
    <w:p w14:paraId="7886EE54" w14:textId="77777777" w:rsidR="003E08D9" w:rsidRPr="003E08D9" w:rsidRDefault="003E08D9" w:rsidP="003E08D9">
      <w:pPr>
        <w:numPr>
          <w:ilvl w:val="0"/>
          <w:numId w:val="37"/>
        </w:numPr>
        <w:rPr>
          <w:rFonts w:ascii="Arial" w:hAnsi="Arial" w:cs="Arial"/>
          <w:sz w:val="22"/>
          <w:szCs w:val="22"/>
        </w:rPr>
      </w:pPr>
      <w:r w:rsidRPr="003E08D9">
        <w:rPr>
          <w:rFonts w:ascii="Arial" w:hAnsi="Arial" w:cs="Arial"/>
          <w:sz w:val="22"/>
          <w:szCs w:val="22"/>
        </w:rPr>
        <w:t>Project C is still acceptable (PI &gt; 1).</w:t>
      </w:r>
    </w:p>
    <w:p w14:paraId="6B71FFD4" w14:textId="77777777" w:rsidR="003E08D9" w:rsidRPr="003E08D9" w:rsidRDefault="003E08D9" w:rsidP="003E08D9">
      <w:pPr>
        <w:numPr>
          <w:ilvl w:val="0"/>
          <w:numId w:val="37"/>
        </w:numPr>
        <w:rPr>
          <w:rFonts w:ascii="Arial" w:hAnsi="Arial" w:cs="Arial"/>
          <w:sz w:val="22"/>
          <w:szCs w:val="22"/>
        </w:rPr>
      </w:pPr>
      <w:r w:rsidRPr="003E08D9">
        <w:rPr>
          <w:rFonts w:ascii="Arial" w:hAnsi="Arial" w:cs="Arial"/>
          <w:sz w:val="22"/>
          <w:szCs w:val="22"/>
        </w:rPr>
        <w:t>Project B is unacceptable under PI criteria.</w:t>
      </w:r>
    </w:p>
    <w:p w14:paraId="0F7056D6"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6FBEBDF7">
          <v:rect id="_x0000_i1384" style="width:0;height:1.5pt" o:hralign="center" o:hrstd="t" o:hr="t" fillcolor="#a0a0a0" stroked="f"/>
        </w:pict>
      </w:r>
    </w:p>
    <w:p w14:paraId="63C01C18"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5.6 Internal Rate of Return (IRR)</w:t>
      </w:r>
    </w:p>
    <w:p w14:paraId="5C02A214" w14:textId="77777777" w:rsidR="003E08D9" w:rsidRPr="003E08D9" w:rsidRDefault="003E08D9" w:rsidP="003E08D9">
      <w:pPr>
        <w:rPr>
          <w:rFonts w:ascii="Arial" w:hAnsi="Arial" w:cs="Arial"/>
          <w:sz w:val="22"/>
          <w:szCs w:val="22"/>
        </w:rPr>
      </w:pPr>
      <w:r w:rsidRPr="003E08D9">
        <w:rPr>
          <w:rFonts w:ascii="Arial" w:hAnsi="Arial" w:cs="Arial"/>
          <w:sz w:val="22"/>
          <w:szCs w:val="22"/>
        </w:rPr>
        <w:t>IRR is the discount rate at which NPV = 0.</w:t>
      </w:r>
    </w:p>
    <w:p w14:paraId="6C10BF8A" w14:textId="77777777" w:rsidR="003E08D9" w:rsidRPr="003E08D9" w:rsidRDefault="003E08D9" w:rsidP="003E08D9">
      <w:pPr>
        <w:numPr>
          <w:ilvl w:val="0"/>
          <w:numId w:val="38"/>
        </w:numPr>
        <w:rPr>
          <w:rFonts w:ascii="Arial" w:hAnsi="Arial" w:cs="Arial"/>
          <w:sz w:val="22"/>
          <w:szCs w:val="22"/>
        </w:rPr>
      </w:pPr>
      <w:r w:rsidRPr="003E08D9">
        <w:rPr>
          <w:rFonts w:ascii="Arial" w:hAnsi="Arial" w:cs="Arial"/>
          <w:b/>
          <w:bCs/>
          <w:sz w:val="22"/>
          <w:szCs w:val="22"/>
        </w:rPr>
        <w:t>A:</w:t>
      </w:r>
      <w:r w:rsidRPr="003E08D9">
        <w:rPr>
          <w:rFonts w:ascii="Arial" w:hAnsi="Arial" w:cs="Arial"/>
          <w:sz w:val="22"/>
          <w:szCs w:val="22"/>
        </w:rPr>
        <w:t xml:space="preserve"> ~14–15%</w:t>
      </w:r>
    </w:p>
    <w:p w14:paraId="59910F03" w14:textId="77777777" w:rsidR="003E08D9" w:rsidRPr="003E08D9" w:rsidRDefault="003E08D9" w:rsidP="003E08D9">
      <w:pPr>
        <w:numPr>
          <w:ilvl w:val="0"/>
          <w:numId w:val="38"/>
        </w:numPr>
        <w:spacing w:line="360" w:lineRule="auto"/>
        <w:ind w:left="714" w:hanging="357"/>
        <w:rPr>
          <w:rFonts w:ascii="Arial" w:hAnsi="Arial" w:cs="Arial"/>
          <w:sz w:val="22"/>
          <w:szCs w:val="22"/>
        </w:rPr>
      </w:pPr>
      <w:r w:rsidRPr="003E08D9">
        <w:rPr>
          <w:rFonts w:ascii="Arial" w:hAnsi="Arial" w:cs="Arial"/>
          <w:b/>
          <w:bCs/>
          <w:sz w:val="22"/>
          <w:szCs w:val="22"/>
        </w:rPr>
        <w:lastRenderedPageBreak/>
        <w:t>B:</w:t>
      </w:r>
      <w:r w:rsidRPr="003E08D9">
        <w:rPr>
          <w:rFonts w:ascii="Arial" w:hAnsi="Arial" w:cs="Arial"/>
          <w:sz w:val="22"/>
          <w:szCs w:val="22"/>
        </w:rPr>
        <w:t xml:space="preserve"> &lt;10%</w:t>
      </w:r>
    </w:p>
    <w:p w14:paraId="2CF9C5ED" w14:textId="77777777" w:rsidR="003E08D9" w:rsidRPr="003E08D9" w:rsidRDefault="003E08D9" w:rsidP="003E08D9">
      <w:pPr>
        <w:numPr>
          <w:ilvl w:val="0"/>
          <w:numId w:val="38"/>
        </w:numPr>
        <w:rPr>
          <w:rFonts w:ascii="Arial" w:hAnsi="Arial" w:cs="Arial"/>
          <w:sz w:val="22"/>
          <w:szCs w:val="22"/>
        </w:rPr>
      </w:pPr>
      <w:r w:rsidRPr="003E08D9">
        <w:rPr>
          <w:rFonts w:ascii="Arial" w:hAnsi="Arial" w:cs="Arial"/>
          <w:b/>
          <w:bCs/>
          <w:sz w:val="22"/>
          <w:szCs w:val="22"/>
        </w:rPr>
        <w:t>C:</w:t>
      </w:r>
      <w:r w:rsidRPr="003E08D9">
        <w:rPr>
          <w:rFonts w:ascii="Arial" w:hAnsi="Arial" w:cs="Arial"/>
          <w:sz w:val="22"/>
          <w:szCs w:val="22"/>
        </w:rPr>
        <w:t xml:space="preserve"> ~17–18%</w:t>
      </w:r>
    </w:p>
    <w:p w14:paraId="052AD4CA"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Interpretation</w:t>
      </w:r>
    </w:p>
    <w:p w14:paraId="57320BFE" w14:textId="77777777" w:rsidR="003E08D9" w:rsidRPr="003E08D9" w:rsidRDefault="003E08D9" w:rsidP="003E08D9">
      <w:pPr>
        <w:numPr>
          <w:ilvl w:val="0"/>
          <w:numId w:val="39"/>
        </w:numPr>
        <w:rPr>
          <w:rFonts w:ascii="Arial" w:hAnsi="Arial" w:cs="Arial"/>
          <w:sz w:val="22"/>
          <w:szCs w:val="22"/>
        </w:rPr>
      </w:pPr>
      <w:r w:rsidRPr="003E08D9">
        <w:rPr>
          <w:rFonts w:ascii="Arial" w:hAnsi="Arial" w:cs="Arial"/>
          <w:sz w:val="22"/>
          <w:szCs w:val="22"/>
        </w:rPr>
        <w:t>Project C delivers the strongest IRR, outperforming GE’s cost of capital by the widest margin.</w:t>
      </w:r>
    </w:p>
    <w:p w14:paraId="3602FB79" w14:textId="77777777" w:rsidR="003E08D9" w:rsidRPr="003E08D9" w:rsidRDefault="003E08D9" w:rsidP="003E08D9">
      <w:pPr>
        <w:numPr>
          <w:ilvl w:val="0"/>
          <w:numId w:val="39"/>
        </w:numPr>
        <w:rPr>
          <w:rFonts w:ascii="Arial" w:hAnsi="Arial" w:cs="Arial"/>
          <w:sz w:val="22"/>
          <w:szCs w:val="22"/>
        </w:rPr>
      </w:pPr>
      <w:r w:rsidRPr="003E08D9">
        <w:rPr>
          <w:rFonts w:ascii="Arial" w:hAnsi="Arial" w:cs="Arial"/>
          <w:sz w:val="22"/>
          <w:szCs w:val="22"/>
        </w:rPr>
        <w:t>Project B does not surpass the 10% discount rate, making it unsuitable.</w:t>
      </w:r>
    </w:p>
    <w:p w14:paraId="2B760F86"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038AA72B">
          <v:rect id="_x0000_i1385" style="width:0;height:1.5pt" o:hralign="center" o:hrstd="t" o:hr="t" fillcolor="#a0a0a0" stroked="f"/>
        </w:pict>
      </w:r>
    </w:p>
    <w:p w14:paraId="6B3E54DB"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5.7 Qualitative Strategic Evaluation</w:t>
      </w:r>
    </w:p>
    <w:p w14:paraId="514A32D8" w14:textId="77777777" w:rsidR="003E08D9" w:rsidRPr="003E08D9" w:rsidRDefault="003E08D9" w:rsidP="003E08D9">
      <w:pPr>
        <w:rPr>
          <w:rFonts w:ascii="Arial" w:hAnsi="Arial" w:cs="Arial"/>
          <w:sz w:val="22"/>
          <w:szCs w:val="22"/>
        </w:rPr>
      </w:pPr>
      <w:r w:rsidRPr="003E08D9">
        <w:rPr>
          <w:rFonts w:ascii="Arial" w:hAnsi="Arial" w:cs="Arial"/>
          <w:sz w:val="22"/>
          <w:szCs w:val="22"/>
        </w:rPr>
        <w:t>Financial metrics alone do not determine investment suitability. Strategic fit, risk and long-term competitiveness must also be considered.</w:t>
      </w:r>
    </w:p>
    <w:p w14:paraId="268D67DB"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Strategic Fit</w:t>
      </w:r>
    </w:p>
    <w:p w14:paraId="19D5F8CE" w14:textId="77777777" w:rsidR="003E08D9" w:rsidRPr="003E08D9" w:rsidRDefault="003E08D9" w:rsidP="003E08D9">
      <w:pPr>
        <w:numPr>
          <w:ilvl w:val="0"/>
          <w:numId w:val="40"/>
        </w:numPr>
        <w:rPr>
          <w:rFonts w:ascii="Arial" w:hAnsi="Arial" w:cs="Arial"/>
          <w:sz w:val="22"/>
          <w:szCs w:val="22"/>
        </w:rPr>
      </w:pPr>
      <w:r w:rsidRPr="003E08D9">
        <w:rPr>
          <w:rFonts w:ascii="Arial" w:hAnsi="Arial" w:cs="Arial"/>
          <w:sz w:val="22"/>
          <w:szCs w:val="22"/>
        </w:rPr>
        <w:t>Project A: improves mid-range product line competitiveness.</w:t>
      </w:r>
    </w:p>
    <w:p w14:paraId="40B6ABCF" w14:textId="77777777" w:rsidR="003E08D9" w:rsidRPr="003E08D9" w:rsidRDefault="003E08D9" w:rsidP="003E08D9">
      <w:pPr>
        <w:numPr>
          <w:ilvl w:val="0"/>
          <w:numId w:val="40"/>
        </w:numPr>
        <w:rPr>
          <w:rFonts w:ascii="Arial" w:hAnsi="Arial" w:cs="Arial"/>
          <w:sz w:val="22"/>
          <w:szCs w:val="22"/>
        </w:rPr>
      </w:pPr>
      <w:r w:rsidRPr="003E08D9">
        <w:rPr>
          <w:rFonts w:ascii="Arial" w:hAnsi="Arial" w:cs="Arial"/>
          <w:sz w:val="22"/>
          <w:szCs w:val="22"/>
        </w:rPr>
        <w:t>Project B: maintains existing production but lacks innovation.</w:t>
      </w:r>
    </w:p>
    <w:p w14:paraId="3AEA0E26" w14:textId="77777777" w:rsidR="003E08D9" w:rsidRPr="003E08D9" w:rsidRDefault="003E08D9" w:rsidP="003E08D9">
      <w:pPr>
        <w:numPr>
          <w:ilvl w:val="0"/>
          <w:numId w:val="40"/>
        </w:numPr>
        <w:rPr>
          <w:rFonts w:ascii="Arial" w:hAnsi="Arial" w:cs="Arial"/>
          <w:sz w:val="22"/>
          <w:szCs w:val="22"/>
        </w:rPr>
      </w:pPr>
      <w:r w:rsidRPr="003E08D9">
        <w:rPr>
          <w:rFonts w:ascii="Arial" w:hAnsi="Arial" w:cs="Arial"/>
          <w:sz w:val="22"/>
          <w:szCs w:val="22"/>
        </w:rPr>
        <w:t>Project C: supports high-growth, innovation-focused market expansion.</w:t>
      </w:r>
    </w:p>
    <w:p w14:paraId="402D9B80"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Risk Considerations</w:t>
      </w:r>
    </w:p>
    <w:p w14:paraId="30B35338" w14:textId="77777777" w:rsidR="003E08D9" w:rsidRPr="003E08D9" w:rsidRDefault="003E08D9" w:rsidP="003E08D9">
      <w:pPr>
        <w:numPr>
          <w:ilvl w:val="0"/>
          <w:numId w:val="41"/>
        </w:numPr>
        <w:rPr>
          <w:rFonts w:ascii="Arial" w:hAnsi="Arial" w:cs="Arial"/>
          <w:sz w:val="22"/>
          <w:szCs w:val="22"/>
        </w:rPr>
      </w:pPr>
      <w:r w:rsidRPr="003E08D9">
        <w:rPr>
          <w:rFonts w:ascii="Arial" w:hAnsi="Arial" w:cs="Arial"/>
          <w:sz w:val="22"/>
          <w:szCs w:val="22"/>
        </w:rPr>
        <w:t>Project A: stable inflows, low volatility.</w:t>
      </w:r>
    </w:p>
    <w:p w14:paraId="6A8C5D63" w14:textId="77777777" w:rsidR="003E08D9" w:rsidRPr="003E08D9" w:rsidRDefault="003E08D9" w:rsidP="003E08D9">
      <w:pPr>
        <w:numPr>
          <w:ilvl w:val="0"/>
          <w:numId w:val="41"/>
        </w:numPr>
        <w:rPr>
          <w:rFonts w:ascii="Arial" w:hAnsi="Arial" w:cs="Arial"/>
          <w:sz w:val="22"/>
          <w:szCs w:val="22"/>
        </w:rPr>
      </w:pPr>
      <w:r w:rsidRPr="003E08D9">
        <w:rPr>
          <w:rFonts w:ascii="Arial" w:hAnsi="Arial" w:cs="Arial"/>
          <w:sz w:val="22"/>
          <w:szCs w:val="22"/>
        </w:rPr>
        <w:t>Project B: low risk but little return.</w:t>
      </w:r>
    </w:p>
    <w:p w14:paraId="25E79B33" w14:textId="77777777" w:rsidR="003E08D9" w:rsidRPr="003E08D9" w:rsidRDefault="003E08D9" w:rsidP="003E08D9">
      <w:pPr>
        <w:numPr>
          <w:ilvl w:val="0"/>
          <w:numId w:val="41"/>
        </w:numPr>
        <w:rPr>
          <w:rFonts w:ascii="Arial" w:hAnsi="Arial" w:cs="Arial"/>
          <w:sz w:val="22"/>
          <w:szCs w:val="22"/>
        </w:rPr>
      </w:pPr>
      <w:r w:rsidRPr="003E08D9">
        <w:rPr>
          <w:rFonts w:ascii="Arial" w:hAnsi="Arial" w:cs="Arial"/>
          <w:sz w:val="22"/>
          <w:szCs w:val="22"/>
        </w:rPr>
        <w:t>Project C: higher volatility but rising inflows show strong market traction and scalability.</w:t>
      </w:r>
    </w:p>
    <w:p w14:paraId="4139AD26"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Alignment with GE’s Turnaround Needs</w:t>
      </w:r>
    </w:p>
    <w:p w14:paraId="5CB4586E" w14:textId="77777777" w:rsidR="003E08D9" w:rsidRPr="003E08D9" w:rsidRDefault="003E08D9" w:rsidP="003E08D9">
      <w:pPr>
        <w:rPr>
          <w:rFonts w:ascii="Arial" w:hAnsi="Arial" w:cs="Arial"/>
          <w:sz w:val="22"/>
          <w:szCs w:val="22"/>
        </w:rPr>
      </w:pPr>
      <w:r w:rsidRPr="003E08D9">
        <w:rPr>
          <w:rFonts w:ascii="Arial" w:hAnsi="Arial" w:cs="Arial"/>
          <w:sz w:val="22"/>
          <w:szCs w:val="22"/>
        </w:rPr>
        <w:t>To rebuild competitiveness, GE must pursue innovation and high-growth product categories. Incremental or low-return investment (Project B) will not support a recovery strategy.</w:t>
      </w:r>
    </w:p>
    <w:p w14:paraId="0DB154B2"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793BC89A">
          <v:rect id="_x0000_i1386" style="width:0;height:1.5pt" o:hralign="center" o:hrstd="t" o:hr="t" fillcolor="#a0a0a0" stroked="f"/>
        </w:pict>
      </w:r>
    </w:p>
    <w:p w14:paraId="670AF73F"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5.8 Capital Rationing Decision</w:t>
      </w:r>
    </w:p>
    <w:p w14:paraId="2ABC09C6" w14:textId="77777777" w:rsidR="003E08D9" w:rsidRPr="003E08D9" w:rsidRDefault="003E08D9" w:rsidP="003E08D9">
      <w:pPr>
        <w:rPr>
          <w:rFonts w:ascii="Arial" w:hAnsi="Arial" w:cs="Arial"/>
          <w:sz w:val="22"/>
          <w:szCs w:val="22"/>
        </w:rPr>
      </w:pPr>
      <w:r w:rsidRPr="003E08D9">
        <w:rPr>
          <w:rFonts w:ascii="Arial" w:hAnsi="Arial" w:cs="Arial"/>
          <w:sz w:val="22"/>
          <w:szCs w:val="22"/>
        </w:rPr>
        <w:t>GE has a capital limit of £60m.</w:t>
      </w:r>
    </w:p>
    <w:p w14:paraId="0ACFBB43" w14:textId="77777777" w:rsidR="003E08D9" w:rsidRPr="003E08D9" w:rsidRDefault="003E08D9" w:rsidP="003E08D9">
      <w:pPr>
        <w:rPr>
          <w:rFonts w:ascii="Arial" w:hAnsi="Arial" w:cs="Arial"/>
          <w:sz w:val="22"/>
          <w:szCs w:val="22"/>
        </w:rPr>
      </w:pPr>
      <w:r w:rsidRPr="003E08D9">
        <w:rPr>
          <w:rFonts w:ascii="Arial" w:hAnsi="Arial" w:cs="Arial"/>
          <w:sz w:val="22"/>
          <w:szCs w:val="22"/>
        </w:rPr>
        <w:t>Combinations:</w:t>
      </w:r>
    </w:p>
    <w:p w14:paraId="5E4FB402" w14:textId="77777777" w:rsidR="003E08D9" w:rsidRPr="003E08D9" w:rsidRDefault="003E08D9" w:rsidP="003E08D9">
      <w:pPr>
        <w:numPr>
          <w:ilvl w:val="0"/>
          <w:numId w:val="42"/>
        </w:numPr>
        <w:rPr>
          <w:rFonts w:ascii="Arial" w:hAnsi="Arial" w:cs="Arial"/>
          <w:sz w:val="22"/>
          <w:szCs w:val="22"/>
        </w:rPr>
      </w:pPr>
      <w:r w:rsidRPr="003E08D9">
        <w:rPr>
          <w:rFonts w:ascii="Arial" w:hAnsi="Arial" w:cs="Arial"/>
          <w:sz w:val="22"/>
          <w:szCs w:val="22"/>
        </w:rPr>
        <w:t xml:space="preserve">A + B = £70m </w:t>
      </w:r>
      <w:r w:rsidRPr="003E08D9">
        <w:rPr>
          <w:rFonts w:ascii="Segoe UI Emoji" w:hAnsi="Segoe UI Emoji" w:cs="Segoe UI Emoji"/>
          <w:sz w:val="22"/>
          <w:szCs w:val="22"/>
        </w:rPr>
        <w:t>❌</w:t>
      </w:r>
    </w:p>
    <w:p w14:paraId="32B9932F" w14:textId="77777777" w:rsidR="003E08D9" w:rsidRPr="003E08D9" w:rsidRDefault="003E08D9" w:rsidP="003E08D9">
      <w:pPr>
        <w:numPr>
          <w:ilvl w:val="0"/>
          <w:numId w:val="42"/>
        </w:numPr>
        <w:rPr>
          <w:rFonts w:ascii="Arial" w:hAnsi="Arial" w:cs="Arial"/>
          <w:sz w:val="22"/>
          <w:szCs w:val="22"/>
        </w:rPr>
      </w:pPr>
      <w:r w:rsidRPr="003E08D9">
        <w:rPr>
          <w:rFonts w:ascii="Arial" w:hAnsi="Arial" w:cs="Arial"/>
          <w:sz w:val="22"/>
          <w:szCs w:val="22"/>
        </w:rPr>
        <w:t xml:space="preserve">A + C = £90m </w:t>
      </w:r>
      <w:r w:rsidRPr="003E08D9">
        <w:rPr>
          <w:rFonts w:ascii="Segoe UI Emoji" w:hAnsi="Segoe UI Emoji" w:cs="Segoe UI Emoji"/>
          <w:sz w:val="22"/>
          <w:szCs w:val="22"/>
        </w:rPr>
        <w:t>❌</w:t>
      </w:r>
    </w:p>
    <w:p w14:paraId="14503F7A" w14:textId="77777777" w:rsidR="003E08D9" w:rsidRPr="003E08D9" w:rsidRDefault="003E08D9" w:rsidP="003E08D9">
      <w:pPr>
        <w:numPr>
          <w:ilvl w:val="0"/>
          <w:numId w:val="42"/>
        </w:numPr>
        <w:rPr>
          <w:rFonts w:ascii="Arial" w:hAnsi="Arial" w:cs="Arial"/>
          <w:sz w:val="22"/>
          <w:szCs w:val="22"/>
        </w:rPr>
      </w:pPr>
      <w:r w:rsidRPr="003E08D9">
        <w:rPr>
          <w:rFonts w:ascii="Arial" w:hAnsi="Arial" w:cs="Arial"/>
          <w:sz w:val="22"/>
          <w:szCs w:val="22"/>
        </w:rPr>
        <w:t xml:space="preserve">B + C = £80m </w:t>
      </w:r>
      <w:r w:rsidRPr="003E08D9">
        <w:rPr>
          <w:rFonts w:ascii="Segoe UI Emoji" w:hAnsi="Segoe UI Emoji" w:cs="Segoe UI Emoji"/>
          <w:sz w:val="22"/>
          <w:szCs w:val="22"/>
        </w:rPr>
        <w:t>❌</w:t>
      </w:r>
    </w:p>
    <w:p w14:paraId="659FF725" w14:textId="77777777" w:rsidR="003E08D9" w:rsidRPr="003E08D9" w:rsidRDefault="003E08D9" w:rsidP="003E08D9">
      <w:pPr>
        <w:rPr>
          <w:rFonts w:ascii="Arial" w:hAnsi="Arial" w:cs="Arial"/>
          <w:sz w:val="22"/>
          <w:szCs w:val="22"/>
        </w:rPr>
      </w:pPr>
      <w:r w:rsidRPr="003E08D9">
        <w:rPr>
          <w:rFonts w:ascii="Arial" w:hAnsi="Arial" w:cs="Arial"/>
          <w:sz w:val="22"/>
          <w:szCs w:val="22"/>
        </w:rPr>
        <w:t xml:space="preserve">Thus, </w:t>
      </w:r>
      <w:r w:rsidRPr="003E08D9">
        <w:rPr>
          <w:rFonts w:ascii="Arial" w:hAnsi="Arial" w:cs="Arial"/>
          <w:b/>
          <w:bCs/>
          <w:sz w:val="22"/>
          <w:szCs w:val="22"/>
        </w:rPr>
        <w:t>only ONE project can be selected</w:t>
      </w:r>
      <w:r w:rsidRPr="003E08D9">
        <w:rPr>
          <w:rFonts w:ascii="Arial" w:hAnsi="Arial" w:cs="Arial"/>
          <w:sz w:val="22"/>
          <w:szCs w:val="22"/>
        </w:rPr>
        <w:t>.</w:t>
      </w:r>
    </w:p>
    <w:p w14:paraId="44D93FC0"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058BADB1">
          <v:rect id="_x0000_i1387" style="width:0;height:1.5pt" o:hralign="center" o:hrstd="t" o:hr="t" fillcolor="#a0a0a0" stroked="f"/>
        </w:pict>
      </w:r>
    </w:p>
    <w:p w14:paraId="5D6F8582"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5.9 Final Recommendation</w:t>
      </w:r>
    </w:p>
    <w:p w14:paraId="1A61C77C" w14:textId="0B38C497" w:rsidR="003E08D9" w:rsidRPr="003E08D9" w:rsidRDefault="003E08D9" w:rsidP="003E08D9">
      <w:pPr>
        <w:rPr>
          <w:rFonts w:ascii="Arial" w:hAnsi="Arial" w:cs="Arial"/>
          <w:b/>
          <w:bCs/>
          <w:sz w:val="22"/>
          <w:szCs w:val="22"/>
        </w:rPr>
      </w:pPr>
      <w:r w:rsidRPr="003E08D9">
        <w:rPr>
          <w:rFonts w:ascii="Arial" w:hAnsi="Arial" w:cs="Arial"/>
          <w:b/>
          <w:bCs/>
          <w:sz w:val="22"/>
          <w:szCs w:val="22"/>
        </w:rPr>
        <w:t xml:space="preserve"> Project C is strongly recommended.</w:t>
      </w:r>
    </w:p>
    <w:p w14:paraId="342EB22B" w14:textId="77777777" w:rsidR="003E08D9" w:rsidRPr="003E08D9" w:rsidRDefault="003E08D9" w:rsidP="003E08D9">
      <w:pPr>
        <w:rPr>
          <w:rFonts w:ascii="Arial" w:hAnsi="Arial" w:cs="Arial"/>
          <w:sz w:val="22"/>
          <w:szCs w:val="22"/>
        </w:rPr>
      </w:pPr>
      <w:r w:rsidRPr="003E08D9">
        <w:rPr>
          <w:rFonts w:ascii="Arial" w:hAnsi="Arial" w:cs="Arial"/>
          <w:sz w:val="22"/>
          <w:szCs w:val="22"/>
        </w:rPr>
        <w:t>It:</w:t>
      </w:r>
    </w:p>
    <w:p w14:paraId="7E75F874" w14:textId="77777777" w:rsidR="003E08D9" w:rsidRPr="003E08D9" w:rsidRDefault="003E08D9" w:rsidP="003E08D9">
      <w:pPr>
        <w:numPr>
          <w:ilvl w:val="0"/>
          <w:numId w:val="43"/>
        </w:numPr>
        <w:rPr>
          <w:rFonts w:ascii="Arial" w:hAnsi="Arial" w:cs="Arial"/>
          <w:sz w:val="22"/>
          <w:szCs w:val="22"/>
        </w:rPr>
      </w:pPr>
      <w:r w:rsidRPr="003E08D9">
        <w:rPr>
          <w:rFonts w:ascii="Arial" w:hAnsi="Arial" w:cs="Arial"/>
          <w:sz w:val="22"/>
          <w:szCs w:val="22"/>
        </w:rPr>
        <w:t>generates the highest NPV</w:t>
      </w:r>
    </w:p>
    <w:p w14:paraId="0EC97C5F" w14:textId="77777777" w:rsidR="003E08D9" w:rsidRPr="003E08D9" w:rsidRDefault="003E08D9" w:rsidP="003E08D9">
      <w:pPr>
        <w:numPr>
          <w:ilvl w:val="0"/>
          <w:numId w:val="43"/>
        </w:numPr>
        <w:rPr>
          <w:rFonts w:ascii="Arial" w:hAnsi="Arial" w:cs="Arial"/>
          <w:sz w:val="22"/>
          <w:szCs w:val="22"/>
        </w:rPr>
      </w:pPr>
      <w:r w:rsidRPr="003E08D9">
        <w:rPr>
          <w:rFonts w:ascii="Arial" w:hAnsi="Arial" w:cs="Arial"/>
          <w:sz w:val="22"/>
          <w:szCs w:val="22"/>
        </w:rPr>
        <w:t>produces the highest IRR</w:t>
      </w:r>
    </w:p>
    <w:p w14:paraId="62B4F04C" w14:textId="77777777" w:rsidR="003E08D9" w:rsidRPr="003E08D9" w:rsidRDefault="003E08D9" w:rsidP="003E08D9">
      <w:pPr>
        <w:numPr>
          <w:ilvl w:val="0"/>
          <w:numId w:val="43"/>
        </w:numPr>
        <w:rPr>
          <w:rFonts w:ascii="Arial" w:hAnsi="Arial" w:cs="Arial"/>
          <w:sz w:val="22"/>
          <w:szCs w:val="22"/>
        </w:rPr>
      </w:pPr>
      <w:r w:rsidRPr="003E08D9">
        <w:rPr>
          <w:rFonts w:ascii="Arial" w:hAnsi="Arial" w:cs="Arial"/>
          <w:sz w:val="22"/>
          <w:szCs w:val="22"/>
        </w:rPr>
        <w:t>yields the strongest ARR</w:t>
      </w:r>
    </w:p>
    <w:p w14:paraId="52737EC2" w14:textId="77777777" w:rsidR="003E08D9" w:rsidRPr="003E08D9" w:rsidRDefault="003E08D9" w:rsidP="003E08D9">
      <w:pPr>
        <w:numPr>
          <w:ilvl w:val="0"/>
          <w:numId w:val="43"/>
        </w:numPr>
        <w:rPr>
          <w:rFonts w:ascii="Arial" w:hAnsi="Arial" w:cs="Arial"/>
          <w:sz w:val="22"/>
          <w:szCs w:val="22"/>
        </w:rPr>
      </w:pPr>
      <w:r w:rsidRPr="003E08D9">
        <w:rPr>
          <w:rFonts w:ascii="Arial" w:hAnsi="Arial" w:cs="Arial"/>
          <w:sz w:val="22"/>
          <w:szCs w:val="22"/>
        </w:rPr>
        <w:t>has competitive PBP</w:t>
      </w:r>
    </w:p>
    <w:p w14:paraId="33D2A893" w14:textId="77777777" w:rsidR="003E08D9" w:rsidRPr="003E08D9" w:rsidRDefault="003E08D9" w:rsidP="003E08D9">
      <w:pPr>
        <w:numPr>
          <w:ilvl w:val="0"/>
          <w:numId w:val="43"/>
        </w:numPr>
        <w:rPr>
          <w:rFonts w:ascii="Arial" w:hAnsi="Arial" w:cs="Arial"/>
          <w:sz w:val="22"/>
          <w:szCs w:val="22"/>
        </w:rPr>
      </w:pPr>
      <w:r w:rsidRPr="003E08D9">
        <w:rPr>
          <w:rFonts w:ascii="Arial" w:hAnsi="Arial" w:cs="Arial"/>
          <w:sz w:val="22"/>
          <w:szCs w:val="22"/>
        </w:rPr>
        <w:t>offers strongest strategic alignment</w:t>
      </w:r>
    </w:p>
    <w:p w14:paraId="3399EFE9" w14:textId="77777777" w:rsidR="003E08D9" w:rsidRPr="003E08D9" w:rsidRDefault="003E08D9" w:rsidP="003E08D9">
      <w:pPr>
        <w:numPr>
          <w:ilvl w:val="0"/>
          <w:numId w:val="43"/>
        </w:numPr>
        <w:rPr>
          <w:rFonts w:ascii="Arial" w:hAnsi="Arial" w:cs="Arial"/>
          <w:sz w:val="22"/>
          <w:szCs w:val="22"/>
        </w:rPr>
      </w:pPr>
      <w:r w:rsidRPr="003E08D9">
        <w:rPr>
          <w:rFonts w:ascii="Arial" w:hAnsi="Arial" w:cs="Arial"/>
          <w:sz w:val="22"/>
          <w:szCs w:val="22"/>
        </w:rPr>
        <w:t>enhances long-term revenue and margin potential</w:t>
      </w:r>
    </w:p>
    <w:p w14:paraId="339595B0" w14:textId="77777777" w:rsidR="003E08D9" w:rsidRPr="003E08D9" w:rsidRDefault="003E08D9" w:rsidP="003E08D9">
      <w:pPr>
        <w:numPr>
          <w:ilvl w:val="0"/>
          <w:numId w:val="43"/>
        </w:numPr>
        <w:rPr>
          <w:rFonts w:ascii="Arial" w:hAnsi="Arial" w:cs="Arial"/>
          <w:sz w:val="22"/>
          <w:szCs w:val="22"/>
        </w:rPr>
      </w:pPr>
      <w:r w:rsidRPr="003E08D9">
        <w:rPr>
          <w:rFonts w:ascii="Arial" w:hAnsi="Arial" w:cs="Arial"/>
          <w:sz w:val="22"/>
          <w:szCs w:val="22"/>
        </w:rPr>
        <w:t>supports innovation and product repositioning</w:t>
      </w:r>
    </w:p>
    <w:p w14:paraId="0C9C44D3" w14:textId="77777777" w:rsidR="003E08D9" w:rsidRPr="003E08D9" w:rsidRDefault="003E08D9" w:rsidP="003E08D9">
      <w:pPr>
        <w:rPr>
          <w:rFonts w:ascii="Arial" w:hAnsi="Arial" w:cs="Arial"/>
          <w:sz w:val="22"/>
          <w:szCs w:val="22"/>
        </w:rPr>
      </w:pPr>
      <w:r w:rsidRPr="003E08D9">
        <w:rPr>
          <w:rFonts w:ascii="Arial" w:hAnsi="Arial" w:cs="Arial"/>
          <w:sz w:val="22"/>
          <w:szCs w:val="22"/>
        </w:rPr>
        <w:t>Project C therefore represents the best investment for supporting GE’s recovery and long-term competitive advantage.</w:t>
      </w:r>
    </w:p>
    <w:p w14:paraId="62091BDB" w14:textId="77777777" w:rsidR="003E08D9" w:rsidRPr="003E08D9" w:rsidRDefault="003E08D9" w:rsidP="003E08D9">
      <w:pPr>
        <w:rPr>
          <w:rFonts w:ascii="Arial" w:hAnsi="Arial" w:cs="Arial"/>
          <w:sz w:val="22"/>
          <w:szCs w:val="22"/>
        </w:rPr>
      </w:pPr>
      <w:r w:rsidRPr="003E08D9">
        <w:rPr>
          <w:rFonts w:ascii="Arial" w:hAnsi="Arial" w:cs="Arial"/>
          <w:sz w:val="22"/>
          <w:szCs w:val="22"/>
        </w:rPr>
        <w:pict w14:anchorId="5A930896">
          <v:rect id="_x0000_i1388" style="width:0;height:1.5pt" o:hralign="center" o:hrstd="t" o:hr="t" fillcolor="#a0a0a0" stroked="f"/>
        </w:pict>
      </w:r>
    </w:p>
    <w:p w14:paraId="127E8C29"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6. Conclusion</w:t>
      </w:r>
    </w:p>
    <w:p w14:paraId="1BD3AE14" w14:textId="77777777" w:rsidR="003E08D9" w:rsidRPr="003E08D9" w:rsidRDefault="003E08D9" w:rsidP="003E08D9">
      <w:pPr>
        <w:rPr>
          <w:rFonts w:ascii="Arial" w:hAnsi="Arial" w:cs="Arial"/>
          <w:sz w:val="22"/>
          <w:szCs w:val="22"/>
        </w:rPr>
      </w:pPr>
      <w:r w:rsidRPr="003E08D9">
        <w:rPr>
          <w:rFonts w:ascii="Arial" w:hAnsi="Arial" w:cs="Arial"/>
          <w:sz w:val="22"/>
          <w:szCs w:val="22"/>
        </w:rPr>
        <w:t>General Electronics is facing severe financial distress, evidenced by declining profitability, tightening liquidity, inefficient working capital management, and increasing leverage. The financial analysis demonstrates widespread organisational weaknesses across operational, financial, and strategic dimensions. Unless major corrective action is taken, the company risks insolvency.</w:t>
      </w:r>
    </w:p>
    <w:p w14:paraId="22C9FD0D" w14:textId="77777777" w:rsidR="003E08D9" w:rsidRPr="003E08D9" w:rsidRDefault="003E08D9" w:rsidP="003E08D9">
      <w:pPr>
        <w:rPr>
          <w:rFonts w:ascii="Arial" w:hAnsi="Arial" w:cs="Arial"/>
          <w:sz w:val="22"/>
          <w:szCs w:val="22"/>
        </w:rPr>
      </w:pPr>
      <w:r w:rsidRPr="003E08D9">
        <w:rPr>
          <w:rFonts w:ascii="Arial" w:hAnsi="Arial" w:cs="Arial"/>
          <w:sz w:val="22"/>
          <w:szCs w:val="22"/>
        </w:rPr>
        <w:t xml:space="preserve">The working capital assessment identifies critical shortcomings in inventory management, receivables collection, and supplier relationships—all of which have extended GE’s cash operating cycle and weakened liquidity. Strategic restructuring measures such as </w:t>
      </w:r>
      <w:r w:rsidRPr="003E08D9">
        <w:rPr>
          <w:rFonts w:ascii="Arial" w:hAnsi="Arial" w:cs="Arial"/>
          <w:sz w:val="22"/>
          <w:szCs w:val="22"/>
        </w:rPr>
        <w:lastRenderedPageBreak/>
        <w:t>divestitures, equity injections, debt renegotiation, cost efficiency improvements and treasury centralisation are essential to stabilise the business.</w:t>
      </w:r>
    </w:p>
    <w:p w14:paraId="39FD8FA6" w14:textId="77777777" w:rsidR="003E08D9" w:rsidRPr="003E08D9" w:rsidRDefault="003E08D9" w:rsidP="003E08D9">
      <w:pPr>
        <w:rPr>
          <w:rFonts w:ascii="Arial" w:hAnsi="Arial" w:cs="Arial"/>
          <w:sz w:val="22"/>
          <w:szCs w:val="22"/>
        </w:rPr>
      </w:pPr>
      <w:r w:rsidRPr="003E08D9">
        <w:rPr>
          <w:rFonts w:ascii="Arial" w:hAnsi="Arial" w:cs="Arial"/>
          <w:sz w:val="22"/>
          <w:szCs w:val="22"/>
        </w:rPr>
        <w:t>The investment appraisal demonstrates that Project C offers the highest shareholder value under capital rationing constraints. It provides the strongest financial metrics (NPV, IRR, ARR), competitive payback, and strategic synergy with GE’s need for innovation and future market growth. Choosing Project C supports both short-term stabilisation and long-term competitiveness.</w:t>
      </w:r>
    </w:p>
    <w:p w14:paraId="4F7CA86C" w14:textId="77777777" w:rsidR="003E08D9" w:rsidRPr="003E08D9" w:rsidRDefault="003E08D9" w:rsidP="003E08D9">
      <w:pPr>
        <w:rPr>
          <w:rFonts w:ascii="Arial" w:hAnsi="Arial" w:cs="Arial"/>
          <w:sz w:val="22"/>
          <w:szCs w:val="22"/>
        </w:rPr>
      </w:pPr>
      <w:r w:rsidRPr="003E08D9">
        <w:rPr>
          <w:rFonts w:ascii="Arial" w:hAnsi="Arial" w:cs="Arial"/>
          <w:sz w:val="22"/>
          <w:szCs w:val="22"/>
        </w:rPr>
        <w:t>With decisive leadership, disciplined financial management, and strategic alignment of investments, GE can move toward restored profitability, enhanced liquidity, and sustainable growth in the highly competitive global electronics industry.</w:t>
      </w:r>
    </w:p>
    <w:p w14:paraId="7C561E42" w14:textId="1BDA844A" w:rsidR="003E08D9" w:rsidRDefault="003E08D9" w:rsidP="003E08D9">
      <w:pPr>
        <w:rPr>
          <w:rFonts w:ascii="Arial" w:hAnsi="Arial" w:cs="Arial"/>
          <w:sz w:val="22"/>
          <w:szCs w:val="22"/>
        </w:rPr>
      </w:pPr>
    </w:p>
    <w:p w14:paraId="28A10285" w14:textId="77777777" w:rsidR="003E08D9" w:rsidRDefault="003E08D9" w:rsidP="003E08D9">
      <w:pPr>
        <w:rPr>
          <w:rFonts w:ascii="Arial" w:hAnsi="Arial" w:cs="Arial"/>
          <w:sz w:val="22"/>
          <w:szCs w:val="22"/>
        </w:rPr>
      </w:pPr>
    </w:p>
    <w:p w14:paraId="11CA612B" w14:textId="77777777" w:rsidR="003E08D9" w:rsidRDefault="003E08D9" w:rsidP="003E08D9">
      <w:pPr>
        <w:rPr>
          <w:rFonts w:ascii="Arial" w:hAnsi="Arial" w:cs="Arial"/>
          <w:sz w:val="22"/>
          <w:szCs w:val="22"/>
        </w:rPr>
      </w:pPr>
    </w:p>
    <w:p w14:paraId="0CB7E036" w14:textId="77777777" w:rsidR="003E08D9" w:rsidRDefault="003E08D9" w:rsidP="003E08D9">
      <w:pPr>
        <w:rPr>
          <w:rFonts w:ascii="Arial" w:hAnsi="Arial" w:cs="Arial"/>
          <w:sz w:val="22"/>
          <w:szCs w:val="22"/>
        </w:rPr>
      </w:pPr>
    </w:p>
    <w:p w14:paraId="6276C0CC" w14:textId="77777777" w:rsidR="003E08D9" w:rsidRDefault="003E08D9" w:rsidP="003E08D9">
      <w:pPr>
        <w:rPr>
          <w:rFonts w:ascii="Arial" w:hAnsi="Arial" w:cs="Arial"/>
          <w:sz w:val="22"/>
          <w:szCs w:val="22"/>
        </w:rPr>
      </w:pPr>
    </w:p>
    <w:p w14:paraId="29511E5F" w14:textId="77777777" w:rsidR="003E08D9" w:rsidRDefault="003E08D9" w:rsidP="003E08D9">
      <w:pPr>
        <w:rPr>
          <w:rFonts w:ascii="Arial" w:hAnsi="Arial" w:cs="Arial"/>
          <w:sz w:val="22"/>
          <w:szCs w:val="22"/>
        </w:rPr>
      </w:pPr>
    </w:p>
    <w:p w14:paraId="2AB937A9" w14:textId="77777777" w:rsidR="003E08D9" w:rsidRDefault="003E08D9" w:rsidP="003E08D9">
      <w:pPr>
        <w:rPr>
          <w:rFonts w:ascii="Arial" w:hAnsi="Arial" w:cs="Arial"/>
          <w:sz w:val="22"/>
          <w:szCs w:val="22"/>
        </w:rPr>
      </w:pPr>
    </w:p>
    <w:p w14:paraId="73185982" w14:textId="77777777" w:rsidR="003E08D9" w:rsidRDefault="003E08D9" w:rsidP="003E08D9">
      <w:pPr>
        <w:rPr>
          <w:rFonts w:ascii="Arial" w:hAnsi="Arial" w:cs="Arial"/>
          <w:sz w:val="22"/>
          <w:szCs w:val="22"/>
        </w:rPr>
      </w:pPr>
    </w:p>
    <w:p w14:paraId="03F83087" w14:textId="77777777" w:rsidR="003E08D9" w:rsidRDefault="003E08D9" w:rsidP="003E08D9">
      <w:pPr>
        <w:rPr>
          <w:rFonts w:ascii="Arial" w:hAnsi="Arial" w:cs="Arial"/>
          <w:sz w:val="22"/>
          <w:szCs w:val="22"/>
        </w:rPr>
      </w:pPr>
    </w:p>
    <w:p w14:paraId="02E4040D" w14:textId="77777777" w:rsidR="003E08D9" w:rsidRDefault="003E08D9" w:rsidP="003E08D9">
      <w:pPr>
        <w:rPr>
          <w:rFonts w:ascii="Arial" w:hAnsi="Arial" w:cs="Arial"/>
          <w:sz w:val="22"/>
          <w:szCs w:val="22"/>
        </w:rPr>
      </w:pPr>
    </w:p>
    <w:p w14:paraId="3630AF3E" w14:textId="77777777" w:rsidR="003E08D9" w:rsidRDefault="003E08D9" w:rsidP="003E08D9">
      <w:pPr>
        <w:rPr>
          <w:rFonts w:ascii="Arial" w:hAnsi="Arial" w:cs="Arial"/>
          <w:sz w:val="22"/>
          <w:szCs w:val="22"/>
        </w:rPr>
      </w:pPr>
    </w:p>
    <w:p w14:paraId="49154C8F" w14:textId="77777777" w:rsidR="003E08D9" w:rsidRDefault="003E08D9" w:rsidP="003E08D9">
      <w:pPr>
        <w:rPr>
          <w:rFonts w:ascii="Arial" w:hAnsi="Arial" w:cs="Arial"/>
          <w:sz w:val="22"/>
          <w:szCs w:val="22"/>
        </w:rPr>
      </w:pPr>
    </w:p>
    <w:p w14:paraId="59CD0746" w14:textId="77777777" w:rsidR="003E08D9" w:rsidRDefault="003E08D9" w:rsidP="003E08D9">
      <w:pPr>
        <w:rPr>
          <w:rFonts w:ascii="Arial" w:hAnsi="Arial" w:cs="Arial"/>
          <w:sz w:val="22"/>
          <w:szCs w:val="22"/>
        </w:rPr>
      </w:pPr>
    </w:p>
    <w:p w14:paraId="02426703" w14:textId="77777777" w:rsidR="003E08D9" w:rsidRDefault="003E08D9" w:rsidP="003E08D9">
      <w:pPr>
        <w:rPr>
          <w:rFonts w:ascii="Arial" w:hAnsi="Arial" w:cs="Arial"/>
          <w:sz w:val="22"/>
          <w:szCs w:val="22"/>
        </w:rPr>
      </w:pPr>
    </w:p>
    <w:p w14:paraId="050C3843" w14:textId="77777777" w:rsidR="003E08D9" w:rsidRDefault="003E08D9" w:rsidP="003E08D9">
      <w:pPr>
        <w:rPr>
          <w:rFonts w:ascii="Arial" w:hAnsi="Arial" w:cs="Arial"/>
          <w:sz w:val="22"/>
          <w:szCs w:val="22"/>
        </w:rPr>
      </w:pPr>
    </w:p>
    <w:p w14:paraId="17EDF345" w14:textId="77777777" w:rsidR="003E08D9" w:rsidRDefault="003E08D9" w:rsidP="003E08D9">
      <w:pPr>
        <w:rPr>
          <w:rFonts w:ascii="Arial" w:hAnsi="Arial" w:cs="Arial"/>
          <w:sz w:val="22"/>
          <w:szCs w:val="22"/>
        </w:rPr>
      </w:pPr>
    </w:p>
    <w:p w14:paraId="24A0EBDB" w14:textId="77777777" w:rsidR="003E08D9" w:rsidRDefault="003E08D9" w:rsidP="003E08D9">
      <w:pPr>
        <w:rPr>
          <w:rFonts w:ascii="Arial" w:hAnsi="Arial" w:cs="Arial"/>
          <w:sz w:val="22"/>
          <w:szCs w:val="22"/>
        </w:rPr>
      </w:pPr>
    </w:p>
    <w:p w14:paraId="2315A8F5" w14:textId="77777777" w:rsidR="003E08D9" w:rsidRDefault="003E08D9" w:rsidP="003E08D9">
      <w:pPr>
        <w:rPr>
          <w:rFonts w:ascii="Arial" w:hAnsi="Arial" w:cs="Arial"/>
          <w:sz w:val="22"/>
          <w:szCs w:val="22"/>
        </w:rPr>
      </w:pPr>
    </w:p>
    <w:p w14:paraId="3704FA3F" w14:textId="77777777" w:rsidR="003E08D9" w:rsidRDefault="003E08D9" w:rsidP="003E08D9">
      <w:pPr>
        <w:rPr>
          <w:rFonts w:ascii="Arial" w:hAnsi="Arial" w:cs="Arial"/>
          <w:sz w:val="22"/>
          <w:szCs w:val="22"/>
        </w:rPr>
      </w:pPr>
    </w:p>
    <w:p w14:paraId="26E01B6F" w14:textId="77777777" w:rsidR="003E08D9" w:rsidRDefault="003E08D9" w:rsidP="003E08D9">
      <w:pPr>
        <w:rPr>
          <w:rFonts w:ascii="Arial" w:hAnsi="Arial" w:cs="Arial"/>
          <w:sz w:val="22"/>
          <w:szCs w:val="22"/>
        </w:rPr>
      </w:pPr>
    </w:p>
    <w:p w14:paraId="711E7E12" w14:textId="77777777" w:rsidR="003E08D9" w:rsidRDefault="003E08D9" w:rsidP="003E08D9">
      <w:pPr>
        <w:rPr>
          <w:rFonts w:ascii="Arial" w:hAnsi="Arial" w:cs="Arial"/>
          <w:sz w:val="22"/>
          <w:szCs w:val="22"/>
        </w:rPr>
      </w:pPr>
    </w:p>
    <w:p w14:paraId="16858DB6" w14:textId="77777777" w:rsidR="003E08D9" w:rsidRDefault="003E08D9" w:rsidP="003E08D9">
      <w:pPr>
        <w:rPr>
          <w:rFonts w:ascii="Arial" w:hAnsi="Arial" w:cs="Arial"/>
          <w:sz w:val="22"/>
          <w:szCs w:val="22"/>
        </w:rPr>
      </w:pPr>
    </w:p>
    <w:p w14:paraId="619F6DE2" w14:textId="77777777" w:rsidR="003E08D9" w:rsidRDefault="003E08D9" w:rsidP="003E08D9">
      <w:pPr>
        <w:rPr>
          <w:rFonts w:ascii="Arial" w:hAnsi="Arial" w:cs="Arial"/>
          <w:sz w:val="22"/>
          <w:szCs w:val="22"/>
        </w:rPr>
      </w:pPr>
    </w:p>
    <w:p w14:paraId="17A85756" w14:textId="77777777" w:rsidR="003E08D9" w:rsidRDefault="003E08D9" w:rsidP="003E08D9">
      <w:pPr>
        <w:rPr>
          <w:rFonts w:ascii="Arial" w:hAnsi="Arial" w:cs="Arial"/>
          <w:sz w:val="22"/>
          <w:szCs w:val="22"/>
        </w:rPr>
      </w:pPr>
    </w:p>
    <w:p w14:paraId="06A034AE" w14:textId="77777777" w:rsidR="003E08D9" w:rsidRDefault="003E08D9" w:rsidP="003E08D9">
      <w:pPr>
        <w:rPr>
          <w:rFonts w:ascii="Arial" w:hAnsi="Arial" w:cs="Arial"/>
          <w:sz w:val="22"/>
          <w:szCs w:val="22"/>
        </w:rPr>
      </w:pPr>
    </w:p>
    <w:p w14:paraId="7FFED168" w14:textId="77777777" w:rsidR="003E08D9" w:rsidRDefault="003E08D9" w:rsidP="003E08D9">
      <w:pPr>
        <w:rPr>
          <w:rFonts w:ascii="Arial" w:hAnsi="Arial" w:cs="Arial"/>
          <w:sz w:val="22"/>
          <w:szCs w:val="22"/>
        </w:rPr>
      </w:pPr>
    </w:p>
    <w:p w14:paraId="420064A2" w14:textId="77777777" w:rsidR="003E08D9" w:rsidRDefault="003E08D9" w:rsidP="003E08D9">
      <w:pPr>
        <w:rPr>
          <w:rFonts w:ascii="Arial" w:hAnsi="Arial" w:cs="Arial"/>
          <w:sz w:val="22"/>
          <w:szCs w:val="22"/>
        </w:rPr>
      </w:pPr>
    </w:p>
    <w:p w14:paraId="350A5F01" w14:textId="77777777" w:rsidR="003E08D9" w:rsidRDefault="003E08D9" w:rsidP="003E08D9">
      <w:pPr>
        <w:rPr>
          <w:rFonts w:ascii="Arial" w:hAnsi="Arial" w:cs="Arial"/>
          <w:sz w:val="22"/>
          <w:szCs w:val="22"/>
        </w:rPr>
      </w:pPr>
    </w:p>
    <w:p w14:paraId="0AA7F87B" w14:textId="77777777" w:rsidR="003E08D9" w:rsidRDefault="003E08D9" w:rsidP="003E08D9">
      <w:pPr>
        <w:rPr>
          <w:rFonts w:ascii="Arial" w:hAnsi="Arial" w:cs="Arial"/>
          <w:sz w:val="22"/>
          <w:szCs w:val="22"/>
        </w:rPr>
      </w:pPr>
    </w:p>
    <w:p w14:paraId="7CCF83E8" w14:textId="77777777" w:rsidR="003E08D9" w:rsidRDefault="003E08D9" w:rsidP="003E08D9">
      <w:pPr>
        <w:rPr>
          <w:rFonts w:ascii="Arial" w:hAnsi="Arial" w:cs="Arial"/>
          <w:sz w:val="22"/>
          <w:szCs w:val="22"/>
        </w:rPr>
      </w:pPr>
    </w:p>
    <w:p w14:paraId="02E8ADC8" w14:textId="77777777" w:rsidR="003E08D9" w:rsidRDefault="003E08D9" w:rsidP="003E08D9">
      <w:pPr>
        <w:rPr>
          <w:rFonts w:ascii="Arial" w:hAnsi="Arial" w:cs="Arial"/>
          <w:sz w:val="22"/>
          <w:szCs w:val="22"/>
        </w:rPr>
      </w:pPr>
    </w:p>
    <w:p w14:paraId="6FB1BB7C" w14:textId="77777777" w:rsidR="003E08D9" w:rsidRDefault="003E08D9" w:rsidP="003E08D9">
      <w:pPr>
        <w:rPr>
          <w:rFonts w:ascii="Arial" w:hAnsi="Arial" w:cs="Arial"/>
          <w:sz w:val="22"/>
          <w:szCs w:val="22"/>
        </w:rPr>
      </w:pPr>
    </w:p>
    <w:p w14:paraId="11B33ABF" w14:textId="77777777" w:rsidR="003E08D9" w:rsidRDefault="003E08D9" w:rsidP="003E08D9">
      <w:pPr>
        <w:rPr>
          <w:rFonts w:ascii="Arial" w:hAnsi="Arial" w:cs="Arial"/>
          <w:sz w:val="22"/>
          <w:szCs w:val="22"/>
        </w:rPr>
      </w:pPr>
    </w:p>
    <w:p w14:paraId="18322C1B" w14:textId="77777777" w:rsidR="003E08D9" w:rsidRDefault="003E08D9" w:rsidP="003E08D9">
      <w:pPr>
        <w:rPr>
          <w:rFonts w:ascii="Arial" w:hAnsi="Arial" w:cs="Arial"/>
          <w:sz w:val="22"/>
          <w:szCs w:val="22"/>
        </w:rPr>
      </w:pPr>
    </w:p>
    <w:p w14:paraId="4EC01F24" w14:textId="77777777" w:rsidR="003E08D9" w:rsidRDefault="003E08D9" w:rsidP="003E08D9">
      <w:pPr>
        <w:rPr>
          <w:rFonts w:ascii="Arial" w:hAnsi="Arial" w:cs="Arial"/>
          <w:sz w:val="22"/>
          <w:szCs w:val="22"/>
        </w:rPr>
      </w:pPr>
    </w:p>
    <w:p w14:paraId="75242A7E" w14:textId="77777777" w:rsidR="003E08D9" w:rsidRDefault="003E08D9" w:rsidP="003E08D9">
      <w:pPr>
        <w:rPr>
          <w:rFonts w:ascii="Arial" w:hAnsi="Arial" w:cs="Arial"/>
          <w:sz w:val="22"/>
          <w:szCs w:val="22"/>
        </w:rPr>
      </w:pPr>
    </w:p>
    <w:p w14:paraId="34321888" w14:textId="77777777" w:rsidR="003E08D9" w:rsidRDefault="003E08D9" w:rsidP="003E08D9">
      <w:pPr>
        <w:rPr>
          <w:rFonts w:ascii="Arial" w:hAnsi="Arial" w:cs="Arial"/>
          <w:sz w:val="22"/>
          <w:szCs w:val="22"/>
        </w:rPr>
      </w:pPr>
    </w:p>
    <w:p w14:paraId="40C44E6B" w14:textId="77777777" w:rsidR="003E08D9" w:rsidRDefault="003E08D9" w:rsidP="003E08D9">
      <w:pPr>
        <w:rPr>
          <w:rFonts w:ascii="Arial" w:hAnsi="Arial" w:cs="Arial"/>
          <w:sz w:val="22"/>
          <w:szCs w:val="22"/>
        </w:rPr>
      </w:pPr>
    </w:p>
    <w:p w14:paraId="35A1F582" w14:textId="77777777" w:rsidR="003E08D9" w:rsidRDefault="003E08D9" w:rsidP="003E08D9">
      <w:pPr>
        <w:rPr>
          <w:rFonts w:ascii="Arial" w:hAnsi="Arial" w:cs="Arial"/>
          <w:sz w:val="22"/>
          <w:szCs w:val="22"/>
        </w:rPr>
      </w:pPr>
    </w:p>
    <w:p w14:paraId="39153744" w14:textId="77777777" w:rsidR="003E08D9" w:rsidRDefault="003E08D9" w:rsidP="003E08D9">
      <w:pPr>
        <w:rPr>
          <w:rFonts w:ascii="Arial" w:hAnsi="Arial" w:cs="Arial"/>
          <w:sz w:val="22"/>
          <w:szCs w:val="22"/>
        </w:rPr>
      </w:pPr>
    </w:p>
    <w:p w14:paraId="60E0C6F2" w14:textId="77777777" w:rsidR="003E08D9" w:rsidRDefault="003E08D9" w:rsidP="003E08D9">
      <w:pPr>
        <w:rPr>
          <w:rFonts w:ascii="Arial" w:hAnsi="Arial" w:cs="Arial"/>
          <w:sz w:val="22"/>
          <w:szCs w:val="22"/>
        </w:rPr>
      </w:pPr>
    </w:p>
    <w:p w14:paraId="0382B695" w14:textId="77777777" w:rsidR="003E08D9" w:rsidRDefault="003E08D9" w:rsidP="003E08D9">
      <w:pPr>
        <w:rPr>
          <w:rFonts w:ascii="Arial" w:hAnsi="Arial" w:cs="Arial"/>
          <w:sz w:val="22"/>
          <w:szCs w:val="22"/>
        </w:rPr>
      </w:pPr>
    </w:p>
    <w:p w14:paraId="34EF481A" w14:textId="77777777" w:rsidR="003E08D9" w:rsidRDefault="003E08D9" w:rsidP="003E08D9">
      <w:pPr>
        <w:rPr>
          <w:rFonts w:ascii="Arial" w:hAnsi="Arial" w:cs="Arial"/>
          <w:sz w:val="22"/>
          <w:szCs w:val="22"/>
        </w:rPr>
      </w:pPr>
    </w:p>
    <w:p w14:paraId="5DDC1E30" w14:textId="77777777" w:rsidR="003E08D9" w:rsidRDefault="003E08D9" w:rsidP="003E08D9">
      <w:pPr>
        <w:rPr>
          <w:rFonts w:ascii="Arial" w:hAnsi="Arial" w:cs="Arial"/>
          <w:sz w:val="22"/>
          <w:szCs w:val="22"/>
        </w:rPr>
      </w:pPr>
    </w:p>
    <w:p w14:paraId="04031F8D" w14:textId="77777777" w:rsidR="003E08D9" w:rsidRDefault="003E08D9" w:rsidP="003E08D9">
      <w:pPr>
        <w:rPr>
          <w:rFonts w:ascii="Arial" w:hAnsi="Arial" w:cs="Arial"/>
          <w:sz w:val="22"/>
          <w:szCs w:val="22"/>
        </w:rPr>
      </w:pPr>
    </w:p>
    <w:p w14:paraId="112900BD" w14:textId="77777777" w:rsidR="003E08D9" w:rsidRPr="003E08D9" w:rsidRDefault="003E08D9" w:rsidP="003E08D9">
      <w:pPr>
        <w:rPr>
          <w:rFonts w:ascii="Arial" w:hAnsi="Arial" w:cs="Arial"/>
          <w:sz w:val="22"/>
          <w:szCs w:val="22"/>
        </w:rPr>
      </w:pPr>
    </w:p>
    <w:p w14:paraId="0ED3C0D1" w14:textId="77777777" w:rsidR="003E08D9" w:rsidRPr="003E08D9" w:rsidRDefault="003E08D9" w:rsidP="003E08D9">
      <w:pPr>
        <w:rPr>
          <w:rFonts w:ascii="Arial" w:hAnsi="Arial" w:cs="Arial"/>
          <w:b/>
          <w:bCs/>
          <w:sz w:val="22"/>
          <w:szCs w:val="22"/>
        </w:rPr>
      </w:pPr>
      <w:r w:rsidRPr="003E08D9">
        <w:rPr>
          <w:rFonts w:ascii="Arial" w:hAnsi="Arial" w:cs="Arial"/>
          <w:b/>
          <w:bCs/>
          <w:sz w:val="22"/>
          <w:szCs w:val="22"/>
        </w:rPr>
        <w:t>7. References (Harvard Style)</w:t>
      </w:r>
    </w:p>
    <w:p w14:paraId="6C98C8B2" w14:textId="77777777" w:rsidR="003E08D9" w:rsidRPr="003E08D9" w:rsidRDefault="003E08D9" w:rsidP="003E08D9">
      <w:pPr>
        <w:rPr>
          <w:rFonts w:ascii="Arial" w:hAnsi="Arial" w:cs="Arial"/>
          <w:sz w:val="22"/>
          <w:szCs w:val="22"/>
        </w:rPr>
      </w:pPr>
      <w:r w:rsidRPr="003E08D9">
        <w:rPr>
          <w:rFonts w:ascii="Arial" w:hAnsi="Arial" w:cs="Arial"/>
          <w:sz w:val="22"/>
          <w:szCs w:val="22"/>
        </w:rPr>
        <w:t xml:space="preserve">Altman, E. (2013) </w:t>
      </w:r>
      <w:r w:rsidRPr="003E08D9">
        <w:rPr>
          <w:rFonts w:ascii="Arial" w:hAnsi="Arial" w:cs="Arial"/>
          <w:i/>
          <w:iCs/>
          <w:sz w:val="22"/>
          <w:szCs w:val="22"/>
        </w:rPr>
        <w:t>Corporate Financial Distress and Bankruptcy</w:t>
      </w:r>
      <w:r w:rsidRPr="003E08D9">
        <w:rPr>
          <w:rFonts w:ascii="Arial" w:hAnsi="Arial" w:cs="Arial"/>
          <w:sz w:val="22"/>
          <w:szCs w:val="22"/>
        </w:rPr>
        <w:t>. Wiley.</w:t>
      </w:r>
      <w:r w:rsidRPr="003E08D9">
        <w:rPr>
          <w:rFonts w:ascii="Arial" w:hAnsi="Arial" w:cs="Arial"/>
          <w:sz w:val="22"/>
          <w:szCs w:val="22"/>
        </w:rPr>
        <w:br/>
        <w:t xml:space="preserve">Arnold, G. (2022) </w:t>
      </w:r>
      <w:r w:rsidRPr="003E08D9">
        <w:rPr>
          <w:rFonts w:ascii="Arial" w:hAnsi="Arial" w:cs="Arial"/>
          <w:i/>
          <w:iCs/>
          <w:sz w:val="22"/>
          <w:szCs w:val="22"/>
        </w:rPr>
        <w:t>Corporate Financial Management</w:t>
      </w:r>
      <w:r w:rsidRPr="003E08D9">
        <w:rPr>
          <w:rFonts w:ascii="Arial" w:hAnsi="Arial" w:cs="Arial"/>
          <w:sz w:val="22"/>
          <w:szCs w:val="22"/>
        </w:rPr>
        <w:t xml:space="preserve">. 7th </w:t>
      </w:r>
      <w:proofErr w:type="spellStart"/>
      <w:r w:rsidRPr="003E08D9">
        <w:rPr>
          <w:rFonts w:ascii="Arial" w:hAnsi="Arial" w:cs="Arial"/>
          <w:sz w:val="22"/>
          <w:szCs w:val="22"/>
        </w:rPr>
        <w:t>edn</w:t>
      </w:r>
      <w:proofErr w:type="spellEnd"/>
      <w:r w:rsidRPr="003E08D9">
        <w:rPr>
          <w:rFonts w:ascii="Arial" w:hAnsi="Arial" w:cs="Arial"/>
          <w:sz w:val="22"/>
          <w:szCs w:val="22"/>
        </w:rPr>
        <w:t>. Pearson.</w:t>
      </w:r>
      <w:r w:rsidRPr="003E08D9">
        <w:rPr>
          <w:rFonts w:ascii="Arial" w:hAnsi="Arial" w:cs="Arial"/>
          <w:sz w:val="22"/>
          <w:szCs w:val="22"/>
        </w:rPr>
        <w:br/>
      </w:r>
      <w:proofErr w:type="spellStart"/>
      <w:r w:rsidRPr="003E08D9">
        <w:rPr>
          <w:rFonts w:ascii="Arial" w:hAnsi="Arial" w:cs="Arial"/>
          <w:sz w:val="22"/>
          <w:szCs w:val="22"/>
        </w:rPr>
        <w:t>Atrill</w:t>
      </w:r>
      <w:proofErr w:type="spellEnd"/>
      <w:r w:rsidRPr="003E08D9">
        <w:rPr>
          <w:rFonts w:ascii="Arial" w:hAnsi="Arial" w:cs="Arial"/>
          <w:sz w:val="22"/>
          <w:szCs w:val="22"/>
        </w:rPr>
        <w:t xml:space="preserve">, P. and McLaney, E. (2019) </w:t>
      </w:r>
      <w:r w:rsidRPr="003E08D9">
        <w:rPr>
          <w:rFonts w:ascii="Arial" w:hAnsi="Arial" w:cs="Arial"/>
          <w:i/>
          <w:iCs/>
          <w:sz w:val="22"/>
          <w:szCs w:val="22"/>
        </w:rPr>
        <w:t>Accounting and Finance for Non-Specialists</w:t>
      </w:r>
      <w:r w:rsidRPr="003E08D9">
        <w:rPr>
          <w:rFonts w:ascii="Arial" w:hAnsi="Arial" w:cs="Arial"/>
          <w:sz w:val="22"/>
          <w:szCs w:val="22"/>
        </w:rPr>
        <w:t>. Pearson.</w:t>
      </w:r>
      <w:r w:rsidRPr="003E08D9">
        <w:rPr>
          <w:rFonts w:ascii="Arial" w:hAnsi="Arial" w:cs="Arial"/>
          <w:sz w:val="22"/>
          <w:szCs w:val="22"/>
        </w:rPr>
        <w:br/>
        <w:t xml:space="preserve">Brealey, R., Myers, S. and Allen, F. (2020) </w:t>
      </w:r>
      <w:r w:rsidRPr="003E08D9">
        <w:rPr>
          <w:rFonts w:ascii="Arial" w:hAnsi="Arial" w:cs="Arial"/>
          <w:i/>
          <w:iCs/>
          <w:sz w:val="22"/>
          <w:szCs w:val="22"/>
        </w:rPr>
        <w:t>Principles of Corporate Finance</w:t>
      </w:r>
      <w:r w:rsidRPr="003E08D9">
        <w:rPr>
          <w:rFonts w:ascii="Arial" w:hAnsi="Arial" w:cs="Arial"/>
          <w:sz w:val="22"/>
          <w:szCs w:val="22"/>
        </w:rPr>
        <w:t>. McGraw-Hill.</w:t>
      </w:r>
      <w:r w:rsidRPr="003E08D9">
        <w:rPr>
          <w:rFonts w:ascii="Arial" w:hAnsi="Arial" w:cs="Arial"/>
          <w:sz w:val="22"/>
          <w:szCs w:val="22"/>
        </w:rPr>
        <w:br/>
        <w:t xml:space="preserve">Carroll, A. (1991) ‘The Pyramid of Corporate Social Responsibility’, </w:t>
      </w:r>
      <w:r w:rsidRPr="003E08D9">
        <w:rPr>
          <w:rFonts w:ascii="Arial" w:hAnsi="Arial" w:cs="Arial"/>
          <w:i/>
          <w:iCs/>
          <w:sz w:val="22"/>
          <w:szCs w:val="22"/>
        </w:rPr>
        <w:t>Business Horizons</w:t>
      </w:r>
      <w:r w:rsidRPr="003E08D9">
        <w:rPr>
          <w:rFonts w:ascii="Arial" w:hAnsi="Arial" w:cs="Arial"/>
          <w:sz w:val="22"/>
          <w:szCs w:val="22"/>
        </w:rPr>
        <w:t>, 34(4), pp. 39–48.</w:t>
      </w:r>
      <w:r w:rsidRPr="003E08D9">
        <w:rPr>
          <w:rFonts w:ascii="Arial" w:hAnsi="Arial" w:cs="Arial"/>
          <w:sz w:val="22"/>
          <w:szCs w:val="22"/>
        </w:rPr>
        <w:br/>
        <w:t xml:space="preserve">Christopher, M. (2016) </w:t>
      </w:r>
      <w:r w:rsidRPr="003E08D9">
        <w:rPr>
          <w:rFonts w:ascii="Arial" w:hAnsi="Arial" w:cs="Arial"/>
          <w:i/>
          <w:iCs/>
          <w:sz w:val="22"/>
          <w:szCs w:val="22"/>
        </w:rPr>
        <w:t>Logistics and Supply Chain Management</w:t>
      </w:r>
      <w:r w:rsidRPr="003E08D9">
        <w:rPr>
          <w:rFonts w:ascii="Arial" w:hAnsi="Arial" w:cs="Arial"/>
          <w:sz w:val="22"/>
          <w:szCs w:val="22"/>
        </w:rPr>
        <w:t>. Pearson.</w:t>
      </w:r>
      <w:r w:rsidRPr="003E08D9">
        <w:rPr>
          <w:rFonts w:ascii="Arial" w:hAnsi="Arial" w:cs="Arial"/>
          <w:sz w:val="22"/>
          <w:szCs w:val="22"/>
        </w:rPr>
        <w:br/>
        <w:t xml:space="preserve">Damodaran, A. (2015) </w:t>
      </w:r>
      <w:r w:rsidRPr="003E08D9">
        <w:rPr>
          <w:rFonts w:ascii="Arial" w:hAnsi="Arial" w:cs="Arial"/>
          <w:i/>
          <w:iCs/>
          <w:sz w:val="22"/>
          <w:szCs w:val="22"/>
        </w:rPr>
        <w:t>Applied Corporate Finance</w:t>
      </w:r>
      <w:r w:rsidRPr="003E08D9">
        <w:rPr>
          <w:rFonts w:ascii="Arial" w:hAnsi="Arial" w:cs="Arial"/>
          <w:sz w:val="22"/>
          <w:szCs w:val="22"/>
        </w:rPr>
        <w:t>. Wiley.</w:t>
      </w:r>
      <w:r w:rsidRPr="003E08D9">
        <w:rPr>
          <w:rFonts w:ascii="Arial" w:hAnsi="Arial" w:cs="Arial"/>
          <w:sz w:val="22"/>
          <w:szCs w:val="22"/>
        </w:rPr>
        <w:br/>
        <w:t xml:space="preserve">Kotter, J. (2012) </w:t>
      </w:r>
      <w:r w:rsidRPr="003E08D9">
        <w:rPr>
          <w:rFonts w:ascii="Arial" w:hAnsi="Arial" w:cs="Arial"/>
          <w:i/>
          <w:iCs/>
          <w:sz w:val="22"/>
          <w:szCs w:val="22"/>
        </w:rPr>
        <w:t>Leading Change</w:t>
      </w:r>
      <w:r w:rsidRPr="003E08D9">
        <w:rPr>
          <w:rFonts w:ascii="Arial" w:hAnsi="Arial" w:cs="Arial"/>
          <w:sz w:val="22"/>
          <w:szCs w:val="22"/>
        </w:rPr>
        <w:t>. Harvard Business Review Press.</w:t>
      </w:r>
      <w:r w:rsidRPr="003E08D9">
        <w:rPr>
          <w:rFonts w:ascii="Arial" w:hAnsi="Arial" w:cs="Arial"/>
          <w:sz w:val="22"/>
          <w:szCs w:val="22"/>
        </w:rPr>
        <w:br/>
        <w:t xml:space="preserve">Porter, M. (2008) </w:t>
      </w:r>
      <w:r w:rsidRPr="003E08D9">
        <w:rPr>
          <w:rFonts w:ascii="Arial" w:hAnsi="Arial" w:cs="Arial"/>
          <w:i/>
          <w:iCs/>
          <w:sz w:val="22"/>
          <w:szCs w:val="22"/>
        </w:rPr>
        <w:t>Competitive Strategy</w:t>
      </w:r>
      <w:r w:rsidRPr="003E08D9">
        <w:rPr>
          <w:rFonts w:ascii="Arial" w:hAnsi="Arial" w:cs="Arial"/>
          <w:sz w:val="22"/>
          <w:szCs w:val="22"/>
        </w:rPr>
        <w:t>. Free Press.</w:t>
      </w:r>
    </w:p>
    <w:p w14:paraId="58CD71DD" w14:textId="77777777" w:rsidR="003E08D9" w:rsidRPr="003E08D9" w:rsidRDefault="003E08D9" w:rsidP="003E08D9">
      <w:pPr>
        <w:rPr>
          <w:rFonts w:ascii="Arial" w:hAnsi="Arial" w:cs="Arial"/>
          <w:sz w:val="22"/>
          <w:szCs w:val="22"/>
        </w:rPr>
      </w:pPr>
    </w:p>
    <w:p w14:paraId="4C6A8032" w14:textId="77777777" w:rsidR="003E08D9" w:rsidRPr="003E08D9" w:rsidRDefault="003E08D9">
      <w:pPr>
        <w:rPr>
          <w:rFonts w:ascii="Arial" w:hAnsi="Arial" w:cs="Arial"/>
          <w:sz w:val="22"/>
          <w:szCs w:val="22"/>
        </w:rPr>
      </w:pPr>
    </w:p>
    <w:sectPr w:rsidR="003E08D9" w:rsidRPr="003E08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A7488"/>
    <w:multiLevelType w:val="multilevel"/>
    <w:tmpl w:val="A49A1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DC346C"/>
    <w:multiLevelType w:val="multilevel"/>
    <w:tmpl w:val="AA9E1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5B259C"/>
    <w:multiLevelType w:val="multilevel"/>
    <w:tmpl w:val="1932E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9D47EA"/>
    <w:multiLevelType w:val="multilevel"/>
    <w:tmpl w:val="2C9A8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AF57F5"/>
    <w:multiLevelType w:val="multilevel"/>
    <w:tmpl w:val="49720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A17511"/>
    <w:multiLevelType w:val="multilevel"/>
    <w:tmpl w:val="DA487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A756EA"/>
    <w:multiLevelType w:val="multilevel"/>
    <w:tmpl w:val="36327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7F6547"/>
    <w:multiLevelType w:val="multilevel"/>
    <w:tmpl w:val="4588E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C7391C"/>
    <w:multiLevelType w:val="multilevel"/>
    <w:tmpl w:val="43D21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B513B2"/>
    <w:multiLevelType w:val="multilevel"/>
    <w:tmpl w:val="705E6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D97A79"/>
    <w:multiLevelType w:val="multilevel"/>
    <w:tmpl w:val="A8E4D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34401A"/>
    <w:multiLevelType w:val="multilevel"/>
    <w:tmpl w:val="BD8E7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977AE1"/>
    <w:multiLevelType w:val="multilevel"/>
    <w:tmpl w:val="AE30F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4D770D"/>
    <w:multiLevelType w:val="multilevel"/>
    <w:tmpl w:val="1CBA7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070882"/>
    <w:multiLevelType w:val="multilevel"/>
    <w:tmpl w:val="20A24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914652"/>
    <w:multiLevelType w:val="multilevel"/>
    <w:tmpl w:val="FCD8A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7C91626"/>
    <w:multiLevelType w:val="multilevel"/>
    <w:tmpl w:val="D780C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447976"/>
    <w:multiLevelType w:val="multilevel"/>
    <w:tmpl w:val="F6581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A9F5AEF"/>
    <w:multiLevelType w:val="multilevel"/>
    <w:tmpl w:val="9F806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AD44261"/>
    <w:multiLevelType w:val="multilevel"/>
    <w:tmpl w:val="AF783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B784FC0"/>
    <w:multiLevelType w:val="multilevel"/>
    <w:tmpl w:val="7FEE4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E2877CB"/>
    <w:multiLevelType w:val="multilevel"/>
    <w:tmpl w:val="007E1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15430FF"/>
    <w:multiLevelType w:val="multilevel"/>
    <w:tmpl w:val="BDE47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49E4E26"/>
    <w:multiLevelType w:val="multilevel"/>
    <w:tmpl w:val="AC524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55C3DD9"/>
    <w:multiLevelType w:val="multilevel"/>
    <w:tmpl w:val="F9282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8491212"/>
    <w:multiLevelType w:val="multilevel"/>
    <w:tmpl w:val="FDC61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ABA3968"/>
    <w:multiLevelType w:val="multilevel"/>
    <w:tmpl w:val="32485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C141316"/>
    <w:multiLevelType w:val="multilevel"/>
    <w:tmpl w:val="E75A1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CD15A45"/>
    <w:multiLevelType w:val="multilevel"/>
    <w:tmpl w:val="91027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E9A579B"/>
    <w:multiLevelType w:val="multilevel"/>
    <w:tmpl w:val="2CB232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1441FAB"/>
    <w:multiLevelType w:val="multilevel"/>
    <w:tmpl w:val="55A63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1C603B6"/>
    <w:multiLevelType w:val="multilevel"/>
    <w:tmpl w:val="3814E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28B2076"/>
    <w:multiLevelType w:val="multilevel"/>
    <w:tmpl w:val="31063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7867B2A"/>
    <w:multiLevelType w:val="multilevel"/>
    <w:tmpl w:val="A6E2C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EB45A97"/>
    <w:multiLevelType w:val="multilevel"/>
    <w:tmpl w:val="3BFCA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FD826A9"/>
    <w:multiLevelType w:val="multilevel"/>
    <w:tmpl w:val="BDC83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3E10710"/>
    <w:multiLevelType w:val="multilevel"/>
    <w:tmpl w:val="48A65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8B66579"/>
    <w:multiLevelType w:val="multilevel"/>
    <w:tmpl w:val="2B62C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DF1165A"/>
    <w:multiLevelType w:val="multilevel"/>
    <w:tmpl w:val="61A45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2656EB2"/>
    <w:multiLevelType w:val="multilevel"/>
    <w:tmpl w:val="D7A69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44E1AE8"/>
    <w:multiLevelType w:val="multilevel"/>
    <w:tmpl w:val="D0B2D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A2C34F0"/>
    <w:multiLevelType w:val="multilevel"/>
    <w:tmpl w:val="4EB60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E6702C5"/>
    <w:multiLevelType w:val="multilevel"/>
    <w:tmpl w:val="DD440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5464058">
    <w:abstractNumId w:val="40"/>
  </w:num>
  <w:num w:numId="2" w16cid:durableId="240919144">
    <w:abstractNumId w:val="17"/>
  </w:num>
  <w:num w:numId="3" w16cid:durableId="1480002990">
    <w:abstractNumId w:val="21"/>
  </w:num>
  <w:num w:numId="4" w16cid:durableId="1222980101">
    <w:abstractNumId w:val="7"/>
  </w:num>
  <w:num w:numId="5" w16cid:durableId="64190198">
    <w:abstractNumId w:val="16"/>
  </w:num>
  <w:num w:numId="6" w16cid:durableId="1317804978">
    <w:abstractNumId w:val="0"/>
  </w:num>
  <w:num w:numId="7" w16cid:durableId="1517109738">
    <w:abstractNumId w:val="22"/>
  </w:num>
  <w:num w:numId="8" w16cid:durableId="1188908928">
    <w:abstractNumId w:val="37"/>
  </w:num>
  <w:num w:numId="9" w16cid:durableId="1758139027">
    <w:abstractNumId w:val="12"/>
  </w:num>
  <w:num w:numId="10" w16cid:durableId="1311134900">
    <w:abstractNumId w:val="30"/>
  </w:num>
  <w:num w:numId="11" w16cid:durableId="1935167039">
    <w:abstractNumId w:val="24"/>
  </w:num>
  <w:num w:numId="12" w16cid:durableId="538709366">
    <w:abstractNumId w:val="42"/>
  </w:num>
  <w:num w:numId="13" w16cid:durableId="43020827">
    <w:abstractNumId w:val="6"/>
  </w:num>
  <w:num w:numId="14" w16cid:durableId="306710949">
    <w:abstractNumId w:val="29"/>
  </w:num>
  <w:num w:numId="15" w16cid:durableId="1747802598">
    <w:abstractNumId w:val="23"/>
  </w:num>
  <w:num w:numId="16" w16cid:durableId="1762220935">
    <w:abstractNumId w:val="9"/>
  </w:num>
  <w:num w:numId="17" w16cid:durableId="2104913745">
    <w:abstractNumId w:val="11"/>
  </w:num>
  <w:num w:numId="18" w16cid:durableId="737901957">
    <w:abstractNumId w:val="26"/>
  </w:num>
  <w:num w:numId="19" w16cid:durableId="1063334284">
    <w:abstractNumId w:val="19"/>
  </w:num>
  <w:num w:numId="20" w16cid:durableId="482697231">
    <w:abstractNumId w:val="41"/>
  </w:num>
  <w:num w:numId="21" w16cid:durableId="1357730301">
    <w:abstractNumId w:val="36"/>
  </w:num>
  <w:num w:numId="22" w16cid:durableId="907153409">
    <w:abstractNumId w:val="14"/>
  </w:num>
  <w:num w:numId="23" w16cid:durableId="285820725">
    <w:abstractNumId w:val="13"/>
  </w:num>
  <w:num w:numId="24" w16cid:durableId="423302844">
    <w:abstractNumId w:val="4"/>
  </w:num>
  <w:num w:numId="25" w16cid:durableId="999192176">
    <w:abstractNumId w:val="27"/>
  </w:num>
  <w:num w:numId="26" w16cid:durableId="1680424212">
    <w:abstractNumId w:val="2"/>
  </w:num>
  <w:num w:numId="27" w16cid:durableId="1575118999">
    <w:abstractNumId w:val="35"/>
  </w:num>
  <w:num w:numId="28" w16cid:durableId="1217544625">
    <w:abstractNumId w:val="25"/>
  </w:num>
  <w:num w:numId="29" w16cid:durableId="1366826952">
    <w:abstractNumId w:val="33"/>
  </w:num>
  <w:num w:numId="30" w16cid:durableId="1904556249">
    <w:abstractNumId w:val="1"/>
  </w:num>
  <w:num w:numId="31" w16cid:durableId="1115636263">
    <w:abstractNumId w:val="8"/>
  </w:num>
  <w:num w:numId="32" w16cid:durableId="458839009">
    <w:abstractNumId w:val="3"/>
  </w:num>
  <w:num w:numId="33" w16cid:durableId="428083987">
    <w:abstractNumId w:val="18"/>
  </w:num>
  <w:num w:numId="34" w16cid:durableId="1923176925">
    <w:abstractNumId w:val="5"/>
  </w:num>
  <w:num w:numId="35" w16cid:durableId="615522849">
    <w:abstractNumId w:val="32"/>
  </w:num>
  <w:num w:numId="36" w16cid:durableId="436485755">
    <w:abstractNumId w:val="39"/>
  </w:num>
  <w:num w:numId="37" w16cid:durableId="418716273">
    <w:abstractNumId w:val="31"/>
  </w:num>
  <w:num w:numId="38" w16cid:durableId="781270029">
    <w:abstractNumId w:val="15"/>
  </w:num>
  <w:num w:numId="39" w16cid:durableId="1597519375">
    <w:abstractNumId w:val="38"/>
  </w:num>
  <w:num w:numId="40" w16cid:durableId="1775133638">
    <w:abstractNumId w:val="20"/>
  </w:num>
  <w:num w:numId="41" w16cid:durableId="1197161660">
    <w:abstractNumId w:val="34"/>
  </w:num>
  <w:num w:numId="42" w16cid:durableId="1130592684">
    <w:abstractNumId w:val="28"/>
  </w:num>
  <w:num w:numId="43" w16cid:durableId="42395668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8D9"/>
    <w:rsid w:val="003E08D9"/>
    <w:rsid w:val="003F15E6"/>
    <w:rsid w:val="00FA3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ACB54"/>
  <w15:chartTrackingRefBased/>
  <w15:docId w15:val="{14F2A9F6-84D5-45EE-BD5D-49201E8EE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08D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3E08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08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08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08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08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08D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08D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08D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08D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8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08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08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08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08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08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08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08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08D9"/>
    <w:rPr>
      <w:rFonts w:eastAsiaTheme="majorEastAsia" w:cstheme="majorBidi"/>
      <w:color w:val="272727" w:themeColor="text1" w:themeTint="D8"/>
    </w:rPr>
  </w:style>
  <w:style w:type="paragraph" w:styleId="Title">
    <w:name w:val="Title"/>
    <w:basedOn w:val="Normal"/>
    <w:next w:val="Normal"/>
    <w:link w:val="TitleChar"/>
    <w:uiPriority w:val="10"/>
    <w:qFormat/>
    <w:rsid w:val="003E08D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08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08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08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08D9"/>
    <w:pPr>
      <w:spacing w:before="160"/>
      <w:jc w:val="center"/>
    </w:pPr>
    <w:rPr>
      <w:i/>
      <w:iCs/>
      <w:color w:val="404040" w:themeColor="text1" w:themeTint="BF"/>
    </w:rPr>
  </w:style>
  <w:style w:type="character" w:customStyle="1" w:styleId="QuoteChar">
    <w:name w:val="Quote Char"/>
    <w:basedOn w:val="DefaultParagraphFont"/>
    <w:link w:val="Quote"/>
    <w:uiPriority w:val="29"/>
    <w:rsid w:val="003E08D9"/>
    <w:rPr>
      <w:i/>
      <w:iCs/>
      <w:color w:val="404040" w:themeColor="text1" w:themeTint="BF"/>
    </w:rPr>
  </w:style>
  <w:style w:type="paragraph" w:styleId="ListParagraph">
    <w:name w:val="List Paragraph"/>
    <w:basedOn w:val="Normal"/>
    <w:uiPriority w:val="34"/>
    <w:qFormat/>
    <w:rsid w:val="003E08D9"/>
    <w:pPr>
      <w:ind w:left="720"/>
      <w:contextualSpacing/>
    </w:pPr>
  </w:style>
  <w:style w:type="character" w:styleId="IntenseEmphasis">
    <w:name w:val="Intense Emphasis"/>
    <w:basedOn w:val="DefaultParagraphFont"/>
    <w:uiPriority w:val="21"/>
    <w:qFormat/>
    <w:rsid w:val="003E08D9"/>
    <w:rPr>
      <w:i/>
      <w:iCs/>
      <w:color w:val="0F4761" w:themeColor="accent1" w:themeShade="BF"/>
    </w:rPr>
  </w:style>
  <w:style w:type="paragraph" w:styleId="IntenseQuote">
    <w:name w:val="Intense Quote"/>
    <w:basedOn w:val="Normal"/>
    <w:next w:val="Normal"/>
    <w:link w:val="IntenseQuoteChar"/>
    <w:uiPriority w:val="30"/>
    <w:qFormat/>
    <w:rsid w:val="003E08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08D9"/>
    <w:rPr>
      <w:i/>
      <w:iCs/>
      <w:color w:val="0F4761" w:themeColor="accent1" w:themeShade="BF"/>
    </w:rPr>
  </w:style>
  <w:style w:type="character" w:styleId="IntenseReference">
    <w:name w:val="Intense Reference"/>
    <w:basedOn w:val="DefaultParagraphFont"/>
    <w:uiPriority w:val="32"/>
    <w:qFormat/>
    <w:rsid w:val="003E08D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12</Pages>
  <Words>3541</Words>
  <Characters>21182</Characters>
  <Application>Microsoft Office Word</Application>
  <DocSecurity>0</DocSecurity>
  <Lines>1323</Lines>
  <Paragraphs>537</Paragraphs>
  <ScaleCrop>false</ScaleCrop>
  <Company/>
  <LinksUpToDate>false</LinksUpToDate>
  <CharactersWithSpaces>24186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Craciun</dc:creator>
  <cp:keywords/>
  <dc:description/>
  <cp:lastModifiedBy>Andreea Craciun</cp:lastModifiedBy>
  <cp:revision>1</cp:revision>
  <dcterms:created xsi:type="dcterms:W3CDTF">2025-11-24T09:28:00Z</dcterms:created>
  <dcterms:modified xsi:type="dcterms:W3CDTF">2025-11-24T09:35:00Z</dcterms:modified>
</cp:coreProperties>
</file>