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36A57" w14:textId="77777777" w:rsidR="00F21702" w:rsidRPr="00474543" w:rsidRDefault="00F21702" w:rsidP="00474543">
      <w:pPr>
        <w:spacing w:line="360" w:lineRule="auto"/>
        <w:jc w:val="center"/>
        <w:rPr>
          <w:rFonts w:ascii="Arial" w:hAnsi="Arial" w:cs="Arial"/>
          <w:b/>
          <w:bCs/>
          <w:lang w:val="bg-BG"/>
        </w:rPr>
      </w:pPr>
      <w:r w:rsidRPr="00D84A51">
        <w:rPr>
          <w:rFonts w:ascii="Arial" w:hAnsi="Arial" w:cs="Arial"/>
          <w:b/>
          <w:bCs/>
        </w:rPr>
        <w:t>Workplace Culture and its impact on Organisational Efficiency</w:t>
      </w:r>
    </w:p>
    <w:p w14:paraId="19437C13" w14:textId="77777777" w:rsidR="00F21702" w:rsidRPr="00D84A51" w:rsidRDefault="00F21702" w:rsidP="00474543">
      <w:pPr>
        <w:spacing w:line="360" w:lineRule="auto"/>
        <w:jc w:val="center"/>
        <w:rPr>
          <w:rFonts w:ascii="Arial" w:hAnsi="Arial" w:cs="Arial"/>
          <w:b/>
          <w:bCs/>
        </w:rPr>
      </w:pPr>
      <w:r w:rsidRPr="00D84A51">
        <w:rPr>
          <w:rFonts w:ascii="Arial" w:hAnsi="Arial" w:cs="Arial"/>
          <w:b/>
          <w:bCs/>
        </w:rPr>
        <w:t>Module code: BMSW5105</w:t>
      </w:r>
    </w:p>
    <w:p w14:paraId="4CFBB107" w14:textId="77777777" w:rsidR="00F21702" w:rsidRPr="00D84A51" w:rsidRDefault="00F21702" w:rsidP="00474543">
      <w:pPr>
        <w:spacing w:line="360" w:lineRule="auto"/>
        <w:jc w:val="center"/>
      </w:pPr>
      <w:r w:rsidRPr="00D84A51">
        <w:rPr>
          <w:rFonts w:ascii="Arial" w:hAnsi="Arial" w:cs="Arial"/>
          <w:b/>
          <w:bCs/>
        </w:rPr>
        <w:t xml:space="preserve">Lecturer: </w:t>
      </w:r>
      <w:proofErr w:type="spellStart"/>
      <w:r w:rsidRPr="00D84A51">
        <w:rPr>
          <w:rFonts w:ascii="Arial" w:hAnsi="Arial" w:cs="Arial"/>
          <w:b/>
          <w:bCs/>
        </w:rPr>
        <w:t>Olusoyi</w:t>
      </w:r>
      <w:proofErr w:type="spellEnd"/>
      <w:r w:rsidRPr="00D84A51">
        <w:rPr>
          <w:rFonts w:ascii="Arial" w:hAnsi="Arial" w:cs="Arial"/>
          <w:b/>
          <w:bCs/>
        </w:rPr>
        <w:t xml:space="preserve"> </w:t>
      </w:r>
      <w:proofErr w:type="spellStart"/>
      <w:r w:rsidRPr="00D84A51">
        <w:rPr>
          <w:rFonts w:ascii="Arial" w:hAnsi="Arial" w:cs="Arial"/>
          <w:b/>
          <w:bCs/>
        </w:rPr>
        <w:t>Ashaye</w:t>
      </w:r>
      <w:proofErr w:type="spellEnd"/>
    </w:p>
    <w:p w14:paraId="6EC3485C" w14:textId="77777777" w:rsidR="00F21702" w:rsidRPr="00D84A51" w:rsidRDefault="00F21702" w:rsidP="00474543">
      <w:pPr>
        <w:spacing w:line="360" w:lineRule="auto"/>
        <w:jc w:val="center"/>
        <w:rPr>
          <w:rFonts w:ascii="Arial" w:hAnsi="Arial" w:cs="Arial"/>
          <w:b/>
          <w:bCs/>
        </w:rPr>
      </w:pPr>
      <w:r w:rsidRPr="00D84A51">
        <w:rPr>
          <w:rFonts w:ascii="Arial" w:hAnsi="Arial" w:cs="Arial"/>
          <w:b/>
          <w:bCs/>
        </w:rPr>
        <w:t>Student: Miroslav Todorov Grigorov</w:t>
      </w:r>
    </w:p>
    <w:p w14:paraId="54BBE410" w14:textId="77777777" w:rsidR="00F21702" w:rsidRPr="00D84A51" w:rsidRDefault="00F21702" w:rsidP="00474543">
      <w:pPr>
        <w:spacing w:line="360" w:lineRule="auto"/>
        <w:jc w:val="center"/>
        <w:rPr>
          <w:rFonts w:ascii="Arial" w:hAnsi="Arial" w:cs="Arial"/>
          <w:b/>
          <w:bCs/>
        </w:rPr>
      </w:pPr>
      <w:r w:rsidRPr="00D84A51">
        <w:rPr>
          <w:rFonts w:ascii="Arial" w:hAnsi="Arial" w:cs="Arial"/>
          <w:b/>
          <w:bCs/>
        </w:rPr>
        <w:t>Student ID: 2120340</w:t>
      </w:r>
    </w:p>
    <w:p w14:paraId="4729105B" w14:textId="77777777" w:rsidR="00F21702" w:rsidRDefault="00F21702" w:rsidP="00474543">
      <w:pPr>
        <w:spacing w:line="360" w:lineRule="auto"/>
        <w:jc w:val="center"/>
        <w:rPr>
          <w:rFonts w:ascii="Arial" w:hAnsi="Arial" w:cs="Arial"/>
          <w:b/>
          <w:bCs/>
          <w:sz w:val="32"/>
          <w:szCs w:val="32"/>
        </w:rPr>
      </w:pPr>
    </w:p>
    <w:p w14:paraId="0D654509" w14:textId="77777777" w:rsidR="00F21702" w:rsidRPr="006A57F0" w:rsidRDefault="00A82B64" w:rsidP="00474543">
      <w:pPr>
        <w:spacing w:line="360" w:lineRule="auto"/>
        <w:jc w:val="center"/>
        <w:rPr>
          <w:rFonts w:ascii="Arial" w:hAnsi="Arial" w:cs="Arial"/>
          <w:b/>
          <w:bCs/>
          <w:sz w:val="28"/>
          <w:szCs w:val="28"/>
        </w:rPr>
      </w:pPr>
      <w:r w:rsidRPr="006A57F0">
        <w:rPr>
          <w:rFonts w:ascii="Arial" w:hAnsi="Arial" w:cs="Arial"/>
          <w:b/>
          <w:bCs/>
          <w:sz w:val="28"/>
          <w:szCs w:val="28"/>
        </w:rPr>
        <w:t>Reflective Interview</w:t>
      </w:r>
    </w:p>
    <w:p w14:paraId="011612CF" w14:textId="77777777" w:rsidR="00A82B64" w:rsidRDefault="00F21702" w:rsidP="00474543">
      <w:pPr>
        <w:spacing w:line="360" w:lineRule="auto"/>
        <w:jc w:val="center"/>
        <w:rPr>
          <w:rFonts w:ascii="Arial" w:hAnsi="Arial" w:cs="Arial"/>
          <w:b/>
          <w:bCs/>
        </w:rPr>
      </w:pPr>
      <w:r w:rsidRPr="00F21702">
        <w:rPr>
          <w:rFonts w:ascii="Arial" w:hAnsi="Arial" w:cs="Arial"/>
          <w:b/>
          <w:bCs/>
        </w:rPr>
        <w:t xml:space="preserve">Gibbs Reflection  </w:t>
      </w:r>
      <w:r>
        <w:rPr>
          <w:rFonts w:ascii="Arial" w:hAnsi="Arial" w:cs="Arial"/>
          <w:b/>
          <w:bCs/>
        </w:rPr>
        <w:t>Model</w:t>
      </w:r>
      <w:r w:rsidR="00474543">
        <w:rPr>
          <w:rFonts w:ascii="Arial" w:hAnsi="Arial" w:cs="Arial"/>
          <w:b/>
          <w:bCs/>
        </w:rPr>
        <w:t xml:space="preserve"> :</w:t>
      </w:r>
    </w:p>
    <w:p w14:paraId="46DC4CF1" w14:textId="77777777" w:rsidR="00474543" w:rsidRDefault="00474543" w:rsidP="00474543">
      <w:pPr>
        <w:spacing w:line="360" w:lineRule="auto"/>
        <w:jc w:val="center"/>
        <w:rPr>
          <w:rFonts w:ascii="Arial" w:hAnsi="Arial" w:cs="Arial"/>
          <w:b/>
          <w:bCs/>
        </w:rPr>
      </w:pPr>
    </w:p>
    <w:p w14:paraId="0C8086CE" w14:textId="77777777" w:rsidR="00474543" w:rsidRDefault="00474543" w:rsidP="00A82B64">
      <w:pPr>
        <w:jc w:val="center"/>
        <w:rPr>
          <w:rFonts w:ascii="Arial" w:hAnsi="Arial" w:cs="Arial"/>
          <w:b/>
          <w:bCs/>
        </w:rPr>
      </w:pPr>
    </w:p>
    <w:p w14:paraId="39C05631" w14:textId="77777777" w:rsidR="00474543" w:rsidRDefault="00474543" w:rsidP="00A82B64">
      <w:pPr>
        <w:jc w:val="center"/>
        <w:rPr>
          <w:rFonts w:ascii="Arial" w:hAnsi="Arial" w:cs="Arial"/>
          <w:b/>
          <w:bCs/>
        </w:rPr>
      </w:pPr>
    </w:p>
    <w:p w14:paraId="22B768F9" w14:textId="77777777" w:rsidR="00474543" w:rsidRDefault="006A57F0" w:rsidP="00A82B64">
      <w:pPr>
        <w:jc w:val="center"/>
        <w:rPr>
          <w:rFonts w:ascii="Arial" w:hAnsi="Arial" w:cs="Arial"/>
          <w:b/>
          <w:bCs/>
        </w:rPr>
      </w:pPr>
      <w:r>
        <w:rPr>
          <w:noProof/>
        </w:rPr>
        <w:drawing>
          <wp:inline distT="0" distB="0" distL="0" distR="0" wp14:anchorId="1753331D" wp14:editId="6DDC94E2">
            <wp:extent cx="2933700" cy="2252841"/>
            <wp:effectExtent l="0" t="0" r="0" b="0"/>
            <wp:docPr id="231132364"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132364" name="Picture 3" descr="A diagram of a 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4304" cy="2260984"/>
                    </a:xfrm>
                    <a:prstGeom prst="rect">
                      <a:avLst/>
                    </a:prstGeom>
                    <a:noFill/>
                    <a:ln>
                      <a:noFill/>
                    </a:ln>
                  </pic:spPr>
                </pic:pic>
              </a:graphicData>
            </a:graphic>
          </wp:inline>
        </w:drawing>
      </w:r>
    </w:p>
    <w:p w14:paraId="7142E3C2" w14:textId="77777777" w:rsidR="00F21702" w:rsidRPr="00474543" w:rsidRDefault="00F21702" w:rsidP="00A82B64">
      <w:pPr>
        <w:jc w:val="center"/>
        <w:rPr>
          <w:rFonts w:ascii="Arial" w:hAnsi="Arial" w:cs="Arial"/>
          <w:b/>
          <w:bCs/>
        </w:rPr>
      </w:pPr>
    </w:p>
    <w:p w14:paraId="2E28785F" w14:textId="77777777" w:rsidR="00474543" w:rsidRPr="00474543" w:rsidRDefault="00474543" w:rsidP="00474543">
      <w:pPr>
        <w:spacing w:line="360" w:lineRule="auto"/>
        <w:rPr>
          <w:rFonts w:ascii="Arial" w:hAnsi="Arial" w:cs="Arial"/>
        </w:rPr>
      </w:pPr>
      <w:r w:rsidRPr="00474543">
        <w:rPr>
          <w:rFonts w:ascii="Arial" w:hAnsi="Arial" w:cs="Arial"/>
          <w:b/>
          <w:bCs/>
        </w:rPr>
        <w:t>Description:</w:t>
      </w:r>
      <w:r w:rsidR="006A57F0">
        <w:rPr>
          <w:rFonts w:ascii="Arial" w:hAnsi="Arial" w:cs="Arial"/>
          <w:b/>
          <w:bCs/>
        </w:rPr>
        <w:t xml:space="preserve"> </w:t>
      </w:r>
      <w:r w:rsidR="006A57F0" w:rsidRPr="006A57F0">
        <w:rPr>
          <w:rFonts w:ascii="Arial" w:hAnsi="Arial" w:cs="Arial"/>
        </w:rPr>
        <w:t>In weeks 9-10 we</w:t>
      </w:r>
      <w:r w:rsidRPr="00474543">
        <w:rPr>
          <w:rFonts w:ascii="Arial" w:hAnsi="Arial" w:cs="Arial"/>
        </w:rPr>
        <w:t xml:space="preserve"> had the opportunity to engage in a meaningful interview with my lecturer, where we deve</w:t>
      </w:r>
      <w:r w:rsidR="00B6299E">
        <w:rPr>
          <w:rFonts w:ascii="Arial" w:hAnsi="Arial" w:cs="Arial"/>
        </w:rPr>
        <w:t>lope</w:t>
      </w:r>
      <w:r w:rsidRPr="00474543">
        <w:rPr>
          <w:rFonts w:ascii="Arial" w:hAnsi="Arial" w:cs="Arial"/>
        </w:rPr>
        <w:t>d the ethical practices and innovative approaches of EasyJet, a prominent airline company. Our conversation covered a wide range of topics, including the ethical landscape of the airline industry, how EasyJet seamlessly integrates ethics into its operations, the pivotal role of innovation, concrete examples of innovative practices within EasyJet, the alignment of ethics with the crucial aspect of environmental sustainability, the enduring importance of cultivating long-term supplier relationships, and recommendations for other entities seeking to infuse ethics and innovation into their operations.</w:t>
      </w:r>
    </w:p>
    <w:p w14:paraId="619EA7C1" w14:textId="77777777" w:rsidR="00474543" w:rsidRPr="00B6299E" w:rsidRDefault="00B6299E" w:rsidP="00B6299E">
      <w:pPr>
        <w:spacing w:line="360" w:lineRule="auto"/>
        <w:rPr>
          <w:rFonts w:ascii="Arial" w:hAnsi="Arial" w:cs="Arial"/>
        </w:rPr>
      </w:pPr>
      <w:r w:rsidRPr="00B6299E">
        <w:rPr>
          <w:rFonts w:ascii="Arial" w:hAnsi="Arial" w:cs="Arial"/>
          <w:b/>
          <w:bCs/>
        </w:rPr>
        <w:lastRenderedPageBreak/>
        <w:t>Feelings:</w:t>
      </w:r>
      <w:r>
        <w:rPr>
          <w:rFonts w:ascii="Arial" w:hAnsi="Arial" w:cs="Arial"/>
        </w:rPr>
        <w:t xml:space="preserve"> </w:t>
      </w:r>
      <w:r w:rsidRPr="00B6299E">
        <w:rPr>
          <w:rFonts w:ascii="Arial" w:hAnsi="Arial" w:cs="Arial"/>
        </w:rPr>
        <w:t xml:space="preserve">At the initiation of the interview, I encountered a blend of enthusiasm and trepidation. The anticipation of engaging in a discourse on EasyJet's ethical </w:t>
      </w:r>
      <w:r>
        <w:rPr>
          <w:rFonts w:ascii="Arial" w:hAnsi="Arial" w:cs="Arial"/>
        </w:rPr>
        <w:t>practices</w:t>
      </w:r>
      <w:r w:rsidRPr="00B6299E">
        <w:rPr>
          <w:rFonts w:ascii="Arial" w:hAnsi="Arial" w:cs="Arial"/>
        </w:rPr>
        <w:t xml:space="preserve"> and innovative techniques produced a sense of enthusiasm within me. However, there existed an underlying apprehension regarding the efficacy of adequately articulating my ideas. However, as the discourse progressed, I detected a noticeable change in my disposition </w:t>
      </w:r>
      <w:r>
        <w:rPr>
          <w:rFonts w:ascii="Arial" w:hAnsi="Arial" w:cs="Arial"/>
        </w:rPr>
        <w:t>toward</w:t>
      </w:r>
      <w:r w:rsidRPr="00B6299E">
        <w:rPr>
          <w:rFonts w:ascii="Arial" w:hAnsi="Arial" w:cs="Arial"/>
        </w:rPr>
        <w:t xml:space="preserve"> a more optimistic outlook. The ongoing interchange of ideas progressively enhanced my self-assurance, enabling me to manage the discourse with more certainty. The lecturer's adept methodology, </w:t>
      </w:r>
      <w:r>
        <w:rPr>
          <w:rFonts w:ascii="Arial" w:hAnsi="Arial" w:cs="Arial"/>
        </w:rPr>
        <w:t>characterized</w:t>
      </w:r>
      <w:r w:rsidRPr="00B6299E">
        <w:rPr>
          <w:rFonts w:ascii="Arial" w:hAnsi="Arial" w:cs="Arial"/>
        </w:rPr>
        <w:t xml:space="preserve"> by their supportive </w:t>
      </w:r>
      <w:proofErr w:type="spellStart"/>
      <w:r>
        <w:rPr>
          <w:rFonts w:ascii="Arial" w:hAnsi="Arial" w:cs="Arial"/>
        </w:rPr>
        <w:t>demeanor</w:t>
      </w:r>
      <w:proofErr w:type="spellEnd"/>
      <w:r w:rsidRPr="00B6299E">
        <w:rPr>
          <w:rFonts w:ascii="Arial" w:hAnsi="Arial" w:cs="Arial"/>
        </w:rPr>
        <w:t xml:space="preserve"> and stimulating inquiries, had a role in facilitating an environment </w:t>
      </w:r>
      <w:proofErr w:type="spellStart"/>
      <w:r>
        <w:rPr>
          <w:rFonts w:ascii="Arial" w:hAnsi="Arial" w:cs="Arial"/>
        </w:rPr>
        <w:t>favorable</w:t>
      </w:r>
      <w:proofErr w:type="spellEnd"/>
      <w:r w:rsidRPr="00B6299E">
        <w:rPr>
          <w:rFonts w:ascii="Arial" w:hAnsi="Arial" w:cs="Arial"/>
        </w:rPr>
        <w:t xml:space="preserve"> to uninhibited expression, thereby contributing to the aforementioned metamorphosis. The presence of a nurturing atmosphere not only mitigated my initial anxiety but also emboldened me to freely express my viewpoints and personal anecdotes without hesitation.</w:t>
      </w:r>
    </w:p>
    <w:p w14:paraId="1E968FC0" w14:textId="77777777" w:rsidR="00474543" w:rsidRPr="00474543" w:rsidRDefault="00474543" w:rsidP="00474543">
      <w:pPr>
        <w:spacing w:line="360" w:lineRule="auto"/>
        <w:rPr>
          <w:rFonts w:ascii="Arial" w:hAnsi="Arial" w:cs="Arial"/>
        </w:rPr>
      </w:pPr>
      <w:r w:rsidRPr="00474543">
        <w:rPr>
          <w:rFonts w:ascii="Arial" w:hAnsi="Arial" w:cs="Arial"/>
          <w:b/>
          <w:bCs/>
        </w:rPr>
        <w:t>Evaluation:</w:t>
      </w:r>
      <w:r w:rsidRPr="00474543">
        <w:rPr>
          <w:rFonts w:ascii="Arial" w:hAnsi="Arial" w:cs="Arial"/>
        </w:rPr>
        <w:t xml:space="preserve"> The interview unfolded fluidly, and I was able to provide thorough and insightful answers that were firmly rooted in my understanding of EasyJet's practices. The questions posed were thoughtfully constructed, leading me to expound on pivotal points. Through my responses, I successfully conveyed the profound importance of ethics and innovation within EasyJet's operational framework, underscoring how these principles contribute to the company's enduring success.</w:t>
      </w:r>
    </w:p>
    <w:p w14:paraId="11157D2A" w14:textId="77777777" w:rsidR="00474543" w:rsidRPr="00474543" w:rsidRDefault="00474543" w:rsidP="00474543">
      <w:pPr>
        <w:spacing w:line="360" w:lineRule="auto"/>
        <w:rPr>
          <w:rFonts w:ascii="Arial" w:hAnsi="Arial" w:cs="Arial"/>
        </w:rPr>
      </w:pPr>
      <w:r w:rsidRPr="00474543">
        <w:rPr>
          <w:rFonts w:ascii="Arial" w:hAnsi="Arial" w:cs="Arial"/>
          <w:b/>
          <w:bCs/>
        </w:rPr>
        <w:t>Analysis:</w:t>
      </w:r>
      <w:r w:rsidRPr="00474543">
        <w:rPr>
          <w:rFonts w:ascii="Arial" w:hAnsi="Arial" w:cs="Arial"/>
        </w:rPr>
        <w:t xml:space="preserve"> Reflecting upon the interview, I realize that I effectively communicated a nuanced understanding of how ethics, innovation, and operational excellence intersect. My illustrations of safety innovations, the adaptable approach to remote work, and the strategic investment in environmental sustainability demonstrated how EasyJet's practices are not only in line with industry trends but also grounded in ethical values. Furthermore, discussing the significance of long-term supplier relationships emphasized my recognition of the broader ethical ecosystem in which EasyJet operates.</w:t>
      </w:r>
    </w:p>
    <w:p w14:paraId="006F6185" w14:textId="77777777" w:rsidR="00474543" w:rsidRDefault="00474543" w:rsidP="00474543">
      <w:pPr>
        <w:spacing w:line="360" w:lineRule="auto"/>
        <w:rPr>
          <w:rFonts w:ascii="Arial" w:hAnsi="Arial" w:cs="Arial"/>
        </w:rPr>
      </w:pPr>
      <w:r w:rsidRPr="00474543">
        <w:rPr>
          <w:rFonts w:ascii="Arial" w:hAnsi="Arial" w:cs="Arial"/>
          <w:b/>
          <w:bCs/>
        </w:rPr>
        <w:t>Conclusion:</w:t>
      </w:r>
      <w:r w:rsidRPr="00474543">
        <w:rPr>
          <w:rFonts w:ascii="Arial" w:hAnsi="Arial" w:cs="Arial"/>
        </w:rPr>
        <w:t xml:space="preserve"> This interview experience provided a platform for me to eloquently articulate my perspectives on the synergy between ethics and innovation within a real-world corporate context. The interaction served as a powerful reminder of the critical importance of aligning core values with operational strategies and adeptly adapting to the dynamic shifts within the industry. Overall, I am confident that this interview showcased my ability to seamlessly integrate theoretical knowledge with pragmatic insights drawn from the successful practices of a leading airline like EasyJet.</w:t>
      </w:r>
    </w:p>
    <w:p w14:paraId="4BFCD3B4" w14:textId="77777777" w:rsidR="008F584D" w:rsidRDefault="008F584D" w:rsidP="00474543">
      <w:pPr>
        <w:spacing w:line="360" w:lineRule="auto"/>
        <w:rPr>
          <w:rFonts w:ascii="Arial" w:hAnsi="Arial" w:cs="Arial"/>
        </w:rPr>
      </w:pPr>
    </w:p>
    <w:sdt>
      <w:sdtPr>
        <w:id w:val="1256940760"/>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D52768F" w14:textId="77777777" w:rsidR="008F584D" w:rsidRPr="008F584D" w:rsidRDefault="008F584D" w:rsidP="008F584D">
          <w:pPr>
            <w:pStyle w:val="Heading1"/>
            <w:spacing w:line="360" w:lineRule="auto"/>
            <w:rPr>
              <w:rFonts w:ascii="Arial" w:hAnsi="Arial" w:cs="Arial"/>
            </w:rPr>
          </w:pPr>
          <w:r w:rsidRPr="008F584D">
            <w:rPr>
              <w:rFonts w:ascii="Arial" w:hAnsi="Arial" w:cs="Arial"/>
            </w:rPr>
            <w:t>References</w:t>
          </w:r>
        </w:p>
        <w:sdt>
          <w:sdtPr>
            <w:id w:val="-573587230"/>
            <w:bibliography/>
          </w:sdtPr>
          <w:sdtContent>
            <w:p w14:paraId="1F9B2CE9" w14:textId="77777777" w:rsidR="008F584D" w:rsidRPr="008F584D" w:rsidRDefault="008F584D" w:rsidP="008F584D">
              <w:pPr>
                <w:pStyle w:val="Bibliography"/>
                <w:spacing w:line="360" w:lineRule="auto"/>
                <w:ind w:left="720" w:hanging="720"/>
                <w:rPr>
                  <w:rFonts w:ascii="Arial" w:hAnsi="Arial" w:cs="Arial"/>
                  <w:i/>
                  <w:iCs/>
                  <w:noProof/>
                  <w:kern w:val="0"/>
                  <w:sz w:val="24"/>
                  <w:szCs w:val="24"/>
                  <w:lang w:val="en-US"/>
                  <w14:ligatures w14:val="none"/>
                </w:rPr>
              </w:pPr>
              <w:r w:rsidRPr="008F584D">
                <w:rPr>
                  <w:rFonts w:ascii="Arial" w:hAnsi="Arial" w:cs="Arial"/>
                  <w:i/>
                  <w:iCs/>
                </w:rPr>
                <w:fldChar w:fldCharType="begin"/>
              </w:r>
              <w:r w:rsidRPr="008F584D">
                <w:rPr>
                  <w:rFonts w:ascii="Arial" w:hAnsi="Arial" w:cs="Arial"/>
                  <w:i/>
                  <w:iCs/>
                </w:rPr>
                <w:instrText xml:space="preserve"> BIBLIOGRAPHY </w:instrText>
              </w:r>
              <w:r w:rsidRPr="008F584D">
                <w:rPr>
                  <w:rFonts w:ascii="Arial" w:hAnsi="Arial" w:cs="Arial"/>
                  <w:i/>
                  <w:iCs/>
                </w:rPr>
                <w:fldChar w:fldCharType="separate"/>
              </w:r>
              <w:r w:rsidRPr="008F584D">
                <w:rPr>
                  <w:rFonts w:ascii="Arial" w:hAnsi="Arial" w:cs="Arial"/>
                  <w:i/>
                  <w:iCs/>
                  <w:noProof/>
                  <w:lang w:val="en-US"/>
                </w:rPr>
                <w:t>PLC, E. (2022, 11 25). https://easyhistory.info/easyhistory-easy-family-photo-album-4th-edition-25-nov-22.pdf.</w:t>
              </w:r>
            </w:p>
            <w:p w14:paraId="1F169BC5" w14:textId="77777777" w:rsidR="008F584D" w:rsidRPr="008F584D" w:rsidRDefault="008F584D" w:rsidP="008F584D">
              <w:pPr>
                <w:pStyle w:val="Bibliography"/>
                <w:spacing w:line="360" w:lineRule="auto"/>
                <w:ind w:left="720" w:hanging="720"/>
                <w:rPr>
                  <w:rFonts w:ascii="Arial" w:hAnsi="Arial" w:cs="Arial"/>
                  <w:i/>
                  <w:iCs/>
                  <w:noProof/>
                  <w:lang w:val="en-US"/>
                </w:rPr>
              </w:pPr>
              <w:r w:rsidRPr="008F584D">
                <w:rPr>
                  <w:rFonts w:ascii="Arial" w:hAnsi="Arial" w:cs="Arial"/>
                  <w:i/>
                  <w:iCs/>
                  <w:noProof/>
                  <w:lang w:val="en-US"/>
                </w:rPr>
                <w:t>PLC, E. J. (2023). https://mediacentre.easyjet.com/story/15431/-nextgen-easyjet-is-ready-for-take-off-as-new-marketing-campaign-signals-a-new-era-for-the-brand.</w:t>
              </w:r>
            </w:p>
            <w:p w14:paraId="4162A617" w14:textId="77777777" w:rsidR="008F584D" w:rsidRPr="008F584D" w:rsidRDefault="008F584D" w:rsidP="008F584D">
              <w:pPr>
                <w:pStyle w:val="Bibliography"/>
                <w:spacing w:line="360" w:lineRule="auto"/>
                <w:ind w:left="720" w:hanging="720"/>
                <w:rPr>
                  <w:rFonts w:ascii="Arial" w:hAnsi="Arial" w:cs="Arial"/>
                  <w:i/>
                  <w:iCs/>
                  <w:noProof/>
                  <w:lang w:val="en-US"/>
                </w:rPr>
              </w:pPr>
              <w:r w:rsidRPr="008F584D">
                <w:rPr>
                  <w:rFonts w:ascii="Arial" w:hAnsi="Arial" w:cs="Arial"/>
                  <w:i/>
                  <w:iCs/>
                  <w:noProof/>
                  <w:lang w:val="en-US"/>
                </w:rPr>
                <w:t>Roland T. Rust, A. J. (1995, 04 2). https://www.jstor.org/stable/1252073. Retrieved from https://www.jstor.org/stable/1252073: https://www.jstor.org/stable/1252073</w:t>
              </w:r>
            </w:p>
            <w:p w14:paraId="008A8BD0" w14:textId="77777777" w:rsidR="008F584D" w:rsidRDefault="008F584D" w:rsidP="008F584D">
              <w:pPr>
                <w:spacing w:line="360" w:lineRule="auto"/>
              </w:pPr>
              <w:r w:rsidRPr="008F584D">
                <w:rPr>
                  <w:rFonts w:ascii="Arial" w:hAnsi="Arial" w:cs="Arial"/>
                  <w:b/>
                  <w:bCs/>
                  <w:i/>
                  <w:iCs/>
                  <w:noProof/>
                </w:rPr>
                <w:fldChar w:fldCharType="end"/>
              </w:r>
            </w:p>
          </w:sdtContent>
        </w:sdt>
      </w:sdtContent>
    </w:sdt>
    <w:p w14:paraId="5E225AAA" w14:textId="77777777" w:rsidR="008F584D" w:rsidRDefault="008F584D" w:rsidP="008F584D"/>
    <w:p w14:paraId="66FD1D20" w14:textId="77777777" w:rsidR="008F584D" w:rsidRPr="008F584D" w:rsidRDefault="008F584D" w:rsidP="00474543">
      <w:pPr>
        <w:spacing w:line="360" w:lineRule="auto"/>
        <w:rPr>
          <w:rFonts w:ascii="Arial" w:hAnsi="Arial" w:cs="Arial"/>
        </w:rPr>
      </w:pPr>
    </w:p>
    <w:sectPr w:rsidR="008F584D" w:rsidRPr="008F58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B64"/>
    <w:rsid w:val="000023B9"/>
    <w:rsid w:val="00474543"/>
    <w:rsid w:val="006A57F0"/>
    <w:rsid w:val="008F584D"/>
    <w:rsid w:val="00A82B64"/>
    <w:rsid w:val="00B6299E"/>
    <w:rsid w:val="00BC41EB"/>
    <w:rsid w:val="00BD1A68"/>
    <w:rsid w:val="00EC244F"/>
    <w:rsid w:val="00F21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E88C6"/>
  <w15:chartTrackingRefBased/>
  <w15:docId w15:val="{60747857-F6C5-4363-AB7E-703697DC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584D"/>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84D"/>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8F5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391310">
      <w:bodyDiv w:val="1"/>
      <w:marLeft w:val="0"/>
      <w:marRight w:val="0"/>
      <w:marTop w:val="0"/>
      <w:marBottom w:val="0"/>
      <w:divBdr>
        <w:top w:val="none" w:sz="0" w:space="0" w:color="auto"/>
        <w:left w:val="none" w:sz="0" w:space="0" w:color="auto"/>
        <w:bottom w:val="none" w:sz="0" w:space="0" w:color="auto"/>
        <w:right w:val="none" w:sz="0" w:space="0" w:color="auto"/>
      </w:divBdr>
    </w:div>
    <w:div w:id="168802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Rol95</b:Tag>
    <b:SourceType>InternetSite</b:SourceType>
    <b:Guid>{FD3BBCA8-52B6-4C50-8C18-BED5B8E4B80A}</b:Guid>
    <b:Author>
      <b:Author>
        <b:NameList>
          <b:Person>
            <b:Last>Roland T. Rust</b:Last>
            <b:First>Anthony</b:First>
            <b:Middle>J. Zahorik and Timothy L. Keiningham</b:Middle>
          </b:Person>
        </b:NameList>
      </b:Author>
    </b:Author>
    <b:Title>https://www.jstor.org/stable/1252073</b:Title>
    <b:InternetSiteTitle>https://www.jstor.org/stable/1252073</b:InternetSiteTitle>
    <b:Year>1995</b:Year>
    <b:Month>04</b:Month>
    <b:Day>2</b:Day>
    <b:URL>https://www.jstor.org/stable/1252073</b:URL>
    <b:RefOrder>1</b:RefOrder>
  </b:Source>
  <b:Source>
    <b:Tag>Eas231</b:Tag>
    <b:SourceType>InternetSite</b:SourceType>
    <b:Guid>{5711E51A-02CF-415B-A818-792126757B8F}</b:Guid>
    <b:Author>
      <b:Author>
        <b:NameList>
          <b:Person>
            <b:Last>PLC</b:Last>
            <b:First>Easy</b:First>
            <b:Middle>Jet</b:Middle>
          </b:Person>
        </b:NameList>
      </b:Author>
    </b:Author>
    <b:Title>https://mediacentre.easyjet.com/story/15431/-nextgen-easyjet-is-ready-for-take-off-as-new-marketing-campaign-signals-a-new-era-for-the-brand</b:Title>
    <b:Year>2023</b:Year>
    <b:RefOrder>2</b:RefOrder>
  </b:Source>
  <b:Source>
    <b:Tag>Eas22</b:Tag>
    <b:SourceType>InternetSite</b:SourceType>
    <b:Guid>{B7046B98-04B8-4DB1-8E2E-868F26437DC9}</b:Guid>
    <b:Author>
      <b:Author>
        <b:NameList>
          <b:Person>
            <b:Last>PLC</b:Last>
            <b:First>EasyJet</b:First>
          </b:Person>
        </b:NameList>
      </b:Author>
    </b:Author>
    <b:Title>https://easyhistory.info/easyhistory-easy-family-photo-album-4th-edition-25-nov-22.pdf</b:Title>
    <b:Year>2022</b:Year>
    <b:Month>11</b:Month>
    <b:Day>25</b:Day>
    <b:RefOrder>3</b:RefOrder>
  </b:Source>
</b:Sources>
</file>

<file path=customXml/itemProps1.xml><?xml version="1.0" encoding="utf-8"?>
<ds:datastoreItem xmlns:ds="http://schemas.openxmlformats.org/officeDocument/2006/customXml" ds:itemID="{668651F8-4BA3-4944-9657-C406A5757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610</Words>
  <Characters>3480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 Grigorov</dc:creator>
  <cp:keywords/>
  <dc:description/>
  <cp:lastModifiedBy>Miroslav Grigorov</cp:lastModifiedBy>
  <cp:revision>1</cp:revision>
  <dcterms:created xsi:type="dcterms:W3CDTF">2023-08-14T09:19:00Z</dcterms:created>
  <dcterms:modified xsi:type="dcterms:W3CDTF">2023-08-14T15:32:00Z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13879bbd-c7f9-4761-b30d-24de75039672</vt:lpwstr>
  </property>
</Properties>
</file>