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A0D0C" w14:textId="77777777" w:rsidR="008C1A65" w:rsidRDefault="00000000">
      <w:pPr>
        <w:ind w:left="154"/>
        <w:jc w:val="center"/>
        <w:rPr>
          <w:rFonts w:ascii="Times New Roman"/>
          <w:sz w:val="20"/>
        </w:rPr>
      </w:pPr>
      <w:r>
        <w:rPr>
          <w:rFonts w:cs="Arial"/>
          <w:noProof/>
          <w:sz w:val="44"/>
          <w:szCs w:val="44"/>
        </w:rPr>
        <w:drawing>
          <wp:anchor distT="0" distB="0" distL="114300" distR="114300" simplePos="0" relativeHeight="251659264" behindDoc="0" locked="0" layoutInCell="1" allowOverlap="1" wp14:anchorId="16B0517C" wp14:editId="0532B2FB">
            <wp:simplePos x="0" y="0"/>
            <wp:positionH relativeFrom="column">
              <wp:posOffset>1695450</wp:posOffset>
            </wp:positionH>
            <wp:positionV relativeFrom="paragraph">
              <wp:posOffset>0</wp:posOffset>
            </wp:positionV>
            <wp:extent cx="1801495" cy="594360"/>
            <wp:effectExtent l="0" t="0" r="0" b="0"/>
            <wp:wrapSquare wrapText="bothSides"/>
            <wp:docPr id="19"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9" name="Image 2" descr="Discover University of Wales Trinity Saint Davi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182" cy="594074"/>
                    </a:xfrm>
                    <a:prstGeom prst="rect">
                      <a:avLst/>
                    </a:prstGeom>
                  </pic:spPr>
                </pic:pic>
              </a:graphicData>
            </a:graphic>
          </wp:anchor>
        </w:drawing>
      </w:r>
      <w:r>
        <w:rPr>
          <w:rFonts w:ascii="Times New Roman"/>
          <w:sz w:val="20"/>
        </w:rPr>
        <w:br w:type="textWrapping" w:clear="all"/>
      </w:r>
    </w:p>
    <w:p w14:paraId="446365DE" w14:textId="77777777" w:rsidR="008C1A65" w:rsidRDefault="008C1A65">
      <w:pPr>
        <w:pStyle w:val="Heading2"/>
        <w:jc w:val="center"/>
        <w:rPr>
          <w:rStyle w:val="Strong"/>
          <w:rFonts w:asciiTheme="minorBidi" w:hAnsiTheme="minorBidi" w:cstheme="minorBidi"/>
        </w:rPr>
      </w:pPr>
    </w:p>
    <w:p w14:paraId="56276CEB" w14:textId="77777777" w:rsidR="0024280B" w:rsidRPr="0024280B" w:rsidRDefault="0024280B" w:rsidP="0024280B">
      <w:pPr>
        <w:spacing w:line="360" w:lineRule="auto"/>
        <w:jc w:val="center"/>
        <w:rPr>
          <w:sz w:val="32"/>
          <w:szCs w:val="32"/>
        </w:rPr>
      </w:pPr>
      <w:r w:rsidRPr="0024280B">
        <w:rPr>
          <w:sz w:val="32"/>
          <w:szCs w:val="32"/>
        </w:rPr>
        <w:t>Master of business administration</w:t>
      </w:r>
    </w:p>
    <w:p w14:paraId="418A633D" w14:textId="77777777" w:rsidR="0024280B" w:rsidRPr="0024280B" w:rsidRDefault="0024280B" w:rsidP="0024280B">
      <w:pPr>
        <w:spacing w:line="360" w:lineRule="auto"/>
        <w:jc w:val="center"/>
        <w:rPr>
          <w:sz w:val="32"/>
          <w:szCs w:val="32"/>
        </w:rPr>
      </w:pPr>
      <w:r w:rsidRPr="0024280B">
        <w:rPr>
          <w:sz w:val="32"/>
          <w:szCs w:val="32"/>
        </w:rPr>
        <w:t>Marketing management</w:t>
      </w:r>
    </w:p>
    <w:p w14:paraId="750DFC44" w14:textId="77777777" w:rsidR="0024280B" w:rsidRPr="0024280B" w:rsidRDefault="0024280B" w:rsidP="0024280B">
      <w:pPr>
        <w:spacing w:line="360" w:lineRule="auto"/>
        <w:jc w:val="center"/>
        <w:rPr>
          <w:sz w:val="32"/>
          <w:szCs w:val="32"/>
        </w:rPr>
      </w:pPr>
      <w:r w:rsidRPr="0024280B">
        <w:rPr>
          <w:sz w:val="32"/>
          <w:szCs w:val="32"/>
        </w:rPr>
        <w:t>Module code: LCMB7024</w:t>
      </w:r>
    </w:p>
    <w:p w14:paraId="3493A621" w14:textId="77777777" w:rsidR="0024280B" w:rsidRPr="0024280B" w:rsidRDefault="0024280B" w:rsidP="0024280B">
      <w:pPr>
        <w:spacing w:line="360" w:lineRule="auto"/>
        <w:jc w:val="center"/>
        <w:rPr>
          <w:sz w:val="32"/>
          <w:szCs w:val="32"/>
        </w:rPr>
      </w:pPr>
      <w:r w:rsidRPr="0024280B">
        <w:rPr>
          <w:sz w:val="32"/>
          <w:szCs w:val="32"/>
        </w:rPr>
        <w:t>Assessment component 1</w:t>
      </w:r>
    </w:p>
    <w:p w14:paraId="1F590958" w14:textId="77777777" w:rsidR="0024280B" w:rsidRPr="0024280B" w:rsidRDefault="0024280B" w:rsidP="0024280B">
      <w:pPr>
        <w:spacing w:line="360" w:lineRule="auto"/>
        <w:jc w:val="center"/>
        <w:rPr>
          <w:sz w:val="32"/>
          <w:szCs w:val="32"/>
        </w:rPr>
      </w:pPr>
      <w:r w:rsidRPr="0024280B">
        <w:rPr>
          <w:sz w:val="32"/>
          <w:szCs w:val="32"/>
        </w:rPr>
        <w:t>Marketing environment analysis</w:t>
      </w:r>
    </w:p>
    <w:p w14:paraId="35C84824" w14:textId="77777777" w:rsidR="0024280B" w:rsidRPr="0024280B" w:rsidRDefault="0024280B" w:rsidP="0024280B">
      <w:pPr>
        <w:spacing w:line="360" w:lineRule="auto"/>
        <w:jc w:val="center"/>
        <w:rPr>
          <w:sz w:val="32"/>
          <w:szCs w:val="32"/>
        </w:rPr>
      </w:pPr>
      <w:r w:rsidRPr="0024280B">
        <w:rPr>
          <w:sz w:val="32"/>
          <w:szCs w:val="32"/>
        </w:rPr>
        <w:t>Tata Steel</w:t>
      </w:r>
    </w:p>
    <w:p w14:paraId="5F845861" w14:textId="77777777" w:rsidR="0024280B" w:rsidRPr="0024280B" w:rsidRDefault="0024280B" w:rsidP="0024280B">
      <w:pPr>
        <w:spacing w:line="360" w:lineRule="auto"/>
        <w:jc w:val="center"/>
        <w:rPr>
          <w:sz w:val="32"/>
          <w:szCs w:val="32"/>
        </w:rPr>
      </w:pPr>
      <w:r w:rsidRPr="0024280B">
        <w:rPr>
          <w:sz w:val="32"/>
          <w:szCs w:val="32"/>
        </w:rPr>
        <w:t>Student name: Vijaybhai Ramabhai Goraniya</w:t>
      </w:r>
    </w:p>
    <w:p w14:paraId="733F7021" w14:textId="77777777" w:rsidR="0024280B" w:rsidRPr="0024280B" w:rsidRDefault="0024280B" w:rsidP="0024280B">
      <w:pPr>
        <w:spacing w:line="360" w:lineRule="auto"/>
        <w:jc w:val="center"/>
        <w:rPr>
          <w:sz w:val="32"/>
          <w:szCs w:val="32"/>
        </w:rPr>
      </w:pPr>
      <w:r w:rsidRPr="0024280B">
        <w:rPr>
          <w:sz w:val="32"/>
          <w:szCs w:val="32"/>
        </w:rPr>
        <w:t>Student number: 2612131</w:t>
      </w:r>
    </w:p>
    <w:p w14:paraId="63BD9B98" w14:textId="77777777" w:rsidR="0024280B" w:rsidRPr="0024280B" w:rsidRDefault="0024280B" w:rsidP="0024280B">
      <w:pPr>
        <w:spacing w:line="360" w:lineRule="auto"/>
        <w:jc w:val="center"/>
        <w:rPr>
          <w:sz w:val="32"/>
          <w:szCs w:val="32"/>
        </w:rPr>
      </w:pPr>
      <w:r w:rsidRPr="0024280B">
        <w:rPr>
          <w:sz w:val="32"/>
          <w:szCs w:val="32"/>
        </w:rPr>
        <w:t>Programme: Master of Business Administration</w:t>
      </w:r>
    </w:p>
    <w:p w14:paraId="7C070EED" w14:textId="77777777" w:rsidR="0024280B" w:rsidRPr="0024280B" w:rsidRDefault="0024280B" w:rsidP="0024280B">
      <w:pPr>
        <w:spacing w:line="360" w:lineRule="auto"/>
        <w:jc w:val="center"/>
        <w:rPr>
          <w:sz w:val="32"/>
          <w:szCs w:val="32"/>
        </w:rPr>
      </w:pPr>
      <w:r w:rsidRPr="0024280B">
        <w:rPr>
          <w:sz w:val="32"/>
          <w:szCs w:val="32"/>
        </w:rPr>
        <w:t>Module: Marketing Management</w:t>
      </w:r>
    </w:p>
    <w:p w14:paraId="35D48BD7" w14:textId="77777777" w:rsidR="0024280B" w:rsidRPr="0024280B" w:rsidRDefault="0024280B" w:rsidP="0024280B">
      <w:pPr>
        <w:spacing w:line="360" w:lineRule="auto"/>
        <w:jc w:val="center"/>
        <w:rPr>
          <w:sz w:val="32"/>
          <w:szCs w:val="32"/>
        </w:rPr>
      </w:pPr>
      <w:r w:rsidRPr="0024280B">
        <w:rPr>
          <w:sz w:val="32"/>
          <w:szCs w:val="32"/>
        </w:rPr>
        <w:t>Module code: LCMB7024</w:t>
      </w:r>
    </w:p>
    <w:p w14:paraId="360586C1" w14:textId="77777777" w:rsidR="0024280B" w:rsidRPr="0024280B" w:rsidRDefault="0024280B" w:rsidP="0024280B">
      <w:pPr>
        <w:spacing w:line="360" w:lineRule="auto"/>
        <w:jc w:val="center"/>
        <w:rPr>
          <w:sz w:val="32"/>
          <w:szCs w:val="32"/>
        </w:rPr>
      </w:pPr>
      <w:r w:rsidRPr="0024280B">
        <w:rPr>
          <w:sz w:val="32"/>
          <w:szCs w:val="32"/>
        </w:rPr>
        <w:t>Lecturer name: Taonga Kaonga Sobere-Snithers</w:t>
      </w:r>
    </w:p>
    <w:p w14:paraId="0D0F772D" w14:textId="77777777" w:rsidR="0024280B" w:rsidRPr="0024280B" w:rsidRDefault="0024280B" w:rsidP="0024280B">
      <w:pPr>
        <w:spacing w:line="360" w:lineRule="auto"/>
        <w:jc w:val="center"/>
        <w:rPr>
          <w:sz w:val="32"/>
          <w:szCs w:val="32"/>
        </w:rPr>
      </w:pPr>
      <w:r w:rsidRPr="0024280B">
        <w:rPr>
          <w:sz w:val="32"/>
          <w:szCs w:val="32"/>
        </w:rPr>
        <w:t>Assessment weighting: 50%</w:t>
      </w:r>
    </w:p>
    <w:p w14:paraId="255BC3C1" w14:textId="77777777" w:rsidR="0024280B" w:rsidRPr="0024280B" w:rsidRDefault="0024280B" w:rsidP="0024280B">
      <w:pPr>
        <w:spacing w:line="360" w:lineRule="auto"/>
        <w:jc w:val="center"/>
        <w:rPr>
          <w:sz w:val="32"/>
          <w:szCs w:val="32"/>
        </w:rPr>
      </w:pPr>
      <w:r w:rsidRPr="0024280B">
        <w:rPr>
          <w:sz w:val="32"/>
          <w:szCs w:val="32"/>
        </w:rPr>
        <w:t>Word count: 2,500 words</w:t>
      </w:r>
    </w:p>
    <w:p w14:paraId="4C7184C0" w14:textId="77777777" w:rsidR="0024280B" w:rsidRPr="0024280B" w:rsidRDefault="0024280B" w:rsidP="0024280B">
      <w:pPr>
        <w:spacing w:line="360" w:lineRule="auto"/>
        <w:jc w:val="center"/>
        <w:rPr>
          <w:sz w:val="32"/>
          <w:szCs w:val="32"/>
        </w:rPr>
      </w:pPr>
      <w:r w:rsidRPr="0024280B">
        <w:rPr>
          <w:sz w:val="32"/>
          <w:szCs w:val="32"/>
        </w:rPr>
        <w:t>Submission deadline: Thursday, 22 October 2026, 2:00 PM</w:t>
      </w:r>
    </w:p>
    <w:p w14:paraId="02AD8B50" w14:textId="77777777" w:rsidR="008C1A65" w:rsidRPr="0024280B" w:rsidRDefault="00000000" w:rsidP="0024280B">
      <w:pPr>
        <w:spacing w:after="0" w:line="360" w:lineRule="auto"/>
        <w:rPr>
          <w:sz w:val="32"/>
          <w:szCs w:val="32"/>
        </w:rPr>
      </w:pPr>
      <w:r w:rsidRPr="0024280B">
        <w:rPr>
          <w:rStyle w:val="Strong"/>
          <w:b w:val="0"/>
          <w:bCs w:val="0"/>
          <w:sz w:val="32"/>
          <w:szCs w:val="32"/>
        </w:rPr>
        <w:br w:type="page"/>
      </w:r>
      <w:bookmarkStart w:id="0" w:name="_Toc242310299"/>
    </w:p>
    <w:p w14:paraId="0D45855C" w14:textId="77777777" w:rsidR="008C1A65" w:rsidRDefault="008C1A65">
      <w:pPr>
        <w:spacing w:after="0" w:line="240" w:lineRule="auto"/>
        <w:rPr>
          <w:rFonts w:eastAsiaTheme="majorEastAsia" w:cstheme="majorBidi"/>
          <w:b/>
          <w:bCs/>
          <w:color w:val="17365D" w:themeColor="text2" w:themeShade="BF"/>
          <w:spacing w:val="4"/>
          <w:sz w:val="36"/>
          <w:szCs w:val="28"/>
        </w:rPr>
      </w:pPr>
    </w:p>
    <w:sdt>
      <w:sdtPr>
        <w:rPr>
          <w:rFonts w:ascii="Arial" w:eastAsiaTheme="minorHAnsi" w:hAnsi="Arial" w:cstheme="minorBidi"/>
          <w:color w:val="auto"/>
          <w:sz w:val="24"/>
          <w:szCs w:val="24"/>
        </w:rPr>
        <w:id w:val="789314588"/>
        <w:docPartObj>
          <w:docPartGallery w:val="Table of Contents"/>
          <w:docPartUnique/>
        </w:docPartObj>
      </w:sdtPr>
      <w:sdtEndPr>
        <w:rPr>
          <w:b/>
          <w:bCs/>
        </w:rPr>
      </w:sdtEndPr>
      <w:sdtContent>
        <w:p w14:paraId="3F19DDDC" w14:textId="77777777" w:rsidR="008C1A65" w:rsidRDefault="00000000">
          <w:pPr>
            <w:pStyle w:val="TOCHeading1"/>
            <w:jc w:val="center"/>
          </w:pPr>
          <w:r>
            <w:rPr>
              <w:rFonts w:ascii="Arial" w:hAnsi="Arial" w:cs="Arial"/>
              <w:b/>
            </w:rPr>
            <w:t>Table of Contents</w:t>
          </w:r>
        </w:p>
        <w:p w14:paraId="5E6106AE" w14:textId="77777777" w:rsidR="008C1A65" w:rsidRPr="0024280B" w:rsidRDefault="008C1A65" w:rsidP="0024280B">
          <w:pPr>
            <w:spacing w:line="360" w:lineRule="auto"/>
            <w:rPr>
              <w:sz w:val="28"/>
              <w:szCs w:val="28"/>
            </w:rPr>
          </w:pPr>
        </w:p>
        <w:p w14:paraId="3EF85578" w14:textId="4C5ADD60" w:rsidR="0024280B" w:rsidRPr="0024280B" w:rsidRDefault="00000000" w:rsidP="0024280B">
          <w:pPr>
            <w:pStyle w:val="TOC1"/>
            <w:rPr>
              <w:rFonts w:asciiTheme="minorHAnsi" w:eastAsiaTheme="minorEastAsia" w:hAnsiTheme="minorHAnsi"/>
              <w:kern w:val="2"/>
              <w14:ligatures w14:val="standardContextual"/>
            </w:rPr>
          </w:pPr>
          <w:r w:rsidRPr="0024280B">
            <w:rPr>
              <w:rFonts w:cs="Arial"/>
            </w:rPr>
            <w:fldChar w:fldCharType="begin"/>
          </w:r>
          <w:r w:rsidRPr="0024280B">
            <w:rPr>
              <w:rFonts w:cs="Arial"/>
            </w:rPr>
            <w:instrText xml:space="preserve"> TOC \o "1-3" \h \z \u </w:instrText>
          </w:r>
          <w:r w:rsidRPr="0024280B">
            <w:rPr>
              <w:rFonts w:cs="Arial"/>
            </w:rPr>
            <w:fldChar w:fldCharType="separate"/>
          </w:r>
          <w:hyperlink w:anchor="_Toc243510819" w:history="1">
            <w:r w:rsidR="0024280B" w:rsidRPr="0024280B">
              <w:rPr>
                <w:rStyle w:val="Hyperlink"/>
              </w:rPr>
              <w:t>Task 1: Marketing Environment Analysis</w:t>
            </w:r>
            <w:r w:rsidR="0024280B" w:rsidRPr="0024280B">
              <w:rPr>
                <w:webHidden/>
              </w:rPr>
              <w:tab/>
            </w:r>
            <w:r w:rsidR="0024280B" w:rsidRPr="0024280B">
              <w:rPr>
                <w:webHidden/>
              </w:rPr>
              <w:fldChar w:fldCharType="begin"/>
            </w:r>
            <w:r w:rsidR="0024280B" w:rsidRPr="0024280B">
              <w:rPr>
                <w:webHidden/>
              </w:rPr>
              <w:instrText xml:space="preserve"> PAGEREF _Toc243510819 \h </w:instrText>
            </w:r>
            <w:r w:rsidR="0024280B" w:rsidRPr="0024280B">
              <w:rPr>
                <w:webHidden/>
              </w:rPr>
            </w:r>
            <w:r w:rsidR="0024280B" w:rsidRPr="0024280B">
              <w:rPr>
                <w:webHidden/>
              </w:rPr>
              <w:fldChar w:fldCharType="separate"/>
            </w:r>
            <w:r w:rsidR="0024280B" w:rsidRPr="0024280B">
              <w:rPr>
                <w:webHidden/>
              </w:rPr>
              <w:t>3</w:t>
            </w:r>
            <w:r w:rsidR="0024280B" w:rsidRPr="0024280B">
              <w:rPr>
                <w:webHidden/>
              </w:rPr>
              <w:fldChar w:fldCharType="end"/>
            </w:r>
          </w:hyperlink>
        </w:p>
        <w:p w14:paraId="57F3C066" w14:textId="6D556E0B" w:rsidR="0024280B" w:rsidRPr="0024280B" w:rsidRDefault="0024280B" w:rsidP="0024280B">
          <w:pPr>
            <w:pStyle w:val="TOC2"/>
            <w:tabs>
              <w:tab w:val="left" w:pos="720"/>
            </w:tabs>
            <w:rPr>
              <w:rFonts w:asciiTheme="minorHAnsi" w:eastAsiaTheme="minorEastAsia" w:hAnsiTheme="minorHAnsi"/>
              <w:noProof/>
              <w:kern w:val="2"/>
              <w:sz w:val="28"/>
              <w:szCs w:val="28"/>
              <w14:ligatures w14:val="standardContextual"/>
            </w:rPr>
          </w:pPr>
          <w:hyperlink w:anchor="_Toc243510820" w:history="1">
            <w:r w:rsidRPr="0024280B">
              <w:rPr>
                <w:rStyle w:val="Hyperlink"/>
                <w:noProof/>
                <w:sz w:val="28"/>
                <w:szCs w:val="28"/>
              </w:rPr>
              <w:t>1.</w:t>
            </w:r>
            <w:r w:rsidRPr="0024280B">
              <w:rPr>
                <w:rFonts w:asciiTheme="minorHAnsi" w:eastAsiaTheme="minorEastAsia" w:hAnsiTheme="minorHAnsi"/>
                <w:noProof/>
                <w:kern w:val="2"/>
                <w:sz w:val="28"/>
                <w:szCs w:val="28"/>
                <w14:ligatures w14:val="standardContextual"/>
              </w:rPr>
              <w:tab/>
            </w:r>
            <w:r w:rsidRPr="0024280B">
              <w:rPr>
                <w:rStyle w:val="Hyperlink"/>
                <w:noProof/>
                <w:sz w:val="28"/>
                <w:szCs w:val="28"/>
              </w:rPr>
              <w:t>Introduction</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_Toc243510820 \h </w:instrText>
            </w:r>
            <w:r w:rsidRPr="0024280B">
              <w:rPr>
                <w:noProof/>
                <w:webHidden/>
                <w:sz w:val="28"/>
                <w:szCs w:val="28"/>
              </w:rPr>
            </w:r>
            <w:r w:rsidRPr="0024280B">
              <w:rPr>
                <w:noProof/>
                <w:webHidden/>
                <w:sz w:val="28"/>
                <w:szCs w:val="28"/>
              </w:rPr>
              <w:fldChar w:fldCharType="separate"/>
            </w:r>
            <w:r w:rsidRPr="0024280B">
              <w:rPr>
                <w:noProof/>
                <w:webHidden/>
                <w:sz w:val="28"/>
                <w:szCs w:val="28"/>
              </w:rPr>
              <w:t>3</w:t>
            </w:r>
            <w:r w:rsidRPr="0024280B">
              <w:rPr>
                <w:noProof/>
                <w:webHidden/>
                <w:sz w:val="28"/>
                <w:szCs w:val="28"/>
              </w:rPr>
              <w:fldChar w:fldCharType="end"/>
            </w:r>
          </w:hyperlink>
        </w:p>
        <w:p w14:paraId="3D28E0CC" w14:textId="15630429"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1" w:history="1">
            <w:r w:rsidRPr="0024280B">
              <w:rPr>
                <w:rStyle w:val="Hyperlink"/>
                <w:rFonts w:eastAsia="Times New Roman"/>
                <w:noProof/>
                <w:sz w:val="28"/>
                <w:szCs w:val="28"/>
              </w:rPr>
              <w:t>2.Natural Environment</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_Toc243510821 \h </w:instrText>
            </w:r>
            <w:r w:rsidRPr="0024280B">
              <w:rPr>
                <w:noProof/>
                <w:webHidden/>
                <w:sz w:val="28"/>
                <w:szCs w:val="28"/>
              </w:rPr>
            </w:r>
            <w:r w:rsidRPr="0024280B">
              <w:rPr>
                <w:noProof/>
                <w:webHidden/>
                <w:sz w:val="28"/>
                <w:szCs w:val="28"/>
              </w:rPr>
              <w:fldChar w:fldCharType="separate"/>
            </w:r>
            <w:r w:rsidRPr="0024280B">
              <w:rPr>
                <w:noProof/>
                <w:webHidden/>
                <w:sz w:val="28"/>
                <w:szCs w:val="28"/>
              </w:rPr>
              <w:t>3</w:t>
            </w:r>
            <w:r w:rsidRPr="0024280B">
              <w:rPr>
                <w:noProof/>
                <w:webHidden/>
                <w:sz w:val="28"/>
                <w:szCs w:val="28"/>
              </w:rPr>
              <w:fldChar w:fldCharType="end"/>
            </w:r>
          </w:hyperlink>
        </w:p>
        <w:p w14:paraId="6444C07C" w14:textId="1F8480DE"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2" w:history="1">
            <w:r w:rsidRPr="0024280B">
              <w:rPr>
                <w:rStyle w:val="Hyperlink"/>
                <w:rFonts w:eastAsia="Times New Roman"/>
                <w:noProof/>
                <w:sz w:val="28"/>
                <w:szCs w:val="28"/>
              </w:rPr>
              <w:t>3. Political/Regulatory Environment</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_Toc243510822 \h </w:instrText>
            </w:r>
            <w:r w:rsidRPr="0024280B">
              <w:rPr>
                <w:noProof/>
                <w:webHidden/>
                <w:sz w:val="28"/>
                <w:szCs w:val="28"/>
              </w:rPr>
            </w:r>
            <w:r w:rsidRPr="0024280B">
              <w:rPr>
                <w:noProof/>
                <w:webHidden/>
                <w:sz w:val="28"/>
                <w:szCs w:val="28"/>
              </w:rPr>
              <w:fldChar w:fldCharType="separate"/>
            </w:r>
            <w:r w:rsidRPr="0024280B">
              <w:rPr>
                <w:noProof/>
                <w:webHidden/>
                <w:sz w:val="28"/>
                <w:szCs w:val="28"/>
              </w:rPr>
              <w:t>5</w:t>
            </w:r>
            <w:r w:rsidRPr="0024280B">
              <w:rPr>
                <w:noProof/>
                <w:webHidden/>
                <w:sz w:val="28"/>
                <w:szCs w:val="28"/>
              </w:rPr>
              <w:fldChar w:fldCharType="end"/>
            </w:r>
          </w:hyperlink>
        </w:p>
        <w:p w14:paraId="3C992EBD" w14:textId="5F8BE051"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3" w:history="1">
            <w:r w:rsidRPr="0024280B">
              <w:rPr>
                <w:rStyle w:val="Hyperlink"/>
                <w:rFonts w:eastAsia="Times New Roman"/>
                <w:noProof/>
                <w:sz w:val="28"/>
                <w:szCs w:val="28"/>
              </w:rPr>
              <w:t>4. Technological Environment</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_Toc243510823 \h </w:instrText>
            </w:r>
            <w:r w:rsidRPr="0024280B">
              <w:rPr>
                <w:noProof/>
                <w:webHidden/>
                <w:sz w:val="28"/>
                <w:szCs w:val="28"/>
              </w:rPr>
            </w:r>
            <w:r w:rsidRPr="0024280B">
              <w:rPr>
                <w:noProof/>
                <w:webHidden/>
                <w:sz w:val="28"/>
                <w:szCs w:val="28"/>
              </w:rPr>
              <w:fldChar w:fldCharType="separate"/>
            </w:r>
            <w:r w:rsidRPr="0024280B">
              <w:rPr>
                <w:noProof/>
                <w:webHidden/>
                <w:sz w:val="28"/>
                <w:szCs w:val="28"/>
              </w:rPr>
              <w:t>6</w:t>
            </w:r>
            <w:r w:rsidRPr="0024280B">
              <w:rPr>
                <w:noProof/>
                <w:webHidden/>
                <w:sz w:val="28"/>
                <w:szCs w:val="28"/>
              </w:rPr>
              <w:fldChar w:fldCharType="end"/>
            </w:r>
          </w:hyperlink>
        </w:p>
        <w:p w14:paraId="5BA2CC65" w14:textId="13F413F8"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4" w:history="1">
            <w:r w:rsidRPr="0024280B">
              <w:rPr>
                <w:rStyle w:val="Hyperlink"/>
                <w:rFonts w:eastAsia="Times New Roman"/>
                <w:noProof/>
                <w:sz w:val="28"/>
                <w:szCs w:val="28"/>
              </w:rPr>
              <w:t>5. Integrated Critical Analysis</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_Toc243510824 \h </w:instrText>
            </w:r>
            <w:r w:rsidRPr="0024280B">
              <w:rPr>
                <w:noProof/>
                <w:webHidden/>
                <w:sz w:val="28"/>
                <w:szCs w:val="28"/>
              </w:rPr>
            </w:r>
            <w:r w:rsidRPr="0024280B">
              <w:rPr>
                <w:noProof/>
                <w:webHidden/>
                <w:sz w:val="28"/>
                <w:szCs w:val="28"/>
              </w:rPr>
              <w:fldChar w:fldCharType="separate"/>
            </w:r>
            <w:r w:rsidRPr="0024280B">
              <w:rPr>
                <w:noProof/>
                <w:webHidden/>
                <w:sz w:val="28"/>
                <w:szCs w:val="28"/>
              </w:rPr>
              <w:t>7</w:t>
            </w:r>
            <w:r w:rsidRPr="0024280B">
              <w:rPr>
                <w:noProof/>
                <w:webHidden/>
                <w:sz w:val="28"/>
                <w:szCs w:val="28"/>
              </w:rPr>
              <w:fldChar w:fldCharType="end"/>
            </w:r>
          </w:hyperlink>
        </w:p>
        <w:p w14:paraId="0F882054" w14:textId="6FD9E2A0"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5" w:history="1">
            <w:r w:rsidRPr="0024280B">
              <w:rPr>
                <w:rStyle w:val="Hyperlink"/>
                <w:rFonts w:eastAsia="Times New Roman"/>
                <w:noProof/>
                <w:sz w:val="28"/>
                <w:szCs w:val="28"/>
              </w:rPr>
              <w:t>6. Overall Task 1 Judgement</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_Toc243510825 \h </w:instrText>
            </w:r>
            <w:r w:rsidRPr="0024280B">
              <w:rPr>
                <w:noProof/>
                <w:webHidden/>
                <w:sz w:val="28"/>
                <w:szCs w:val="28"/>
              </w:rPr>
            </w:r>
            <w:r w:rsidRPr="0024280B">
              <w:rPr>
                <w:noProof/>
                <w:webHidden/>
                <w:sz w:val="28"/>
                <w:szCs w:val="28"/>
              </w:rPr>
              <w:fldChar w:fldCharType="separate"/>
            </w:r>
            <w:r w:rsidRPr="0024280B">
              <w:rPr>
                <w:noProof/>
                <w:webHidden/>
                <w:sz w:val="28"/>
                <w:szCs w:val="28"/>
              </w:rPr>
              <w:t>7</w:t>
            </w:r>
            <w:r w:rsidRPr="0024280B">
              <w:rPr>
                <w:noProof/>
                <w:webHidden/>
                <w:sz w:val="28"/>
                <w:szCs w:val="28"/>
              </w:rPr>
              <w:fldChar w:fldCharType="end"/>
            </w:r>
          </w:hyperlink>
        </w:p>
        <w:p w14:paraId="744CDDA0" w14:textId="40AA8B06" w:rsidR="0024280B" w:rsidRPr="0024280B" w:rsidRDefault="0024280B" w:rsidP="0024280B">
          <w:pPr>
            <w:pStyle w:val="TOC1"/>
            <w:rPr>
              <w:rFonts w:asciiTheme="minorHAnsi" w:eastAsiaTheme="minorEastAsia" w:hAnsiTheme="minorHAnsi"/>
              <w:kern w:val="2"/>
              <w14:ligatures w14:val="standardContextual"/>
            </w:rPr>
          </w:pPr>
          <w:hyperlink w:anchor="_Toc243510826" w:history="1">
            <w:r w:rsidRPr="0024280B">
              <w:rPr>
                <w:rStyle w:val="Hyperlink"/>
                <w:rFonts w:eastAsia="Times New Roman"/>
              </w:rPr>
              <w:t>Task 2: Strategic Growth and Competitive Positioning</w:t>
            </w:r>
            <w:r w:rsidRPr="0024280B">
              <w:rPr>
                <w:webHidden/>
              </w:rPr>
              <w:tab/>
            </w:r>
            <w:r w:rsidRPr="0024280B">
              <w:rPr>
                <w:webHidden/>
              </w:rPr>
              <w:fldChar w:fldCharType="begin"/>
            </w:r>
            <w:r w:rsidRPr="0024280B">
              <w:rPr>
                <w:webHidden/>
              </w:rPr>
              <w:instrText xml:space="preserve"> PAGEREF _Toc243510826 \h </w:instrText>
            </w:r>
            <w:r w:rsidRPr="0024280B">
              <w:rPr>
                <w:webHidden/>
              </w:rPr>
            </w:r>
            <w:r w:rsidRPr="0024280B">
              <w:rPr>
                <w:webHidden/>
              </w:rPr>
              <w:fldChar w:fldCharType="separate"/>
            </w:r>
            <w:r w:rsidRPr="0024280B">
              <w:rPr>
                <w:webHidden/>
              </w:rPr>
              <w:t>8</w:t>
            </w:r>
            <w:r w:rsidRPr="0024280B">
              <w:rPr>
                <w:webHidden/>
              </w:rPr>
              <w:fldChar w:fldCharType="end"/>
            </w:r>
          </w:hyperlink>
        </w:p>
        <w:p w14:paraId="43DF3C49" w14:textId="5D321310"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7" w:history="1">
            <w:r w:rsidRPr="0024280B">
              <w:rPr>
                <w:rStyle w:val="Hyperlink"/>
                <w:rFonts w:eastAsia="Times New Roman"/>
                <w:noProof/>
                <w:sz w:val="28"/>
                <w:szCs w:val="28"/>
              </w:rPr>
              <w:t>2.1 Strategic Link from the Environmental Analysis</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_Toc243510827 \h </w:instrText>
            </w:r>
            <w:r w:rsidRPr="0024280B">
              <w:rPr>
                <w:noProof/>
                <w:webHidden/>
                <w:sz w:val="28"/>
                <w:szCs w:val="28"/>
              </w:rPr>
            </w:r>
            <w:r w:rsidRPr="0024280B">
              <w:rPr>
                <w:noProof/>
                <w:webHidden/>
                <w:sz w:val="28"/>
                <w:szCs w:val="28"/>
              </w:rPr>
              <w:fldChar w:fldCharType="separate"/>
            </w:r>
            <w:r w:rsidRPr="0024280B">
              <w:rPr>
                <w:noProof/>
                <w:webHidden/>
                <w:sz w:val="28"/>
                <w:szCs w:val="28"/>
              </w:rPr>
              <w:t>8</w:t>
            </w:r>
            <w:r w:rsidRPr="0024280B">
              <w:rPr>
                <w:noProof/>
                <w:webHidden/>
                <w:sz w:val="28"/>
                <w:szCs w:val="28"/>
              </w:rPr>
              <w:fldChar w:fldCharType="end"/>
            </w:r>
          </w:hyperlink>
        </w:p>
        <w:p w14:paraId="66188B6B" w14:textId="0904D0EF"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8" w:history="1">
            <w:r w:rsidRPr="0024280B">
              <w:rPr>
                <w:rStyle w:val="Hyperlink"/>
                <w:rFonts w:eastAsia="Times New Roman"/>
                <w:noProof/>
                <w:sz w:val="28"/>
                <w:szCs w:val="28"/>
              </w:rPr>
              <w:t>2.2 Ansoff Matrix Applied to Tata Steel</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_Toc243510828 \h </w:instrText>
            </w:r>
            <w:r w:rsidRPr="0024280B">
              <w:rPr>
                <w:noProof/>
                <w:webHidden/>
                <w:sz w:val="28"/>
                <w:szCs w:val="28"/>
              </w:rPr>
            </w:r>
            <w:r w:rsidRPr="0024280B">
              <w:rPr>
                <w:noProof/>
                <w:webHidden/>
                <w:sz w:val="28"/>
                <w:szCs w:val="28"/>
              </w:rPr>
              <w:fldChar w:fldCharType="separate"/>
            </w:r>
            <w:r w:rsidRPr="0024280B">
              <w:rPr>
                <w:noProof/>
                <w:webHidden/>
                <w:sz w:val="28"/>
                <w:szCs w:val="28"/>
              </w:rPr>
              <w:t>8</w:t>
            </w:r>
            <w:r w:rsidRPr="0024280B">
              <w:rPr>
                <w:noProof/>
                <w:webHidden/>
                <w:sz w:val="28"/>
                <w:szCs w:val="28"/>
              </w:rPr>
              <w:fldChar w:fldCharType="end"/>
            </w:r>
          </w:hyperlink>
        </w:p>
        <w:p w14:paraId="56A96BF9" w14:textId="7F7CD89A"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29" w:history="1">
            <w:r w:rsidRPr="0024280B">
              <w:rPr>
                <w:rStyle w:val="Hyperlink"/>
                <w:rFonts w:eastAsia="Times New Roman"/>
                <w:noProof/>
                <w:sz w:val="28"/>
                <w:szCs w:val="28"/>
              </w:rPr>
              <w:t>2.3 Recommended Growth Strategy: Product Development</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_Toc243510829 \h </w:instrText>
            </w:r>
            <w:r w:rsidRPr="0024280B">
              <w:rPr>
                <w:noProof/>
                <w:webHidden/>
                <w:sz w:val="28"/>
                <w:szCs w:val="28"/>
              </w:rPr>
            </w:r>
            <w:r w:rsidRPr="0024280B">
              <w:rPr>
                <w:noProof/>
                <w:webHidden/>
                <w:sz w:val="28"/>
                <w:szCs w:val="28"/>
              </w:rPr>
              <w:fldChar w:fldCharType="separate"/>
            </w:r>
            <w:r w:rsidRPr="0024280B">
              <w:rPr>
                <w:noProof/>
                <w:webHidden/>
                <w:sz w:val="28"/>
                <w:szCs w:val="28"/>
              </w:rPr>
              <w:t>10</w:t>
            </w:r>
            <w:r w:rsidRPr="0024280B">
              <w:rPr>
                <w:noProof/>
                <w:webHidden/>
                <w:sz w:val="28"/>
                <w:szCs w:val="28"/>
              </w:rPr>
              <w:fldChar w:fldCharType="end"/>
            </w:r>
          </w:hyperlink>
        </w:p>
        <w:p w14:paraId="3CA02312" w14:textId="3D0851F8"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30" w:history="1">
            <w:r w:rsidRPr="0024280B">
              <w:rPr>
                <w:rStyle w:val="Hyperlink"/>
                <w:rFonts w:eastAsia="Times New Roman"/>
                <w:noProof/>
                <w:sz w:val="28"/>
                <w:szCs w:val="28"/>
              </w:rPr>
              <w:t>2.4 Achieving Competitive Advantage</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_Toc243510830 \h </w:instrText>
            </w:r>
            <w:r w:rsidRPr="0024280B">
              <w:rPr>
                <w:noProof/>
                <w:webHidden/>
                <w:sz w:val="28"/>
                <w:szCs w:val="28"/>
              </w:rPr>
            </w:r>
            <w:r w:rsidRPr="0024280B">
              <w:rPr>
                <w:noProof/>
                <w:webHidden/>
                <w:sz w:val="28"/>
                <w:szCs w:val="28"/>
              </w:rPr>
              <w:fldChar w:fldCharType="separate"/>
            </w:r>
            <w:r w:rsidRPr="0024280B">
              <w:rPr>
                <w:noProof/>
                <w:webHidden/>
                <w:sz w:val="28"/>
                <w:szCs w:val="28"/>
              </w:rPr>
              <w:t>11</w:t>
            </w:r>
            <w:r w:rsidRPr="0024280B">
              <w:rPr>
                <w:noProof/>
                <w:webHidden/>
                <w:sz w:val="28"/>
                <w:szCs w:val="28"/>
              </w:rPr>
              <w:fldChar w:fldCharType="end"/>
            </w:r>
          </w:hyperlink>
        </w:p>
        <w:p w14:paraId="666E4DCB" w14:textId="6927BB37"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31" w:history="1">
            <w:r w:rsidRPr="0024280B">
              <w:rPr>
                <w:rStyle w:val="Hyperlink"/>
                <w:rFonts w:eastAsia="Times New Roman"/>
                <w:noProof/>
                <w:sz w:val="28"/>
                <w:szCs w:val="28"/>
              </w:rPr>
              <w:t>2.5 Implementation Conditions and Final Recommendation</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_Toc243510831 \h </w:instrText>
            </w:r>
            <w:r w:rsidRPr="0024280B">
              <w:rPr>
                <w:noProof/>
                <w:webHidden/>
                <w:sz w:val="28"/>
                <w:szCs w:val="28"/>
              </w:rPr>
            </w:r>
            <w:r w:rsidRPr="0024280B">
              <w:rPr>
                <w:noProof/>
                <w:webHidden/>
                <w:sz w:val="28"/>
                <w:szCs w:val="28"/>
              </w:rPr>
              <w:fldChar w:fldCharType="separate"/>
            </w:r>
            <w:r w:rsidRPr="0024280B">
              <w:rPr>
                <w:noProof/>
                <w:webHidden/>
                <w:sz w:val="28"/>
                <w:szCs w:val="28"/>
              </w:rPr>
              <w:t>12</w:t>
            </w:r>
            <w:r w:rsidRPr="0024280B">
              <w:rPr>
                <w:noProof/>
                <w:webHidden/>
                <w:sz w:val="28"/>
                <w:szCs w:val="28"/>
              </w:rPr>
              <w:fldChar w:fldCharType="end"/>
            </w:r>
          </w:hyperlink>
        </w:p>
        <w:p w14:paraId="30AB3FEF" w14:textId="0140A3C6" w:rsidR="0024280B" w:rsidRPr="0024280B" w:rsidRDefault="0024280B" w:rsidP="0024280B">
          <w:pPr>
            <w:pStyle w:val="TOC1"/>
            <w:rPr>
              <w:rFonts w:asciiTheme="minorHAnsi" w:eastAsiaTheme="minorEastAsia" w:hAnsiTheme="minorHAnsi"/>
              <w:kern w:val="2"/>
              <w14:ligatures w14:val="standardContextual"/>
            </w:rPr>
          </w:pPr>
          <w:hyperlink w:anchor="_Toc243510832" w:history="1">
            <w:r w:rsidRPr="0024280B">
              <w:rPr>
                <w:rStyle w:val="Hyperlink"/>
                <w:rFonts w:eastAsia="Times New Roman"/>
              </w:rPr>
              <w:t>Task 3: Managerial and Professional Reflection</w:t>
            </w:r>
            <w:r w:rsidRPr="0024280B">
              <w:rPr>
                <w:webHidden/>
              </w:rPr>
              <w:tab/>
            </w:r>
            <w:r w:rsidRPr="0024280B">
              <w:rPr>
                <w:webHidden/>
              </w:rPr>
              <w:fldChar w:fldCharType="begin"/>
            </w:r>
            <w:r w:rsidRPr="0024280B">
              <w:rPr>
                <w:webHidden/>
              </w:rPr>
              <w:instrText xml:space="preserve"> PAGEREF _Toc243510832 \h </w:instrText>
            </w:r>
            <w:r w:rsidRPr="0024280B">
              <w:rPr>
                <w:webHidden/>
              </w:rPr>
            </w:r>
            <w:r w:rsidRPr="0024280B">
              <w:rPr>
                <w:webHidden/>
              </w:rPr>
              <w:fldChar w:fldCharType="separate"/>
            </w:r>
            <w:r w:rsidRPr="0024280B">
              <w:rPr>
                <w:webHidden/>
              </w:rPr>
              <w:t>12</w:t>
            </w:r>
            <w:r w:rsidRPr="0024280B">
              <w:rPr>
                <w:webHidden/>
              </w:rPr>
              <w:fldChar w:fldCharType="end"/>
            </w:r>
          </w:hyperlink>
        </w:p>
        <w:p w14:paraId="34C08FD6" w14:textId="13F70DDD"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33" w:history="1">
            <w:r w:rsidRPr="0024280B">
              <w:rPr>
                <w:rStyle w:val="Hyperlink"/>
                <w:rFonts w:eastAsia="Times New Roman"/>
                <w:noProof/>
                <w:sz w:val="28"/>
                <w:szCs w:val="28"/>
              </w:rPr>
              <w:t>3.1 Rationale for Company and Actor Selection</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_Toc243510833 \h </w:instrText>
            </w:r>
            <w:r w:rsidRPr="0024280B">
              <w:rPr>
                <w:noProof/>
                <w:webHidden/>
                <w:sz w:val="28"/>
                <w:szCs w:val="28"/>
              </w:rPr>
            </w:r>
            <w:r w:rsidRPr="0024280B">
              <w:rPr>
                <w:noProof/>
                <w:webHidden/>
                <w:sz w:val="28"/>
                <w:szCs w:val="28"/>
              </w:rPr>
              <w:fldChar w:fldCharType="separate"/>
            </w:r>
            <w:r w:rsidRPr="0024280B">
              <w:rPr>
                <w:noProof/>
                <w:webHidden/>
                <w:sz w:val="28"/>
                <w:szCs w:val="28"/>
              </w:rPr>
              <w:t>12</w:t>
            </w:r>
            <w:r w:rsidRPr="0024280B">
              <w:rPr>
                <w:noProof/>
                <w:webHidden/>
                <w:sz w:val="28"/>
                <w:szCs w:val="28"/>
              </w:rPr>
              <w:fldChar w:fldCharType="end"/>
            </w:r>
          </w:hyperlink>
        </w:p>
        <w:p w14:paraId="5A5AE0AE" w14:textId="0DF54A9A"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34" w:history="1">
            <w:r w:rsidRPr="0024280B">
              <w:rPr>
                <w:rStyle w:val="Hyperlink"/>
                <w:rFonts w:eastAsia="Times New Roman"/>
                <w:noProof/>
                <w:sz w:val="28"/>
                <w:szCs w:val="28"/>
              </w:rPr>
              <w:t>3.2 Reflection on Strategic Growth Choice</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_Toc243510834 \h </w:instrText>
            </w:r>
            <w:r w:rsidRPr="0024280B">
              <w:rPr>
                <w:noProof/>
                <w:webHidden/>
                <w:sz w:val="28"/>
                <w:szCs w:val="28"/>
              </w:rPr>
            </w:r>
            <w:r w:rsidRPr="0024280B">
              <w:rPr>
                <w:noProof/>
                <w:webHidden/>
                <w:sz w:val="28"/>
                <w:szCs w:val="28"/>
              </w:rPr>
              <w:fldChar w:fldCharType="separate"/>
            </w:r>
            <w:r w:rsidRPr="0024280B">
              <w:rPr>
                <w:noProof/>
                <w:webHidden/>
                <w:sz w:val="28"/>
                <w:szCs w:val="28"/>
              </w:rPr>
              <w:t>13</w:t>
            </w:r>
            <w:r w:rsidRPr="0024280B">
              <w:rPr>
                <w:noProof/>
                <w:webHidden/>
                <w:sz w:val="28"/>
                <w:szCs w:val="28"/>
              </w:rPr>
              <w:fldChar w:fldCharType="end"/>
            </w:r>
          </w:hyperlink>
        </w:p>
        <w:p w14:paraId="6B6A482D" w14:textId="0D61AD7F"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35" w:history="1">
            <w:r w:rsidRPr="0024280B">
              <w:rPr>
                <w:rStyle w:val="Hyperlink"/>
                <w:rFonts w:eastAsia="Times New Roman"/>
                <w:noProof/>
                <w:sz w:val="28"/>
                <w:szCs w:val="28"/>
              </w:rPr>
              <w:t>3.3 Limitations and Professional Information Requirements</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_Toc243510835 \h </w:instrText>
            </w:r>
            <w:r w:rsidRPr="0024280B">
              <w:rPr>
                <w:noProof/>
                <w:webHidden/>
                <w:sz w:val="28"/>
                <w:szCs w:val="28"/>
              </w:rPr>
            </w:r>
            <w:r w:rsidRPr="0024280B">
              <w:rPr>
                <w:noProof/>
                <w:webHidden/>
                <w:sz w:val="28"/>
                <w:szCs w:val="28"/>
              </w:rPr>
              <w:fldChar w:fldCharType="separate"/>
            </w:r>
            <w:r w:rsidRPr="0024280B">
              <w:rPr>
                <w:noProof/>
                <w:webHidden/>
                <w:sz w:val="28"/>
                <w:szCs w:val="28"/>
              </w:rPr>
              <w:t>14</w:t>
            </w:r>
            <w:r w:rsidRPr="0024280B">
              <w:rPr>
                <w:noProof/>
                <w:webHidden/>
                <w:sz w:val="28"/>
                <w:szCs w:val="28"/>
              </w:rPr>
              <w:fldChar w:fldCharType="end"/>
            </w:r>
          </w:hyperlink>
        </w:p>
        <w:p w14:paraId="675FE5CC" w14:textId="5C5FD213" w:rsidR="0024280B" w:rsidRPr="0024280B" w:rsidRDefault="0024280B" w:rsidP="0024280B">
          <w:pPr>
            <w:pStyle w:val="TOC2"/>
            <w:rPr>
              <w:rFonts w:asciiTheme="minorHAnsi" w:eastAsiaTheme="minorEastAsia" w:hAnsiTheme="minorHAnsi"/>
              <w:noProof/>
              <w:kern w:val="2"/>
              <w:sz w:val="28"/>
              <w:szCs w:val="28"/>
              <w14:ligatures w14:val="standardContextual"/>
            </w:rPr>
          </w:pPr>
          <w:hyperlink w:anchor="_Toc243510836" w:history="1">
            <w:r w:rsidRPr="0024280B">
              <w:rPr>
                <w:rStyle w:val="Hyperlink"/>
                <w:rFonts w:eastAsia="Times New Roman"/>
                <w:noProof/>
                <w:sz w:val="28"/>
                <w:szCs w:val="28"/>
              </w:rPr>
              <w:t>3.4 Overall Managerial Judgement</w:t>
            </w:r>
            <w:r w:rsidRPr="0024280B">
              <w:rPr>
                <w:noProof/>
                <w:webHidden/>
                <w:sz w:val="28"/>
                <w:szCs w:val="28"/>
              </w:rPr>
              <w:tab/>
            </w:r>
            <w:r w:rsidRPr="0024280B">
              <w:rPr>
                <w:noProof/>
                <w:webHidden/>
                <w:sz w:val="28"/>
                <w:szCs w:val="28"/>
              </w:rPr>
              <w:fldChar w:fldCharType="begin"/>
            </w:r>
            <w:r w:rsidRPr="0024280B">
              <w:rPr>
                <w:noProof/>
                <w:webHidden/>
                <w:sz w:val="28"/>
                <w:szCs w:val="28"/>
              </w:rPr>
              <w:instrText xml:space="preserve"> PAGEREF _Toc243510836 \h </w:instrText>
            </w:r>
            <w:r w:rsidRPr="0024280B">
              <w:rPr>
                <w:noProof/>
                <w:webHidden/>
                <w:sz w:val="28"/>
                <w:szCs w:val="28"/>
              </w:rPr>
            </w:r>
            <w:r w:rsidRPr="0024280B">
              <w:rPr>
                <w:noProof/>
                <w:webHidden/>
                <w:sz w:val="28"/>
                <w:szCs w:val="28"/>
              </w:rPr>
              <w:fldChar w:fldCharType="separate"/>
            </w:r>
            <w:r w:rsidRPr="0024280B">
              <w:rPr>
                <w:noProof/>
                <w:webHidden/>
                <w:sz w:val="28"/>
                <w:szCs w:val="28"/>
              </w:rPr>
              <w:t>14</w:t>
            </w:r>
            <w:r w:rsidRPr="0024280B">
              <w:rPr>
                <w:noProof/>
                <w:webHidden/>
                <w:sz w:val="28"/>
                <w:szCs w:val="28"/>
              </w:rPr>
              <w:fldChar w:fldCharType="end"/>
            </w:r>
          </w:hyperlink>
        </w:p>
        <w:p w14:paraId="64FFC243" w14:textId="37441A0F" w:rsidR="0024280B" w:rsidRPr="0024280B" w:rsidRDefault="0024280B" w:rsidP="0024280B">
          <w:pPr>
            <w:pStyle w:val="TOC1"/>
            <w:rPr>
              <w:rFonts w:asciiTheme="minorHAnsi" w:eastAsiaTheme="minorEastAsia" w:hAnsiTheme="minorHAnsi"/>
              <w:kern w:val="2"/>
              <w14:ligatures w14:val="standardContextual"/>
            </w:rPr>
          </w:pPr>
          <w:hyperlink w:anchor="_Toc243510837" w:history="1">
            <w:r w:rsidRPr="0024280B">
              <w:rPr>
                <w:rStyle w:val="Hyperlink"/>
              </w:rPr>
              <w:t>References</w:t>
            </w:r>
            <w:r w:rsidRPr="0024280B">
              <w:rPr>
                <w:webHidden/>
              </w:rPr>
              <w:tab/>
            </w:r>
            <w:r w:rsidRPr="0024280B">
              <w:rPr>
                <w:webHidden/>
              </w:rPr>
              <w:fldChar w:fldCharType="begin"/>
            </w:r>
            <w:r w:rsidRPr="0024280B">
              <w:rPr>
                <w:webHidden/>
              </w:rPr>
              <w:instrText xml:space="preserve"> PAGEREF _Toc243510837 \h </w:instrText>
            </w:r>
            <w:r w:rsidRPr="0024280B">
              <w:rPr>
                <w:webHidden/>
              </w:rPr>
            </w:r>
            <w:r w:rsidRPr="0024280B">
              <w:rPr>
                <w:webHidden/>
              </w:rPr>
              <w:fldChar w:fldCharType="separate"/>
            </w:r>
            <w:r w:rsidRPr="0024280B">
              <w:rPr>
                <w:webHidden/>
              </w:rPr>
              <w:t>15</w:t>
            </w:r>
            <w:r w:rsidRPr="0024280B">
              <w:rPr>
                <w:webHidden/>
              </w:rPr>
              <w:fldChar w:fldCharType="end"/>
            </w:r>
          </w:hyperlink>
        </w:p>
        <w:p w14:paraId="6CF96169" w14:textId="42CC678C" w:rsidR="008C1A65" w:rsidRDefault="00000000" w:rsidP="0024280B">
          <w:pPr>
            <w:spacing w:line="360" w:lineRule="auto"/>
            <w:rPr>
              <w:b/>
              <w:bCs/>
            </w:rPr>
          </w:pPr>
          <w:r w:rsidRPr="0024280B">
            <w:rPr>
              <w:rFonts w:cs="Arial"/>
              <w:b/>
              <w:bCs/>
              <w:sz w:val="28"/>
              <w:szCs w:val="28"/>
            </w:rPr>
            <w:fldChar w:fldCharType="end"/>
          </w:r>
        </w:p>
      </w:sdtContent>
    </w:sdt>
    <w:p w14:paraId="361ADAED" w14:textId="77777777" w:rsidR="008C1A65" w:rsidRDefault="00000000">
      <w:pPr>
        <w:pStyle w:val="Heading1"/>
      </w:pPr>
      <w:bookmarkStart w:id="1" w:name="_Toc243510819"/>
      <w:r>
        <w:lastRenderedPageBreak/>
        <w:t>Task 1: Marketing Environment Analysis</w:t>
      </w:r>
      <w:bookmarkEnd w:id="0"/>
      <w:bookmarkEnd w:id="1"/>
    </w:p>
    <w:p w14:paraId="3F4D9196" w14:textId="23858226" w:rsidR="008C1A65" w:rsidRDefault="00000000" w:rsidP="0024280B">
      <w:pPr>
        <w:pStyle w:val="Heading2"/>
        <w:numPr>
          <w:ilvl w:val="0"/>
          <w:numId w:val="1"/>
        </w:numPr>
      </w:pPr>
      <w:bookmarkStart w:id="2" w:name="_Toc243510820"/>
      <w:r>
        <w:t>Introduction</w:t>
      </w:r>
      <w:bookmarkEnd w:id="2"/>
      <w:r>
        <w:t xml:space="preserve"> </w:t>
      </w:r>
    </w:p>
    <w:p w14:paraId="1DD6F904" w14:textId="77777777" w:rsidR="008C1A65" w:rsidRDefault="00000000">
      <w:pPr>
        <w:pStyle w:val="NormalWeb"/>
        <w:spacing w:line="360" w:lineRule="auto"/>
        <w:jc w:val="both"/>
        <w:rPr>
          <w:rFonts w:ascii="Arial" w:hAnsi="Arial" w:cs="Arial"/>
        </w:rPr>
      </w:pPr>
      <w:r>
        <w:rPr>
          <w:rFonts w:asciiTheme="minorBidi" w:hAnsiTheme="minorBidi" w:cstheme="minorBidi"/>
        </w:rPr>
        <w:t>The steel industry is strategically important but highly carbon-intensive, accounting for approximately 7–9% of global greenhouse gas emissions (Belavadi and Kulkarni, 2026).</w:t>
      </w:r>
      <w:r>
        <w:rPr>
          <w:rFonts w:cs="Arial"/>
        </w:rPr>
        <w:t xml:space="preserve"> </w:t>
      </w:r>
      <w:r>
        <w:rPr>
          <w:rStyle w:val="cursor-pointer"/>
          <w:rFonts w:ascii="Arial" w:hAnsi="Arial" w:cs="Arial"/>
        </w:rPr>
        <w:t>Kotler et al. (2024) highlights the need for an examination of external marketing environments, as changes in the environment can present opportunities and threats to organisations.</w:t>
      </w:r>
      <w:r>
        <w:rPr>
          <w:rFonts w:ascii="Arial" w:hAnsi="Arial" w:cs="Arial"/>
        </w:rPr>
        <w:t xml:space="preserve"> </w:t>
      </w:r>
      <w:r>
        <w:rPr>
          <w:rStyle w:val="cursor-pointer"/>
          <w:rFonts w:ascii="Arial" w:hAnsi="Arial" w:cs="Arial"/>
        </w:rPr>
        <w:t xml:space="preserve">As a result, Tata Steel has pledged to become a Net Zero emitter by 2045 and to invest in lower carbon production technologies </w:t>
      </w:r>
      <w:r>
        <w:rPr>
          <w:rFonts w:ascii="Arial" w:hAnsi="Arial" w:cs="Arial"/>
        </w:rPr>
        <w:t xml:space="preserve">(Belavadi and Kulkarni, 2026). </w:t>
      </w:r>
    </w:p>
    <w:p w14:paraId="5B1BD9E8" w14:textId="77777777" w:rsidR="008C1A65" w:rsidRDefault="00000000">
      <w:pPr>
        <w:pStyle w:val="NormalWeb"/>
        <w:spacing w:line="360" w:lineRule="auto"/>
        <w:jc w:val="both"/>
        <w:rPr>
          <w:rFonts w:cs="Arial"/>
        </w:rPr>
      </w:pPr>
      <w:r>
        <w:rPr>
          <w:rStyle w:val="cursor-pointer"/>
          <w:rFonts w:ascii="Arial" w:hAnsi="Arial" w:cs="Arial"/>
        </w:rPr>
        <w:t xml:space="preserve">An investment of around ₹3,200 crore can be seen in its 0.75 MTPA electric arc furnace in Ludhiana, which is powered by scrap steel </w:t>
      </w:r>
      <w:r>
        <w:rPr>
          <w:rFonts w:ascii="Arial" w:hAnsi="Arial" w:cs="Arial"/>
        </w:rPr>
        <w:t xml:space="preserve">(The Tribune, 2026). </w:t>
      </w:r>
      <w:r>
        <w:rPr>
          <w:rStyle w:val="cursor-pointer"/>
          <w:rFonts w:ascii="Arial" w:hAnsi="Arial" w:cs="Arial"/>
        </w:rPr>
        <w:t>As a result, the changing environmental conditions impose pressures and opportunities to Tata Steel: create new opportunities to develop lower-carbon products, market differentiation, sustainable competitive growth.</w:t>
      </w:r>
    </w:p>
    <w:p w14:paraId="56836FBF" w14:textId="77777777" w:rsidR="008C1A65" w:rsidRDefault="00000000">
      <w:pPr>
        <w:pStyle w:val="Heading2"/>
        <w:rPr>
          <w:rFonts w:eastAsia="Times New Roman"/>
        </w:rPr>
      </w:pPr>
      <w:bookmarkStart w:id="3" w:name="_Toc242310301"/>
      <w:bookmarkStart w:id="4" w:name="_Toc243510821"/>
      <w:r>
        <w:rPr>
          <w:rFonts w:eastAsia="Times New Roman"/>
        </w:rPr>
        <w:t>2.Natural Environment</w:t>
      </w:r>
      <w:bookmarkEnd w:id="3"/>
      <w:bookmarkEnd w:id="4"/>
      <w:r>
        <w:rPr>
          <w:rFonts w:eastAsia="Times New Roman"/>
        </w:rPr>
        <w:t xml:space="preserve"> </w:t>
      </w:r>
    </w:p>
    <w:p w14:paraId="0B62E3C2" w14:textId="77777777" w:rsidR="008C1A65" w:rsidRDefault="00000000">
      <w:pPr>
        <w:spacing w:before="100" w:beforeAutospacing="1" w:after="100" w:afterAutospacing="1" w:line="360" w:lineRule="auto"/>
        <w:rPr>
          <w:rStyle w:val="cursor-pointer"/>
          <w:rFonts w:cs="Arial"/>
        </w:rPr>
      </w:pPr>
      <w:r>
        <w:rPr>
          <w:rStyle w:val="cursor-pointer"/>
          <w:rFonts w:cs="Arial"/>
        </w:rPr>
        <w:t>The natural environment is the biggest external player impacting Tata Steel, as climate change is changing the requirements for steel manufacturing and sales.</w:t>
      </w:r>
      <w:r>
        <w:rPr>
          <w:rFonts w:cs="Arial"/>
        </w:rPr>
        <w:t xml:space="preserve"> </w:t>
      </w:r>
      <w:r>
        <w:rPr>
          <w:rStyle w:val="cursor-pointer"/>
          <w:rFonts w:cs="Arial"/>
        </w:rPr>
        <w:t>Steelmaking is still a highly carbon intensive process as the shift to lower emission production is becoming more limited by energy availability, raw material needs and investment requirements.</w:t>
      </w:r>
      <w:r>
        <w:rPr>
          <w:rFonts w:cs="Arial"/>
        </w:rPr>
        <w:t xml:space="preserve"> </w:t>
      </w:r>
      <w:r>
        <w:rPr>
          <w:rStyle w:val="cursor-pointer"/>
          <w:rFonts w:cs="Arial"/>
        </w:rPr>
        <w:t>The OECD (2025a) notes that steel decarbonisation is occurs in the context of spare global capacity, low profitability and constrained access to suitable renewable energy and high-grade ores.</w:t>
      </w:r>
      <w:r>
        <w:rPr>
          <w:rFonts w:cs="Arial"/>
        </w:rPr>
        <w:t xml:space="preserve"> </w:t>
      </w:r>
      <w:r>
        <w:rPr>
          <w:rStyle w:val="cursor-pointer"/>
          <w:rFonts w:cs="Arial"/>
        </w:rPr>
        <w:t>The environmental pressure experienced by Tata Steel is not just a matter of corporate responsibility it is a matter of production decisions, investment priorities and even the future value proposition being created for customers.</w:t>
      </w:r>
    </w:p>
    <w:p w14:paraId="6BC83622" w14:textId="77777777" w:rsidR="008C1A65" w:rsidRDefault="00000000">
      <w:pPr>
        <w:spacing w:before="100" w:beforeAutospacing="1" w:after="100" w:afterAutospacing="1" w:line="360" w:lineRule="auto"/>
        <w:rPr>
          <w:rFonts w:cs="Arial"/>
        </w:rPr>
      </w:pPr>
      <w:r>
        <w:rPr>
          <w:rFonts w:cs="Arial"/>
        </w:rPr>
        <w:t xml:space="preserve"> </w:t>
      </w:r>
      <w:r>
        <w:rPr>
          <w:rStyle w:val="cursor-pointer"/>
          <w:rFonts w:cs="Arial"/>
        </w:rPr>
        <w:t xml:space="preserve">Tata Steel's responses cover a wider spectrum, including their ambition to become a “Net Zero” company by 2045, which shows that the environment is part of their longer-term business plan </w:t>
      </w:r>
      <w:r>
        <w:t xml:space="preserve">(Belavadi and Kulkarni, 2026). </w:t>
      </w:r>
      <w:r>
        <w:rPr>
          <w:rStyle w:val="cursor-pointer"/>
          <w:rFonts w:cs="Arial"/>
        </w:rPr>
        <w:t xml:space="preserve">The technological uptake is also </w:t>
      </w:r>
      <w:r>
        <w:rPr>
          <w:rStyle w:val="cursor-pointer"/>
          <w:rFonts w:cs="Arial"/>
        </w:rPr>
        <w:lastRenderedPageBreak/>
        <w:t>closely coupled with the wider policy and infrastructure developments and green hydrogen steelmaking still relies on supportive policy conditions and availability of low carbon energy (Zhang et al., 2024).</w:t>
      </w:r>
      <w:r>
        <w:rPr>
          <w:rFonts w:cs="Arial"/>
        </w:rPr>
        <w:t xml:space="preserve"> </w:t>
      </w:r>
    </w:p>
    <w:p w14:paraId="7AD19A14" w14:textId="77777777" w:rsidR="008C1A65" w:rsidRDefault="00000000">
      <w:pPr>
        <w:spacing w:before="100" w:beforeAutospacing="1" w:after="100" w:afterAutospacing="1" w:line="360" w:lineRule="auto"/>
        <w:rPr>
          <w:rFonts w:eastAsia="Times New Roman" w:cs="Arial"/>
        </w:rPr>
      </w:pPr>
      <w:r>
        <w:rPr>
          <w:rStyle w:val="cursor-pointer"/>
          <w:rFonts w:cs="Arial"/>
        </w:rPr>
        <w:t>Strategically, it means that environmental pressures are impacting Tata Steel's capital allocation and manufacturing set-up beyond sustainability reporting.</w:t>
      </w:r>
      <w:r>
        <w:rPr>
          <w:rFonts w:cs="Arial"/>
        </w:rPr>
        <w:t xml:space="preserve"> </w:t>
      </w:r>
      <w:r>
        <w:rPr>
          <w:rStyle w:val="cursor-pointer"/>
          <w:rFonts w:cs="Arial"/>
        </w:rPr>
        <w:t>The investment should not be taken as a guarantee of competitive advantage, however, as the commercial return will rely on the presence of suitable scrap, availability of low-cost electricity and market demand.</w:t>
      </w:r>
    </w:p>
    <w:p w14:paraId="5610E87A" w14:textId="77777777" w:rsidR="008C1A65" w:rsidRDefault="008C1A65">
      <w:pPr>
        <w:spacing w:before="100" w:beforeAutospacing="1" w:after="100" w:afterAutospacing="1" w:line="360" w:lineRule="auto"/>
        <w:jc w:val="center"/>
        <w:rPr>
          <w:rFonts w:eastAsia="Times New Roman" w:cs="Arial"/>
        </w:rPr>
      </w:pPr>
    </w:p>
    <w:p w14:paraId="61B369DC" w14:textId="77777777" w:rsidR="008C1A65" w:rsidRDefault="00000000">
      <w:pPr>
        <w:spacing w:before="100" w:beforeAutospacing="1" w:after="100" w:afterAutospacing="1" w:line="360" w:lineRule="auto"/>
        <w:jc w:val="center"/>
        <w:rPr>
          <w:rFonts w:eastAsia="Times New Roman" w:cs="Arial"/>
        </w:rPr>
      </w:pPr>
      <w:r>
        <w:rPr>
          <w:rFonts w:eastAsia="Times New Roman" w:cs="Arial"/>
          <w:noProof/>
        </w:rPr>
        <w:drawing>
          <wp:inline distT="0" distB="0" distL="0" distR="0" wp14:anchorId="0508EBC1" wp14:editId="4248F0CD">
            <wp:extent cx="5320665" cy="38347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rcRect t="17456" b="-4599"/>
                    <a:stretch>
                      <a:fillRect/>
                    </a:stretch>
                  </pic:blipFill>
                  <pic:spPr>
                    <a:xfrm>
                      <a:off x="0" y="0"/>
                      <a:ext cx="5330673" cy="3841614"/>
                    </a:xfrm>
                    <a:prstGeom prst="rect">
                      <a:avLst/>
                    </a:prstGeom>
                  </pic:spPr>
                </pic:pic>
              </a:graphicData>
            </a:graphic>
          </wp:inline>
        </w:drawing>
      </w:r>
    </w:p>
    <w:p w14:paraId="3AF0F916" w14:textId="77777777" w:rsidR="008C1A65" w:rsidRDefault="008C1A65">
      <w:pPr>
        <w:spacing w:before="100" w:beforeAutospacing="1" w:after="100" w:afterAutospacing="1" w:line="360" w:lineRule="auto"/>
        <w:jc w:val="center"/>
        <w:rPr>
          <w:rFonts w:eastAsia="Times New Roman" w:cs="Arial"/>
        </w:rPr>
      </w:pPr>
    </w:p>
    <w:p w14:paraId="49908481" w14:textId="77777777" w:rsidR="008C1A65" w:rsidRDefault="00000000">
      <w:pPr>
        <w:spacing w:before="100" w:beforeAutospacing="1" w:after="100" w:afterAutospacing="1" w:line="360" w:lineRule="auto"/>
        <w:jc w:val="center"/>
        <w:rPr>
          <w:rFonts w:eastAsia="Times New Roman" w:cs="Arial"/>
        </w:rPr>
      </w:pPr>
      <w:r>
        <w:rPr>
          <w:rStyle w:val="Emphasis"/>
          <w:rFonts w:cs="Arial"/>
          <w:b/>
        </w:rPr>
        <w:t>Figure 1</w:t>
      </w:r>
      <w:r>
        <w:rPr>
          <w:rStyle w:val="Emphasis"/>
          <w:rFonts w:cs="Arial"/>
        </w:rPr>
        <w:t>: External environmental forces shaping Tata Steel’s lower-carbon transition</w:t>
      </w:r>
    </w:p>
    <w:p w14:paraId="48381597" w14:textId="77777777" w:rsidR="008C1A65" w:rsidRDefault="00000000">
      <w:pPr>
        <w:spacing w:before="100" w:beforeAutospacing="1" w:after="100" w:afterAutospacing="1" w:line="360" w:lineRule="auto"/>
        <w:jc w:val="center"/>
        <w:rPr>
          <w:rFonts w:eastAsia="Times New Roman" w:cs="Arial"/>
        </w:rPr>
      </w:pPr>
      <w:r>
        <w:rPr>
          <w:rFonts w:cs="Arial"/>
          <w:b/>
        </w:rPr>
        <w:t>Source:</w:t>
      </w:r>
      <w:r>
        <w:rPr>
          <w:rFonts w:cs="Arial"/>
        </w:rPr>
        <w:t xml:space="preserve"> Self- Made.</w:t>
      </w:r>
    </w:p>
    <w:p w14:paraId="01B04D57" w14:textId="6EC658A5" w:rsidR="008C1A65" w:rsidRPr="0024280B" w:rsidRDefault="00000000" w:rsidP="0024280B">
      <w:pPr>
        <w:pStyle w:val="NormalWeb"/>
        <w:spacing w:line="360" w:lineRule="auto"/>
        <w:jc w:val="both"/>
        <w:rPr>
          <w:rFonts w:ascii="Arial" w:hAnsi="Arial" w:cs="Arial"/>
          <w:b/>
        </w:rPr>
      </w:pPr>
      <w:r>
        <w:rPr>
          <w:rStyle w:val="cursor-pointer"/>
          <w:rFonts w:ascii="Arial" w:hAnsi="Arial" w:cs="Arial"/>
        </w:rPr>
        <w:lastRenderedPageBreak/>
        <w:t>In tandem, the environmental transition provides a market opportunity, as customers are far more concerned about the carbon intensity of the products they acquire in their value chains.</w:t>
      </w:r>
      <w:r>
        <w:rPr>
          <w:rFonts w:ascii="Arial" w:hAnsi="Arial" w:cs="Arial"/>
        </w:rPr>
        <w:t xml:space="preserve"> </w:t>
      </w:r>
      <w:r>
        <w:rPr>
          <w:rStyle w:val="cursor-pointer"/>
          <w:rFonts w:ascii="Arial" w:hAnsi="Arial" w:cs="Arial"/>
        </w:rPr>
        <w:t xml:space="preserve">Green steel is a growth opportunity identified by Tata Steel, especially in Europe, for automotive and engineering customers </w:t>
      </w:r>
      <w:r>
        <w:rPr>
          <w:rStyle w:val="Strong"/>
          <w:rFonts w:ascii="Arial" w:eastAsiaTheme="majorEastAsia" w:hAnsi="Arial" w:cs="Arial"/>
          <w:b w:val="0"/>
        </w:rPr>
        <w:t xml:space="preserve">(Pathak, Mahobia and Gupta, 2026). </w:t>
      </w:r>
      <w:r w:rsidR="0024280B">
        <w:rPr>
          <w:rStyle w:val="Strong"/>
          <w:rFonts w:ascii="Arial" w:eastAsiaTheme="majorEastAsia" w:hAnsi="Arial" w:cs="Arial"/>
          <w:b w:val="0"/>
        </w:rPr>
        <w:t xml:space="preserve"> </w:t>
      </w:r>
      <w:r>
        <w:rPr>
          <w:rStyle w:val="cursor-pointer"/>
          <w:rFonts w:cs="Arial"/>
        </w:rPr>
        <w:t>This opens up possibilities to having environmental performance as part of the Tata Steel value proposition and the ability to win customers by the product instead of just production volume or price.</w:t>
      </w:r>
      <w:r>
        <w:rPr>
          <w:rFonts w:cs="Arial"/>
        </w:rPr>
        <w:t xml:space="preserve"> </w:t>
      </w:r>
      <w:r>
        <w:rPr>
          <w:rStyle w:val="cursor-pointer"/>
          <w:rFonts w:cs="Arial"/>
        </w:rPr>
        <w:t>Studies on green-steel markets also evidence that demand-side instruments can set incentives for producers to invest in decarbonisation (Muslemani et al., 2021).</w:t>
      </w:r>
      <w:r>
        <w:rPr>
          <w:rFonts w:cs="Arial"/>
        </w:rPr>
        <w:t xml:space="preserve"> </w:t>
      </w:r>
      <w:r>
        <w:rPr>
          <w:rStyle w:val="cursor-pointer"/>
          <w:rFonts w:cs="Arial"/>
        </w:rPr>
        <w:t>Thus, the environmental performance can potentially help to differentiate in the case of customers who value reduced emissions in steel products.</w:t>
      </w:r>
      <w:r>
        <w:rPr>
          <w:rFonts w:cs="Arial"/>
        </w:rPr>
        <w:t xml:space="preserve"> </w:t>
      </w:r>
    </w:p>
    <w:p w14:paraId="6393B5A1" w14:textId="77777777" w:rsidR="008C1A65" w:rsidRDefault="00000000">
      <w:pPr>
        <w:spacing w:before="100" w:beforeAutospacing="1" w:after="100" w:afterAutospacing="1" w:line="360" w:lineRule="auto"/>
        <w:rPr>
          <w:rFonts w:eastAsia="Times New Roman" w:cs="Arial"/>
        </w:rPr>
      </w:pPr>
      <w:r>
        <w:rPr>
          <w:rStyle w:val="cursor-pointer"/>
          <w:rFonts w:cs="Arial"/>
        </w:rPr>
        <w:t>Low-emission steel markets are relatively immature, and limited long-term procurement contracts and price sensitivity can make it more difficult for producers to cover the extra costs of decarbonisation (OECD, 2025a).</w:t>
      </w:r>
      <w:r>
        <w:rPr>
          <w:rFonts w:cs="Arial"/>
        </w:rPr>
        <w:t xml:space="preserve"> </w:t>
      </w:r>
      <w:r>
        <w:rPr>
          <w:rStyle w:val="cursor-pointer"/>
          <w:rFonts w:cs="Arial"/>
        </w:rPr>
        <w:t>Another structural constraint is scrap availability, which becomes more important when more scrap is used for EAF production, since adequate systems for the collection, processing and recycling are needed (OECD, 2024b).</w:t>
      </w:r>
      <w:r>
        <w:rPr>
          <w:rFonts w:cs="Arial"/>
        </w:rPr>
        <w:t xml:space="preserve"> </w:t>
      </w:r>
      <w:r>
        <w:rPr>
          <w:rStyle w:val="cursor-pointer"/>
          <w:rFonts w:cs="Arial"/>
        </w:rPr>
        <w:t>Tata Steel therefore can't take it for granted that investment in the environment will always lead to increased margins.</w:t>
      </w:r>
      <w:r>
        <w:rPr>
          <w:rFonts w:cs="Arial"/>
        </w:rPr>
        <w:t xml:space="preserve"> </w:t>
      </w:r>
      <w:r>
        <w:rPr>
          <w:rStyle w:val="cursor-pointer"/>
          <w:rFonts w:cs="Arial"/>
        </w:rPr>
        <w:t>The natural environment is thus both a market opportunity and strategic cost pressure: Tata Steel can use it to differentiate lower-emission products (which will generate commercial value if customers recognise it and are willing to pay for it)</w:t>
      </w:r>
      <w:r>
        <w:rPr>
          <w:rFonts w:eastAsia="Times New Roman" w:cs="Arial"/>
        </w:rPr>
        <w:t>.</w:t>
      </w:r>
      <w:bookmarkStart w:id="5" w:name="_Toc242310302"/>
    </w:p>
    <w:p w14:paraId="34ABD614" w14:textId="77777777" w:rsidR="008C1A65" w:rsidRDefault="00000000">
      <w:pPr>
        <w:pStyle w:val="Heading2"/>
        <w:rPr>
          <w:rFonts w:eastAsia="Times New Roman" w:cs="Arial"/>
          <w:sz w:val="24"/>
          <w:szCs w:val="24"/>
          <w:u w:val="none"/>
        </w:rPr>
      </w:pPr>
      <w:bookmarkStart w:id="6" w:name="_Toc243510822"/>
      <w:r>
        <w:rPr>
          <w:rFonts w:eastAsia="Times New Roman"/>
        </w:rPr>
        <w:t>3. Political/Regulatory Environment</w:t>
      </w:r>
      <w:bookmarkEnd w:id="5"/>
      <w:bookmarkEnd w:id="6"/>
    </w:p>
    <w:p w14:paraId="3F40A005" w14:textId="77777777" w:rsidR="008C1A65" w:rsidRDefault="00000000">
      <w:pPr>
        <w:spacing w:before="100" w:beforeAutospacing="1" w:after="100" w:afterAutospacing="1" w:line="360" w:lineRule="auto"/>
        <w:rPr>
          <w:rFonts w:cs="Arial"/>
        </w:rPr>
      </w:pPr>
      <w:r>
        <w:rPr>
          <w:rStyle w:val="cursor-pointer"/>
          <w:rFonts w:cs="Arial"/>
        </w:rPr>
        <w:t>A second key actor is political and regulatory as governments are increasingly affecting the speed and cost of industrial decarbonisation.</w:t>
      </w:r>
      <w:r>
        <w:rPr>
          <w:rFonts w:cs="Arial"/>
        </w:rPr>
        <w:t xml:space="preserve"> </w:t>
      </w:r>
      <w:r>
        <w:rPr>
          <w:rStyle w:val="cursor-pointer"/>
          <w:rFonts w:cs="Arial"/>
        </w:rPr>
        <w:t>Carbon-pricing policies, emissions policies and green-steel policies can raise the price on carbon-intensive production while providing incentives for cleaner alternatives.</w:t>
      </w:r>
      <w:r>
        <w:rPr>
          <w:rFonts w:cs="Arial"/>
        </w:rPr>
        <w:t xml:space="preserve"> </w:t>
      </w:r>
      <w:r>
        <w:rPr>
          <w:rStyle w:val="cursor-pointer"/>
          <w:rFonts w:cs="Arial"/>
        </w:rPr>
        <w:t xml:space="preserve">Tata Steel sees the new Carbon Credit Trading Scheme and Green Steel Taxonomy as significant developments in the transition process in India and these are at a fairly nascent stage </w:t>
      </w:r>
      <w:r>
        <w:t xml:space="preserve">(Belavadi and Kulkarni, 2026). </w:t>
      </w:r>
      <w:r>
        <w:rPr>
          <w:rStyle w:val="cursor-pointer"/>
          <w:rFonts w:cs="Arial"/>
        </w:rPr>
        <w:t>Regulation can thus be a constraint and an opportunity (Johnson et al., 2025).</w:t>
      </w:r>
      <w:r>
        <w:rPr>
          <w:rFonts w:cs="Arial"/>
        </w:rPr>
        <w:t xml:space="preserve"> </w:t>
      </w:r>
      <w:r>
        <w:rPr>
          <w:rStyle w:val="cursor-pointer"/>
          <w:rFonts w:cs="Arial"/>
        </w:rPr>
        <w:t xml:space="preserve">Compliance can lead to higher capital expenditure and operating expenses, especially as there are variations in the policies in Tata Steel's </w:t>
      </w:r>
      <w:r>
        <w:rPr>
          <w:rStyle w:val="cursor-pointer"/>
          <w:rFonts w:cs="Arial"/>
        </w:rPr>
        <w:lastRenderedPageBreak/>
        <w:t>overseas markets.</w:t>
      </w:r>
      <w:r>
        <w:rPr>
          <w:rFonts w:cs="Arial"/>
        </w:rPr>
        <w:t xml:space="preserve"> </w:t>
      </w:r>
      <w:r>
        <w:rPr>
          <w:rStyle w:val="cursor-pointer"/>
          <w:rFonts w:cs="Arial"/>
        </w:rPr>
        <w:t>But regular regulation can make lower emission production of steel more competitively attractive when compared to conventional production.</w:t>
      </w:r>
      <w:r>
        <w:rPr>
          <w:rFonts w:cs="Arial"/>
        </w:rPr>
        <w:t xml:space="preserve"> Standards for net-zero iron and steel production can assist in emissions measurement and provide a more robust guidance for decarbonisation (IEA, 2024). </w:t>
      </w:r>
      <w:r>
        <w:rPr>
          <w:rStyle w:val="cursor-pointer"/>
          <w:rFonts w:cs="Arial"/>
        </w:rPr>
        <w:t>This could be Tata Steel's chance to minimize future transition risk and ensure it remains competitive with companies that adapt to the stricter environmental norms.</w:t>
      </w:r>
      <w:r>
        <w:rPr>
          <w:rFonts w:cs="Arial"/>
        </w:rPr>
        <w:t xml:space="preserve"> </w:t>
      </w:r>
      <w:r>
        <w:rPr>
          <w:rStyle w:val="cursor-pointer"/>
          <w:rFonts w:cs="Arial"/>
        </w:rPr>
        <w:t>However, policy uncertainty is high so expect regulatory pressure as an outside catalyst, don't rely on it as a competitive advantage</w:t>
      </w:r>
      <w:r>
        <w:rPr>
          <w:rFonts w:eastAsia="Times New Roman" w:cs="Arial"/>
        </w:rPr>
        <w:t>.</w:t>
      </w:r>
    </w:p>
    <w:p w14:paraId="2D47C918" w14:textId="77777777" w:rsidR="008C1A65" w:rsidRDefault="00000000">
      <w:pPr>
        <w:pStyle w:val="Heading2"/>
        <w:rPr>
          <w:rFonts w:eastAsia="Times New Roman"/>
        </w:rPr>
      </w:pPr>
      <w:bookmarkStart w:id="7" w:name="_Toc242310303"/>
      <w:bookmarkStart w:id="8" w:name="_Toc243510823"/>
      <w:r>
        <w:rPr>
          <w:rFonts w:eastAsia="Times New Roman"/>
        </w:rPr>
        <w:t>4. Technological Environment</w:t>
      </w:r>
      <w:bookmarkEnd w:id="7"/>
      <w:bookmarkEnd w:id="8"/>
    </w:p>
    <w:p w14:paraId="60378F41" w14:textId="1449D464" w:rsidR="008C1A65" w:rsidRPr="0024280B" w:rsidRDefault="00000000" w:rsidP="0024280B">
      <w:pPr>
        <w:pStyle w:val="NormalWeb"/>
        <w:spacing w:line="360" w:lineRule="auto"/>
        <w:jc w:val="both"/>
        <w:rPr>
          <w:rFonts w:ascii="Arial" w:eastAsiaTheme="majorEastAsia" w:hAnsi="Arial" w:cs="Arial"/>
          <w:b/>
          <w:bCs/>
        </w:rPr>
      </w:pPr>
      <w:r>
        <w:rPr>
          <w:rStyle w:val="cursor-pointer"/>
          <w:rFonts w:ascii="Arial" w:hAnsi="Arial" w:cs="Arial"/>
        </w:rPr>
        <w:t>The third actor is technological development since the environmental transition requires Tata Steel to substitute or adapt its production processes that use carbon.</w:t>
      </w:r>
      <w:r>
        <w:rPr>
          <w:rFonts w:ascii="Arial" w:hAnsi="Arial" w:cs="Arial"/>
        </w:rPr>
        <w:t xml:space="preserve"> </w:t>
      </w:r>
      <w:r>
        <w:rPr>
          <w:rStyle w:val="cursor-pointer"/>
          <w:rFonts w:ascii="Arial" w:hAnsi="Arial" w:cs="Arial"/>
        </w:rPr>
        <w:t>Reducing emissions through EAF-based steelmaking, utilisation of more scrap, hydrogen-based processes, and innovative ironmaking technologies are various options for achieving this reduction (Algers et al., 2025).</w:t>
      </w:r>
      <w:r>
        <w:rPr>
          <w:rFonts w:ascii="Arial" w:hAnsi="Arial" w:cs="Arial"/>
        </w:rPr>
        <w:t xml:space="preserve"> </w:t>
      </w:r>
      <w:r>
        <w:rPr>
          <w:rStyle w:val="cursor-pointer"/>
          <w:rFonts w:ascii="Arial" w:hAnsi="Arial" w:cs="Arial"/>
        </w:rPr>
        <w:t>Tata Steel is pursuing a number of such pathways, such as HIsarna and EASyMelt.</w:t>
      </w:r>
      <w:r>
        <w:rPr>
          <w:rFonts w:ascii="Arial" w:hAnsi="Arial" w:cs="Arial"/>
        </w:rPr>
        <w:t xml:space="preserve"> </w:t>
      </w:r>
      <w:r>
        <w:rPr>
          <w:rStyle w:val="cursor-pointer"/>
          <w:rFonts w:ascii="Arial" w:hAnsi="Arial" w:cs="Arial"/>
        </w:rPr>
        <w:t>In April 2026, the company announced an agreement to successfully implement the first industrial demonstration of EASyMelt at Jamshedpur, where it will help to reduce CO</w:t>
      </w:r>
      <w:r>
        <w:rPr>
          <w:rStyle w:val="cursor-pointer"/>
          <w:rFonts w:ascii="Cambria Math" w:hAnsi="Cambria Math" w:cs="Cambria Math"/>
        </w:rPr>
        <w:t>₂</w:t>
      </w:r>
      <w:r>
        <w:rPr>
          <w:rStyle w:val="cursor-pointer"/>
          <w:rFonts w:ascii="Arial" w:hAnsi="Arial" w:cs="Arial"/>
        </w:rPr>
        <w:t xml:space="preserve"> emissions by over 50% from baseline blast-furnace operations </w:t>
      </w:r>
      <w:r>
        <w:t>(SMS group, 2026).</w:t>
      </w:r>
    </w:p>
    <w:p w14:paraId="1B3DDFA5" w14:textId="77777777" w:rsidR="0024280B" w:rsidRDefault="00000000" w:rsidP="0024280B">
      <w:pPr>
        <w:spacing w:before="100" w:beforeAutospacing="1" w:after="100" w:afterAutospacing="1" w:line="360" w:lineRule="auto"/>
        <w:jc w:val="center"/>
        <w:rPr>
          <w:rFonts w:eastAsia="Times New Roman" w:cs="Arial"/>
        </w:rPr>
      </w:pPr>
      <w:r>
        <w:rPr>
          <w:rFonts w:eastAsia="Times New Roman" w:cs="Arial"/>
          <w:noProof/>
        </w:rPr>
        <w:drawing>
          <wp:inline distT="0" distB="0" distL="0" distR="0" wp14:anchorId="034AD054" wp14:editId="3892ED04">
            <wp:extent cx="5020310" cy="20470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cstate="print">
                      <a:extLst>
                        <a:ext uri="{28A0092B-C50C-407E-A947-70E740481C1C}">
                          <a14:useLocalDpi xmlns:a14="http://schemas.microsoft.com/office/drawing/2010/main" val="0"/>
                        </a:ext>
                      </a:extLst>
                    </a:blip>
                    <a:srcRect t="18139"/>
                    <a:stretch>
                      <a:fillRect/>
                    </a:stretch>
                  </pic:blipFill>
                  <pic:spPr>
                    <a:xfrm>
                      <a:off x="0" y="0"/>
                      <a:ext cx="5086666" cy="2074116"/>
                    </a:xfrm>
                    <a:prstGeom prst="rect">
                      <a:avLst/>
                    </a:prstGeom>
                    <a:ln>
                      <a:noFill/>
                    </a:ln>
                  </pic:spPr>
                </pic:pic>
              </a:graphicData>
            </a:graphic>
          </wp:inline>
        </w:drawing>
      </w:r>
    </w:p>
    <w:p w14:paraId="1202C6DF" w14:textId="1F1C4989" w:rsidR="008C1A65" w:rsidRPr="0024280B" w:rsidRDefault="00000000" w:rsidP="0024280B">
      <w:pPr>
        <w:spacing w:before="100" w:beforeAutospacing="1" w:after="100" w:afterAutospacing="1" w:line="240" w:lineRule="auto"/>
        <w:jc w:val="center"/>
        <w:rPr>
          <w:rFonts w:eastAsia="Times New Roman" w:cs="Arial"/>
          <w:u w:val="single"/>
        </w:rPr>
      </w:pPr>
      <w:r w:rsidRPr="0024280B">
        <w:rPr>
          <w:rFonts w:cs="Arial"/>
          <w:b/>
          <w:u w:val="single"/>
        </w:rPr>
        <w:t xml:space="preserve">Figure 2: </w:t>
      </w:r>
      <w:r w:rsidRPr="0024280B">
        <w:rPr>
          <w:rFonts w:cs="Arial"/>
          <w:u w:val="single"/>
        </w:rPr>
        <w:t>Low-carbon steelmaking pathways and technological transition</w:t>
      </w:r>
    </w:p>
    <w:p w14:paraId="0F940C44" w14:textId="77777777" w:rsidR="008C1A65" w:rsidRPr="0024280B" w:rsidRDefault="00000000" w:rsidP="0024280B">
      <w:pPr>
        <w:spacing w:before="100" w:beforeAutospacing="1" w:after="100" w:afterAutospacing="1" w:line="240" w:lineRule="auto"/>
        <w:jc w:val="center"/>
        <w:rPr>
          <w:rFonts w:cs="Arial"/>
          <w:b/>
          <w:u w:val="single"/>
        </w:rPr>
      </w:pPr>
      <w:r w:rsidRPr="0024280B">
        <w:rPr>
          <w:u w:val="single"/>
        </w:rPr>
        <w:t>Source: Author’s own construction, informed by Agora Industry, Wuppertal Institute and Lund University (2024) and Belavadi and Kulkarni (2026).</w:t>
      </w:r>
    </w:p>
    <w:p w14:paraId="3DA74978" w14:textId="77777777" w:rsidR="008C1A65" w:rsidRDefault="00000000">
      <w:pPr>
        <w:spacing w:before="100" w:beforeAutospacing="1" w:after="100" w:afterAutospacing="1" w:line="360" w:lineRule="auto"/>
        <w:rPr>
          <w:rFonts w:eastAsia="Times New Roman" w:cs="Arial"/>
          <w:b/>
          <w:bCs/>
        </w:rPr>
      </w:pPr>
      <w:r>
        <w:rPr>
          <w:rStyle w:val="cursor-pointer"/>
          <w:rFonts w:cs="Arial"/>
        </w:rPr>
        <w:lastRenderedPageBreak/>
        <w:t>The technological opportunity is noteworthy as success can lead to emissions reduction in Tata Steel while providing products that match future market demands.</w:t>
      </w:r>
      <w:r>
        <w:rPr>
          <w:rFonts w:cs="Arial"/>
        </w:rPr>
        <w:t xml:space="preserve"> </w:t>
      </w:r>
      <w:r>
        <w:rPr>
          <w:rStyle w:val="cursor-pointer"/>
          <w:rFonts w:cs="Arial"/>
        </w:rPr>
        <w:t>Technology advances also bring with them uncertainties in terms of scale, capital cost, energy usage, and commercial readiness (Wu et al., 2025).</w:t>
      </w:r>
      <w:r>
        <w:rPr>
          <w:rFonts w:cs="Arial"/>
        </w:rPr>
        <w:t xml:space="preserve"> </w:t>
      </w:r>
      <w:r>
        <w:rPr>
          <w:rStyle w:val="cursor-pointer"/>
          <w:rFonts w:cs="Arial"/>
        </w:rPr>
        <w:t xml:space="preserve">Tata Steel acknowledges that various near zero-emission technologies are still in their early stages of readiness and that the availability of renewables and the amount of scrap are limiting the immediate expansion of alternative routes </w:t>
      </w:r>
      <w:r>
        <w:t xml:space="preserve">(Belavadi and Kulkarni, 2026). </w:t>
      </w:r>
      <w:r>
        <w:rPr>
          <w:rStyle w:val="cursor-pointer"/>
          <w:rFonts w:cs="Arial"/>
        </w:rPr>
        <w:t>Technology must thus be seen as a tool to enable, not as a source of advantage.</w:t>
      </w:r>
      <w:r>
        <w:rPr>
          <w:rFonts w:cs="Arial"/>
        </w:rPr>
        <w:t xml:space="preserve"> </w:t>
      </w:r>
      <w:r>
        <w:rPr>
          <w:rStyle w:val="cursor-pointer"/>
          <w:rFonts w:cs="Arial"/>
        </w:rPr>
        <w:t>It will only attain strategic value if Tata Steel can scale viable technology at affordable costs and realise the environmental benefits as customer value</w:t>
      </w:r>
      <w:r>
        <w:rPr>
          <w:rFonts w:eastAsia="Times New Roman" w:cs="Arial"/>
        </w:rPr>
        <w:t>.</w:t>
      </w:r>
    </w:p>
    <w:p w14:paraId="55BA6658" w14:textId="77777777" w:rsidR="008C1A65" w:rsidRDefault="00000000">
      <w:pPr>
        <w:pStyle w:val="Heading2"/>
        <w:rPr>
          <w:rFonts w:eastAsia="Times New Roman" w:cs="Arial"/>
        </w:rPr>
      </w:pPr>
      <w:bookmarkStart w:id="9" w:name="_Toc242310304"/>
      <w:bookmarkStart w:id="10" w:name="_Toc243510824"/>
      <w:r>
        <w:rPr>
          <w:rFonts w:eastAsia="Times New Roman"/>
        </w:rPr>
        <w:t>5. Integrated Critical Analysis</w:t>
      </w:r>
      <w:bookmarkEnd w:id="9"/>
      <w:bookmarkEnd w:id="10"/>
    </w:p>
    <w:p w14:paraId="6AF5316E" w14:textId="77777777" w:rsidR="008C1A65" w:rsidRDefault="00000000">
      <w:pPr>
        <w:spacing w:before="100" w:beforeAutospacing="1" w:after="100" w:afterAutospacing="1" w:line="360" w:lineRule="auto"/>
        <w:rPr>
          <w:rFonts w:eastAsia="Times New Roman" w:cs="Arial"/>
        </w:rPr>
      </w:pPr>
      <w:r>
        <w:rPr>
          <w:rStyle w:val="cursor-pointer"/>
          <w:rFonts w:cs="Arial"/>
        </w:rPr>
        <w:t>The three actors are not independent of each other.</w:t>
      </w:r>
      <w:r>
        <w:rPr>
          <w:rFonts w:cs="Arial"/>
        </w:rPr>
        <w:t xml:space="preserve"> </w:t>
      </w:r>
      <w:r>
        <w:rPr>
          <w:rStyle w:val="cursor-pointer"/>
          <w:rFonts w:cs="Arial"/>
        </w:rPr>
        <w:t>The need for change is driven by environmental pressure, regulatory change affects incentives and obligations, and Tata Steel's response is through technological innovation.</w:t>
      </w:r>
      <w:r>
        <w:rPr>
          <w:rFonts w:cs="Arial"/>
        </w:rPr>
        <w:t xml:space="preserve"> </w:t>
      </w:r>
      <w:r>
        <w:rPr>
          <w:rStyle w:val="cursor-pointer"/>
          <w:rFonts w:cs="Arial"/>
        </w:rPr>
        <w:t>This feedback loop forms a strategic component: Higher expectations of the environment can lead to more regulation, more regulation to more investment, and more new technology to more lower-emission products.</w:t>
      </w:r>
      <w:r>
        <w:rPr>
          <w:rFonts w:cs="Arial"/>
        </w:rPr>
        <w:t xml:space="preserve"> </w:t>
      </w:r>
      <w:r>
        <w:rPr>
          <w:rStyle w:val="cursor-pointer"/>
          <w:rFonts w:cs="Arial"/>
        </w:rPr>
        <w:t>There are however tensions too in the relationship, as the faster the transition, the more investment will be needed, while the customer demand has not been mature enough.</w:t>
      </w:r>
      <w:r>
        <w:rPr>
          <w:rFonts w:cs="Arial"/>
        </w:rPr>
        <w:t xml:space="preserve"> </w:t>
      </w:r>
      <w:r>
        <w:rPr>
          <w:rStyle w:val="cursor-pointer"/>
          <w:rFonts w:cs="Arial"/>
        </w:rPr>
        <w:t>OECD (2025a) notes that decarbonisation can be costly, and excess capacity in the world can reduce the steelmaking industry's investment capacity.</w:t>
      </w:r>
      <w:r>
        <w:rPr>
          <w:rFonts w:cs="Arial"/>
        </w:rPr>
        <w:t xml:space="preserve"> </w:t>
      </w:r>
    </w:p>
    <w:p w14:paraId="5B7645A4" w14:textId="77777777" w:rsidR="008C1A65" w:rsidRDefault="00000000">
      <w:pPr>
        <w:pStyle w:val="Heading2"/>
        <w:rPr>
          <w:rFonts w:eastAsia="Times New Roman"/>
        </w:rPr>
      </w:pPr>
      <w:bookmarkStart w:id="11" w:name="_Toc242310305"/>
      <w:bookmarkStart w:id="12" w:name="_Toc243510825"/>
      <w:r>
        <w:rPr>
          <w:rFonts w:eastAsia="Times New Roman"/>
        </w:rPr>
        <w:t>6. Overall Task 1 Judgement</w:t>
      </w:r>
      <w:bookmarkEnd w:id="11"/>
      <w:bookmarkEnd w:id="12"/>
    </w:p>
    <w:p w14:paraId="635A8802" w14:textId="77777777" w:rsidR="008C1A65" w:rsidRDefault="00000000">
      <w:pPr>
        <w:spacing w:before="100" w:beforeAutospacing="1" w:after="100" w:afterAutospacing="1" w:line="360" w:lineRule="auto"/>
        <w:rPr>
          <w:rFonts w:eastAsia="Times New Roman" w:cs="Arial"/>
        </w:rPr>
      </w:pPr>
      <w:r>
        <w:rPr>
          <w:rStyle w:val="cursor-pointer"/>
          <w:rFonts w:cs="Arial"/>
        </w:rPr>
        <w:t>The natural environment is the main force behind Tata Steel's decarbonisation journey: climate-related pressure is becoming the catalyst for change.</w:t>
      </w:r>
      <w:r>
        <w:rPr>
          <w:rFonts w:cs="Arial"/>
        </w:rPr>
        <w:t xml:space="preserve"> </w:t>
      </w:r>
      <w:r>
        <w:rPr>
          <w:rStyle w:val="cursor-pointer"/>
          <w:rFonts w:cs="Arial"/>
        </w:rPr>
        <w:t>This pressure is further accentuated by political and regulatory pressures, and technology affords the tools to make it happen.</w:t>
      </w:r>
      <w:r>
        <w:rPr>
          <w:rFonts w:cs="Arial"/>
        </w:rPr>
        <w:t xml:space="preserve"> </w:t>
      </w:r>
      <w:r>
        <w:rPr>
          <w:rStyle w:val="cursor-pointer"/>
          <w:rFonts w:cs="Arial"/>
        </w:rPr>
        <w:t>The real problem now is to turn investment in the environment into something that can be sold.</w:t>
      </w:r>
      <w:r>
        <w:rPr>
          <w:rFonts w:cs="Arial"/>
        </w:rPr>
        <w:t xml:space="preserve"> </w:t>
      </w:r>
      <w:r>
        <w:rPr>
          <w:rStyle w:val="cursor-pointer"/>
          <w:rFonts w:cs="Arial"/>
        </w:rPr>
        <w:t>This conclusion forms the foundation of Task 2, in which Tata Steel's most suitable growth strategy is determined with the aid of the Ansoff matrix</w:t>
      </w:r>
      <w:r>
        <w:rPr>
          <w:rFonts w:eastAsia="Times New Roman" w:cs="Arial"/>
        </w:rPr>
        <w:t>.</w:t>
      </w:r>
      <w:r>
        <w:rPr>
          <w:rFonts w:eastAsia="Times New Roman"/>
        </w:rPr>
        <w:br w:type="page"/>
      </w:r>
    </w:p>
    <w:p w14:paraId="23208FFE" w14:textId="77777777" w:rsidR="008C1A65" w:rsidRDefault="00000000">
      <w:pPr>
        <w:pStyle w:val="Heading1"/>
        <w:jc w:val="center"/>
        <w:rPr>
          <w:rFonts w:eastAsia="Times New Roman"/>
        </w:rPr>
      </w:pPr>
      <w:bookmarkStart w:id="13" w:name="_Toc242310306"/>
      <w:bookmarkStart w:id="14" w:name="_Toc243510826"/>
      <w:r>
        <w:rPr>
          <w:rFonts w:eastAsia="Times New Roman"/>
        </w:rPr>
        <w:lastRenderedPageBreak/>
        <w:t>Task 2: Strategic Growth and Competitive Positioning</w:t>
      </w:r>
      <w:bookmarkEnd w:id="13"/>
      <w:bookmarkEnd w:id="14"/>
    </w:p>
    <w:p w14:paraId="3340BFE4" w14:textId="77777777" w:rsidR="008C1A65" w:rsidRDefault="00000000">
      <w:pPr>
        <w:pStyle w:val="Heading2"/>
        <w:rPr>
          <w:rFonts w:eastAsia="Times New Roman"/>
        </w:rPr>
      </w:pPr>
      <w:bookmarkStart w:id="15" w:name="_Toc242310307"/>
      <w:bookmarkStart w:id="16" w:name="_Toc243510827"/>
      <w:r>
        <w:rPr>
          <w:rFonts w:eastAsia="Times New Roman"/>
        </w:rPr>
        <w:t>2.1 Strategic Link from the Environmental Analysis</w:t>
      </w:r>
      <w:bookmarkEnd w:id="15"/>
      <w:bookmarkEnd w:id="16"/>
    </w:p>
    <w:p w14:paraId="560E65A5" w14:textId="77777777" w:rsidR="008C1A65" w:rsidRDefault="00000000">
      <w:pPr>
        <w:pStyle w:val="NormalWeb"/>
        <w:spacing w:line="360" w:lineRule="auto"/>
        <w:jc w:val="both"/>
        <w:rPr>
          <w:rStyle w:val="cursor-pointer"/>
          <w:rFonts w:ascii="Arial" w:hAnsi="Arial" w:cs="Arial"/>
          <w:b/>
        </w:rPr>
      </w:pPr>
      <w:r>
        <w:rPr>
          <w:rStyle w:val="cursor-pointer"/>
          <w:rFonts w:ascii="Arial" w:hAnsi="Arial" w:cs="Arial"/>
        </w:rPr>
        <w:t>The environmental analysis highlights how climate expectations are influencing the competitive landscape for Tata Steel, as are regulatory and technological developments.</w:t>
      </w:r>
      <w:r>
        <w:rPr>
          <w:rFonts w:ascii="Arial" w:hAnsi="Arial" w:cs="Arial"/>
        </w:rPr>
        <w:t xml:space="preserve"> </w:t>
      </w:r>
      <w:r>
        <w:rPr>
          <w:rStyle w:val="cursor-pointer"/>
          <w:rFonts w:ascii="Arial" w:hAnsi="Arial" w:cs="Arial"/>
        </w:rPr>
        <w:t>But investment in decarbonisation is not sufficient for growth as low-emission steel still faces cost, infrastructure and demand uncertainties.</w:t>
      </w:r>
      <w:r>
        <w:rPr>
          <w:rFonts w:ascii="Arial" w:hAnsi="Arial" w:cs="Arial"/>
        </w:rPr>
        <w:t xml:space="preserve"> </w:t>
      </w:r>
      <w:r>
        <w:rPr>
          <w:rStyle w:val="cursor-pointer"/>
          <w:rFonts w:ascii="Arial" w:hAnsi="Arial" w:cs="Arial"/>
        </w:rPr>
        <w:t>According to IEA (2025), firm demand commitments play a crucial role in establishing lead markets and mitigating commercial risk.</w:t>
      </w:r>
      <w:r>
        <w:rPr>
          <w:rFonts w:ascii="Arial" w:hAnsi="Arial" w:cs="Arial"/>
        </w:rPr>
        <w:t xml:space="preserve"> </w:t>
      </w:r>
      <w:r>
        <w:rPr>
          <w:rStyle w:val="cursor-pointer"/>
          <w:rFonts w:ascii="Arial" w:hAnsi="Arial" w:cs="Arial"/>
        </w:rPr>
        <w:t xml:space="preserve">This is especially true since Tata Steel states that global customers are increasingly interested in low carbon supply chains </w:t>
      </w:r>
      <w:r>
        <w:rPr>
          <w:rStyle w:val="Strong"/>
          <w:rFonts w:ascii="Arial" w:eastAsiaTheme="majorEastAsia" w:hAnsi="Arial" w:cs="Arial"/>
          <w:b w:val="0"/>
        </w:rPr>
        <w:t>(Pathak, Mahobia and Gupta, 2026)</w:t>
      </w:r>
      <w:r>
        <w:rPr>
          <w:rStyle w:val="cursor-pointer"/>
          <w:rFonts w:ascii="Arial" w:hAnsi="Arial" w:cs="Arial"/>
          <w:b/>
        </w:rPr>
        <w:t>.</w:t>
      </w:r>
    </w:p>
    <w:p w14:paraId="015E404A" w14:textId="77777777" w:rsidR="008C1A65" w:rsidRDefault="00000000">
      <w:pPr>
        <w:pStyle w:val="NormalWeb"/>
        <w:spacing w:line="360" w:lineRule="auto"/>
        <w:jc w:val="both"/>
        <w:rPr>
          <w:rFonts w:ascii="Arial" w:hAnsi="Arial" w:cs="Arial"/>
        </w:rPr>
      </w:pPr>
      <w:r>
        <w:rPr>
          <w:rStyle w:val="cursor-pointer"/>
          <w:rFonts w:ascii="Arial" w:hAnsi="Arial" w:cs="Arial"/>
        </w:rPr>
        <w:t>Hence, Tata Steel needs a growth approach to transform current skills and capabilities into customer value products with lower carbon footprint.</w:t>
      </w:r>
      <w:r>
        <w:rPr>
          <w:rFonts w:ascii="Arial" w:hAnsi="Arial" w:cs="Arial"/>
        </w:rPr>
        <w:t xml:space="preserve"> </w:t>
      </w:r>
      <w:r>
        <w:rPr>
          <w:rStyle w:val="cursor-pointer"/>
          <w:rFonts w:ascii="Arial" w:hAnsi="Arial" w:cs="Arial"/>
        </w:rPr>
        <w:t>The Ansoff Matrix is a suitable tool to assess the relative opportunities and risks</w:t>
      </w:r>
      <w:r>
        <w:rPr>
          <w:rFonts w:ascii="Arial" w:hAnsi="Arial" w:cs="Arial"/>
        </w:rPr>
        <w:t>.</w:t>
      </w:r>
    </w:p>
    <w:p w14:paraId="17D50617" w14:textId="77777777" w:rsidR="008C1A65" w:rsidRDefault="00000000">
      <w:pPr>
        <w:pStyle w:val="Heading2"/>
        <w:rPr>
          <w:rFonts w:eastAsia="Times New Roman"/>
        </w:rPr>
      </w:pPr>
      <w:bookmarkStart w:id="17" w:name="_Toc242310308"/>
      <w:bookmarkStart w:id="18" w:name="_Toc243510828"/>
      <w:r>
        <w:rPr>
          <w:rFonts w:eastAsia="Times New Roman"/>
        </w:rPr>
        <w:t>2.2 Ansoff Matrix Applied to Tata Steel</w:t>
      </w:r>
      <w:bookmarkEnd w:id="17"/>
      <w:bookmarkEnd w:id="18"/>
    </w:p>
    <w:p w14:paraId="62576477" w14:textId="77777777" w:rsidR="008C1A65" w:rsidRDefault="008C1A65"/>
    <w:p w14:paraId="4DB612D7" w14:textId="77777777" w:rsidR="008C1A65" w:rsidRDefault="00000000">
      <w:pPr>
        <w:jc w:val="left"/>
        <w:rPr>
          <w:b/>
        </w:rPr>
      </w:pPr>
      <w:r>
        <w:rPr>
          <w:b/>
        </w:rPr>
        <w:t>Table 1: Ansoff Matrix Applied to Tata Steel’s Lower-Carbon Growth Opportunities</w:t>
      </w:r>
    </w:p>
    <w:tbl>
      <w:tblPr>
        <w:tblStyle w:val="TableGrid"/>
        <w:tblW w:w="0" w:type="auto"/>
        <w:tblLook w:val="04A0" w:firstRow="1" w:lastRow="0" w:firstColumn="1" w:lastColumn="0" w:noHBand="0" w:noVBand="1"/>
      </w:tblPr>
      <w:tblGrid>
        <w:gridCol w:w="2001"/>
        <w:gridCol w:w="3087"/>
        <w:gridCol w:w="2130"/>
        <w:gridCol w:w="1798"/>
      </w:tblGrid>
      <w:tr w:rsidR="008C1A65" w14:paraId="261F9CCB" w14:textId="77777777">
        <w:tc>
          <w:tcPr>
            <w:tcW w:w="0" w:type="auto"/>
          </w:tcPr>
          <w:p w14:paraId="5CFDAFF3" w14:textId="77777777" w:rsidR="008C1A65" w:rsidRDefault="00000000">
            <w:pPr>
              <w:spacing w:after="0" w:line="276" w:lineRule="auto"/>
              <w:rPr>
                <w:rFonts w:eastAsia="Times New Roman" w:cs="Arial"/>
                <w:b/>
                <w:bCs/>
              </w:rPr>
            </w:pPr>
            <w:r>
              <w:rPr>
                <w:rFonts w:eastAsia="Times New Roman" w:cs="Arial"/>
                <w:b/>
                <w:bCs/>
              </w:rPr>
              <w:t>Strategy</w:t>
            </w:r>
          </w:p>
        </w:tc>
        <w:tc>
          <w:tcPr>
            <w:tcW w:w="0" w:type="auto"/>
          </w:tcPr>
          <w:p w14:paraId="0B53E20F" w14:textId="77777777" w:rsidR="008C1A65" w:rsidRDefault="00000000">
            <w:pPr>
              <w:spacing w:after="0" w:line="276" w:lineRule="auto"/>
              <w:rPr>
                <w:rFonts w:eastAsia="Times New Roman" w:cs="Arial"/>
                <w:b/>
                <w:bCs/>
              </w:rPr>
            </w:pPr>
            <w:r>
              <w:rPr>
                <w:rFonts w:eastAsia="Times New Roman" w:cs="Arial"/>
                <w:b/>
                <w:bCs/>
              </w:rPr>
              <w:t>Tata Steel application</w:t>
            </w:r>
          </w:p>
        </w:tc>
        <w:tc>
          <w:tcPr>
            <w:tcW w:w="0" w:type="auto"/>
          </w:tcPr>
          <w:p w14:paraId="2C1418B1" w14:textId="77777777" w:rsidR="008C1A65" w:rsidRDefault="00000000">
            <w:pPr>
              <w:spacing w:after="0" w:line="276" w:lineRule="auto"/>
              <w:rPr>
                <w:rFonts w:eastAsia="Times New Roman" w:cs="Arial"/>
                <w:b/>
                <w:bCs/>
              </w:rPr>
            </w:pPr>
            <w:r>
              <w:rPr>
                <w:rFonts w:eastAsia="Times New Roman" w:cs="Arial"/>
                <w:b/>
                <w:bCs/>
              </w:rPr>
              <w:t>Opportunity</w:t>
            </w:r>
          </w:p>
        </w:tc>
        <w:tc>
          <w:tcPr>
            <w:tcW w:w="0" w:type="auto"/>
          </w:tcPr>
          <w:p w14:paraId="1A03FD78" w14:textId="77777777" w:rsidR="008C1A65" w:rsidRDefault="00000000">
            <w:pPr>
              <w:spacing w:after="0" w:line="276" w:lineRule="auto"/>
              <w:rPr>
                <w:rFonts w:eastAsia="Times New Roman" w:cs="Arial"/>
                <w:b/>
                <w:bCs/>
              </w:rPr>
            </w:pPr>
            <w:r>
              <w:rPr>
                <w:rFonts w:eastAsia="Times New Roman" w:cs="Arial"/>
                <w:b/>
                <w:bCs/>
              </w:rPr>
              <w:t>Principal risk</w:t>
            </w:r>
          </w:p>
        </w:tc>
      </w:tr>
      <w:tr w:rsidR="008C1A65" w14:paraId="1BAF6CC7" w14:textId="77777777">
        <w:tc>
          <w:tcPr>
            <w:tcW w:w="0" w:type="auto"/>
          </w:tcPr>
          <w:p w14:paraId="25CED411" w14:textId="77777777" w:rsidR="008C1A65" w:rsidRDefault="00000000">
            <w:pPr>
              <w:spacing w:after="0" w:line="276" w:lineRule="auto"/>
              <w:jc w:val="left"/>
              <w:rPr>
                <w:rFonts w:eastAsia="Times New Roman" w:cs="Arial"/>
              </w:rPr>
            </w:pPr>
            <w:r>
              <w:rPr>
                <w:rFonts w:eastAsia="Times New Roman" w:cs="Arial"/>
                <w:b/>
                <w:bCs/>
              </w:rPr>
              <w:t>Market Penetration</w:t>
            </w:r>
          </w:p>
        </w:tc>
        <w:tc>
          <w:tcPr>
            <w:tcW w:w="0" w:type="auto"/>
          </w:tcPr>
          <w:p w14:paraId="0AAA4C1F" w14:textId="77777777" w:rsidR="008C1A65" w:rsidRDefault="00000000">
            <w:pPr>
              <w:spacing w:after="0" w:line="276" w:lineRule="auto"/>
              <w:jc w:val="left"/>
              <w:rPr>
                <w:rFonts w:eastAsia="Times New Roman" w:cs="Arial"/>
              </w:rPr>
            </w:pPr>
            <w:r>
              <w:rPr>
                <w:rFonts w:eastAsia="Times New Roman" w:cs="Arial"/>
              </w:rPr>
              <w:t>Increase adoption among existing customers</w:t>
            </w:r>
          </w:p>
        </w:tc>
        <w:tc>
          <w:tcPr>
            <w:tcW w:w="0" w:type="auto"/>
          </w:tcPr>
          <w:p w14:paraId="423700BA" w14:textId="77777777" w:rsidR="008C1A65" w:rsidRDefault="00000000">
            <w:pPr>
              <w:spacing w:after="0" w:line="276" w:lineRule="auto"/>
              <w:jc w:val="left"/>
              <w:rPr>
                <w:rFonts w:eastAsia="Times New Roman" w:cs="Arial"/>
              </w:rPr>
            </w:pPr>
            <w:r>
              <w:rPr>
                <w:rFonts w:eastAsia="Times New Roman" w:cs="Arial"/>
              </w:rPr>
              <w:t>Uses established relationships</w:t>
            </w:r>
          </w:p>
        </w:tc>
        <w:tc>
          <w:tcPr>
            <w:tcW w:w="0" w:type="auto"/>
          </w:tcPr>
          <w:p w14:paraId="5323B3A4" w14:textId="77777777" w:rsidR="008C1A65" w:rsidRDefault="00000000">
            <w:pPr>
              <w:spacing w:after="0" w:line="276" w:lineRule="auto"/>
              <w:jc w:val="left"/>
              <w:rPr>
                <w:rFonts w:eastAsia="Times New Roman" w:cs="Arial"/>
              </w:rPr>
            </w:pPr>
            <w:r>
              <w:rPr>
                <w:rFonts w:eastAsia="Times New Roman" w:cs="Arial"/>
              </w:rPr>
              <w:t>Price sensitivity</w:t>
            </w:r>
          </w:p>
        </w:tc>
      </w:tr>
      <w:tr w:rsidR="008C1A65" w14:paraId="4B44A79B" w14:textId="77777777">
        <w:tc>
          <w:tcPr>
            <w:tcW w:w="0" w:type="auto"/>
          </w:tcPr>
          <w:p w14:paraId="33ECCBBC" w14:textId="77777777" w:rsidR="008C1A65" w:rsidRDefault="00000000">
            <w:pPr>
              <w:spacing w:after="0" w:line="276" w:lineRule="auto"/>
              <w:jc w:val="left"/>
              <w:rPr>
                <w:rFonts w:eastAsia="Times New Roman" w:cs="Arial"/>
              </w:rPr>
            </w:pPr>
            <w:r>
              <w:rPr>
                <w:rFonts w:eastAsia="Times New Roman" w:cs="Arial"/>
                <w:b/>
                <w:bCs/>
              </w:rPr>
              <w:t>Product Development</w:t>
            </w:r>
          </w:p>
        </w:tc>
        <w:tc>
          <w:tcPr>
            <w:tcW w:w="0" w:type="auto"/>
          </w:tcPr>
          <w:p w14:paraId="1E50C30A" w14:textId="77777777" w:rsidR="008C1A65" w:rsidRDefault="00000000">
            <w:pPr>
              <w:spacing w:after="0" w:line="276" w:lineRule="auto"/>
              <w:jc w:val="left"/>
              <w:rPr>
                <w:rFonts w:eastAsia="Times New Roman" w:cs="Arial"/>
              </w:rPr>
            </w:pPr>
            <w:r>
              <w:rPr>
                <w:rFonts w:eastAsia="Times New Roman" w:cs="Arial"/>
              </w:rPr>
              <w:t>Develop lower-carbon and recycled-content steel</w:t>
            </w:r>
          </w:p>
        </w:tc>
        <w:tc>
          <w:tcPr>
            <w:tcW w:w="0" w:type="auto"/>
          </w:tcPr>
          <w:p w14:paraId="1B572503" w14:textId="77777777" w:rsidR="008C1A65" w:rsidRDefault="00000000">
            <w:pPr>
              <w:spacing w:after="0" w:line="276" w:lineRule="auto"/>
              <w:jc w:val="left"/>
              <w:rPr>
                <w:rFonts w:eastAsia="Times New Roman" w:cs="Arial"/>
              </w:rPr>
            </w:pPr>
            <w:r>
              <w:rPr>
                <w:rFonts w:eastAsia="Times New Roman" w:cs="Arial"/>
              </w:rPr>
              <w:t>Strong customer and environmental fit</w:t>
            </w:r>
          </w:p>
        </w:tc>
        <w:tc>
          <w:tcPr>
            <w:tcW w:w="0" w:type="auto"/>
          </w:tcPr>
          <w:p w14:paraId="7933976A" w14:textId="77777777" w:rsidR="008C1A65" w:rsidRDefault="00000000">
            <w:pPr>
              <w:spacing w:after="0" w:line="276" w:lineRule="auto"/>
              <w:jc w:val="left"/>
              <w:rPr>
                <w:rFonts w:eastAsia="Times New Roman" w:cs="Arial"/>
              </w:rPr>
            </w:pPr>
            <w:r>
              <w:rPr>
                <w:rFonts w:eastAsia="Times New Roman" w:cs="Arial"/>
              </w:rPr>
              <w:t>Higher costs</w:t>
            </w:r>
          </w:p>
        </w:tc>
      </w:tr>
      <w:tr w:rsidR="008C1A65" w14:paraId="412E2519" w14:textId="77777777">
        <w:tc>
          <w:tcPr>
            <w:tcW w:w="0" w:type="auto"/>
          </w:tcPr>
          <w:p w14:paraId="23DEC6F1" w14:textId="77777777" w:rsidR="008C1A65" w:rsidRDefault="00000000">
            <w:pPr>
              <w:spacing w:after="0" w:line="276" w:lineRule="auto"/>
              <w:jc w:val="left"/>
              <w:rPr>
                <w:rFonts w:eastAsia="Times New Roman" w:cs="Arial"/>
              </w:rPr>
            </w:pPr>
            <w:r>
              <w:rPr>
                <w:rFonts w:eastAsia="Times New Roman" w:cs="Arial"/>
                <w:b/>
                <w:bCs/>
              </w:rPr>
              <w:t>Market Development</w:t>
            </w:r>
          </w:p>
        </w:tc>
        <w:tc>
          <w:tcPr>
            <w:tcW w:w="0" w:type="auto"/>
          </w:tcPr>
          <w:p w14:paraId="3482D907" w14:textId="77777777" w:rsidR="008C1A65" w:rsidRDefault="00000000">
            <w:pPr>
              <w:spacing w:after="0" w:line="276" w:lineRule="auto"/>
              <w:jc w:val="left"/>
              <w:rPr>
                <w:rFonts w:eastAsia="Times New Roman" w:cs="Arial"/>
              </w:rPr>
            </w:pPr>
            <w:r>
              <w:rPr>
                <w:rFonts w:eastAsia="Times New Roman" w:cs="Arial"/>
              </w:rPr>
              <w:t>Enter new geographical/customer segments</w:t>
            </w:r>
          </w:p>
        </w:tc>
        <w:tc>
          <w:tcPr>
            <w:tcW w:w="0" w:type="auto"/>
          </w:tcPr>
          <w:p w14:paraId="1ACCB457" w14:textId="77777777" w:rsidR="008C1A65" w:rsidRDefault="00000000">
            <w:pPr>
              <w:spacing w:after="0" w:line="276" w:lineRule="auto"/>
              <w:jc w:val="left"/>
              <w:rPr>
                <w:rFonts w:eastAsia="Times New Roman" w:cs="Arial"/>
              </w:rPr>
            </w:pPr>
            <w:r>
              <w:rPr>
                <w:rFonts w:eastAsia="Times New Roman" w:cs="Arial"/>
              </w:rPr>
              <w:t>Expands demand</w:t>
            </w:r>
          </w:p>
        </w:tc>
        <w:tc>
          <w:tcPr>
            <w:tcW w:w="0" w:type="auto"/>
          </w:tcPr>
          <w:p w14:paraId="3A2F3C6E" w14:textId="77777777" w:rsidR="008C1A65" w:rsidRDefault="00000000">
            <w:pPr>
              <w:spacing w:after="0" w:line="276" w:lineRule="auto"/>
              <w:jc w:val="left"/>
              <w:rPr>
                <w:rFonts w:eastAsia="Times New Roman" w:cs="Arial"/>
              </w:rPr>
            </w:pPr>
            <w:r>
              <w:rPr>
                <w:rFonts w:eastAsia="Times New Roman" w:cs="Arial"/>
              </w:rPr>
              <w:t>Market-entry uncertainty</w:t>
            </w:r>
          </w:p>
        </w:tc>
      </w:tr>
      <w:tr w:rsidR="008C1A65" w14:paraId="0DCD4BAD" w14:textId="77777777">
        <w:tc>
          <w:tcPr>
            <w:tcW w:w="0" w:type="auto"/>
          </w:tcPr>
          <w:p w14:paraId="22520175" w14:textId="77777777" w:rsidR="008C1A65" w:rsidRDefault="00000000">
            <w:pPr>
              <w:spacing w:after="0" w:line="276" w:lineRule="auto"/>
              <w:jc w:val="left"/>
              <w:rPr>
                <w:rFonts w:eastAsia="Times New Roman" w:cs="Arial"/>
              </w:rPr>
            </w:pPr>
            <w:r>
              <w:rPr>
                <w:rFonts w:eastAsia="Times New Roman" w:cs="Arial"/>
                <w:b/>
                <w:bCs/>
              </w:rPr>
              <w:t>Diversification</w:t>
            </w:r>
          </w:p>
        </w:tc>
        <w:tc>
          <w:tcPr>
            <w:tcW w:w="0" w:type="auto"/>
          </w:tcPr>
          <w:p w14:paraId="3F0EA305" w14:textId="77777777" w:rsidR="008C1A65" w:rsidRDefault="00000000">
            <w:pPr>
              <w:spacing w:after="0" w:line="276" w:lineRule="auto"/>
              <w:jc w:val="left"/>
              <w:rPr>
                <w:rFonts w:eastAsia="Times New Roman" w:cs="Arial"/>
              </w:rPr>
            </w:pPr>
            <w:r>
              <w:rPr>
                <w:rFonts w:eastAsia="Times New Roman" w:cs="Arial"/>
              </w:rPr>
              <w:t>New products in new markets</w:t>
            </w:r>
          </w:p>
        </w:tc>
        <w:tc>
          <w:tcPr>
            <w:tcW w:w="0" w:type="auto"/>
          </w:tcPr>
          <w:p w14:paraId="2F90D587" w14:textId="77777777" w:rsidR="008C1A65" w:rsidRDefault="00000000">
            <w:pPr>
              <w:spacing w:after="0" w:line="276" w:lineRule="auto"/>
              <w:jc w:val="left"/>
              <w:rPr>
                <w:rFonts w:eastAsia="Times New Roman" w:cs="Arial"/>
              </w:rPr>
            </w:pPr>
            <w:r>
              <w:rPr>
                <w:rFonts w:eastAsia="Times New Roman" w:cs="Arial"/>
              </w:rPr>
              <w:t>Long-term growth</w:t>
            </w:r>
          </w:p>
        </w:tc>
        <w:tc>
          <w:tcPr>
            <w:tcW w:w="0" w:type="auto"/>
          </w:tcPr>
          <w:p w14:paraId="625C664C" w14:textId="77777777" w:rsidR="008C1A65" w:rsidRDefault="00000000">
            <w:pPr>
              <w:spacing w:after="0" w:line="276" w:lineRule="auto"/>
              <w:jc w:val="left"/>
              <w:rPr>
                <w:rFonts w:eastAsia="Times New Roman" w:cs="Arial"/>
              </w:rPr>
            </w:pPr>
            <w:r>
              <w:rPr>
                <w:rFonts w:eastAsia="Times New Roman" w:cs="Arial"/>
              </w:rPr>
              <w:t>Highest financial and capability risk</w:t>
            </w:r>
          </w:p>
        </w:tc>
      </w:tr>
    </w:tbl>
    <w:p w14:paraId="17DCEC10" w14:textId="69954E40" w:rsidR="008C1A65" w:rsidRPr="0024280B" w:rsidRDefault="0024280B" w:rsidP="0024280B">
      <w:pPr>
        <w:jc w:val="left"/>
        <w:rPr>
          <w:i/>
          <w:iCs/>
        </w:rPr>
      </w:pPr>
      <w:r w:rsidRPr="0024280B">
        <w:rPr>
          <w:i/>
          <w:iCs/>
        </w:rPr>
        <w:t>Source: Author’s own construction, adapted from Ansoff’s (1957) product-market growth matrix and applied to Tata Steel.</w:t>
      </w:r>
    </w:p>
    <w:p w14:paraId="1158EED8" w14:textId="77777777" w:rsidR="008C1A65" w:rsidRDefault="008C1A65">
      <w:pPr>
        <w:spacing w:before="100" w:beforeAutospacing="1" w:after="100" w:afterAutospacing="1" w:line="360" w:lineRule="auto"/>
        <w:rPr>
          <w:rFonts w:cs="Arial"/>
        </w:rPr>
      </w:pPr>
    </w:p>
    <w:p w14:paraId="1BCF7D75" w14:textId="77777777" w:rsidR="008C1A65" w:rsidRDefault="00000000">
      <w:pPr>
        <w:spacing w:before="100" w:beforeAutospacing="1" w:after="100" w:afterAutospacing="1" w:line="360" w:lineRule="auto"/>
        <w:jc w:val="center"/>
        <w:rPr>
          <w:rFonts w:cs="Arial"/>
        </w:rPr>
      </w:pPr>
      <w:r>
        <w:rPr>
          <w:rFonts w:cs="Arial"/>
          <w:noProof/>
        </w:rPr>
        <w:drawing>
          <wp:inline distT="0" distB="0" distL="0" distR="0" wp14:anchorId="341B873E" wp14:editId="1F203416">
            <wp:extent cx="5943600" cy="346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Lst>
                    </a:blip>
                    <a:srcRect t="12485"/>
                    <a:stretch>
                      <a:fillRect/>
                    </a:stretch>
                  </pic:blipFill>
                  <pic:spPr>
                    <a:xfrm>
                      <a:off x="0" y="0"/>
                      <a:ext cx="5943600" cy="3467725"/>
                    </a:xfrm>
                    <a:prstGeom prst="rect">
                      <a:avLst/>
                    </a:prstGeom>
                    <a:ln>
                      <a:noFill/>
                    </a:ln>
                  </pic:spPr>
                </pic:pic>
              </a:graphicData>
            </a:graphic>
          </wp:inline>
        </w:drawing>
      </w:r>
    </w:p>
    <w:p w14:paraId="020CB2B2" w14:textId="77777777" w:rsidR="008C1A65" w:rsidRDefault="00000000">
      <w:pPr>
        <w:spacing w:before="100" w:beforeAutospacing="1" w:after="100" w:afterAutospacing="1" w:line="360" w:lineRule="auto"/>
        <w:jc w:val="center"/>
        <w:rPr>
          <w:rFonts w:cs="Arial"/>
        </w:rPr>
      </w:pPr>
      <w:r>
        <w:rPr>
          <w:rFonts w:cs="Arial"/>
          <w:b/>
        </w:rPr>
        <w:t>Figure 3</w:t>
      </w:r>
      <w:r>
        <w:rPr>
          <w:rFonts w:cs="Arial"/>
        </w:rPr>
        <w:t>: Strategic growth options for Tata Steel’s lower-carbon portfolio</w:t>
      </w:r>
    </w:p>
    <w:p w14:paraId="3C300B30" w14:textId="77777777" w:rsidR="008C1A65" w:rsidRDefault="00000000">
      <w:pPr>
        <w:spacing w:before="100" w:beforeAutospacing="1" w:after="100" w:afterAutospacing="1" w:line="360" w:lineRule="auto"/>
        <w:jc w:val="center"/>
        <w:rPr>
          <w:rFonts w:eastAsia="Times New Roman" w:cs="Arial"/>
          <w:b/>
          <w:bCs/>
        </w:rPr>
      </w:pPr>
      <w:r>
        <w:rPr>
          <w:rStyle w:val="Strong"/>
          <w:rFonts w:cs="Arial"/>
        </w:rPr>
        <w:t>Source:</w:t>
      </w:r>
      <w:r>
        <w:rPr>
          <w:rFonts w:cs="Arial"/>
        </w:rPr>
        <w:t xml:space="preserve"> Author’s own construction, adapted from the Ansoff Matrix.</w:t>
      </w:r>
    </w:p>
    <w:p w14:paraId="1A2A16F2" w14:textId="77777777" w:rsidR="008C1A65" w:rsidRDefault="00000000">
      <w:pPr>
        <w:spacing w:before="100" w:beforeAutospacing="1" w:after="100" w:afterAutospacing="1" w:line="360" w:lineRule="auto"/>
        <w:rPr>
          <w:rFonts w:cs="Arial"/>
        </w:rPr>
      </w:pPr>
      <w:r>
        <w:rPr>
          <w:rStyle w:val="cursor-pointer"/>
          <w:rFonts w:cs="Arial"/>
          <w:b/>
        </w:rPr>
        <w:t>Market Penetration</w:t>
      </w:r>
      <w:r>
        <w:rPr>
          <w:rStyle w:val="cursor-pointer"/>
          <w:rFonts w:cs="Arial"/>
        </w:rPr>
        <w:t xml:space="preserve"> is the lowest risk option as the Tata Steel can expand its existing customer base in the automotive, construction and engineering segment.</w:t>
      </w:r>
      <w:r>
        <w:rPr>
          <w:rFonts w:cs="Arial"/>
        </w:rPr>
        <w:t xml:space="preserve"> </w:t>
      </w:r>
      <w:r>
        <w:rPr>
          <w:rStyle w:val="cursor-pointer"/>
          <w:rFonts w:cs="Arial"/>
        </w:rPr>
        <w:t>But, where buyers are looking for better value than environmental attributes, its potential is limited, especially when green premiums are not easy to afford (OECD, 2025a).</w:t>
      </w:r>
      <w:r>
        <w:rPr>
          <w:rFonts w:cs="Arial"/>
        </w:rPr>
        <w:t xml:space="preserve"> </w:t>
      </w:r>
    </w:p>
    <w:p w14:paraId="5BBEF89C" w14:textId="77777777" w:rsidR="008C1A65" w:rsidRDefault="00000000">
      <w:pPr>
        <w:pStyle w:val="NormalWeb"/>
        <w:spacing w:line="360" w:lineRule="auto"/>
        <w:jc w:val="both"/>
        <w:rPr>
          <w:rFonts w:ascii="Arial" w:hAnsi="Arial" w:cs="Arial"/>
        </w:rPr>
      </w:pPr>
      <w:r>
        <w:rPr>
          <w:rStyle w:val="cursor-pointer"/>
          <w:rFonts w:ascii="Arial" w:hAnsi="Arial" w:cs="Arial"/>
          <w:b/>
        </w:rPr>
        <w:t xml:space="preserve">Product Development </w:t>
      </w:r>
      <w:r>
        <w:rPr>
          <w:rStyle w:val="cursor-pointer"/>
          <w:rFonts w:ascii="Arial" w:hAnsi="Arial" w:cs="Arial"/>
        </w:rPr>
        <w:t>offers greater Strategic fit.</w:t>
      </w:r>
      <w:r>
        <w:rPr>
          <w:rFonts w:ascii="Arial" w:hAnsi="Arial" w:cs="Arial"/>
        </w:rPr>
        <w:t xml:space="preserve"> </w:t>
      </w:r>
      <w:r>
        <w:rPr>
          <w:rStyle w:val="cursor-pointer"/>
          <w:rFonts w:ascii="Arial" w:hAnsi="Arial" w:cs="Arial"/>
        </w:rPr>
        <w:t>Tata Steel already has lower-carbon and recycled-content solutions, while its product portfolio includes advanced automotive and value-added steels.</w:t>
      </w:r>
      <w:r>
        <w:rPr>
          <w:rFonts w:ascii="Arial" w:hAnsi="Arial" w:cs="Arial"/>
        </w:rPr>
        <w:t xml:space="preserve"> </w:t>
      </w:r>
      <w:r>
        <w:rPr>
          <w:rStyle w:val="cursor-pointer"/>
          <w:rFonts w:ascii="Arial" w:hAnsi="Arial" w:cs="Arial"/>
        </w:rPr>
        <w:t xml:space="preserve">In partnership with USTB, its work in 2026 specifically focuses on 'Scrap based steelmaking', 'Product performance and carbon technologies', highlighting the integration of product development with decarbonisation innovation </w:t>
      </w:r>
      <w:r>
        <w:rPr>
          <w:rFonts w:ascii="Arial" w:hAnsi="Arial" w:cs="Arial"/>
        </w:rPr>
        <w:t xml:space="preserve">(AIST, 2026). </w:t>
      </w:r>
      <w:r>
        <w:rPr>
          <w:rStyle w:val="cursor-pointer"/>
          <w:rFonts w:ascii="Arial" w:hAnsi="Arial" w:cs="Arial"/>
        </w:rPr>
        <w:t xml:space="preserve">This is in line with the latest available evidence that Tata Steel is viewing green-steel transition as a differentiated growth opportunity in the automotive and engineering segments </w:t>
      </w:r>
      <w:r>
        <w:rPr>
          <w:rStyle w:val="Strong"/>
          <w:rFonts w:ascii="Arial" w:eastAsiaTheme="majorEastAsia" w:hAnsi="Arial" w:cs="Arial"/>
          <w:b w:val="0"/>
        </w:rPr>
        <w:t>(Pathak, Mahobia and Gupta, 2026).</w:t>
      </w:r>
    </w:p>
    <w:p w14:paraId="48546970" w14:textId="77777777" w:rsidR="008C1A65" w:rsidRDefault="00000000">
      <w:pPr>
        <w:spacing w:before="100" w:beforeAutospacing="1" w:after="100" w:afterAutospacing="1" w:line="360" w:lineRule="auto"/>
        <w:rPr>
          <w:rStyle w:val="cursor-pointer"/>
          <w:rFonts w:cs="Arial"/>
        </w:rPr>
      </w:pPr>
      <w:r>
        <w:rPr>
          <w:rStyle w:val="cursor-pointer"/>
          <w:rFonts w:cs="Arial"/>
          <w:b/>
        </w:rPr>
        <w:lastRenderedPageBreak/>
        <w:t>Market Development</w:t>
      </w:r>
      <w:r>
        <w:rPr>
          <w:rStyle w:val="cursor-pointer"/>
          <w:rFonts w:cs="Arial"/>
        </w:rPr>
        <w:t xml:space="preserve"> may be used to reach markets where decarbonisation commitment is greater.</w:t>
      </w:r>
      <w:r>
        <w:rPr>
          <w:rFonts w:cs="Arial"/>
        </w:rPr>
        <w:t xml:space="preserve"> </w:t>
      </w:r>
      <w:r>
        <w:rPr>
          <w:rStyle w:val="cursor-pointer"/>
          <w:rFonts w:cs="Arial"/>
        </w:rPr>
        <w:t>The IEA (2026) presents the growth of near-zero emission steel demand in important regions of the world.</w:t>
      </w:r>
      <w:r>
        <w:rPr>
          <w:rFonts w:cs="Arial"/>
        </w:rPr>
        <w:t xml:space="preserve"> </w:t>
      </w:r>
      <w:r>
        <w:rPr>
          <w:rStyle w:val="cursor-pointer"/>
          <w:rFonts w:cs="Arial"/>
        </w:rPr>
        <w:t>But, the regulatory needs and the willingness to pay by customers add another layer of risk to execution.</w:t>
      </w:r>
    </w:p>
    <w:p w14:paraId="695DD5B0" w14:textId="77777777" w:rsidR="008C1A65" w:rsidRDefault="00000000">
      <w:pPr>
        <w:spacing w:before="100" w:beforeAutospacing="1" w:after="100" w:afterAutospacing="1" w:line="360" w:lineRule="auto"/>
        <w:rPr>
          <w:rFonts w:eastAsia="Times New Roman" w:cs="Arial"/>
        </w:rPr>
      </w:pPr>
      <w:r>
        <w:rPr>
          <w:rFonts w:cs="Arial"/>
        </w:rPr>
        <w:t xml:space="preserve"> </w:t>
      </w:r>
      <w:r>
        <w:rPr>
          <w:rStyle w:val="cursor-pointer"/>
          <w:rFonts w:cs="Arial"/>
        </w:rPr>
        <w:t>The highest risk is</w:t>
      </w:r>
      <w:r>
        <w:rPr>
          <w:rStyle w:val="cursor-pointer"/>
          <w:rFonts w:cs="Arial"/>
          <w:b/>
        </w:rPr>
        <w:t xml:space="preserve"> diversification</w:t>
      </w:r>
      <w:r>
        <w:rPr>
          <w:rStyle w:val="cursor-pointer"/>
          <w:rFonts w:cs="Arial"/>
        </w:rPr>
        <w:t xml:space="preserve"> where Tata Steel is already making significant capital-intensive transformation.</w:t>
      </w:r>
      <w:r>
        <w:rPr>
          <w:rFonts w:cs="Arial"/>
        </w:rPr>
        <w:t xml:space="preserve"> </w:t>
      </w:r>
      <w:r>
        <w:rPr>
          <w:rStyle w:val="cursor-pointer"/>
          <w:rFonts w:cs="Arial"/>
        </w:rPr>
        <w:t>Therefore, it should be left as a longer-term option and not the priority at the moment</w:t>
      </w:r>
      <w:r>
        <w:rPr>
          <w:rFonts w:eastAsia="Times New Roman" w:cs="Arial"/>
        </w:rPr>
        <w:t>.</w:t>
      </w:r>
    </w:p>
    <w:p w14:paraId="4FDB9F46" w14:textId="77777777" w:rsidR="008C1A65" w:rsidRDefault="00000000">
      <w:pPr>
        <w:pStyle w:val="Heading2"/>
        <w:rPr>
          <w:rFonts w:eastAsia="Times New Roman"/>
        </w:rPr>
      </w:pPr>
      <w:bookmarkStart w:id="19" w:name="_Toc242310309"/>
      <w:bookmarkStart w:id="20" w:name="_Toc243510829"/>
      <w:r>
        <w:rPr>
          <w:rFonts w:eastAsia="Times New Roman"/>
        </w:rPr>
        <w:t>2.3 Recommended Growth Strategy: Product Development</w:t>
      </w:r>
      <w:bookmarkEnd w:id="19"/>
      <w:bookmarkEnd w:id="20"/>
    </w:p>
    <w:p w14:paraId="377A0E35" w14:textId="77777777" w:rsidR="008C1A65" w:rsidRDefault="00000000">
      <w:pPr>
        <w:pStyle w:val="NormalWeb"/>
        <w:spacing w:line="360" w:lineRule="auto"/>
        <w:jc w:val="both"/>
      </w:pPr>
      <w:r>
        <w:rPr>
          <w:rStyle w:val="cursor-pointer"/>
          <w:rFonts w:ascii="Arial" w:hAnsi="Arial" w:cs="Arial"/>
        </w:rPr>
        <w:t>The next best option is Product Development, which aligns with Tata Steel's current capabilities and environmental responsiveness.</w:t>
      </w:r>
      <w:r>
        <w:rPr>
          <w:rFonts w:ascii="Arial" w:hAnsi="Arial" w:cs="Arial"/>
        </w:rPr>
        <w:t xml:space="preserve"> </w:t>
      </w:r>
      <w:r>
        <w:rPr>
          <w:rStyle w:val="cursor-pointer"/>
          <w:rFonts w:ascii="Arial" w:hAnsi="Arial" w:cs="Arial"/>
        </w:rPr>
        <w:t>It can help the company keep staying in the core steel business and develop the products based on the evolving demands of customers.</w:t>
      </w:r>
      <w:r>
        <w:rPr>
          <w:rFonts w:ascii="Arial" w:hAnsi="Arial" w:cs="Arial"/>
        </w:rPr>
        <w:t xml:space="preserve"> </w:t>
      </w:r>
      <w:r>
        <w:rPr>
          <w:rStyle w:val="cursor-pointer"/>
          <w:rFonts w:ascii="Arial" w:hAnsi="Arial" w:cs="Arial"/>
        </w:rPr>
        <w:t xml:space="preserve">Tata Steel's R&amp;D is applicable to automotive, transportation, packaging applications and construction </w:t>
      </w:r>
      <w:r>
        <w:rPr>
          <w:rStyle w:val="Strong"/>
          <w:rFonts w:ascii="Arial" w:eastAsiaTheme="majorEastAsia" w:hAnsi="Arial" w:cs="Arial"/>
        </w:rPr>
        <w:t>(</w:t>
      </w:r>
      <w:r>
        <w:rPr>
          <w:rStyle w:val="Strong"/>
          <w:rFonts w:ascii="Arial" w:eastAsiaTheme="majorEastAsia" w:hAnsi="Arial" w:cs="Arial"/>
          <w:b w:val="0"/>
        </w:rPr>
        <w:t>Bhattacharjee and Singhania, 2023)</w:t>
      </w:r>
      <w:r>
        <w:rPr>
          <w:rFonts w:ascii="Arial" w:hAnsi="Arial" w:cs="Arial"/>
          <w:b/>
        </w:rPr>
        <w:t>.</w:t>
      </w:r>
    </w:p>
    <w:p w14:paraId="607FCF8F" w14:textId="77777777" w:rsidR="008C1A65" w:rsidRDefault="00000000">
      <w:pPr>
        <w:pStyle w:val="NormalWeb"/>
        <w:spacing w:line="360" w:lineRule="auto"/>
        <w:jc w:val="both"/>
      </w:pPr>
      <w:r>
        <w:rPr>
          <w:rStyle w:val="cursor-pointer"/>
          <w:rFonts w:ascii="Arial" w:hAnsi="Arial" w:cs="Arial"/>
        </w:rPr>
        <w:t>The strategy ought to target the lower emission recycled-content and application-specific steel, not as a marketing approach.</w:t>
      </w:r>
      <w:r>
        <w:rPr>
          <w:rFonts w:ascii="Arial" w:hAnsi="Arial" w:cs="Arial"/>
        </w:rPr>
        <w:t xml:space="preserve"> </w:t>
      </w:r>
      <w:r>
        <w:rPr>
          <w:rStyle w:val="cursor-pointer"/>
          <w:rFonts w:ascii="Arial" w:hAnsi="Arial" w:cs="Arial"/>
        </w:rPr>
        <w:t>In Tata Steel's product-sustainability approach, life-cycle assessment and environmental product information are already used, thereby enhancing the credibility of Tata Steel's environmental proposition</w:t>
      </w:r>
      <w:r>
        <w:rPr>
          <w:rFonts w:ascii="Arial" w:hAnsi="Arial" w:cs="Arial"/>
        </w:rPr>
        <w:t xml:space="preserve"> Tata Steel has been conducting LCA to identify environmental hot spots and decarbonisation opportunities in the steel production processes (World Steel Association, 2022)</w:t>
      </w:r>
      <w:r>
        <w:rPr>
          <w:rStyle w:val="cursor-pointer"/>
          <w:rFonts w:ascii="Arial" w:hAnsi="Arial" w:cs="Arial"/>
        </w:rPr>
        <w:t>.</w:t>
      </w:r>
      <w:r>
        <w:rPr>
          <w:rFonts w:ascii="Arial" w:hAnsi="Arial" w:cs="Arial"/>
        </w:rPr>
        <w:t xml:space="preserve"> </w:t>
      </w:r>
      <w:r>
        <w:rPr>
          <w:rStyle w:val="cursor-pointer"/>
          <w:rFonts w:ascii="Arial" w:hAnsi="Arial" w:cs="Arial"/>
        </w:rPr>
        <w:t>The company's 2026 EASyMelt initiative, with the aim of achieving over 50% CO</w:t>
      </w:r>
      <w:r>
        <w:rPr>
          <w:rStyle w:val="cursor-pointer"/>
          <w:rFonts w:ascii="Cambria Math" w:hAnsi="Cambria Math" w:cs="Cambria Math"/>
        </w:rPr>
        <w:t>₂</w:t>
      </w:r>
      <w:r>
        <w:rPr>
          <w:rStyle w:val="cursor-pointer"/>
          <w:rFonts w:ascii="Arial" w:hAnsi="Arial" w:cs="Arial"/>
        </w:rPr>
        <w:t xml:space="preserve"> reduction against conventional blast-furnace operation, further exemplifies the technological pipeline for future products </w:t>
      </w:r>
      <w:r>
        <w:t xml:space="preserve">(SMS group, 2026). </w:t>
      </w:r>
    </w:p>
    <w:p w14:paraId="224A85A8" w14:textId="77777777" w:rsidR="008C1A65" w:rsidRDefault="00000000">
      <w:pPr>
        <w:pStyle w:val="NormalWeb"/>
        <w:spacing w:line="360" w:lineRule="auto"/>
        <w:jc w:val="both"/>
      </w:pPr>
      <w:r>
        <w:rPr>
          <w:rStyle w:val="cursor-pointer"/>
          <w:rFonts w:ascii="Arial" w:hAnsi="Arial" w:cs="Arial"/>
        </w:rPr>
        <w:t>The OECD (2024a) also mentions that some low carbon technologies are commercially underdeveloped and may need price premiums.</w:t>
      </w:r>
      <w:r>
        <w:rPr>
          <w:rFonts w:ascii="Arial" w:hAnsi="Arial" w:cs="Arial"/>
        </w:rPr>
        <w:t xml:space="preserve"> </w:t>
      </w:r>
      <w:r>
        <w:rPr>
          <w:rStyle w:val="cursor-pointer"/>
          <w:rFonts w:ascii="Arial" w:hAnsi="Arial" w:cs="Arial"/>
        </w:rPr>
        <w:t>Product Development should thus be sized based on proven customer demand, not on technologies alone</w:t>
      </w:r>
      <w:r>
        <w:rPr>
          <w:rFonts w:ascii="Arial" w:hAnsi="Arial" w:cs="Arial"/>
        </w:rPr>
        <w:t>.</w:t>
      </w:r>
    </w:p>
    <w:p w14:paraId="1FF6364E" w14:textId="77777777" w:rsidR="008C1A65" w:rsidRDefault="00000000">
      <w:pPr>
        <w:spacing w:after="0" w:line="240" w:lineRule="auto"/>
        <w:ind w:firstLine="720"/>
        <w:rPr>
          <w:rFonts w:eastAsia="Times New Roman" w:cstheme="majorBidi"/>
          <w:b/>
          <w:i/>
          <w:sz w:val="32"/>
          <w:szCs w:val="32"/>
          <w:u w:val="single"/>
        </w:rPr>
      </w:pPr>
      <w:bookmarkStart w:id="21" w:name="_Toc242310310"/>
      <w:r>
        <w:rPr>
          <w:rFonts w:eastAsia="Times New Roman"/>
        </w:rPr>
        <w:br w:type="page"/>
      </w:r>
    </w:p>
    <w:p w14:paraId="438E119F" w14:textId="77777777" w:rsidR="008C1A65" w:rsidRDefault="00000000">
      <w:pPr>
        <w:pStyle w:val="Heading2"/>
        <w:rPr>
          <w:rFonts w:eastAsia="Times New Roman"/>
        </w:rPr>
      </w:pPr>
      <w:bookmarkStart w:id="22" w:name="_Toc243510830"/>
      <w:r>
        <w:rPr>
          <w:rFonts w:eastAsia="Times New Roman"/>
        </w:rPr>
        <w:lastRenderedPageBreak/>
        <w:t>2.4 Achieving Competitive Advantage</w:t>
      </w:r>
      <w:bookmarkEnd w:id="21"/>
      <w:bookmarkEnd w:id="22"/>
    </w:p>
    <w:p w14:paraId="3C46DEF2" w14:textId="77777777" w:rsidR="008C1A65" w:rsidRDefault="00000000">
      <w:pPr>
        <w:spacing w:before="100" w:beforeAutospacing="1" w:after="100" w:afterAutospacing="1" w:line="360" w:lineRule="auto"/>
        <w:rPr>
          <w:rFonts w:eastAsia="Times New Roman" w:cs="Arial"/>
        </w:rPr>
      </w:pPr>
      <w:r>
        <w:rPr>
          <w:rStyle w:val="cursor-pointer"/>
          <w:rFonts w:cs="Arial"/>
        </w:rPr>
        <w:t>By transforming environmental and technological capabilities into customer valued differentiation, Tata Steel can gain competitive advantage.</w:t>
      </w:r>
      <w:r>
        <w:rPr>
          <w:rFonts w:cs="Arial"/>
        </w:rPr>
        <w:t xml:space="preserve"> </w:t>
      </w:r>
      <w:r>
        <w:rPr>
          <w:rStyle w:val="cursor-pointer"/>
          <w:rFonts w:cs="Arial"/>
        </w:rPr>
        <w:t>Lower emission and recycled content steel can enable customers to meet their own decarbonisation goals and place environmental performance on the value proposition rather than as a measure of corporate responsibility.</w:t>
      </w:r>
      <w:r>
        <w:rPr>
          <w:rFonts w:cs="Arial"/>
        </w:rPr>
        <w:t xml:space="preserve"> </w:t>
      </w:r>
      <w:r>
        <w:rPr>
          <w:rStyle w:val="cursor-pointer"/>
          <w:rFonts w:cs="Arial"/>
        </w:rPr>
        <w:t>The IEA (2025) advocates for demand commitments as a way to build lead markets.</w:t>
      </w:r>
    </w:p>
    <w:p w14:paraId="05E3D01F" w14:textId="77777777" w:rsidR="008C1A65" w:rsidRDefault="00000000">
      <w:pPr>
        <w:spacing w:before="100" w:beforeAutospacing="1" w:after="100" w:afterAutospacing="1" w:line="360" w:lineRule="auto"/>
        <w:rPr>
          <w:rFonts w:eastAsia="Times New Roman" w:cs="Arial"/>
        </w:rPr>
      </w:pPr>
      <w:r>
        <w:rPr>
          <w:rFonts w:eastAsia="Times New Roman" w:cs="Arial"/>
          <w:noProof/>
        </w:rPr>
        <w:drawing>
          <wp:inline distT="0" distB="0" distL="0" distR="0" wp14:anchorId="317AEC50" wp14:editId="53C87501">
            <wp:extent cx="5942965" cy="23939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cstate="print">
                      <a:extLst>
                        <a:ext uri="{28A0092B-C50C-407E-A947-70E740481C1C}">
                          <a14:useLocalDpi xmlns:a14="http://schemas.microsoft.com/office/drawing/2010/main" val="0"/>
                        </a:ext>
                      </a:extLst>
                    </a:blip>
                    <a:srcRect t="25888" b="-3908"/>
                    <a:stretch>
                      <a:fillRect/>
                    </a:stretch>
                  </pic:blipFill>
                  <pic:spPr>
                    <a:xfrm>
                      <a:off x="0" y="0"/>
                      <a:ext cx="5956936" cy="2399990"/>
                    </a:xfrm>
                    <a:prstGeom prst="rect">
                      <a:avLst/>
                    </a:prstGeom>
                    <a:ln>
                      <a:noFill/>
                    </a:ln>
                  </pic:spPr>
                </pic:pic>
              </a:graphicData>
            </a:graphic>
          </wp:inline>
        </w:drawing>
      </w:r>
      <w:r>
        <w:rPr>
          <w:rFonts w:cs="Arial"/>
          <w:b/>
        </w:rPr>
        <w:t xml:space="preserve">Figure 4: </w:t>
      </w:r>
      <w:r>
        <w:rPr>
          <w:rFonts w:cs="Arial"/>
        </w:rPr>
        <w:t>Strategic pathway from lower-carbon innovation to competitive growth</w:t>
      </w:r>
    </w:p>
    <w:p w14:paraId="0FB3DF73" w14:textId="77777777" w:rsidR="008C1A65" w:rsidRDefault="00000000">
      <w:pPr>
        <w:spacing w:before="100" w:beforeAutospacing="1" w:after="100" w:afterAutospacing="1" w:line="360" w:lineRule="auto"/>
        <w:jc w:val="center"/>
        <w:rPr>
          <w:rFonts w:cs="Arial"/>
          <w:b/>
        </w:rPr>
      </w:pPr>
      <w:r>
        <w:rPr>
          <w:rFonts w:cs="Arial"/>
          <w:b/>
        </w:rPr>
        <w:t>Source:</w:t>
      </w:r>
      <w:r>
        <w:rPr>
          <w:rFonts w:cs="Arial"/>
        </w:rPr>
        <w:t xml:space="preserve"> Author’s own construction, informed by IEA (2025).</w:t>
      </w:r>
    </w:p>
    <w:p w14:paraId="028FFC5F" w14:textId="77777777" w:rsidR="008C1A65" w:rsidRDefault="00000000">
      <w:pPr>
        <w:spacing w:before="100" w:beforeAutospacing="1" w:after="100" w:afterAutospacing="1" w:line="360" w:lineRule="auto"/>
        <w:rPr>
          <w:rFonts w:eastAsia="Times New Roman" w:cs="Arial"/>
        </w:rPr>
      </w:pPr>
      <w:r>
        <w:rPr>
          <w:rStyle w:val="cursor-pointer"/>
          <w:rFonts w:cs="Arial"/>
        </w:rPr>
        <w:t>R&amp;D, customer relationships and product quality and credible environmental verification can further contribute to competitive positioning.</w:t>
      </w:r>
      <w:r>
        <w:rPr>
          <w:rFonts w:cs="Arial"/>
        </w:rPr>
        <w:t xml:space="preserve"> </w:t>
      </w:r>
      <w:r>
        <w:rPr>
          <w:rStyle w:val="cursor-pointer"/>
          <w:rFonts w:cs="Arial"/>
        </w:rPr>
        <w:t>Ensuring this capability base, Tata Steel is investing in innovation and sustainable production with its September 2026 coke-oven-gas injection project, which reflects ongoing attempts to lower the use and emissions of fossil fuels as part of operational innovation.  However, the advantage gained through decarbonization is not assured, since the other producers are also going through decarbonization.</w:t>
      </w:r>
      <w:r>
        <w:rPr>
          <w:rFonts w:cs="Arial"/>
        </w:rPr>
        <w:t xml:space="preserve"> </w:t>
      </w:r>
      <w:r>
        <w:rPr>
          <w:rStyle w:val="cursor-pointer"/>
          <w:rFonts w:cs="Arial"/>
        </w:rPr>
        <w:t>Technical quality, solutions for specific customers and commercially viable value therefore become the key factors for Tata Steel to compete, not sustainability claims alone</w:t>
      </w:r>
      <w:r>
        <w:rPr>
          <w:rFonts w:eastAsia="Times New Roman" w:cs="Arial"/>
        </w:rPr>
        <w:t>.</w:t>
      </w:r>
    </w:p>
    <w:p w14:paraId="68D187D3" w14:textId="77777777" w:rsidR="008C1A65" w:rsidRDefault="00000000">
      <w:pPr>
        <w:pStyle w:val="Heading2"/>
        <w:rPr>
          <w:rFonts w:eastAsia="Times New Roman"/>
        </w:rPr>
      </w:pPr>
      <w:bookmarkStart w:id="23" w:name="_Toc242310311"/>
      <w:bookmarkStart w:id="24" w:name="_Toc243510831"/>
      <w:r>
        <w:rPr>
          <w:rFonts w:eastAsia="Times New Roman"/>
        </w:rPr>
        <w:lastRenderedPageBreak/>
        <w:t>2.5 Implementation Conditions and Final Recommendation</w:t>
      </w:r>
      <w:bookmarkEnd w:id="23"/>
      <w:bookmarkEnd w:id="24"/>
    </w:p>
    <w:p w14:paraId="49549627" w14:textId="77777777" w:rsidR="008C1A65" w:rsidRDefault="008C1A65"/>
    <w:p w14:paraId="4D11213F" w14:textId="77777777" w:rsidR="008C1A65" w:rsidRDefault="00000000">
      <w:pPr>
        <w:spacing w:line="360" w:lineRule="auto"/>
        <w:rPr>
          <w:rStyle w:val="cursor-pointer"/>
          <w:rFonts w:cs="Arial"/>
        </w:rPr>
      </w:pPr>
      <w:r>
        <w:rPr>
          <w:rStyle w:val="cursor-pointer"/>
          <w:rFonts w:cs="Arial"/>
        </w:rPr>
        <w:t>Tata Steel needs to adopt a market-led approach to Product Development.</w:t>
      </w:r>
      <w:r>
        <w:rPr>
          <w:rFonts w:cs="Arial"/>
        </w:rPr>
        <w:t xml:space="preserve"> </w:t>
      </w:r>
      <w:r>
        <w:rPr>
          <w:rStyle w:val="cursor-pointer"/>
          <w:rFonts w:cs="Arial"/>
        </w:rPr>
        <w:t>Prioritise customers with measurable decarbonisation needs, based on a life cycle assessment, credible carbon measurement and transparent claims.</w:t>
      </w:r>
      <w:r>
        <w:rPr>
          <w:rFonts w:cs="Arial"/>
        </w:rPr>
        <w:t xml:space="preserve"> </w:t>
      </w:r>
      <w:r>
        <w:rPr>
          <w:rStyle w:val="cursor-pointer"/>
          <w:rFonts w:cs="Arial"/>
        </w:rPr>
        <w:t xml:space="preserve">Secure long-term customer commitments first when huge capacity expansion to mitigate the demand risk </w:t>
      </w:r>
      <w:r>
        <w:t>(Pathak et al., 2026</w:t>
      </w:r>
      <w:r>
        <w:rPr>
          <w:rStyle w:val="cursor-pointer"/>
          <w:rFonts w:cs="Arial"/>
        </w:rPr>
        <w:t>).</w:t>
      </w:r>
      <w:r>
        <w:rPr>
          <w:rFonts w:cs="Arial"/>
        </w:rPr>
        <w:t xml:space="preserve"> </w:t>
      </w:r>
      <w:r>
        <w:rPr>
          <w:rStyle w:val="cursor-pointer"/>
          <w:rFonts w:cs="Arial"/>
        </w:rPr>
        <w:t>Technology investment needs to be complemented with reliable supplies of scrap and renewable sources of energy.</w:t>
      </w:r>
      <w:r>
        <w:rPr>
          <w:rFonts w:cs="Arial"/>
        </w:rPr>
        <w:t xml:space="preserve"> Product Development offers the best overall mix of market opportunity, current capabilities and strategic risk, but competitive advantage will be realized by making those lower-carbon capabilities into products that customers understand and will buy.</w:t>
      </w:r>
    </w:p>
    <w:p w14:paraId="253547E1" w14:textId="77777777" w:rsidR="008C1A65" w:rsidRDefault="00000000">
      <w:pPr>
        <w:pStyle w:val="Heading1"/>
        <w:rPr>
          <w:rFonts w:eastAsiaTheme="minorHAnsi" w:cs="Arial"/>
        </w:rPr>
      </w:pPr>
      <w:bookmarkStart w:id="25" w:name="_Toc242310312"/>
      <w:bookmarkStart w:id="26" w:name="_Toc243510832"/>
      <w:r>
        <w:rPr>
          <w:rFonts w:eastAsia="Times New Roman"/>
        </w:rPr>
        <w:t>Task 3: Managerial and Professional Reflection</w:t>
      </w:r>
      <w:bookmarkEnd w:id="25"/>
      <w:bookmarkEnd w:id="26"/>
    </w:p>
    <w:p w14:paraId="08133BFD" w14:textId="77777777" w:rsidR="008C1A65" w:rsidRDefault="00000000">
      <w:pPr>
        <w:pStyle w:val="Heading2"/>
        <w:rPr>
          <w:rFonts w:eastAsia="Times New Roman"/>
        </w:rPr>
      </w:pPr>
      <w:bookmarkStart w:id="27" w:name="_Toc242310313"/>
      <w:bookmarkStart w:id="28" w:name="_Toc243510833"/>
      <w:r>
        <w:rPr>
          <w:rFonts w:eastAsia="Times New Roman"/>
        </w:rPr>
        <w:t>3.1 Rationale for Company and Actor Selection</w:t>
      </w:r>
      <w:bookmarkEnd w:id="27"/>
      <w:bookmarkEnd w:id="28"/>
    </w:p>
    <w:p w14:paraId="64F103B1" w14:textId="77777777" w:rsidR="008C1A65" w:rsidRDefault="00000000">
      <w:pPr>
        <w:spacing w:before="100" w:beforeAutospacing="1" w:after="100" w:afterAutospacing="1" w:line="360" w:lineRule="auto"/>
        <w:rPr>
          <w:rStyle w:val="cursor-pointer"/>
          <w:rFonts w:cs="Arial"/>
        </w:rPr>
      </w:pPr>
      <w:r>
        <w:rPr>
          <w:rStyle w:val="cursor-pointer"/>
          <w:rFonts w:cs="Arial"/>
        </w:rPr>
        <w:t>Tata Steel was an appropriate choice from a senior leadership perspective as it is a leading steel producer with strategic decisions to be made in a rapidly evolving lower carbon world.</w:t>
      </w:r>
      <w:r>
        <w:rPr>
          <w:rFonts w:cs="Arial"/>
        </w:rPr>
        <w:t xml:space="preserve"> </w:t>
      </w:r>
      <w:r>
        <w:rPr>
          <w:rStyle w:val="cursor-pointer"/>
          <w:rFonts w:cs="Arial"/>
        </w:rPr>
        <w:t>The current transition is an example of the fact that decarbonisation is a much more than just a sustainability issue, it is influencing investment agendas, technology decisions and market positioning.</w:t>
      </w:r>
      <w:r>
        <w:rPr>
          <w:rFonts w:cs="Arial"/>
        </w:rPr>
        <w:t xml:space="preserve"> </w:t>
      </w:r>
      <w:r>
        <w:rPr>
          <w:rStyle w:val="cursor-pointer"/>
          <w:rFonts w:cs="Arial"/>
        </w:rPr>
        <w:t xml:space="preserve">The pace of the transition will be affected by the availability of regulations, renewable energy, infrastructure and market conditions </w:t>
      </w:r>
      <w:r>
        <w:t xml:space="preserve">(Belavadi and Kulkarni, 2026). </w:t>
      </w:r>
      <w:r>
        <w:rPr>
          <w:rStyle w:val="cursor-pointer"/>
          <w:rFonts w:cs="Arial"/>
        </w:rPr>
        <w:t>This rendered Tata Steel especially appropriate for testing strategic decision making when information about the market is only partially complete.</w:t>
      </w:r>
    </w:p>
    <w:p w14:paraId="0D2792A4" w14:textId="77777777" w:rsidR="008C1A65" w:rsidRDefault="00000000">
      <w:pPr>
        <w:spacing w:before="100" w:beforeAutospacing="1" w:after="100" w:afterAutospacing="1" w:line="360" w:lineRule="auto"/>
        <w:rPr>
          <w:rFonts w:eastAsia="Times New Roman" w:cs="Arial"/>
        </w:rPr>
      </w:pPr>
      <w:r>
        <w:rPr>
          <w:rStyle w:val="cursor-pointer"/>
          <w:rFonts w:cs="Arial"/>
        </w:rPr>
        <w:t>The choice of Environment as the main actor was carefully made as the environmental pressure is the primary motivation for a decarbonisation transition.</w:t>
      </w:r>
      <w:r>
        <w:rPr>
          <w:rFonts w:cs="Arial"/>
        </w:rPr>
        <w:t xml:space="preserve"> </w:t>
      </w:r>
      <w:r>
        <w:rPr>
          <w:rStyle w:val="cursor-pointer"/>
          <w:rFonts w:cs="Arial"/>
        </w:rPr>
        <w:t>Technological developments shape the possibility of commercializing environmental goals, whereas political and regulatory forces can reinforce the incentives and constraints on investments.</w:t>
      </w:r>
      <w:r>
        <w:rPr>
          <w:rFonts w:cs="Arial"/>
        </w:rPr>
        <w:t xml:space="preserve"> </w:t>
      </w:r>
      <w:r>
        <w:rPr>
          <w:rStyle w:val="cursor-pointer"/>
          <w:rFonts w:cs="Arial"/>
        </w:rPr>
        <w:t>Technological solutions are being designed to meet the environmental goals, for instance, Tata Steel's EASyMelt project that seeks to cut CO</w:t>
      </w:r>
      <w:r>
        <w:rPr>
          <w:rStyle w:val="cursor-pointer"/>
          <w:rFonts w:ascii="Cambria Math" w:hAnsi="Cambria Math" w:cs="Cambria Math"/>
        </w:rPr>
        <w:t>₂</w:t>
      </w:r>
      <w:r>
        <w:rPr>
          <w:rStyle w:val="cursor-pointer"/>
          <w:rFonts w:cs="Arial"/>
        </w:rPr>
        <w:t xml:space="preserve"> emissions by over 50% from conventional blast-furnace operations </w:t>
      </w:r>
      <w:r>
        <w:t xml:space="preserve">(SMS group, 2026). </w:t>
      </w:r>
    </w:p>
    <w:p w14:paraId="4231624A" w14:textId="77777777" w:rsidR="008C1A65" w:rsidRDefault="00000000">
      <w:pPr>
        <w:spacing w:before="100" w:beforeAutospacing="1" w:after="100" w:afterAutospacing="1" w:line="360" w:lineRule="auto"/>
        <w:jc w:val="center"/>
        <w:rPr>
          <w:rFonts w:eastAsia="Times New Roman" w:cs="Arial"/>
        </w:rPr>
      </w:pPr>
      <w:r>
        <w:rPr>
          <w:rFonts w:eastAsia="Times New Roman" w:cs="Arial"/>
          <w:noProof/>
        </w:rPr>
        <w:lastRenderedPageBreak/>
        <w:drawing>
          <wp:inline distT="0" distB="0" distL="0" distR="0" wp14:anchorId="4C3D8D31" wp14:editId="705E64DE">
            <wp:extent cx="4833620" cy="269049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3" cstate="print">
                      <a:extLst>
                        <a:ext uri="{28A0092B-C50C-407E-A947-70E740481C1C}">
                          <a14:useLocalDpi xmlns:a14="http://schemas.microsoft.com/office/drawing/2010/main" val="0"/>
                        </a:ext>
                      </a:extLst>
                    </a:blip>
                    <a:srcRect t="14639"/>
                    <a:stretch>
                      <a:fillRect/>
                    </a:stretch>
                  </pic:blipFill>
                  <pic:spPr>
                    <a:xfrm>
                      <a:off x="0" y="0"/>
                      <a:ext cx="4838867" cy="2693315"/>
                    </a:xfrm>
                    <a:prstGeom prst="rect">
                      <a:avLst/>
                    </a:prstGeom>
                  </pic:spPr>
                </pic:pic>
              </a:graphicData>
            </a:graphic>
          </wp:inline>
        </w:drawing>
      </w:r>
    </w:p>
    <w:p w14:paraId="7B947A02" w14:textId="77777777" w:rsidR="008C1A65" w:rsidRDefault="00000000">
      <w:pPr>
        <w:spacing w:before="100" w:beforeAutospacing="1" w:after="100" w:afterAutospacing="1" w:line="360" w:lineRule="auto"/>
        <w:jc w:val="center"/>
        <w:rPr>
          <w:rFonts w:eastAsia="Times New Roman" w:cs="Arial"/>
          <w:b/>
          <w:bCs/>
        </w:rPr>
      </w:pPr>
      <w:r>
        <w:rPr>
          <w:rFonts w:eastAsia="Times New Roman" w:cs="Arial"/>
          <w:b/>
          <w:bCs/>
        </w:rPr>
        <w:t xml:space="preserve">Figure 5: </w:t>
      </w:r>
      <w:r>
        <w:rPr>
          <w:rFonts w:eastAsia="Times New Roman" w:cs="Arial"/>
          <w:bCs/>
        </w:rPr>
        <w:t>Managerial interaction between environmental pressure, regulation and technology in Tata Steel’s lower-carbon transition</w:t>
      </w:r>
    </w:p>
    <w:p w14:paraId="0A19A9B9" w14:textId="77777777" w:rsidR="008C1A65" w:rsidRDefault="00000000">
      <w:pPr>
        <w:spacing w:before="100" w:beforeAutospacing="1" w:after="100" w:afterAutospacing="1" w:line="360" w:lineRule="auto"/>
        <w:jc w:val="center"/>
        <w:rPr>
          <w:rFonts w:eastAsia="Times New Roman" w:cs="Arial"/>
        </w:rPr>
      </w:pPr>
      <w:r>
        <w:rPr>
          <w:rFonts w:eastAsia="Times New Roman" w:cs="Arial"/>
          <w:b/>
          <w:i/>
          <w:iCs/>
        </w:rPr>
        <w:t>Source:</w:t>
      </w:r>
      <w:r>
        <w:rPr>
          <w:rFonts w:eastAsia="Times New Roman" w:cs="Arial"/>
          <w:i/>
          <w:iCs/>
        </w:rPr>
        <w:t xml:space="preserve"> </w:t>
      </w:r>
      <w:r>
        <w:rPr>
          <w:rFonts w:eastAsia="Times New Roman" w:cs="Arial"/>
          <w:iCs/>
        </w:rPr>
        <w:t>Author’s own construction, informed by IEA (2026) and OECD (2025a).</w:t>
      </w:r>
    </w:p>
    <w:p w14:paraId="1590CF96" w14:textId="77777777" w:rsidR="008C1A65" w:rsidRDefault="00000000">
      <w:pPr>
        <w:pStyle w:val="Heading2"/>
        <w:rPr>
          <w:rFonts w:eastAsia="Times New Roman"/>
        </w:rPr>
      </w:pPr>
      <w:bookmarkStart w:id="29" w:name="_Toc242310314"/>
      <w:bookmarkStart w:id="30" w:name="_Toc243510834"/>
      <w:r>
        <w:rPr>
          <w:rFonts w:eastAsia="Times New Roman"/>
        </w:rPr>
        <w:t>3.2 Reflection on Strategic Growth Choice</w:t>
      </w:r>
      <w:bookmarkEnd w:id="29"/>
      <w:bookmarkEnd w:id="30"/>
    </w:p>
    <w:p w14:paraId="6F787BDD" w14:textId="77777777" w:rsidR="008C1A65" w:rsidRDefault="008C1A65"/>
    <w:p w14:paraId="7C34CD56" w14:textId="77777777" w:rsidR="008C1A65" w:rsidRDefault="00000000">
      <w:pPr>
        <w:spacing w:line="360" w:lineRule="auto"/>
        <w:rPr>
          <w:rStyle w:val="cursor-pointer"/>
          <w:rFonts w:cs="Arial"/>
        </w:rPr>
      </w:pPr>
      <w:r>
        <w:rPr>
          <w:rStyle w:val="cursor-pointer"/>
          <w:rFonts w:cs="Arial"/>
        </w:rPr>
        <w:t>The Ansoff Matrix was a suitable basis for assessing growth as it allowed the strategic alternatives to be evaluated in terms of uncertainty within the market and the products.</w:t>
      </w:r>
      <w:r>
        <w:t xml:space="preserve"> </w:t>
      </w:r>
      <w:r>
        <w:rPr>
          <w:rStyle w:val="cursor-pointer"/>
          <w:rFonts w:cs="Arial"/>
        </w:rPr>
        <w:t>Product Development became the most immediate opportunity as Tata Steel has existing capabilities and customer relationships and can develop lower-carbon solutions.</w:t>
      </w:r>
      <w:r>
        <w:t xml:space="preserve"> </w:t>
      </w:r>
      <w:r>
        <w:rPr>
          <w:rStyle w:val="cursor-pointer"/>
          <w:rFonts w:cs="Arial"/>
        </w:rPr>
        <w:t xml:space="preserve">It has ongoing investments in low-carbon steelmaking, such as scrap-based steelmaking and end-product performance </w:t>
      </w:r>
      <w:r>
        <w:t xml:space="preserve">(AIST, 2026). </w:t>
      </w:r>
      <w:r>
        <w:rPr>
          <w:rStyle w:val="cursor-pointer"/>
          <w:rFonts w:cs="Arial"/>
        </w:rPr>
        <w:t>The recommendation is still tentative, however.</w:t>
      </w:r>
      <w:r>
        <w:t xml:space="preserve"> </w:t>
      </w:r>
      <w:r>
        <w:rPr>
          <w:rStyle w:val="cursor-pointer"/>
          <w:rFonts w:cs="Arial"/>
        </w:rPr>
        <w:t>Cost premiums are still high and demand is low, with near zero-emission steel not yet being commercially available, according to IEA (2026).</w:t>
      </w:r>
    </w:p>
    <w:p w14:paraId="10B6466B" w14:textId="77777777" w:rsidR="008C1A65" w:rsidRDefault="00000000">
      <w:pPr>
        <w:spacing w:after="0" w:line="240" w:lineRule="auto"/>
        <w:ind w:firstLine="720"/>
        <w:rPr>
          <w:rFonts w:eastAsia="Times New Roman" w:cstheme="majorBidi"/>
          <w:b/>
          <w:i/>
          <w:sz w:val="32"/>
          <w:szCs w:val="32"/>
          <w:u w:val="single"/>
        </w:rPr>
      </w:pPr>
      <w:bookmarkStart w:id="31" w:name="_Toc242310315"/>
      <w:r>
        <w:rPr>
          <w:rFonts w:eastAsia="Times New Roman"/>
        </w:rPr>
        <w:br w:type="page"/>
      </w:r>
    </w:p>
    <w:p w14:paraId="3BB8392F" w14:textId="77777777" w:rsidR="008C1A65" w:rsidRDefault="00000000">
      <w:pPr>
        <w:pStyle w:val="Heading2"/>
        <w:rPr>
          <w:rFonts w:eastAsiaTheme="minorHAnsi"/>
        </w:rPr>
      </w:pPr>
      <w:bookmarkStart w:id="32" w:name="_Toc243510835"/>
      <w:r>
        <w:rPr>
          <w:rFonts w:eastAsia="Times New Roman"/>
        </w:rPr>
        <w:lastRenderedPageBreak/>
        <w:t>3.3 Limitations and Professional Information Requirements</w:t>
      </w:r>
      <w:bookmarkEnd w:id="31"/>
      <w:bookmarkEnd w:id="32"/>
    </w:p>
    <w:p w14:paraId="25769066" w14:textId="77777777" w:rsidR="008C1A65" w:rsidRDefault="008C1A65">
      <w:pPr>
        <w:spacing w:line="360" w:lineRule="auto"/>
      </w:pPr>
    </w:p>
    <w:p w14:paraId="508E681A" w14:textId="77777777" w:rsidR="008C1A65" w:rsidRDefault="00000000">
      <w:pPr>
        <w:spacing w:line="360" w:lineRule="auto"/>
        <w:rPr>
          <w:rFonts w:eastAsia="Times New Roman"/>
          <w:b/>
          <w:bCs/>
        </w:rPr>
      </w:pPr>
      <w:r>
        <w:rPr>
          <w:rStyle w:val="cursor-pointer"/>
          <w:rFonts w:cs="Arial"/>
        </w:rPr>
        <w:t>The analysis is limited due to the fact that it has been assessed based on publicly available evidence only.</w:t>
      </w:r>
      <w:r>
        <w:t xml:space="preserve"> </w:t>
      </w:r>
      <w:r>
        <w:rPr>
          <w:rStyle w:val="cursor-pointer"/>
          <w:rFonts w:cs="Arial"/>
        </w:rPr>
        <w:t>It is not able to determine the actual willingness to pay of customers, the costs of competitors or the exact payback of a reduced carbon product.</w:t>
      </w:r>
      <w:r>
        <w:t xml:space="preserve"> </w:t>
      </w:r>
      <w:r>
        <w:rPr>
          <w:rStyle w:val="cursor-pointer"/>
          <w:rFonts w:cs="Arial"/>
        </w:rPr>
        <w:t>OECD (2025a) notes that further challenges to steel decarbonisation include excess capacity and falling profitability and significant investments.</w:t>
      </w:r>
      <w:r>
        <w:t xml:space="preserve"> </w:t>
      </w:r>
      <w:r>
        <w:rPr>
          <w:rStyle w:val="cursor-pointer"/>
          <w:rFonts w:cs="Arial"/>
        </w:rPr>
        <w:t>A real consultant would therefore need to conduct interviews of customers, willing-to-pay research, competitor analysis and benchmarking, detailed modelling of costs, life cycle carbon assessments, demand analysis and long-term offtake agreements before making a final recommendation.</w:t>
      </w:r>
    </w:p>
    <w:p w14:paraId="023C9F7E" w14:textId="77777777" w:rsidR="008C1A65" w:rsidRDefault="00000000">
      <w:pPr>
        <w:pStyle w:val="Heading2"/>
        <w:rPr>
          <w:rFonts w:eastAsia="Times New Roman" w:cs="Arial"/>
        </w:rPr>
      </w:pPr>
      <w:bookmarkStart w:id="33" w:name="_Toc242310316"/>
      <w:bookmarkStart w:id="34" w:name="_Toc243510836"/>
      <w:r>
        <w:rPr>
          <w:rFonts w:eastAsia="Times New Roman"/>
        </w:rPr>
        <w:t>3.4 Overall Managerial Judgement</w:t>
      </w:r>
      <w:bookmarkEnd w:id="33"/>
      <w:bookmarkEnd w:id="34"/>
    </w:p>
    <w:p w14:paraId="6ABF436B" w14:textId="77777777" w:rsidR="008C1A65" w:rsidRDefault="00000000">
      <w:pPr>
        <w:spacing w:before="100" w:beforeAutospacing="1" w:after="100" w:afterAutospacing="1" w:line="360" w:lineRule="auto"/>
        <w:rPr>
          <w:rFonts w:eastAsia="Times New Roman" w:cs="Arial"/>
        </w:rPr>
      </w:pPr>
      <w:r>
        <w:rPr>
          <w:rStyle w:val="cursor-pointer"/>
          <w:rFonts w:cs="Arial"/>
        </w:rPr>
        <w:t>In summary, Tata Steel should consider decarbonisation as a market-shaping strategic opportunity that demands commercial validation and not any environmental leadership that can create competitive advantage.</w:t>
      </w:r>
      <w:r>
        <w:rPr>
          <w:rFonts w:cs="Arial"/>
        </w:rPr>
        <w:t xml:space="preserve"> </w:t>
      </w:r>
      <w:r>
        <w:rPr>
          <w:rStyle w:val="cursor-pointer"/>
          <w:rFonts w:cs="Arial"/>
        </w:rPr>
        <w:t>Product Development provides the greatest short-term strategic fit, but maintaining a competitive advantage requires being able to transfer meaningful environmental benefits to customers and provide economically sustainable profits.</w:t>
      </w:r>
    </w:p>
    <w:p w14:paraId="468A44E0" w14:textId="77777777" w:rsidR="008C1A65" w:rsidRDefault="008C1A65">
      <w:pPr>
        <w:rPr>
          <w:rFonts w:cs="Arial"/>
        </w:rPr>
      </w:pPr>
    </w:p>
    <w:p w14:paraId="41813086" w14:textId="77777777" w:rsidR="008C1A65" w:rsidRDefault="008C1A65">
      <w:pPr>
        <w:rPr>
          <w:rFonts w:cs="Arial"/>
        </w:rPr>
      </w:pPr>
    </w:p>
    <w:p w14:paraId="142F54C8" w14:textId="77777777" w:rsidR="008C1A65" w:rsidRDefault="00000000">
      <w:pPr>
        <w:spacing w:after="0" w:line="240" w:lineRule="auto"/>
        <w:ind w:firstLine="720"/>
        <w:rPr>
          <w:rFonts w:cs="Arial"/>
        </w:rPr>
      </w:pPr>
      <w:r>
        <w:rPr>
          <w:rFonts w:cs="Arial"/>
        </w:rPr>
        <w:br w:type="page"/>
      </w:r>
    </w:p>
    <w:p w14:paraId="76D436CC" w14:textId="77777777" w:rsidR="008C1A65" w:rsidRDefault="00000000">
      <w:pPr>
        <w:pStyle w:val="Heading1"/>
      </w:pPr>
      <w:bookmarkStart w:id="35" w:name="_Toc242310317"/>
      <w:bookmarkStart w:id="36" w:name="_Toc243510837"/>
      <w:r>
        <w:lastRenderedPageBreak/>
        <w:t>References</w:t>
      </w:r>
      <w:bookmarkEnd w:id="35"/>
      <w:bookmarkEnd w:id="36"/>
      <w:r>
        <w:t xml:space="preserve"> </w:t>
      </w:r>
    </w:p>
    <w:p w14:paraId="46472E83"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Agora Industry, Wuppertal Institute and Lund University (2024) </w:t>
      </w:r>
      <w:r>
        <w:rPr>
          <w:rStyle w:val="Emphasis"/>
          <w:rFonts w:ascii="Arial" w:eastAsiaTheme="majorEastAsia" w:hAnsi="Arial" w:cs="Arial"/>
        </w:rPr>
        <w:t>Low-carbon technologies for the global steel transformation: A guide to the most effective ways to cut emissions in steelmaking</w:t>
      </w:r>
      <w:r>
        <w:rPr>
          <w:rFonts w:ascii="Arial" w:hAnsi="Arial" w:cs="Arial"/>
        </w:rPr>
        <w:t xml:space="preserve"> [online]. Berlin: Agora Energiewende. Available at: </w:t>
      </w:r>
      <w:hyperlink r:id="rId14" w:history="1">
        <w:r>
          <w:rPr>
            <w:rStyle w:val="Hyperlink"/>
            <w:rFonts w:ascii="Arial" w:hAnsi="Arial" w:cs="Arial"/>
          </w:rPr>
          <w:t>https://www.agora-industry.org/publications/low-carbon-technologies-for-the-global-steel-transformation</w:t>
        </w:r>
      </w:hyperlink>
      <w:r>
        <w:rPr>
          <w:rFonts w:ascii="Arial" w:hAnsi="Arial" w:cs="Arial"/>
        </w:rPr>
        <w:t xml:space="preserve"> (Accessed: 7 October 2026).</w:t>
      </w:r>
    </w:p>
    <w:p w14:paraId="33D041EA"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Algers, J., Åhman, M. and Nilsson, L.J. (2025) ‘Steel decarbonization—from optimization to transformation’, </w:t>
      </w:r>
      <w:r>
        <w:rPr>
          <w:rStyle w:val="Emphasis"/>
          <w:rFonts w:ascii="Arial" w:eastAsiaTheme="majorEastAsia" w:hAnsi="Arial" w:cs="Arial"/>
        </w:rPr>
        <w:t>Annual Review of Environment and Resources</w:t>
      </w:r>
      <w:r>
        <w:rPr>
          <w:rFonts w:ascii="Arial" w:hAnsi="Arial" w:cs="Arial"/>
        </w:rPr>
        <w:t>, 50, pp. 433–454. doi: 10.1146/annurev-environ-111523-101851.</w:t>
      </w:r>
    </w:p>
    <w:p w14:paraId="4829F220" w14:textId="3DFCA8D4" w:rsidR="0024280B" w:rsidRPr="0024280B" w:rsidRDefault="0024280B" w:rsidP="0024280B">
      <w:pPr>
        <w:pStyle w:val="NormalWeb"/>
        <w:spacing w:line="360" w:lineRule="auto"/>
        <w:ind w:left="720" w:hanging="720"/>
        <w:rPr>
          <w:rFonts w:asciiTheme="minorBidi" w:hAnsiTheme="minorBidi" w:cstheme="minorBidi"/>
        </w:rPr>
      </w:pPr>
      <w:r w:rsidRPr="0024280B">
        <w:rPr>
          <w:rFonts w:asciiTheme="minorBidi" w:hAnsiTheme="minorBidi" w:cstheme="minorBidi"/>
        </w:rPr>
        <w:t>Ansoff, H.I. (1957) ‘Strategies for diversification’, Harvard Business Review, 35(5), pp. 113–124.</w:t>
      </w:r>
    </w:p>
    <w:p w14:paraId="577D7E2E" w14:textId="77777777" w:rsidR="008C1A65" w:rsidRDefault="00000000" w:rsidP="0024280B">
      <w:pPr>
        <w:pStyle w:val="NormalWeb"/>
        <w:spacing w:line="360" w:lineRule="auto"/>
        <w:ind w:left="360" w:hanging="720"/>
        <w:rPr>
          <w:rFonts w:ascii="Arial" w:hAnsi="Arial" w:cs="Arial"/>
        </w:rPr>
      </w:pPr>
      <w:r>
        <w:rPr>
          <w:rFonts w:ascii="Arial" w:hAnsi="Arial" w:cs="Arial"/>
        </w:rPr>
        <w:t xml:space="preserve">Association for Iron &amp; Steel Technology (AIST) (2026) ‘Tata Steel teams with University of Science and Technology Beijing for green steel research’, 19 March. Available at: </w:t>
      </w:r>
      <w:hyperlink r:id="rId15" w:history="1">
        <w:r>
          <w:rPr>
            <w:rStyle w:val="Hyperlink"/>
            <w:rFonts w:ascii="Arial" w:eastAsiaTheme="majorEastAsia" w:hAnsi="Arial" w:cs="Arial"/>
          </w:rPr>
          <w:t>https://www.aist.org/tata-steel-teams-with-university-of-science-and-technology-beijing-for-green-steel-research</w:t>
        </w:r>
      </w:hyperlink>
      <w:r>
        <w:rPr>
          <w:rFonts w:ascii="Arial" w:hAnsi="Arial" w:cs="Arial"/>
        </w:rPr>
        <w:t xml:space="preserve"> (Accessed: 10 October 2026).</w:t>
      </w:r>
    </w:p>
    <w:p w14:paraId="045E9231" w14:textId="77777777" w:rsidR="008C1A65" w:rsidRDefault="00000000" w:rsidP="0024280B">
      <w:pPr>
        <w:pStyle w:val="NormalWeb"/>
        <w:spacing w:line="360" w:lineRule="auto"/>
        <w:ind w:left="360" w:hanging="720"/>
        <w:rPr>
          <w:rFonts w:ascii="Arial" w:hAnsi="Arial" w:cs="Arial"/>
          <w:color w:val="222222"/>
          <w:shd w:val="clear" w:color="auto" w:fill="FFFFFF"/>
        </w:rPr>
      </w:pPr>
      <w:r>
        <w:rPr>
          <w:rFonts w:ascii="Arial" w:hAnsi="Arial" w:cs="Arial"/>
          <w:color w:val="222222"/>
          <w:shd w:val="clear" w:color="auto" w:fill="FFFFFF"/>
        </w:rPr>
        <w:t xml:space="preserve">Belavadi, N. and Kulkarni, G.S., 2026. Forging a zero-carbon future: Tata Steel Ltd.’s sustainability transformation in an emerging market. </w:t>
      </w:r>
      <w:r>
        <w:rPr>
          <w:rFonts w:ascii="Arial" w:hAnsi="Arial" w:cs="Arial"/>
          <w:i/>
          <w:iCs/>
          <w:color w:val="222222"/>
          <w:shd w:val="clear" w:color="auto" w:fill="FFFFFF"/>
        </w:rPr>
        <w:t>Emerald Emerging Markets Case Studies</w:t>
      </w:r>
      <w:r>
        <w:rPr>
          <w:rFonts w:ascii="Arial" w:hAnsi="Arial" w:cs="Arial"/>
          <w:color w:val="222222"/>
          <w:shd w:val="clear" w:color="auto" w:fill="FFFFFF"/>
        </w:rPr>
        <w:t xml:space="preserve">, </w:t>
      </w:r>
      <w:r>
        <w:rPr>
          <w:rFonts w:ascii="Arial" w:hAnsi="Arial" w:cs="Arial"/>
          <w:i/>
          <w:iCs/>
          <w:color w:val="222222"/>
          <w:shd w:val="clear" w:color="auto" w:fill="FFFFFF"/>
        </w:rPr>
        <w:t>16</w:t>
      </w:r>
      <w:r>
        <w:rPr>
          <w:rFonts w:ascii="Arial" w:hAnsi="Arial" w:cs="Arial"/>
          <w:color w:val="222222"/>
          <w:shd w:val="clear" w:color="auto" w:fill="FFFFFF"/>
        </w:rPr>
        <w:t>(1), pp.1-9.</w:t>
      </w:r>
      <w:r>
        <w:rPr>
          <w:rFonts w:ascii="Arial" w:hAnsi="Arial" w:cs="Arial"/>
        </w:rPr>
        <w:t xml:space="preserve"> </w:t>
      </w:r>
      <w:hyperlink r:id="rId16" w:tgtFrame="_blank" w:history="1">
        <w:r>
          <w:rPr>
            <w:rStyle w:val="Hyperlink"/>
            <w:rFonts w:ascii="Arial" w:eastAsiaTheme="majorEastAsia" w:hAnsi="Arial" w:cs="Arial"/>
            <w:color w:val="1C696A"/>
            <w:u w:val="none"/>
            <w:shd w:val="clear" w:color="auto" w:fill="F7F7F7"/>
          </w:rPr>
          <w:t>https://doi.org/10.1108/EEMCS-06-2025-0349</w:t>
        </w:r>
      </w:hyperlink>
    </w:p>
    <w:p w14:paraId="3B1B0F5C" w14:textId="77777777" w:rsidR="008C1A65" w:rsidRDefault="00000000" w:rsidP="0024280B">
      <w:pPr>
        <w:pStyle w:val="NormalWeb"/>
        <w:spacing w:line="360" w:lineRule="auto"/>
        <w:ind w:left="360" w:hanging="720"/>
        <w:rPr>
          <w:rFonts w:ascii="Arial" w:hAnsi="Arial" w:cs="Arial"/>
          <w:color w:val="222222"/>
          <w:shd w:val="clear" w:color="auto" w:fill="FFFFFF"/>
        </w:rPr>
      </w:pPr>
      <w:r>
        <w:rPr>
          <w:rFonts w:ascii="Arial" w:hAnsi="Arial" w:cs="Arial"/>
          <w:color w:val="222222"/>
          <w:shd w:val="clear" w:color="auto" w:fill="FFFFFF"/>
        </w:rPr>
        <w:t xml:space="preserve">Bhattacharjee, D. and Singhania, A., 2023. Research and Development in Tata Steel—The Past, the Present and the Future. In </w:t>
      </w:r>
      <w:r>
        <w:rPr>
          <w:rFonts w:ascii="Arial" w:hAnsi="Arial" w:cs="Arial"/>
          <w:i/>
          <w:iCs/>
          <w:color w:val="222222"/>
          <w:shd w:val="clear" w:color="auto" w:fill="FFFFFF"/>
        </w:rPr>
        <w:t>Indian Metallurgy: The Platinum Years</w:t>
      </w:r>
      <w:r>
        <w:rPr>
          <w:rFonts w:ascii="Arial" w:hAnsi="Arial" w:cs="Arial"/>
          <w:color w:val="222222"/>
          <w:shd w:val="clear" w:color="auto" w:fill="FFFFFF"/>
        </w:rPr>
        <w:t xml:space="preserve"> (pp. 3-25). Singapore: Springer Nature Singapore.</w:t>
      </w:r>
      <w:r>
        <w:rPr>
          <w:rFonts w:ascii="Arial" w:hAnsi="Arial" w:cs="Arial"/>
        </w:rPr>
        <w:t xml:space="preserve"> </w:t>
      </w:r>
      <w:hyperlink r:id="rId17" w:history="1">
        <w:r>
          <w:rPr>
            <w:rStyle w:val="Hyperlink"/>
            <w:rFonts w:ascii="Arial" w:hAnsi="Arial" w:cs="Arial"/>
            <w:shd w:val="clear" w:color="auto" w:fill="FFFFFF"/>
          </w:rPr>
          <w:t>https://link.springer.com/chapter/10.1007/978-981-99-5060-7_1</w:t>
        </w:r>
      </w:hyperlink>
    </w:p>
    <w:p w14:paraId="182900AF" w14:textId="77777777" w:rsidR="008C1A65" w:rsidRDefault="00000000" w:rsidP="0024280B">
      <w:pPr>
        <w:pStyle w:val="NormalWeb"/>
        <w:spacing w:line="360" w:lineRule="auto"/>
        <w:ind w:left="360" w:hanging="720"/>
        <w:rPr>
          <w:rFonts w:ascii="Arial" w:hAnsi="Arial" w:cs="Arial"/>
        </w:rPr>
      </w:pPr>
      <w:r>
        <w:rPr>
          <w:rFonts w:ascii="Arial" w:hAnsi="Arial" w:cs="Arial"/>
        </w:rPr>
        <w:t xml:space="preserve">International Energy Agency (IEA) (2024) </w:t>
      </w:r>
      <w:r>
        <w:rPr>
          <w:rStyle w:val="Emphasis"/>
          <w:rFonts w:ascii="Arial" w:eastAsiaTheme="majorEastAsia" w:hAnsi="Arial" w:cs="Arial"/>
        </w:rPr>
        <w:t>Standards for a net zero iron and steel sector in India</w:t>
      </w:r>
      <w:r>
        <w:rPr>
          <w:rFonts w:ascii="Arial" w:hAnsi="Arial" w:cs="Arial"/>
        </w:rPr>
        <w:t xml:space="preserve">. Available at: </w:t>
      </w:r>
      <w:hyperlink r:id="rId18" w:history="1">
        <w:r>
          <w:rPr>
            <w:rStyle w:val="Hyperlink"/>
            <w:rFonts w:ascii="Arial" w:hAnsi="Arial" w:cs="Arial"/>
          </w:rPr>
          <w:t>https://www.iea.org/reports/standards-for-a-net-zero-iron-and-steel-sector-in-india</w:t>
        </w:r>
      </w:hyperlink>
      <w:r>
        <w:rPr>
          <w:rFonts w:ascii="Arial" w:hAnsi="Arial" w:cs="Arial"/>
        </w:rPr>
        <w:t xml:space="preserve"> (Accessed: 1 October 2026).</w:t>
      </w:r>
    </w:p>
    <w:p w14:paraId="780BFF41" w14:textId="77777777" w:rsidR="008C1A65" w:rsidRDefault="00000000" w:rsidP="0024280B">
      <w:pPr>
        <w:pStyle w:val="NormalWeb"/>
        <w:spacing w:line="360" w:lineRule="auto"/>
        <w:ind w:left="720" w:hanging="720"/>
        <w:rPr>
          <w:rFonts w:ascii="Arial" w:hAnsi="Arial" w:cs="Arial"/>
        </w:rPr>
      </w:pPr>
      <w:r>
        <w:rPr>
          <w:rFonts w:ascii="Arial" w:hAnsi="Arial" w:cs="Arial"/>
        </w:rPr>
        <w:lastRenderedPageBreak/>
        <w:t xml:space="preserve">International Energy Agency (IEA) (2025) </w:t>
      </w:r>
      <w:r>
        <w:rPr>
          <w:rStyle w:val="Emphasis"/>
          <w:rFonts w:ascii="Arial" w:eastAsiaTheme="majorEastAsia" w:hAnsi="Arial" w:cs="Arial"/>
        </w:rPr>
        <w:t>Breakthrough Agenda Report 2025: Steel</w:t>
      </w:r>
      <w:r>
        <w:rPr>
          <w:rFonts w:ascii="Arial" w:hAnsi="Arial" w:cs="Arial"/>
        </w:rPr>
        <w:t xml:space="preserve"> [online]. Paris: International Energy Agency. Available at: </w:t>
      </w:r>
      <w:hyperlink r:id="rId19" w:history="1">
        <w:r>
          <w:rPr>
            <w:rStyle w:val="Hyperlink"/>
            <w:rFonts w:ascii="Arial" w:hAnsi="Arial" w:cs="Arial"/>
          </w:rPr>
          <w:t>https://www.iea.org/reports/breakthrough-agenda-report-2025/steel</w:t>
        </w:r>
      </w:hyperlink>
      <w:r>
        <w:rPr>
          <w:rFonts w:ascii="Arial" w:hAnsi="Arial" w:cs="Arial"/>
        </w:rPr>
        <w:t xml:space="preserve"> (Accessed: 4 October 2026).</w:t>
      </w:r>
    </w:p>
    <w:p w14:paraId="7F4C5DF7"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International Energy Agency (IEA) (2026) </w:t>
      </w:r>
      <w:r>
        <w:rPr>
          <w:rStyle w:val="Emphasis"/>
          <w:rFonts w:ascii="Arial" w:eastAsiaTheme="majorEastAsia" w:hAnsi="Arial" w:cs="Arial"/>
        </w:rPr>
        <w:t>Energy Technology Perspectives 2026</w:t>
      </w:r>
      <w:r>
        <w:rPr>
          <w:rFonts w:ascii="Arial" w:hAnsi="Arial" w:cs="Arial"/>
        </w:rPr>
        <w:t xml:space="preserve"> [online]. Paris: IEA. Available at: </w:t>
      </w:r>
      <w:hyperlink r:id="rId20" w:history="1">
        <w:r>
          <w:rPr>
            <w:rStyle w:val="Hyperlink"/>
            <w:rFonts w:ascii="Arial" w:hAnsi="Arial" w:cs="Arial"/>
          </w:rPr>
          <w:t>https://www.iea.org/reports/energy-technology-perspectives-2026</w:t>
        </w:r>
      </w:hyperlink>
      <w:r>
        <w:rPr>
          <w:rFonts w:ascii="Arial" w:hAnsi="Arial" w:cs="Arial"/>
        </w:rPr>
        <w:t xml:space="preserve"> (Accessed: 2 October 2026).</w:t>
      </w:r>
    </w:p>
    <w:p w14:paraId="2FBDC897"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Johnson, C., Åhman, M., Nilsson, L.J. </w:t>
      </w:r>
      <w:r>
        <w:rPr>
          <w:rStyle w:val="Emphasis"/>
          <w:rFonts w:ascii="Arial" w:eastAsiaTheme="majorEastAsia" w:hAnsi="Arial" w:cs="Arial"/>
        </w:rPr>
        <w:t>et al.</w:t>
      </w:r>
      <w:r>
        <w:rPr>
          <w:rFonts w:ascii="Arial" w:hAnsi="Arial" w:cs="Arial"/>
        </w:rPr>
        <w:t xml:space="preserve"> (2025) ‘Emerging green steel markets surrounding the EU emissions trading system and carbon border adjustment mechanism’, </w:t>
      </w:r>
      <w:r>
        <w:rPr>
          <w:rStyle w:val="Emphasis"/>
          <w:rFonts w:ascii="Arial" w:eastAsiaTheme="majorEastAsia" w:hAnsi="Arial" w:cs="Arial"/>
        </w:rPr>
        <w:t>Nature Communications</w:t>
      </w:r>
      <w:r>
        <w:rPr>
          <w:rFonts w:ascii="Arial" w:hAnsi="Arial" w:cs="Arial"/>
        </w:rPr>
        <w:t>, 16, 9087. doi: 10.1038/s41467-025-64440-9.</w:t>
      </w:r>
      <w:r>
        <w:t xml:space="preserve"> </w:t>
      </w:r>
      <w:hyperlink r:id="rId21" w:history="1">
        <w:r>
          <w:rPr>
            <w:rStyle w:val="Hyperlink"/>
            <w:rFonts w:ascii="Arial" w:hAnsi="Arial" w:cs="Arial"/>
          </w:rPr>
          <w:t>https://www.nature.com/articles/s41467-025-64440-9</w:t>
        </w:r>
      </w:hyperlink>
    </w:p>
    <w:p w14:paraId="1EC50613"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Kotler, P., Armstrong, G., Harris, L.C. and He, H. (2024) </w:t>
      </w:r>
      <w:r>
        <w:rPr>
          <w:rStyle w:val="Emphasis"/>
          <w:rFonts w:ascii="Arial" w:eastAsiaTheme="majorEastAsia" w:hAnsi="Arial" w:cs="Arial"/>
        </w:rPr>
        <w:t>Principles of Marketing</w:t>
      </w:r>
      <w:r>
        <w:rPr>
          <w:rFonts w:ascii="Arial" w:hAnsi="Arial" w:cs="Arial"/>
        </w:rPr>
        <w:t>. 19th edn. Harlow: Pearson.</w:t>
      </w:r>
    </w:p>
    <w:p w14:paraId="0786C9BE"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Muslemani, H., Liang, X., Kaesehage, K., Ascui, F. and Wilson, J. (2021) ‘Opportunities and challenges for decarbonizing steel production by creating markets for “green steel” products’, </w:t>
      </w:r>
      <w:r>
        <w:rPr>
          <w:rStyle w:val="Emphasis"/>
          <w:rFonts w:ascii="Arial" w:eastAsiaTheme="majorEastAsia" w:hAnsi="Arial" w:cs="Arial"/>
        </w:rPr>
        <w:t>Journal of Cleaner Production</w:t>
      </w:r>
      <w:r>
        <w:rPr>
          <w:rFonts w:ascii="Arial" w:hAnsi="Arial" w:cs="Arial"/>
        </w:rPr>
        <w:t>, 315, 128127. doi: 10.1016/j.jclepro.2021.128127.</w:t>
      </w:r>
    </w:p>
    <w:p w14:paraId="58F63266"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OECD (2024a) </w:t>
      </w:r>
      <w:r>
        <w:rPr>
          <w:rStyle w:val="Emphasis"/>
          <w:rFonts w:ascii="Arial" w:eastAsiaTheme="majorEastAsia" w:hAnsi="Arial" w:cs="Arial"/>
        </w:rPr>
        <w:t>Addressing steel decarbonisation challenges for industry and policy</w:t>
      </w:r>
      <w:r>
        <w:rPr>
          <w:rFonts w:ascii="Arial" w:hAnsi="Arial" w:cs="Arial"/>
        </w:rPr>
        <w:t xml:space="preserve"> [online]. OECD Science, Technology and Industry Policy Papers, No. 171. Paris: OECD Publishing. Available at: </w:t>
      </w:r>
      <w:hyperlink r:id="rId22" w:history="1">
        <w:r>
          <w:rPr>
            <w:rStyle w:val="Hyperlink"/>
            <w:rFonts w:ascii="Arial" w:hAnsi="Arial" w:cs="Arial"/>
          </w:rPr>
          <w:t>https://doi.org/10.1787/e6cb2f3c-en</w:t>
        </w:r>
      </w:hyperlink>
      <w:r>
        <w:rPr>
          <w:rFonts w:ascii="Arial" w:hAnsi="Arial" w:cs="Arial"/>
        </w:rPr>
        <w:t xml:space="preserve"> (Accessed: 5 October 2026).</w:t>
      </w:r>
    </w:p>
    <w:p w14:paraId="77F84B9E"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OECD (2024b) </w:t>
      </w:r>
      <w:r>
        <w:rPr>
          <w:rStyle w:val="Emphasis"/>
          <w:rFonts w:ascii="Arial" w:eastAsiaTheme="majorEastAsia" w:hAnsi="Arial" w:cs="Arial"/>
        </w:rPr>
        <w:t>Unlocking potential in the global scrap steel market: Opportunities and challenges</w:t>
      </w:r>
      <w:r>
        <w:rPr>
          <w:rFonts w:ascii="Arial" w:hAnsi="Arial" w:cs="Arial"/>
        </w:rPr>
        <w:t xml:space="preserve"> [online]. OECD Science, Technology and Industry Policy Papers, No. 170. Paris: OECD Publishing. Available at: </w:t>
      </w:r>
      <w:hyperlink r:id="rId23" w:history="1">
        <w:r>
          <w:rPr>
            <w:rStyle w:val="Hyperlink"/>
            <w:rFonts w:ascii="Arial" w:hAnsi="Arial" w:cs="Arial"/>
          </w:rPr>
          <w:t>https://doi.org/10.1787/d7557242-en</w:t>
        </w:r>
      </w:hyperlink>
      <w:r>
        <w:rPr>
          <w:rFonts w:ascii="Arial" w:hAnsi="Arial" w:cs="Arial"/>
        </w:rPr>
        <w:t xml:space="preserve"> (Accessed: 2 October 2026).</w:t>
      </w:r>
    </w:p>
    <w:p w14:paraId="0B79E111" w14:textId="77777777" w:rsidR="008C1A65" w:rsidRDefault="00000000" w:rsidP="0024280B">
      <w:pPr>
        <w:pStyle w:val="NormalWeb"/>
        <w:spacing w:line="360" w:lineRule="auto"/>
        <w:ind w:left="720" w:hanging="720"/>
        <w:rPr>
          <w:rFonts w:ascii="Arial" w:hAnsi="Arial" w:cs="Arial"/>
        </w:rPr>
      </w:pPr>
      <w:r>
        <w:rPr>
          <w:rFonts w:ascii="Arial" w:hAnsi="Arial" w:cs="Arial"/>
        </w:rPr>
        <w:lastRenderedPageBreak/>
        <w:t xml:space="preserve">OECD (2025a) </w:t>
      </w:r>
      <w:r>
        <w:rPr>
          <w:rStyle w:val="Emphasis"/>
          <w:rFonts w:ascii="Arial" w:eastAsiaTheme="majorEastAsia" w:hAnsi="Arial" w:cs="Arial"/>
        </w:rPr>
        <w:t>OECD Steel Outlook 2025</w:t>
      </w:r>
      <w:r>
        <w:rPr>
          <w:rFonts w:ascii="Arial" w:hAnsi="Arial" w:cs="Arial"/>
        </w:rPr>
        <w:t xml:space="preserve"> [online]. Paris: OECD Publishing. Available at: </w:t>
      </w:r>
      <w:hyperlink r:id="rId24" w:history="1">
        <w:r>
          <w:rPr>
            <w:rStyle w:val="Hyperlink"/>
            <w:rFonts w:ascii="Arial" w:hAnsi="Arial" w:cs="Arial"/>
          </w:rPr>
          <w:t>https://doi.org/10.1787/28b61a5e-en</w:t>
        </w:r>
      </w:hyperlink>
      <w:r>
        <w:rPr>
          <w:rFonts w:ascii="Arial" w:hAnsi="Arial" w:cs="Arial"/>
        </w:rPr>
        <w:t xml:space="preserve"> (Accessed: 9  October 2026).</w:t>
      </w:r>
    </w:p>
    <w:p w14:paraId="5DBBF59B" w14:textId="77777777" w:rsidR="008C1A65" w:rsidRDefault="00000000" w:rsidP="0024280B">
      <w:pPr>
        <w:pStyle w:val="NormalWeb"/>
        <w:spacing w:line="360" w:lineRule="auto"/>
        <w:ind w:left="360" w:hanging="720"/>
        <w:rPr>
          <w:rFonts w:ascii="Arial" w:hAnsi="Arial" w:cs="Arial"/>
          <w:color w:val="222222"/>
          <w:shd w:val="clear" w:color="auto" w:fill="FFFFFF"/>
        </w:rPr>
      </w:pPr>
      <w:r>
        <w:rPr>
          <w:rFonts w:ascii="Arial" w:hAnsi="Arial" w:cs="Arial"/>
          <w:color w:val="222222"/>
          <w:shd w:val="clear" w:color="auto" w:fill="FFFFFF"/>
        </w:rPr>
        <w:t xml:space="preserve">     </w:t>
      </w:r>
      <w:r>
        <w:rPr>
          <w:rFonts w:ascii="Arial" w:hAnsi="Arial" w:cs="Arial"/>
        </w:rPr>
        <w:t xml:space="preserve">Pathak, A., Mahobia, G.S. and Gupta, R.C. (2026) ‘Process innovations for a greener metallurgical sector in India’, JOM. Available at: </w:t>
      </w:r>
      <w:hyperlink r:id="rId25" w:history="1">
        <w:r>
          <w:rPr>
            <w:rStyle w:val="Hyperlink"/>
            <w:rFonts w:ascii="Arial" w:eastAsiaTheme="majorEastAsia" w:hAnsi="Arial" w:cs="Arial"/>
          </w:rPr>
          <w:t>https://doi.org/10.1007/s11837-026-08710-x</w:t>
        </w:r>
      </w:hyperlink>
    </w:p>
    <w:p w14:paraId="0ECA3080" w14:textId="77777777" w:rsidR="008C1A65" w:rsidRDefault="00000000" w:rsidP="0024280B">
      <w:pPr>
        <w:pStyle w:val="NormalWeb"/>
        <w:spacing w:line="360" w:lineRule="auto"/>
        <w:ind w:left="360" w:hanging="720"/>
        <w:rPr>
          <w:rFonts w:ascii="Arial" w:hAnsi="Arial" w:cs="Arial"/>
        </w:rPr>
      </w:pPr>
      <w:r>
        <w:rPr>
          <w:rFonts w:ascii="Arial" w:hAnsi="Arial" w:cs="Arial"/>
        </w:rPr>
        <w:t xml:space="preserve">World Steel Association (2022) ‘Tata Steel: Using LCA to identify environmental hotspots to drive decarbonisation’. Available at: </w:t>
      </w:r>
      <w:hyperlink r:id="rId26" w:history="1">
        <w:r>
          <w:rPr>
            <w:rStyle w:val="Hyperlink"/>
            <w:rFonts w:ascii="Arial" w:eastAsiaTheme="majorEastAsia" w:hAnsi="Arial" w:cs="Arial"/>
          </w:rPr>
          <w:t>https://worldsteel.org/case-studies/lca/tata-steel-using-lca-to-identify-environmental-hotspots-to-drive-decarbonisation/</w:t>
        </w:r>
      </w:hyperlink>
      <w:r>
        <w:rPr>
          <w:rFonts w:ascii="Arial" w:hAnsi="Arial" w:cs="Arial"/>
        </w:rPr>
        <w:t xml:space="preserve"> (Accessed: 10 October 2026).</w:t>
      </w:r>
    </w:p>
    <w:p w14:paraId="7DB35545" w14:textId="77777777" w:rsidR="008C1A65" w:rsidRDefault="00000000" w:rsidP="0024280B">
      <w:pPr>
        <w:pStyle w:val="NormalWeb"/>
        <w:spacing w:line="360" w:lineRule="auto"/>
        <w:ind w:left="360" w:hanging="720"/>
        <w:rPr>
          <w:rFonts w:ascii="Arial" w:hAnsi="Arial" w:cs="Arial"/>
        </w:rPr>
      </w:pPr>
      <w:r>
        <w:rPr>
          <w:rFonts w:ascii="Arial" w:hAnsi="Arial" w:cs="Arial"/>
        </w:rPr>
        <w:t xml:space="preserve">SMS group (2026) ‘Tata Steel and SMS group to implement world’s first-of-its-kind blast furnace decarbonization technology, the Paul Wurth EASyMelt’, 21 April. Available at: </w:t>
      </w:r>
      <w:hyperlink r:id="rId27" w:history="1">
        <w:r>
          <w:rPr>
            <w:rStyle w:val="Hyperlink"/>
            <w:rFonts w:ascii="Arial" w:eastAsiaTheme="majorEastAsia" w:hAnsi="Arial" w:cs="Arial"/>
          </w:rPr>
          <w:t>https://www.sms-group.com/pt-br/press-and-media/press-releases/detalhes-do-comunicado-a-imprensa/tata-steel-and-sms-group-to-implement-worlds-first-of-its-kind-blast-furnace-decarbonization-technology-the-paul-wurth-easymelt</w:t>
        </w:r>
      </w:hyperlink>
      <w:r>
        <w:rPr>
          <w:rFonts w:ascii="Arial" w:hAnsi="Arial" w:cs="Arial"/>
        </w:rPr>
        <w:t xml:space="preserve"> (Accessed: 2 October 2026).</w:t>
      </w:r>
    </w:p>
    <w:p w14:paraId="63DB2FCD" w14:textId="77777777" w:rsidR="008C1A65" w:rsidRDefault="00000000" w:rsidP="0024280B">
      <w:pPr>
        <w:pStyle w:val="NormalWeb"/>
        <w:spacing w:line="360" w:lineRule="auto"/>
        <w:ind w:left="360" w:hanging="720"/>
        <w:rPr>
          <w:rFonts w:ascii="Arial" w:hAnsi="Arial" w:cs="Arial"/>
        </w:rPr>
      </w:pPr>
      <w:r>
        <w:rPr>
          <w:rFonts w:ascii="Arial" w:hAnsi="Arial" w:cs="Arial"/>
        </w:rPr>
        <w:t xml:space="preserve">The Tribune (2026) ‘Tata Steel inaugurates its first scrap-based Electric Arc Furnace in India’, 20 March. Available at: </w:t>
      </w:r>
      <w:hyperlink r:id="rId28" w:history="1">
        <w:r>
          <w:rPr>
            <w:rStyle w:val="Hyperlink"/>
            <w:rFonts w:ascii="Arial" w:eastAsiaTheme="majorEastAsia" w:hAnsi="Arial" w:cs="Arial"/>
          </w:rPr>
          <w:t>https://www.tribuneindia.com/news/business/tata-steel-inaugurates-its-first-scrap-based-electric-arc-furnace-in-india/amp</w:t>
        </w:r>
      </w:hyperlink>
      <w:r>
        <w:rPr>
          <w:rFonts w:ascii="Arial" w:hAnsi="Arial" w:cs="Arial"/>
        </w:rPr>
        <w:t xml:space="preserve"> (Accessed: 6 October 2026).</w:t>
      </w:r>
    </w:p>
    <w:p w14:paraId="6AC5AF80"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Wu, X., Meng, J., Liang, X., Sun, L., Coffman, D.M., Kontoleon, A. et al. (2025) ‘Technological pathways for cost-effective steel decarbonization’, Nature, 647, pp. 93–101. </w:t>
      </w:r>
      <w:hyperlink r:id="rId29" w:history="1">
        <w:r>
          <w:rPr>
            <w:rStyle w:val="Hyperlink"/>
            <w:rFonts w:ascii="Arial" w:eastAsiaTheme="majorEastAsia" w:hAnsi="Arial" w:cs="Arial"/>
          </w:rPr>
          <w:t>https://doi.org/10.1038/s41586-025-09658-9</w:t>
        </w:r>
      </w:hyperlink>
      <w:r>
        <w:rPr>
          <w:rFonts w:ascii="Arial" w:hAnsi="Arial" w:cs="Arial"/>
        </w:rPr>
        <w:t>.</w:t>
      </w:r>
    </w:p>
    <w:p w14:paraId="3CEAAE26" w14:textId="77777777" w:rsidR="008C1A65" w:rsidRDefault="00000000" w:rsidP="0024280B">
      <w:pPr>
        <w:pStyle w:val="NormalWeb"/>
        <w:spacing w:line="360" w:lineRule="auto"/>
        <w:ind w:left="720" w:hanging="720"/>
        <w:rPr>
          <w:rFonts w:ascii="Arial" w:hAnsi="Arial" w:cs="Arial"/>
        </w:rPr>
      </w:pPr>
      <w:r>
        <w:rPr>
          <w:rFonts w:ascii="Arial" w:hAnsi="Arial" w:cs="Arial"/>
        </w:rPr>
        <w:t xml:space="preserve">Zhang, X. </w:t>
      </w:r>
      <w:r>
        <w:rPr>
          <w:rStyle w:val="Emphasis"/>
          <w:rFonts w:ascii="Arial" w:eastAsiaTheme="majorEastAsia" w:hAnsi="Arial" w:cs="Arial"/>
        </w:rPr>
        <w:t>et al.</w:t>
      </w:r>
      <w:r>
        <w:rPr>
          <w:rFonts w:ascii="Arial" w:hAnsi="Arial" w:cs="Arial"/>
        </w:rPr>
        <w:t xml:space="preserve"> (2024) ‘Towards low-carbon steel: System dynamics simulation of policies impact on green hydrogen steelmaking in China and the European Union’, </w:t>
      </w:r>
      <w:r>
        <w:rPr>
          <w:rStyle w:val="Emphasis"/>
          <w:rFonts w:ascii="Arial" w:eastAsiaTheme="majorEastAsia" w:hAnsi="Arial" w:cs="Arial"/>
        </w:rPr>
        <w:t>Energy Policy</w:t>
      </w:r>
      <w:r>
        <w:rPr>
          <w:rFonts w:ascii="Arial" w:hAnsi="Arial" w:cs="Arial"/>
        </w:rPr>
        <w:t>, 188, 114073. doi: 10.1016/j.enpol.2024.114073.</w:t>
      </w:r>
    </w:p>
    <w:p w14:paraId="1227A9F8" w14:textId="77777777" w:rsidR="008C1A65" w:rsidRDefault="008C1A65" w:rsidP="0024280B">
      <w:pPr>
        <w:pStyle w:val="NormalWeb"/>
        <w:spacing w:line="360" w:lineRule="auto"/>
        <w:ind w:left="720" w:hanging="720"/>
        <w:rPr>
          <w:rFonts w:ascii="Arial" w:hAnsi="Arial" w:cs="Arial"/>
        </w:rPr>
      </w:pPr>
    </w:p>
    <w:sectPr w:rsidR="008C1A65">
      <w:footerReference w:type="default" r:id="rId30"/>
      <w:pgSz w:w="11906" w:h="16838"/>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16969" w14:textId="77777777" w:rsidR="00962073" w:rsidRDefault="00962073">
      <w:pPr>
        <w:spacing w:line="240" w:lineRule="auto"/>
      </w:pPr>
      <w:r>
        <w:separator/>
      </w:r>
    </w:p>
  </w:endnote>
  <w:endnote w:type="continuationSeparator" w:id="0">
    <w:p w14:paraId="44A40B2C" w14:textId="77777777" w:rsidR="00962073" w:rsidRDefault="009620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6651058"/>
      <w:docPartObj>
        <w:docPartGallery w:val="AutoText"/>
      </w:docPartObj>
    </w:sdtPr>
    <w:sdtEndPr>
      <w:rPr>
        <w:color w:val="808080" w:themeColor="background1" w:themeShade="80"/>
        <w:spacing w:val="60"/>
      </w:rPr>
    </w:sdtEndPr>
    <w:sdtContent>
      <w:p w14:paraId="2737EB3E" w14:textId="77777777" w:rsidR="008C1A65"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17</w:t>
        </w:r>
        <w:r>
          <w:rPr>
            <w:b/>
            <w:bCs/>
          </w:rPr>
          <w:fldChar w:fldCharType="end"/>
        </w:r>
        <w:r>
          <w:rPr>
            <w:b/>
            <w:bCs/>
          </w:rPr>
          <w:t xml:space="preserve"> | </w:t>
        </w:r>
        <w:r>
          <w:rPr>
            <w:color w:val="808080" w:themeColor="background1" w:themeShade="80"/>
            <w:spacing w:val="60"/>
          </w:rPr>
          <w:t>Page</w:t>
        </w:r>
      </w:p>
    </w:sdtContent>
  </w:sdt>
  <w:p w14:paraId="2748761A" w14:textId="77777777" w:rsidR="008C1A65" w:rsidRDefault="008C1A65">
    <w:pPr>
      <w:pStyle w:val="Footer"/>
    </w:pPr>
  </w:p>
  <w:p w14:paraId="21E78F5A" w14:textId="77777777" w:rsidR="008C1A65" w:rsidRDefault="008C1A65"/>
  <w:p w14:paraId="4B73233F" w14:textId="77777777" w:rsidR="008C1A65" w:rsidRDefault="008C1A6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89897" w14:textId="77777777" w:rsidR="00962073" w:rsidRDefault="00962073">
      <w:pPr>
        <w:spacing w:after="0"/>
      </w:pPr>
      <w:r>
        <w:separator/>
      </w:r>
    </w:p>
  </w:footnote>
  <w:footnote w:type="continuationSeparator" w:id="0">
    <w:p w14:paraId="0F0790F3" w14:textId="77777777" w:rsidR="00962073" w:rsidRDefault="0096207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DE226D"/>
    <w:multiLevelType w:val="hybridMultilevel"/>
    <w:tmpl w:val="848ECB6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15483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578"/>
    <w:rsid w:val="00001DEA"/>
    <w:rsid w:val="00006B17"/>
    <w:rsid w:val="00083C32"/>
    <w:rsid w:val="00085986"/>
    <w:rsid w:val="000C47DD"/>
    <w:rsid w:val="00134CE7"/>
    <w:rsid w:val="00151E93"/>
    <w:rsid w:val="00166F10"/>
    <w:rsid w:val="001D77C4"/>
    <w:rsid w:val="0024280B"/>
    <w:rsid w:val="00264C29"/>
    <w:rsid w:val="00292B87"/>
    <w:rsid w:val="002B06B3"/>
    <w:rsid w:val="002D0089"/>
    <w:rsid w:val="00340128"/>
    <w:rsid w:val="00384F3C"/>
    <w:rsid w:val="00394B20"/>
    <w:rsid w:val="003C7578"/>
    <w:rsid w:val="003E383B"/>
    <w:rsid w:val="00437791"/>
    <w:rsid w:val="004758C9"/>
    <w:rsid w:val="004A1A80"/>
    <w:rsid w:val="0050755E"/>
    <w:rsid w:val="00516E6F"/>
    <w:rsid w:val="00533985"/>
    <w:rsid w:val="005B4E0C"/>
    <w:rsid w:val="00684F9F"/>
    <w:rsid w:val="00690840"/>
    <w:rsid w:val="00785BD9"/>
    <w:rsid w:val="007B526E"/>
    <w:rsid w:val="00815165"/>
    <w:rsid w:val="00852A21"/>
    <w:rsid w:val="0085779D"/>
    <w:rsid w:val="00863C37"/>
    <w:rsid w:val="008C1A65"/>
    <w:rsid w:val="0092786B"/>
    <w:rsid w:val="00956C8E"/>
    <w:rsid w:val="00962073"/>
    <w:rsid w:val="009779D6"/>
    <w:rsid w:val="009C2843"/>
    <w:rsid w:val="009C3203"/>
    <w:rsid w:val="009D7AAA"/>
    <w:rsid w:val="009E4206"/>
    <w:rsid w:val="009F0F0B"/>
    <w:rsid w:val="00A026B5"/>
    <w:rsid w:val="00A15D0E"/>
    <w:rsid w:val="00A160C6"/>
    <w:rsid w:val="00A61C0A"/>
    <w:rsid w:val="00A93576"/>
    <w:rsid w:val="00AC0BE6"/>
    <w:rsid w:val="00B11ACD"/>
    <w:rsid w:val="00B473D0"/>
    <w:rsid w:val="00BA138A"/>
    <w:rsid w:val="00BA59D3"/>
    <w:rsid w:val="00C3794C"/>
    <w:rsid w:val="00C54D3A"/>
    <w:rsid w:val="00C73162"/>
    <w:rsid w:val="00E11B70"/>
    <w:rsid w:val="00E20D26"/>
    <w:rsid w:val="00E514E7"/>
    <w:rsid w:val="00EA6F34"/>
    <w:rsid w:val="00EB69BA"/>
    <w:rsid w:val="00F51117"/>
    <w:rsid w:val="00F53596"/>
    <w:rsid w:val="00F872FA"/>
    <w:rsid w:val="0E3C53EA"/>
    <w:rsid w:val="237C18C4"/>
    <w:rsid w:val="38593326"/>
    <w:rsid w:val="43777AC5"/>
    <w:rsid w:val="4BD56877"/>
    <w:rsid w:val="518025B7"/>
    <w:rsid w:val="6BC049D4"/>
    <w:rsid w:val="74A90BF5"/>
    <w:rsid w:val="779747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2E9B90FD"/>
  <w15:docId w15:val="{D4465E4B-7547-4402-8E5D-1E6E1D37A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2" w:lineRule="auto"/>
      <w:jc w:val="both"/>
    </w:pPr>
    <w:rPr>
      <w:sz w:val="24"/>
      <w:szCs w:val="24"/>
    </w:rPr>
  </w:style>
  <w:style w:type="paragraph" w:styleId="Heading1">
    <w:name w:val="heading 1"/>
    <w:basedOn w:val="Normal"/>
    <w:next w:val="Normal"/>
    <w:link w:val="Heading1Char"/>
    <w:uiPriority w:val="9"/>
    <w:qFormat/>
    <w:pPr>
      <w:keepNext/>
      <w:keepLines/>
      <w:spacing w:before="320" w:after="40"/>
      <w:jc w:val="left"/>
      <w:outlineLvl w:val="0"/>
    </w:pPr>
    <w:rPr>
      <w:rFonts w:eastAsiaTheme="majorEastAsia" w:cstheme="majorBidi"/>
      <w:b/>
      <w:bCs/>
      <w:color w:val="17365D" w:themeColor="text2" w:themeShade="BF"/>
      <w:spacing w:val="4"/>
      <w:sz w:val="36"/>
      <w:szCs w:val="28"/>
    </w:rPr>
  </w:style>
  <w:style w:type="paragraph" w:styleId="Heading2">
    <w:name w:val="heading 2"/>
    <w:basedOn w:val="Normal"/>
    <w:next w:val="Normal"/>
    <w:link w:val="Heading2Char"/>
    <w:uiPriority w:val="9"/>
    <w:unhideWhenUsed/>
    <w:qFormat/>
    <w:pPr>
      <w:keepNext/>
      <w:keepLines/>
      <w:spacing w:before="160" w:after="40"/>
      <w:jc w:val="left"/>
      <w:outlineLvl w:val="1"/>
    </w:pPr>
    <w:rPr>
      <w:rFonts w:eastAsiaTheme="majorEastAsia" w:cstheme="majorBidi"/>
      <w:b/>
      <w:i/>
      <w:sz w:val="32"/>
      <w:szCs w:val="32"/>
      <w:u w:val="single"/>
    </w:rPr>
  </w:style>
  <w:style w:type="paragraph" w:styleId="Heading3">
    <w:name w:val="heading 3"/>
    <w:basedOn w:val="Normal"/>
    <w:next w:val="Normal"/>
    <w:link w:val="Heading3Char"/>
    <w:autoRedefine/>
    <w:uiPriority w:val="9"/>
    <w:unhideWhenUsed/>
    <w:qFormat/>
    <w:pPr>
      <w:keepNext/>
      <w:keepLines/>
      <w:spacing w:before="40"/>
      <w:jc w:val="left"/>
      <w:outlineLvl w:val="2"/>
    </w:pPr>
    <w:rPr>
      <w:rFonts w:asciiTheme="majorHAnsi" w:eastAsiaTheme="majorEastAsia" w:hAnsiTheme="majorHAnsi" w:cstheme="majorBidi"/>
      <w:b/>
      <w:color w:val="1F497D" w:themeColor="text2"/>
      <w:sz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widowControl w:val="0"/>
      <w:autoSpaceDE w:val="0"/>
      <w:autoSpaceDN w:val="0"/>
      <w:spacing w:after="0" w:line="240" w:lineRule="auto"/>
      <w:jc w:val="left"/>
    </w:pPr>
    <w:rPr>
      <w:rFonts w:ascii="Arial MT" w:eastAsia="Arial MT" w:hAnsi="Arial MT" w:cs="Arial MT"/>
      <w:sz w:val="22"/>
      <w:szCs w:val="22"/>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ascii="Times New Roman" w:eastAsia="Times New Roman" w:hAnsi="Times New Roman" w:cs="Times New Roman"/>
    </w:rPr>
  </w:style>
  <w:style w:type="character" w:styleId="Strong">
    <w:name w:val="Strong"/>
    <w:basedOn w:val="DefaultParagraphFont"/>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qFormat/>
    <w:rsid w:val="0024280B"/>
    <w:pPr>
      <w:tabs>
        <w:tab w:val="right" w:leader="dot" w:pos="9350"/>
      </w:tabs>
      <w:spacing w:after="100" w:line="360" w:lineRule="auto"/>
    </w:pPr>
    <w:rPr>
      <w:b/>
      <w:bCs/>
      <w:noProof/>
      <w:sz w:val="28"/>
      <w:szCs w:val="28"/>
    </w:rPr>
  </w:style>
  <w:style w:type="paragraph" w:styleId="TOC2">
    <w:name w:val="toc 2"/>
    <w:basedOn w:val="Normal"/>
    <w:next w:val="Normal"/>
    <w:autoRedefine/>
    <w:uiPriority w:val="39"/>
    <w:unhideWhenUsed/>
    <w:qFormat/>
    <w:pPr>
      <w:tabs>
        <w:tab w:val="right" w:leader="dot" w:pos="9350"/>
      </w:tabs>
      <w:spacing w:after="100" w:line="360" w:lineRule="auto"/>
      <w:ind w:left="240"/>
    </w:pPr>
  </w:style>
  <w:style w:type="paragraph" w:styleId="TOC3">
    <w:name w:val="toc 3"/>
    <w:basedOn w:val="Normal"/>
    <w:next w:val="Normal"/>
    <w:autoRedefine/>
    <w:uiPriority w:val="39"/>
    <w:unhideWhenUsed/>
    <w:pPr>
      <w:spacing w:after="100"/>
      <w:ind w:left="480"/>
    </w:pPr>
  </w:style>
  <w:style w:type="character" w:customStyle="1" w:styleId="Heading3Char">
    <w:name w:val="Heading 3 Char"/>
    <w:basedOn w:val="DefaultParagraphFont"/>
    <w:link w:val="Heading3"/>
    <w:uiPriority w:val="9"/>
    <w:qFormat/>
    <w:rPr>
      <w:rFonts w:asciiTheme="majorHAnsi" w:eastAsiaTheme="majorEastAsia" w:hAnsiTheme="majorHAnsi" w:cstheme="majorBidi"/>
      <w:b/>
      <w:color w:val="1F497D" w:themeColor="text2"/>
      <w:sz w:val="28"/>
    </w:rPr>
  </w:style>
  <w:style w:type="character" w:customStyle="1" w:styleId="Heading2Char">
    <w:name w:val="Heading 2 Char"/>
    <w:basedOn w:val="DefaultParagraphFont"/>
    <w:link w:val="Heading2"/>
    <w:uiPriority w:val="9"/>
    <w:qFormat/>
    <w:rPr>
      <w:rFonts w:eastAsiaTheme="majorEastAsia" w:cstheme="majorBidi"/>
      <w:b/>
      <w:i/>
      <w:sz w:val="32"/>
      <w:szCs w:val="32"/>
      <w:u w:val="single"/>
    </w:rPr>
  </w:style>
  <w:style w:type="character" w:customStyle="1" w:styleId="Heading1Char">
    <w:name w:val="Heading 1 Char"/>
    <w:basedOn w:val="DefaultParagraphFont"/>
    <w:link w:val="Heading1"/>
    <w:uiPriority w:val="9"/>
    <w:rPr>
      <w:rFonts w:eastAsiaTheme="majorEastAsia" w:cstheme="majorBidi"/>
      <w:b/>
      <w:bCs/>
      <w:color w:val="17365D" w:themeColor="text2" w:themeShade="BF"/>
      <w:spacing w:val="4"/>
      <w:sz w:val="36"/>
      <w:szCs w:val="28"/>
    </w:rPr>
  </w:style>
  <w:style w:type="paragraph" w:styleId="ListParagraph">
    <w:name w:val="List Paragraph"/>
    <w:basedOn w:val="Normal"/>
    <w:uiPriority w:val="1"/>
    <w:qFormat/>
    <w:pPr>
      <w:ind w:left="720"/>
      <w:contextualSpacing/>
    </w:pPr>
  </w:style>
  <w:style w:type="character" w:customStyle="1" w:styleId="cursor-pointer">
    <w:name w:val="cursor-pointer"/>
    <w:basedOn w:val="DefaultParagraphFont"/>
    <w:qFormat/>
  </w:style>
  <w:style w:type="paragraph" w:customStyle="1" w:styleId="TOCHeading1">
    <w:name w:val="TOC Heading1"/>
    <w:basedOn w:val="Heading1"/>
    <w:next w:val="Normal"/>
    <w:uiPriority w:val="39"/>
    <w:unhideWhenUsed/>
    <w:qFormat/>
    <w:pPr>
      <w:spacing w:before="240" w:after="0" w:line="259" w:lineRule="auto"/>
      <w:outlineLvl w:val="9"/>
    </w:pPr>
    <w:rPr>
      <w:rFonts w:asciiTheme="majorHAnsi" w:hAnsiTheme="majorHAnsi"/>
      <w:b w:val="0"/>
      <w:bCs w:val="0"/>
      <w:color w:val="365F91" w:themeColor="accent1" w:themeShade="BF"/>
      <w:spacing w:val="0"/>
      <w:sz w:val="32"/>
      <w:szCs w:val="32"/>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BodyTextChar">
    <w:name w:val="Body Text Char"/>
    <w:basedOn w:val="DefaultParagraphFont"/>
    <w:link w:val="BodyText"/>
    <w:uiPriority w:val="1"/>
    <w:qFormat/>
    <w:rPr>
      <w:rFonts w:ascii="Arial MT" w:eastAsia="Arial MT" w:hAnsi="Arial MT" w:cs="Arial MT"/>
      <w:sz w:val="22"/>
      <w:szCs w:val="22"/>
    </w:rPr>
  </w:style>
  <w:style w:type="paragraph" w:customStyle="1" w:styleId="TableParagraph">
    <w:name w:val="Table Paragraph"/>
    <w:basedOn w:val="Normal"/>
    <w:uiPriority w:val="1"/>
    <w:qFormat/>
    <w:pPr>
      <w:widowControl w:val="0"/>
      <w:autoSpaceDE w:val="0"/>
      <w:autoSpaceDN w:val="0"/>
      <w:spacing w:after="0" w:line="240" w:lineRule="auto"/>
      <w:ind w:left="110"/>
      <w:jc w:val="left"/>
    </w:pPr>
    <w:rPr>
      <w:rFonts w:ascii="Arial MT" w:eastAsia="Arial MT" w:hAnsi="Arial MT" w:cs="Arial MT"/>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ea.org/reports/standards-for-a-net-zero-iron-and-steel-sector-in-india" TargetMode="External"/><Relationship Id="rId26" Type="http://schemas.openxmlformats.org/officeDocument/2006/relationships/hyperlink" Target="https://worldsteel.org/case-studies/lca/tata-steel-using-lca-to-identify-environmental-hotspots-to-drive-decarbonisation/" TargetMode="External"/><Relationship Id="rId3" Type="http://schemas.openxmlformats.org/officeDocument/2006/relationships/styles" Target="styles.xml"/><Relationship Id="rId21" Type="http://schemas.openxmlformats.org/officeDocument/2006/relationships/hyperlink" Target="https://www.nature.com/articles/s41467-025-64440-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chapter/10.1007/978-981-99-5060-7_1" TargetMode="External"/><Relationship Id="rId25" Type="http://schemas.openxmlformats.org/officeDocument/2006/relationships/hyperlink" Target="https://doi.org/10.1007/s11837-026-08710-x" TargetMode="External"/><Relationship Id="rId2" Type="http://schemas.openxmlformats.org/officeDocument/2006/relationships/numbering" Target="numbering.xml"/><Relationship Id="rId16" Type="http://schemas.openxmlformats.org/officeDocument/2006/relationships/hyperlink" Target="https://doi.org/10.1108/EEMCS-06-2025-0349" TargetMode="External"/><Relationship Id="rId20" Type="http://schemas.openxmlformats.org/officeDocument/2006/relationships/hyperlink" Target="https://www.iea.org/reports/energy-technology-perspectives-2026?utm_source=chatgpt.com" TargetMode="External"/><Relationship Id="rId29" Type="http://schemas.openxmlformats.org/officeDocument/2006/relationships/hyperlink" Target="https://doi.org/10.1038/s41586-025-0965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787/28b61a5e-e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ist.org/tata-steel-teams-with-university-of-science-and-technology-beijing-for-green-steel-research" TargetMode="External"/><Relationship Id="rId23" Type="http://schemas.openxmlformats.org/officeDocument/2006/relationships/hyperlink" Target="https://doi.org/10.1787/d7557242-en" TargetMode="External"/><Relationship Id="rId28" Type="http://schemas.openxmlformats.org/officeDocument/2006/relationships/hyperlink" Target="https://www.tribuneindia.com/news/business/tata-steel-inaugurates-its-first-scrap-based-electric-arc-furnace-in-india/amp" TargetMode="External"/><Relationship Id="rId10" Type="http://schemas.openxmlformats.org/officeDocument/2006/relationships/image" Target="media/image3.png"/><Relationship Id="rId19" Type="http://schemas.openxmlformats.org/officeDocument/2006/relationships/hyperlink" Target="https://www.iea.org/reports/breakthrough-agenda-report-2025/steel?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gora-industry.org/publications/low-carbon-technologies-for-the-global-steel-transformation?utm_source=chatgpt.com" TargetMode="External"/><Relationship Id="rId22" Type="http://schemas.openxmlformats.org/officeDocument/2006/relationships/hyperlink" Target="https://doi.org/10.1787/e6cb2f3c-en" TargetMode="External"/><Relationship Id="rId27" Type="http://schemas.openxmlformats.org/officeDocument/2006/relationships/hyperlink" Target="https://www.sms-group.com/pt-br/press-and-media/press-releases/detalhes-do-comunicado-a-imprensa/tata-steel-and-sms-group-to-implement-worlds-first-of-its-kind-blast-furnace-decarbonization-technology-the-paul-wurth-easymel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723C6-F3E2-4E56-AF1E-5247D6391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4236</Words>
  <Characters>24146</Characters>
  <Application>Microsoft Office Word</Application>
  <DocSecurity>0</DocSecurity>
  <Lines>201</Lines>
  <Paragraphs>56</Paragraphs>
  <ScaleCrop>false</ScaleCrop>
  <Company/>
  <LinksUpToDate>false</LinksUpToDate>
  <CharactersWithSpaces>28326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Anonymous</cp:lastModifiedBy>
  <cp:revision>2</cp:revision>
  <dcterms:created xsi:type="dcterms:W3CDTF">2026-10-21T16:35:00Z</dcterms:created>
  <dcterms:modified xsi:type="dcterms:W3CDTF">2026-10-21T16:35:00Z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eyJoZGlkIjoiM2Q3YTYyOGM4ZjY2OWQ4YTM4Y2M3ZDk3NWNlOGQwOTMifQ==</vt:lpwstr>
  </property>
  <property fmtid="{D5CDD505-2E9C-101B-9397-08002B2CF9AE}" pid="3" name="KSOProductBuildVer">
    <vt:lpwstr>1033-12.1.0.29162</vt:lpwstr>
  </property>
  <property fmtid="{D5CDD505-2E9C-101B-9397-08002B2CF9AE}" pid="4" name="ICV">
    <vt:lpwstr>7B75BAE2EDFC4540AEB245E165FBCE21_13</vt:lpwstr>
  </property>
</Properties>
</file>