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0E4B" w:rsidRPr="00BB7443" w:rsidRDefault="006B0E4B" w:rsidP="006B0E4B">
      <w:pPr>
        <w:spacing w:line="360" w:lineRule="auto"/>
        <w:jc w:val="center"/>
        <w:rPr>
          <w:rFonts w:ascii="Arial" w:hAnsi="Arial" w:cs="Arial"/>
        </w:rPr>
      </w:pPr>
      <w:r w:rsidRPr="00BB7443">
        <w:rPr>
          <w:rFonts w:ascii="Arial" w:hAnsi="Arial" w:cs="Arial"/>
          <w:b/>
        </w:rPr>
        <w:t>STUDENT NAME:</w:t>
      </w:r>
      <w:r w:rsidRPr="00BB7443">
        <w:rPr>
          <w:rFonts w:ascii="Arial" w:hAnsi="Arial" w:cs="Arial"/>
        </w:rPr>
        <w:t xml:space="preserve"> CHRISTINE AKELLO</w:t>
      </w:r>
    </w:p>
    <w:p w:rsidR="006B0E4B" w:rsidRPr="00BB7443" w:rsidRDefault="006B0E4B" w:rsidP="006B0E4B">
      <w:pPr>
        <w:spacing w:line="360" w:lineRule="auto"/>
        <w:jc w:val="center"/>
        <w:rPr>
          <w:rFonts w:ascii="Arial" w:hAnsi="Arial" w:cs="Arial"/>
        </w:rPr>
      </w:pPr>
      <w:r w:rsidRPr="00BB7443">
        <w:rPr>
          <w:rFonts w:ascii="Arial" w:hAnsi="Arial" w:cs="Arial"/>
          <w:b/>
        </w:rPr>
        <w:t>STUDENT NUMBER:</w:t>
      </w:r>
      <w:r w:rsidRPr="00BB7443">
        <w:rPr>
          <w:rFonts w:ascii="Arial" w:hAnsi="Arial" w:cs="Arial"/>
        </w:rPr>
        <w:t xml:space="preserve"> 2524141</w:t>
      </w:r>
    </w:p>
    <w:p w:rsidR="006B0E4B" w:rsidRPr="00BB7443" w:rsidRDefault="006B0E4B" w:rsidP="006B0E4B">
      <w:pPr>
        <w:spacing w:line="360" w:lineRule="auto"/>
        <w:jc w:val="center"/>
        <w:rPr>
          <w:rFonts w:ascii="Arial" w:hAnsi="Arial" w:cs="Arial"/>
        </w:rPr>
      </w:pPr>
      <w:r w:rsidRPr="00BB7443">
        <w:rPr>
          <w:rFonts w:ascii="Arial" w:hAnsi="Arial" w:cs="Arial"/>
          <w:b/>
        </w:rPr>
        <w:t>PROGRAMME:</w:t>
      </w:r>
      <w:r w:rsidRPr="00BB7443">
        <w:rPr>
          <w:rFonts w:ascii="Arial" w:hAnsi="Arial" w:cs="Arial"/>
        </w:rPr>
        <w:t xml:space="preserve"> MBA ONLINE CARMARTHEN</w:t>
      </w:r>
    </w:p>
    <w:p w:rsidR="006B0E4B" w:rsidRPr="00BB7443" w:rsidRDefault="006B0E4B" w:rsidP="006B0E4B">
      <w:pPr>
        <w:spacing w:line="360" w:lineRule="auto"/>
        <w:jc w:val="center"/>
        <w:rPr>
          <w:rFonts w:ascii="Arial" w:hAnsi="Arial" w:cs="Arial"/>
        </w:rPr>
      </w:pPr>
      <w:r w:rsidRPr="00BB7443">
        <w:rPr>
          <w:rFonts w:ascii="Arial" w:hAnsi="Arial" w:cs="Arial"/>
          <w:b/>
        </w:rPr>
        <w:t>MODULE:</w:t>
      </w:r>
      <w:r w:rsidRPr="00BB7443">
        <w:rPr>
          <w:rFonts w:ascii="Arial" w:hAnsi="Arial" w:cs="Arial"/>
        </w:rPr>
        <w:t xml:space="preserve"> MANAGING PEOPLE IN ORGANISATIONS</w:t>
      </w:r>
    </w:p>
    <w:p w:rsidR="006B0E4B" w:rsidRPr="00BB7443" w:rsidRDefault="006B0E4B" w:rsidP="006B0E4B">
      <w:pPr>
        <w:spacing w:line="360" w:lineRule="auto"/>
        <w:jc w:val="center"/>
        <w:rPr>
          <w:rFonts w:ascii="Arial" w:hAnsi="Arial" w:cs="Arial"/>
        </w:rPr>
      </w:pPr>
      <w:r w:rsidRPr="00BB7443">
        <w:rPr>
          <w:rFonts w:ascii="Arial" w:hAnsi="Arial" w:cs="Arial"/>
          <w:b/>
        </w:rPr>
        <w:t>MODULE CODE:</w:t>
      </w:r>
      <w:r w:rsidRPr="00BB7443">
        <w:rPr>
          <w:rFonts w:ascii="Arial" w:hAnsi="Arial" w:cs="Arial"/>
        </w:rPr>
        <w:t xml:space="preserve"> BMMB7025D</w:t>
      </w:r>
    </w:p>
    <w:p w:rsidR="006B0E4B" w:rsidRPr="00BB7443" w:rsidRDefault="006B0E4B" w:rsidP="006B0E4B">
      <w:pPr>
        <w:spacing w:line="360" w:lineRule="auto"/>
        <w:jc w:val="center"/>
        <w:rPr>
          <w:rFonts w:ascii="Arial" w:hAnsi="Arial" w:cs="Arial"/>
        </w:rPr>
      </w:pPr>
      <w:r w:rsidRPr="00BB7443">
        <w:rPr>
          <w:rFonts w:ascii="Arial" w:hAnsi="Arial" w:cs="Arial"/>
          <w:b/>
        </w:rPr>
        <w:t>LECTURER:</w:t>
      </w:r>
      <w:r w:rsidRPr="00BB7443">
        <w:rPr>
          <w:rFonts w:ascii="Arial" w:hAnsi="Arial" w:cs="Arial"/>
        </w:rPr>
        <w:t xml:space="preserve"> HELEN EVANS</w:t>
      </w:r>
    </w:p>
    <w:p w:rsidR="006B0E4B" w:rsidRPr="00BB7443" w:rsidRDefault="006B0E4B" w:rsidP="006B0E4B">
      <w:pPr>
        <w:spacing w:line="360" w:lineRule="auto"/>
        <w:jc w:val="center"/>
        <w:rPr>
          <w:rFonts w:ascii="Arial" w:hAnsi="Arial" w:cs="Arial"/>
        </w:rPr>
      </w:pPr>
      <w:r w:rsidRPr="00BB7443">
        <w:rPr>
          <w:rFonts w:ascii="Arial" w:hAnsi="Arial" w:cs="Arial"/>
          <w:b/>
        </w:rPr>
        <w:t>ASSIGNMENT TITLE:</w:t>
      </w:r>
      <w:r>
        <w:rPr>
          <w:rFonts w:ascii="Arial" w:hAnsi="Arial" w:cs="Arial"/>
        </w:rPr>
        <w:t xml:space="preserve"> TED TALK-STYLE VIDEO PRESENTA</w:t>
      </w:r>
      <w:bookmarkStart w:id="0" w:name="_GoBack"/>
      <w:bookmarkEnd w:id="0"/>
      <w:r>
        <w:rPr>
          <w:rFonts w:ascii="Arial" w:hAnsi="Arial" w:cs="Arial"/>
        </w:rPr>
        <w:t>TION</w:t>
      </w:r>
    </w:p>
    <w:p w:rsidR="006B0E4B" w:rsidRPr="00BB7443" w:rsidRDefault="006B0E4B" w:rsidP="006B0E4B">
      <w:pPr>
        <w:spacing w:line="360" w:lineRule="auto"/>
        <w:jc w:val="center"/>
        <w:rPr>
          <w:rFonts w:ascii="Arial" w:hAnsi="Arial" w:cs="Arial"/>
        </w:rPr>
      </w:pPr>
      <w:r w:rsidRPr="00BB7443">
        <w:rPr>
          <w:rFonts w:ascii="Arial" w:hAnsi="Arial" w:cs="Arial"/>
          <w:b/>
        </w:rPr>
        <w:t>SUBMISSION DEADLINE:</w:t>
      </w:r>
      <w:r>
        <w:rPr>
          <w:rFonts w:ascii="Arial" w:hAnsi="Arial" w:cs="Arial"/>
        </w:rPr>
        <w:t xml:space="preserve"> 1</w:t>
      </w:r>
      <w:r>
        <w:rPr>
          <w:rFonts w:ascii="Arial" w:hAnsi="Arial" w:cs="Arial"/>
          <w:vertAlign w:val="superscript"/>
        </w:rPr>
        <w:t>ST</w:t>
      </w:r>
      <w:r>
        <w:rPr>
          <w:rFonts w:ascii="Arial" w:hAnsi="Arial" w:cs="Arial"/>
        </w:rPr>
        <w:t xml:space="preserve"> MAY</w:t>
      </w:r>
      <w:r w:rsidRPr="00BB7443">
        <w:rPr>
          <w:rFonts w:ascii="Arial" w:hAnsi="Arial" w:cs="Arial"/>
        </w:rPr>
        <w:t xml:space="preserve"> 2026</w:t>
      </w:r>
    </w:p>
    <w:p w:rsidR="006B0E4B" w:rsidRPr="00BB7443" w:rsidRDefault="006B0E4B" w:rsidP="006B0E4B">
      <w:pPr>
        <w:spacing w:line="360" w:lineRule="auto"/>
        <w:jc w:val="center"/>
        <w:rPr>
          <w:rFonts w:ascii="Arial" w:hAnsi="Arial" w:cs="Arial"/>
        </w:rPr>
      </w:pPr>
    </w:p>
    <w:p w:rsidR="00B76F9A" w:rsidRDefault="00B76F9A"/>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C632F4" w:rsidRDefault="002B4CB5" w:rsidP="00C632F4">
      <w:pPr>
        <w:spacing w:line="360" w:lineRule="auto"/>
        <w:jc w:val="center"/>
        <w:rPr>
          <w:rFonts w:ascii="Arial" w:hAnsi="Arial" w:cs="Arial"/>
          <w:b/>
        </w:rPr>
      </w:pPr>
      <w:r>
        <w:rPr>
          <w:rFonts w:ascii="Arial" w:hAnsi="Arial" w:cs="Arial"/>
          <w:b/>
        </w:rPr>
        <w:lastRenderedPageBreak/>
        <w:t>LINK TO VIDEO</w:t>
      </w:r>
      <w:r w:rsidR="00D61CA2">
        <w:rPr>
          <w:rFonts w:ascii="Arial" w:hAnsi="Arial" w:cs="Arial"/>
          <w:b/>
        </w:rPr>
        <w:t xml:space="preserve"> ON MICROSOFT STREAM</w:t>
      </w:r>
    </w:p>
    <w:p w:rsidR="00B672AD" w:rsidRPr="00B672AD" w:rsidRDefault="00B672AD" w:rsidP="00B672AD">
      <w:pPr>
        <w:jc w:val="center"/>
        <w:rPr>
          <w:rFonts w:ascii="Arial" w:hAnsi="Arial" w:cs="Arial"/>
        </w:rPr>
      </w:pPr>
      <w:hyperlink r:id="rId5" w:history="1">
        <w:r w:rsidRPr="00B672AD">
          <w:rPr>
            <w:rStyle w:val="Hyperlink"/>
            <w:rFonts w:ascii="Arial" w:hAnsi="Arial" w:cs="Arial"/>
          </w:rPr>
          <w:t>VIDEO PRESENTATION- BMMB7025D-CHRISTINE AKELLO-2524141.mp4</w:t>
        </w:r>
      </w:hyperlink>
    </w:p>
    <w:p w:rsidR="003D6D13" w:rsidRPr="003D6D13" w:rsidRDefault="003D6D13" w:rsidP="002B106E">
      <w:pPr>
        <w:spacing w:line="360" w:lineRule="auto"/>
        <w:rPr>
          <w:rFonts w:ascii="Arial" w:hAnsi="Arial" w:cs="Arial"/>
          <w:b/>
        </w:rPr>
      </w:pPr>
    </w:p>
    <w:p w:rsidR="00D41A04" w:rsidRPr="00D41A04" w:rsidRDefault="006B0E4B" w:rsidP="00D41A04">
      <w:pPr>
        <w:spacing w:line="360" w:lineRule="auto"/>
        <w:jc w:val="center"/>
        <w:rPr>
          <w:rFonts w:ascii="Arial" w:hAnsi="Arial" w:cs="Arial"/>
          <w:b/>
        </w:rPr>
      </w:pPr>
      <w:r w:rsidRPr="003D6D13">
        <w:rPr>
          <w:rFonts w:ascii="Arial" w:hAnsi="Arial" w:cs="Arial"/>
          <w:b/>
        </w:rPr>
        <w:t>SCRIPT</w:t>
      </w:r>
    </w:p>
    <w:p w:rsidR="00D41A04" w:rsidRPr="00D41A04" w:rsidRDefault="00D41A04" w:rsidP="00D41A04">
      <w:pPr>
        <w:numPr>
          <w:ilvl w:val="0"/>
          <w:numId w:val="3"/>
        </w:numPr>
        <w:spacing w:after="0" w:line="360" w:lineRule="auto"/>
        <w:contextualSpacing/>
        <w:jc w:val="both"/>
        <w:rPr>
          <w:rFonts w:ascii="Arial" w:eastAsia="Times New Roman" w:hAnsi="Arial" w:cs="Arial"/>
          <w:lang w:eastAsia="en-GB"/>
        </w:rPr>
      </w:pPr>
      <w:r w:rsidRPr="00D41A04">
        <w:rPr>
          <w:rFonts w:ascii="Arial" w:eastAsia="Times New Roman" w:hAnsi="Arial" w:cs="Arial"/>
          <w:lang w:eastAsia="en-GB"/>
        </w:rPr>
        <w:t>Good morning and w</w:t>
      </w:r>
      <w:r w:rsidR="00D66100">
        <w:rPr>
          <w:rFonts w:ascii="Arial" w:eastAsia="Times New Roman" w:hAnsi="Arial" w:cs="Arial"/>
          <w:lang w:eastAsia="en-GB"/>
        </w:rPr>
        <w:t>elcome to this presentation on critical a</w:t>
      </w:r>
      <w:r w:rsidRPr="00D41A04">
        <w:rPr>
          <w:rFonts w:ascii="Arial" w:eastAsia="Times New Roman" w:hAnsi="Arial" w:cs="Arial"/>
          <w:lang w:eastAsia="en-GB"/>
        </w:rPr>
        <w:t>nalysis of HR Technologies for Hanscomb Limited. My name is Christine Akello</w:t>
      </w:r>
    </w:p>
    <w:p w:rsidR="00D41A04" w:rsidRPr="00D41A04" w:rsidRDefault="00D41A04" w:rsidP="00D41A04">
      <w:pPr>
        <w:numPr>
          <w:ilvl w:val="0"/>
          <w:numId w:val="3"/>
        </w:numPr>
        <w:spacing w:after="0" w:line="360" w:lineRule="auto"/>
        <w:contextualSpacing/>
        <w:jc w:val="both"/>
        <w:rPr>
          <w:rFonts w:ascii="Arial" w:eastAsia="Times New Roman" w:hAnsi="Arial" w:cs="Arial"/>
          <w:lang w:eastAsia="en-GB"/>
        </w:rPr>
      </w:pPr>
      <w:r w:rsidRPr="00D41A04">
        <w:rPr>
          <w:rFonts w:ascii="Arial" w:eastAsia="Times New Roman" w:hAnsi="Arial" w:cs="Arial"/>
          <w:lang w:eastAsia="en-GB"/>
        </w:rPr>
        <w:t xml:space="preserve">This presentation will include an introduction of Hanscomb Limited organisation, explanation of chosen HR priority areas </w:t>
      </w:r>
      <w:r w:rsidR="00D66100">
        <w:rPr>
          <w:rFonts w:ascii="Arial" w:eastAsia="Times New Roman" w:hAnsi="Arial" w:cs="Arial"/>
          <w:lang w:eastAsia="en-GB"/>
        </w:rPr>
        <w:t>which include learning and d</w:t>
      </w:r>
      <w:r w:rsidRPr="00D41A04">
        <w:rPr>
          <w:rFonts w:ascii="Arial" w:eastAsia="Times New Roman" w:hAnsi="Arial" w:cs="Arial"/>
          <w:lang w:eastAsia="en-GB"/>
        </w:rPr>
        <w:t>evelo</w:t>
      </w:r>
      <w:r w:rsidR="00D66100">
        <w:rPr>
          <w:rFonts w:ascii="Arial" w:eastAsia="Times New Roman" w:hAnsi="Arial" w:cs="Arial"/>
          <w:lang w:eastAsia="en-GB"/>
        </w:rPr>
        <w:t>pment and employee engagement, e</w:t>
      </w:r>
      <w:r w:rsidRPr="00D41A04">
        <w:rPr>
          <w:rFonts w:ascii="Arial" w:hAnsi="Arial" w:cs="Arial"/>
        </w:rPr>
        <w:t>valuation of current business environment and how technological trends are influencing H</w:t>
      </w:r>
      <w:r w:rsidRPr="00D41A04">
        <w:rPr>
          <w:rFonts w:ascii="Arial" w:eastAsia="Times New Roman" w:hAnsi="Arial" w:cs="Arial"/>
          <w:lang w:eastAsia="en-GB"/>
        </w:rPr>
        <w:t xml:space="preserve">uman </w:t>
      </w:r>
      <w:r w:rsidRPr="00D41A04">
        <w:rPr>
          <w:rFonts w:ascii="Arial" w:hAnsi="Arial" w:cs="Arial"/>
        </w:rPr>
        <w:t>R</w:t>
      </w:r>
      <w:r w:rsidRPr="00D41A04">
        <w:rPr>
          <w:rFonts w:ascii="Arial" w:eastAsia="Times New Roman" w:hAnsi="Arial" w:cs="Arial"/>
          <w:lang w:eastAsia="en-GB"/>
        </w:rPr>
        <w:t xml:space="preserve">esource </w:t>
      </w:r>
      <w:r w:rsidRPr="00D41A04">
        <w:rPr>
          <w:rFonts w:ascii="Arial" w:hAnsi="Arial" w:cs="Arial"/>
        </w:rPr>
        <w:t>M</w:t>
      </w:r>
      <w:r w:rsidRPr="00D41A04">
        <w:rPr>
          <w:rFonts w:ascii="Arial" w:eastAsia="Times New Roman" w:hAnsi="Arial" w:cs="Arial"/>
          <w:lang w:eastAsia="en-GB"/>
        </w:rPr>
        <w:t xml:space="preserve">anagement </w:t>
      </w:r>
      <w:r w:rsidRPr="00D41A04">
        <w:rPr>
          <w:rFonts w:ascii="Arial" w:hAnsi="Arial" w:cs="Arial"/>
        </w:rPr>
        <w:t xml:space="preserve">practices in </w:t>
      </w:r>
      <w:r w:rsidR="00D66100">
        <w:rPr>
          <w:rFonts w:ascii="Arial" w:eastAsia="Times New Roman" w:hAnsi="Arial" w:cs="Arial"/>
          <w:lang w:eastAsia="en-GB"/>
        </w:rPr>
        <w:t>learning and d</w:t>
      </w:r>
      <w:r w:rsidRPr="00D41A04">
        <w:rPr>
          <w:rFonts w:ascii="Arial" w:eastAsia="Times New Roman" w:hAnsi="Arial" w:cs="Arial"/>
          <w:lang w:eastAsia="en-GB"/>
        </w:rPr>
        <w:t xml:space="preserve">evelopment </w:t>
      </w:r>
      <w:r w:rsidR="00D66100">
        <w:rPr>
          <w:rFonts w:ascii="Arial" w:hAnsi="Arial" w:cs="Arial"/>
        </w:rPr>
        <w:t>and employee e</w:t>
      </w:r>
      <w:r w:rsidRPr="00D41A04">
        <w:rPr>
          <w:rFonts w:ascii="Arial" w:hAnsi="Arial" w:cs="Arial"/>
        </w:rPr>
        <w:t>ngagement</w:t>
      </w:r>
      <w:r w:rsidRPr="00D41A04">
        <w:rPr>
          <w:rFonts w:ascii="Arial" w:eastAsia="Times New Roman" w:hAnsi="Arial" w:cs="Arial"/>
          <w:lang w:eastAsia="en-GB"/>
        </w:rPr>
        <w:t xml:space="preserve">, </w:t>
      </w:r>
      <w:r w:rsidR="00D66100">
        <w:rPr>
          <w:rFonts w:ascii="Arial" w:hAnsi="Arial" w:cs="Arial"/>
        </w:rPr>
        <w:t>a</w:t>
      </w:r>
      <w:r w:rsidRPr="00D41A04">
        <w:rPr>
          <w:rFonts w:ascii="Arial" w:hAnsi="Arial" w:cs="Arial"/>
        </w:rPr>
        <w:t>nalysis of how</w:t>
      </w:r>
      <w:r w:rsidR="004052EB">
        <w:rPr>
          <w:rFonts w:ascii="Arial" w:hAnsi="Arial" w:cs="Arial"/>
        </w:rPr>
        <w:t xml:space="preserve"> HR t</w:t>
      </w:r>
      <w:r w:rsidRPr="00D41A04">
        <w:rPr>
          <w:rFonts w:ascii="Arial" w:hAnsi="Arial" w:cs="Arial"/>
        </w:rPr>
        <w:t>echnology adoption can sh</w:t>
      </w:r>
      <w:r w:rsidR="004052EB">
        <w:rPr>
          <w:rFonts w:ascii="Arial" w:hAnsi="Arial" w:cs="Arial"/>
        </w:rPr>
        <w:t>ape organisational approach to r</w:t>
      </w:r>
      <w:r w:rsidRPr="00D41A04">
        <w:rPr>
          <w:rFonts w:ascii="Arial" w:hAnsi="Arial" w:cs="Arial"/>
        </w:rPr>
        <w:t>e</w:t>
      </w:r>
      <w:r w:rsidR="004052EB">
        <w:rPr>
          <w:rFonts w:ascii="Arial" w:eastAsia="Times New Roman" w:hAnsi="Arial" w:cs="Arial"/>
          <w:lang w:eastAsia="en-GB"/>
        </w:rPr>
        <w:t>sourcing and talent m</w:t>
      </w:r>
      <w:r w:rsidRPr="00D41A04">
        <w:rPr>
          <w:rFonts w:ascii="Arial" w:eastAsia="Times New Roman" w:hAnsi="Arial" w:cs="Arial"/>
          <w:lang w:eastAsia="en-GB"/>
        </w:rPr>
        <w:t xml:space="preserve">anagement, </w:t>
      </w:r>
      <w:r w:rsidR="004052EB">
        <w:rPr>
          <w:rFonts w:ascii="Arial" w:hAnsi="Arial" w:cs="Arial"/>
        </w:rPr>
        <w:t>impact of HR technology adoption on employee e</w:t>
      </w:r>
      <w:r w:rsidRPr="00D41A04">
        <w:rPr>
          <w:rFonts w:ascii="Arial" w:hAnsi="Arial" w:cs="Arial"/>
        </w:rPr>
        <w:t>ngagement</w:t>
      </w:r>
      <w:r w:rsidRPr="00D41A04">
        <w:rPr>
          <w:rFonts w:ascii="Arial" w:eastAsia="Times New Roman" w:hAnsi="Arial" w:cs="Arial"/>
          <w:lang w:eastAsia="en-GB"/>
        </w:rPr>
        <w:t xml:space="preserve">, </w:t>
      </w:r>
      <w:r w:rsidR="004052EB">
        <w:rPr>
          <w:rFonts w:ascii="Arial" w:hAnsi="Arial" w:cs="Arial"/>
        </w:rPr>
        <w:t>critical analysis of pitfalls and ethical consideration of HR t</w:t>
      </w:r>
      <w:r w:rsidRPr="00D41A04">
        <w:rPr>
          <w:rFonts w:ascii="Arial" w:hAnsi="Arial" w:cs="Arial"/>
        </w:rPr>
        <w:t xml:space="preserve">echnology </w:t>
      </w:r>
      <w:r w:rsidRPr="00D41A04">
        <w:rPr>
          <w:rFonts w:ascii="Arial" w:eastAsia="Times New Roman" w:hAnsi="Arial" w:cs="Arial"/>
          <w:lang w:eastAsia="en-GB"/>
        </w:rPr>
        <w:t xml:space="preserve">and finally </w:t>
      </w:r>
      <w:r w:rsidR="004052EB">
        <w:rPr>
          <w:rFonts w:ascii="Arial" w:hAnsi="Arial" w:cs="Arial"/>
        </w:rPr>
        <w:t>r</w:t>
      </w:r>
      <w:r w:rsidRPr="00D41A04">
        <w:rPr>
          <w:rFonts w:ascii="Arial" w:hAnsi="Arial" w:cs="Arial"/>
        </w:rPr>
        <w:t>ecommendations for</w:t>
      </w:r>
      <w:r w:rsidR="004052EB">
        <w:rPr>
          <w:rFonts w:ascii="Arial" w:hAnsi="Arial" w:cs="Arial"/>
        </w:rPr>
        <w:t xml:space="preserve"> leveraging HR t</w:t>
      </w:r>
      <w:r w:rsidRPr="00D41A04">
        <w:rPr>
          <w:rFonts w:ascii="Arial" w:hAnsi="Arial" w:cs="Arial"/>
        </w:rPr>
        <w:t xml:space="preserve">echnology in </w:t>
      </w:r>
      <w:r w:rsidR="004052EB">
        <w:rPr>
          <w:rFonts w:ascii="Arial" w:eastAsia="Times New Roman" w:hAnsi="Arial" w:cs="Arial"/>
          <w:lang w:eastAsia="en-GB"/>
        </w:rPr>
        <w:t>learning and d</w:t>
      </w:r>
      <w:r w:rsidRPr="00D41A04">
        <w:rPr>
          <w:rFonts w:ascii="Arial" w:eastAsia="Times New Roman" w:hAnsi="Arial" w:cs="Arial"/>
          <w:lang w:eastAsia="en-GB"/>
        </w:rPr>
        <w:t xml:space="preserve">evelopment </w:t>
      </w:r>
      <w:r w:rsidR="004052EB">
        <w:rPr>
          <w:rFonts w:ascii="Arial" w:hAnsi="Arial" w:cs="Arial"/>
        </w:rPr>
        <w:t>and employee e</w:t>
      </w:r>
      <w:r w:rsidRPr="00D41A04">
        <w:rPr>
          <w:rFonts w:ascii="Arial" w:hAnsi="Arial" w:cs="Arial"/>
        </w:rPr>
        <w:t>ngagement</w:t>
      </w:r>
      <w:r w:rsidRPr="00D41A04">
        <w:rPr>
          <w:rFonts w:ascii="Arial" w:eastAsia="Times New Roman" w:hAnsi="Arial" w:cs="Arial"/>
          <w:lang w:eastAsia="en-GB"/>
        </w:rPr>
        <w:t>.</w:t>
      </w:r>
    </w:p>
    <w:p w:rsidR="00D41A04" w:rsidRPr="00D41A04" w:rsidRDefault="00D41A04" w:rsidP="00D41A04">
      <w:pPr>
        <w:numPr>
          <w:ilvl w:val="0"/>
          <w:numId w:val="3"/>
        </w:numPr>
        <w:spacing w:after="0" w:line="360" w:lineRule="auto"/>
        <w:contextualSpacing/>
        <w:jc w:val="both"/>
        <w:rPr>
          <w:rFonts w:ascii="Arial" w:eastAsia="Times New Roman" w:hAnsi="Arial" w:cs="Arial"/>
          <w:lang w:eastAsia="en-GB"/>
        </w:rPr>
      </w:pPr>
      <w:r w:rsidRPr="00D41A04">
        <w:rPr>
          <w:rFonts w:ascii="Arial" w:eastAsia="Times New Roman" w:hAnsi="Arial" w:cs="Arial"/>
          <w:lang w:eastAsia="en-GB"/>
        </w:rPr>
        <w:t xml:space="preserve">Hanscomb Limited is </w:t>
      </w:r>
      <w:r w:rsidRPr="00D41A04">
        <w:rPr>
          <w:rFonts w:ascii="Arial" w:hAnsi="Arial" w:cs="Arial"/>
          <w:lang w:eastAsia="en-GB"/>
        </w:rPr>
        <w:t>a construction cost-consultancy firm providing reliable, trusted, indepen</w:t>
      </w:r>
      <w:r w:rsidRPr="00D41A04">
        <w:rPr>
          <w:rFonts w:ascii="Arial" w:eastAsia="Times New Roman" w:hAnsi="Arial" w:cs="Arial"/>
          <w:lang w:eastAsia="en-GB"/>
        </w:rPr>
        <w:t>dent advisory services in</w:t>
      </w:r>
      <w:r w:rsidRPr="00D41A04">
        <w:rPr>
          <w:rFonts w:ascii="Arial" w:hAnsi="Arial" w:cs="Arial"/>
          <w:lang w:eastAsia="en-GB"/>
        </w:rPr>
        <w:t xml:space="preserve"> cost planning, cost control, loan monitoring and value management, ensuring investors can make informed financial decisions at every project stage. Current HR strategic priorities for the organisation include recruiting and retaining a multidisciplinary professional workforce through ongoing professional development and continuous learn</w:t>
      </w:r>
      <w:r w:rsidR="00FC6841">
        <w:rPr>
          <w:rFonts w:ascii="Arial" w:hAnsi="Arial" w:cs="Arial"/>
          <w:lang w:eastAsia="en-GB"/>
        </w:rPr>
        <w:t xml:space="preserve">ing, fostering a collaborative </w:t>
      </w:r>
      <w:r w:rsidRPr="00D41A04">
        <w:rPr>
          <w:rFonts w:ascii="Arial" w:hAnsi="Arial" w:cs="Arial"/>
          <w:lang w:eastAsia="en-GB"/>
        </w:rPr>
        <w:t xml:space="preserve">project driven culture, and ensuring stability and long-term employee engagement. </w:t>
      </w:r>
    </w:p>
    <w:p w:rsidR="00D41A04" w:rsidRPr="00D41A04" w:rsidRDefault="00D41A04" w:rsidP="00D41A04">
      <w:pPr>
        <w:numPr>
          <w:ilvl w:val="0"/>
          <w:numId w:val="3"/>
        </w:numPr>
        <w:spacing w:after="0" w:line="360" w:lineRule="auto"/>
        <w:contextualSpacing/>
        <w:jc w:val="both"/>
        <w:rPr>
          <w:rFonts w:ascii="Arial" w:eastAsia="Times New Roman" w:hAnsi="Arial" w:cs="Arial"/>
          <w:lang w:eastAsia="en-GB"/>
        </w:rPr>
      </w:pPr>
      <w:r w:rsidRPr="00D41A04">
        <w:rPr>
          <w:rFonts w:ascii="Arial" w:eastAsia="Times New Roman" w:hAnsi="Arial" w:cs="Arial"/>
          <w:lang w:eastAsia="en-GB"/>
        </w:rPr>
        <w:t>When it comes to the chosen HR Priority areas</w:t>
      </w:r>
      <w:r w:rsidR="004052EB">
        <w:rPr>
          <w:rFonts w:ascii="Arial" w:eastAsia="Times New Roman" w:hAnsi="Arial" w:cs="Arial"/>
          <w:lang w:eastAsia="en-GB"/>
        </w:rPr>
        <w:t>, this presentation focuses on learning and d</w:t>
      </w:r>
      <w:r w:rsidRPr="00D41A04">
        <w:rPr>
          <w:rFonts w:ascii="Arial" w:eastAsia="Times New Roman" w:hAnsi="Arial" w:cs="Arial"/>
          <w:lang w:eastAsia="en-GB"/>
        </w:rPr>
        <w:t xml:space="preserve">evelopment and employee engagement as </w:t>
      </w:r>
      <w:r w:rsidRPr="00D41A04">
        <w:rPr>
          <w:rFonts w:ascii="Arial" w:eastAsiaTheme="minorEastAsia" w:hAnsi="Arial" w:cs="Arial"/>
          <w:lang w:eastAsia="en-GB"/>
        </w:rPr>
        <w:t>implementing HR technology solutions in these areas is likely to yield the most significant long</w:t>
      </w:r>
      <w:r w:rsidRPr="00D41A04">
        <w:rPr>
          <w:rFonts w:ascii="Arial" w:eastAsiaTheme="minorEastAsia" w:hAnsi="Arial" w:cs="Arial"/>
          <w:lang w:eastAsia="en-GB"/>
        </w:rPr>
        <w:noBreakHyphen/>
        <w:t>te</w:t>
      </w:r>
      <w:r w:rsidRPr="00D41A04">
        <w:rPr>
          <w:rFonts w:ascii="Arial" w:eastAsia="Times New Roman" w:hAnsi="Arial" w:cs="Arial"/>
          <w:lang w:eastAsia="en-GB"/>
        </w:rPr>
        <w:t>rm benefits for this organisation</w:t>
      </w:r>
      <w:r w:rsidRPr="00D41A04">
        <w:rPr>
          <w:rFonts w:ascii="Arial" w:eastAsiaTheme="minorEastAsia" w:hAnsi="Arial" w:cs="Arial"/>
          <w:lang w:eastAsia="en-GB"/>
        </w:rPr>
        <w:t>.</w:t>
      </w:r>
      <w:r w:rsidRPr="00D41A04">
        <w:rPr>
          <w:rFonts w:ascii="Arial" w:eastAsia="Times New Roman" w:hAnsi="Arial" w:cs="Arial"/>
          <w:lang w:eastAsia="en-GB"/>
        </w:rPr>
        <w:t xml:space="preserve"> This is </w:t>
      </w:r>
      <w:r w:rsidR="004052EB">
        <w:rPr>
          <w:rFonts w:ascii="Arial" w:eastAsia="Times New Roman" w:hAnsi="Arial" w:cs="Arial"/>
          <w:lang w:eastAsia="en-GB"/>
        </w:rPr>
        <w:t>because, according to CIPD, if learning and d</w:t>
      </w:r>
      <w:r w:rsidRPr="00D41A04">
        <w:rPr>
          <w:rFonts w:ascii="Arial" w:eastAsia="Times New Roman" w:hAnsi="Arial" w:cs="Arial"/>
          <w:lang w:eastAsia="en-GB"/>
        </w:rPr>
        <w:t xml:space="preserve">evelopment </w:t>
      </w:r>
      <w:r w:rsidRPr="00D41A04">
        <w:rPr>
          <w:rFonts w:ascii="Arial" w:eastAsiaTheme="minorEastAsia" w:hAnsi="Arial" w:cs="Arial"/>
          <w:lang w:eastAsia="en-GB"/>
        </w:rPr>
        <w:t>is undertaken correctly, it can provide a competitive advantage for the organisation, increase the rate of retention, and assist in talent development strategies</w:t>
      </w:r>
      <w:r w:rsidRPr="00D41A04">
        <w:rPr>
          <w:rFonts w:ascii="Arial" w:eastAsia="Times New Roman" w:hAnsi="Arial" w:cs="Arial"/>
          <w:lang w:eastAsia="en-GB"/>
        </w:rPr>
        <w:t xml:space="preserve">. On the other hand, </w:t>
      </w:r>
      <w:r w:rsidRPr="00D41A04">
        <w:rPr>
          <w:rFonts w:ascii="Arial" w:eastAsiaTheme="minorEastAsia" w:hAnsi="Arial" w:cs="Arial"/>
          <w:lang w:eastAsia="en-GB"/>
        </w:rPr>
        <w:t>employee engagement</w:t>
      </w:r>
      <w:r w:rsidRPr="00D41A04">
        <w:rPr>
          <w:rFonts w:ascii="Arial" w:eastAsia="Times New Roman" w:hAnsi="Arial" w:cs="Arial"/>
          <w:lang w:eastAsia="en-GB"/>
        </w:rPr>
        <w:t xml:space="preserve"> which is defined by Henderson as </w:t>
      </w:r>
      <w:r w:rsidRPr="00D41A04">
        <w:rPr>
          <w:rFonts w:ascii="Arial" w:eastAsiaTheme="minorEastAsia" w:hAnsi="Arial" w:cs="Arial"/>
          <w:lang w:eastAsia="en-GB"/>
        </w:rPr>
        <w:t>a concept in</w:t>
      </w:r>
      <w:r w:rsidRPr="00D41A04">
        <w:rPr>
          <w:rFonts w:ascii="Arial" w:eastAsia="Times New Roman" w:hAnsi="Arial" w:cs="Arial"/>
          <w:lang w:eastAsia="en-GB"/>
        </w:rPr>
        <w:t xml:space="preserve"> Human Resource Management</w:t>
      </w:r>
      <w:r w:rsidRPr="00D41A04">
        <w:rPr>
          <w:rFonts w:ascii="Arial" w:eastAsiaTheme="minorEastAsia" w:hAnsi="Arial" w:cs="Arial"/>
          <w:lang w:eastAsia="en-GB"/>
        </w:rPr>
        <w:t xml:space="preserve"> that captures management’s efforts to motivate employees and strengthen their com</w:t>
      </w:r>
      <w:r w:rsidRPr="00D41A04">
        <w:rPr>
          <w:rFonts w:ascii="Arial" w:eastAsia="Times New Roman" w:hAnsi="Arial" w:cs="Arial"/>
          <w:lang w:eastAsia="en-GB"/>
        </w:rPr>
        <w:t xml:space="preserve">mitment to organisational goals can </w:t>
      </w:r>
      <w:r w:rsidRPr="00D41A04">
        <w:rPr>
          <w:rFonts w:ascii="Arial" w:eastAsiaTheme="minorEastAsia" w:hAnsi="Arial" w:cs="Arial"/>
          <w:lang w:eastAsia="en-GB"/>
        </w:rPr>
        <w:t>affect all components of a company including profitability, revenue, customer exp</w:t>
      </w:r>
      <w:r w:rsidRPr="00D41A04">
        <w:rPr>
          <w:rFonts w:ascii="Arial" w:eastAsia="Times New Roman" w:hAnsi="Arial" w:cs="Arial"/>
          <w:lang w:eastAsia="en-GB"/>
        </w:rPr>
        <w:t>erience and employee re</w:t>
      </w:r>
      <w:r w:rsidR="00241B47">
        <w:rPr>
          <w:rFonts w:ascii="Arial" w:eastAsia="Times New Roman" w:hAnsi="Arial" w:cs="Arial"/>
          <w:lang w:eastAsia="en-GB"/>
        </w:rPr>
        <w:t xml:space="preserve">tention as discussed by Butcher, </w:t>
      </w:r>
      <w:r w:rsidRPr="00D41A04">
        <w:rPr>
          <w:rFonts w:ascii="Arial" w:eastAsia="Times New Roman" w:hAnsi="Arial" w:cs="Arial"/>
          <w:lang w:eastAsia="en-GB"/>
        </w:rPr>
        <w:t>therefore it is</w:t>
      </w:r>
      <w:r w:rsidRPr="00D41A04">
        <w:rPr>
          <w:rFonts w:ascii="Arial" w:eastAsiaTheme="minorEastAsia" w:hAnsi="Arial" w:cs="Arial"/>
          <w:lang w:eastAsia="en-GB"/>
        </w:rPr>
        <w:t xml:space="preserve"> important for business leaders to assess team members’ engagement</w:t>
      </w:r>
      <w:r w:rsidRPr="00D41A04">
        <w:rPr>
          <w:rFonts w:ascii="Arial" w:eastAsia="Times New Roman" w:hAnsi="Arial" w:cs="Arial"/>
          <w:lang w:eastAsia="en-GB"/>
        </w:rPr>
        <w:t>.</w:t>
      </w:r>
    </w:p>
    <w:p w:rsidR="00D41A04" w:rsidRPr="00D41A04" w:rsidRDefault="00D41A04" w:rsidP="00D41A04">
      <w:pPr>
        <w:numPr>
          <w:ilvl w:val="0"/>
          <w:numId w:val="3"/>
        </w:numPr>
        <w:spacing w:after="0" w:line="360" w:lineRule="auto"/>
        <w:contextualSpacing/>
        <w:jc w:val="both"/>
        <w:rPr>
          <w:rFonts w:ascii="Arial" w:hAnsi="Arial" w:cs="Arial"/>
        </w:rPr>
      </w:pPr>
      <w:r w:rsidRPr="00D41A04">
        <w:rPr>
          <w:rFonts w:ascii="Arial" w:eastAsia="Times New Roman" w:hAnsi="Arial" w:cs="Arial"/>
          <w:lang w:eastAsia="en-GB"/>
        </w:rPr>
        <w:lastRenderedPageBreak/>
        <w:t>After evaluating the current business environment and how technological trends are influencing Human Re</w:t>
      </w:r>
      <w:r w:rsidR="004052EB">
        <w:rPr>
          <w:rFonts w:ascii="Arial" w:eastAsia="Times New Roman" w:hAnsi="Arial" w:cs="Arial"/>
          <w:lang w:eastAsia="en-GB"/>
        </w:rPr>
        <w:t>source Management practices in learning and development and employee e</w:t>
      </w:r>
      <w:r w:rsidRPr="00D41A04">
        <w:rPr>
          <w:rFonts w:ascii="Arial" w:eastAsia="Times New Roman" w:hAnsi="Arial" w:cs="Arial"/>
          <w:lang w:eastAsia="en-GB"/>
        </w:rPr>
        <w:t>ngagement, I found that t</w:t>
      </w:r>
      <w:r w:rsidRPr="00D41A04">
        <w:rPr>
          <w:rFonts w:ascii="Arial" w:eastAsiaTheme="minorEastAsia" w:hAnsi="Arial" w:cs="Arial"/>
          <w:lang w:eastAsia="en-GB"/>
        </w:rPr>
        <w:t>echnology is evolving at a rapid pa</w:t>
      </w:r>
      <w:r w:rsidRPr="00D41A04">
        <w:rPr>
          <w:rFonts w:ascii="Arial" w:eastAsia="Times New Roman" w:hAnsi="Arial" w:cs="Arial"/>
          <w:lang w:eastAsia="en-GB"/>
        </w:rPr>
        <w:t>ce due to innovations such as Artificial Intelligence</w:t>
      </w:r>
      <w:r w:rsidRPr="00D41A04">
        <w:rPr>
          <w:rFonts w:ascii="Arial" w:eastAsiaTheme="minorEastAsia" w:hAnsi="Arial" w:cs="Arial"/>
          <w:lang w:eastAsia="en-GB"/>
        </w:rPr>
        <w:t xml:space="preserve">, machine learning and robotic process automation. When applied correctly in </w:t>
      </w:r>
      <w:r w:rsidRPr="00D41A04">
        <w:rPr>
          <w:rFonts w:ascii="Arial" w:eastAsia="Times New Roman" w:hAnsi="Arial" w:cs="Arial"/>
          <w:lang w:eastAsia="en-GB"/>
        </w:rPr>
        <w:t xml:space="preserve">Human Resource Management </w:t>
      </w:r>
      <w:r w:rsidRPr="00D41A04">
        <w:rPr>
          <w:rFonts w:ascii="Arial" w:eastAsiaTheme="minorEastAsia" w:hAnsi="Arial" w:cs="Arial"/>
          <w:lang w:eastAsia="en-GB"/>
        </w:rPr>
        <w:t>functions, it can play an important role in ensuring long-</w:t>
      </w:r>
      <w:r w:rsidRPr="00D41A04">
        <w:rPr>
          <w:rFonts w:ascii="Arial" w:eastAsia="Times New Roman" w:hAnsi="Arial" w:cs="Arial"/>
          <w:lang w:eastAsia="en-GB"/>
        </w:rPr>
        <w:t>term organisational efficiency as highlighted by Ramachandran. Currently Human Resource Management practices at Hanscomb Limited,</w:t>
      </w:r>
      <w:r w:rsidRPr="00D41A04">
        <w:rPr>
          <w:rFonts w:ascii="Arial" w:eastAsiaTheme="minorEastAsia" w:hAnsi="Arial" w:cs="Arial"/>
          <w:color w:val="000000" w:themeColor="text1"/>
          <w:kern w:val="24"/>
          <w:lang w:eastAsia="en-GB"/>
        </w:rPr>
        <w:t xml:space="preserve"> </w:t>
      </w:r>
      <w:r w:rsidR="004052EB">
        <w:rPr>
          <w:rFonts w:ascii="Arial" w:eastAsia="Times New Roman" w:hAnsi="Arial" w:cs="Arial"/>
          <w:lang w:eastAsia="en-GB"/>
        </w:rPr>
        <w:t>for learning and d</w:t>
      </w:r>
      <w:r w:rsidRPr="00D41A04">
        <w:rPr>
          <w:rFonts w:ascii="Arial" w:eastAsia="Times New Roman" w:hAnsi="Arial" w:cs="Arial"/>
          <w:lang w:eastAsia="en-GB"/>
        </w:rPr>
        <w:t>evelopment,</w:t>
      </w:r>
      <w:r w:rsidRPr="00D41A04">
        <w:rPr>
          <w:rFonts w:ascii="Arial" w:hAnsi="Arial" w:cs="Arial"/>
        </w:rPr>
        <w:t xml:space="preserve"> and em</w:t>
      </w:r>
      <w:r w:rsidRPr="00D41A04">
        <w:rPr>
          <w:rFonts w:ascii="Arial" w:eastAsia="Times New Roman" w:hAnsi="Arial" w:cs="Arial"/>
          <w:lang w:eastAsia="en-GB"/>
        </w:rPr>
        <w:t xml:space="preserve">ployee engagement are </w:t>
      </w:r>
      <w:r w:rsidRPr="00D41A04">
        <w:rPr>
          <w:rFonts w:ascii="Arial" w:hAnsi="Arial" w:cs="Arial"/>
        </w:rPr>
        <w:t>being influenced by technological trends i</w:t>
      </w:r>
      <w:r w:rsidR="004052EB">
        <w:rPr>
          <w:rFonts w:ascii="Arial" w:hAnsi="Arial" w:cs="Arial"/>
        </w:rPr>
        <w:t>n different ways. For example, l</w:t>
      </w:r>
      <w:r w:rsidRPr="00D41A04">
        <w:rPr>
          <w:rFonts w:ascii="Arial" w:hAnsi="Arial" w:cs="Arial"/>
        </w:rPr>
        <w:t xml:space="preserve">earning </w:t>
      </w:r>
      <w:r w:rsidR="004052EB">
        <w:rPr>
          <w:rFonts w:ascii="Arial" w:hAnsi="Arial" w:cs="Arial"/>
        </w:rPr>
        <w:t>and d</w:t>
      </w:r>
      <w:r w:rsidRPr="00D41A04">
        <w:rPr>
          <w:rFonts w:ascii="Arial" w:hAnsi="Arial" w:cs="Arial"/>
        </w:rPr>
        <w:t xml:space="preserve">evelopment is currently being delivered more through e-learning platforms, digital knowledge sharing systems and micro-learning which makes it possible for employees to update their skills in real time allowing them to keep up with the changes in construction technologies, regulatory requirements and cost-modelling </w:t>
      </w:r>
      <w:r w:rsidR="004052EB">
        <w:rPr>
          <w:rFonts w:ascii="Arial" w:hAnsi="Arial" w:cs="Arial"/>
        </w:rPr>
        <w:t>tools. Learning analytics from learning and d</w:t>
      </w:r>
      <w:r w:rsidRPr="00D41A04">
        <w:rPr>
          <w:rFonts w:ascii="Arial" w:hAnsi="Arial" w:cs="Arial"/>
        </w:rPr>
        <w:t>evelopment programs can also enable HR professionals to identify skill gaps, create personalised development pathways and determine training effectiveness. Moreover, Albrecht and CIPD highlights how employee engagement is also being transformed by technological trends via digital collaboration platforms, continuous feedback systems and virtual communication tools that are enhancing connection in project-based teams located in different offices.</w:t>
      </w:r>
    </w:p>
    <w:p w:rsidR="00D41A04" w:rsidRPr="00D41A04" w:rsidRDefault="00D41A04" w:rsidP="00D41A04">
      <w:pPr>
        <w:numPr>
          <w:ilvl w:val="0"/>
          <w:numId w:val="3"/>
        </w:numPr>
        <w:spacing w:after="0" w:line="360" w:lineRule="auto"/>
        <w:contextualSpacing/>
        <w:jc w:val="both"/>
        <w:rPr>
          <w:rFonts w:ascii="Arial" w:hAnsi="Arial" w:cs="Arial"/>
        </w:rPr>
      </w:pPr>
      <w:r w:rsidRPr="00D41A04">
        <w:rPr>
          <w:rFonts w:ascii="Arial" w:hAnsi="Arial" w:cs="Arial"/>
        </w:rPr>
        <w:t>Next, let</w:t>
      </w:r>
      <w:r w:rsidR="00FC6841">
        <w:rPr>
          <w:rFonts w:ascii="Arial" w:hAnsi="Arial" w:cs="Arial"/>
        </w:rPr>
        <w:t>’</w:t>
      </w:r>
      <w:r w:rsidRPr="00D41A04">
        <w:rPr>
          <w:rFonts w:ascii="Arial" w:hAnsi="Arial" w:cs="Arial"/>
        </w:rPr>
        <w:t>s talk about how HR technology adoption can shape organisational approach to resourcing and talent management</w:t>
      </w:r>
      <w:r w:rsidR="004052EB">
        <w:rPr>
          <w:rFonts w:ascii="Arial" w:hAnsi="Arial" w:cs="Arial"/>
        </w:rPr>
        <w:t>. Adoption of HR technology in learning and d</w:t>
      </w:r>
      <w:r w:rsidRPr="00D41A04">
        <w:rPr>
          <w:rFonts w:ascii="Arial" w:hAnsi="Arial" w:cs="Arial"/>
        </w:rPr>
        <w:t>evelopment and employee engagement can reshape internal resourcing and talent management at Hanscomb Limited by enhancing capability development and workforce insights improvements across its Canadian offices. For example, since staff at the organisation move between different assignments such as cost-planning, loan monitoring, and</w:t>
      </w:r>
      <w:r w:rsidR="004052EB">
        <w:rPr>
          <w:rFonts w:ascii="Arial" w:hAnsi="Arial" w:cs="Arial"/>
        </w:rPr>
        <w:t xml:space="preserve"> value management, adoption of learning and d</w:t>
      </w:r>
      <w:r w:rsidRPr="00D41A04">
        <w:rPr>
          <w:rFonts w:ascii="Arial" w:hAnsi="Arial" w:cs="Arial"/>
        </w:rPr>
        <w:t xml:space="preserve">evelopment platforms can support consistent onboarding, upskilling and compliance training which is critical. In addition, according to several references, platform analytics can be used to identify skill gap and increase early-career developments for employees at the organisation, reducing external recruitment pressures. On the other hand, adoption of technology platforms for employee engagement at the company can add a layer of engagement through pulse surveys, real-time feedback and recognition that can help managers have visibility into employees’ morale, retention risks and team climate. This is important as according to Albrecht, HR practices that are engaged-focused are linked to stronger commitment and lower turnover, thereby able to assist the organisation to maintain a stable, motivated workforce in a project-driven environment. </w:t>
      </w:r>
    </w:p>
    <w:p w:rsidR="00D41A04" w:rsidRPr="00D41A04" w:rsidRDefault="00D41A04" w:rsidP="00D41A04">
      <w:pPr>
        <w:numPr>
          <w:ilvl w:val="0"/>
          <w:numId w:val="3"/>
        </w:numPr>
        <w:spacing w:after="0" w:line="360" w:lineRule="auto"/>
        <w:contextualSpacing/>
        <w:jc w:val="both"/>
        <w:rPr>
          <w:rFonts w:ascii="Arial" w:hAnsi="Arial" w:cs="Arial"/>
        </w:rPr>
      </w:pPr>
      <w:r w:rsidRPr="00D41A04">
        <w:rPr>
          <w:rFonts w:ascii="Arial" w:hAnsi="Arial" w:cs="Arial"/>
        </w:rPr>
        <w:lastRenderedPageBreak/>
        <w:t>In terms of external fact</w:t>
      </w:r>
      <w:r w:rsidR="004052EB">
        <w:rPr>
          <w:rFonts w:ascii="Arial" w:hAnsi="Arial" w:cs="Arial"/>
        </w:rPr>
        <w:t>ors, adoption of technology in learning and development and e</w:t>
      </w:r>
      <w:r w:rsidRPr="00D41A04">
        <w:rPr>
          <w:rFonts w:ascii="Arial" w:hAnsi="Arial" w:cs="Arial"/>
        </w:rPr>
        <w:t xml:space="preserve">mployee </w:t>
      </w:r>
      <w:r w:rsidR="004052EB">
        <w:rPr>
          <w:rFonts w:ascii="Arial" w:hAnsi="Arial" w:cs="Arial"/>
        </w:rPr>
        <w:t>e</w:t>
      </w:r>
      <w:r w:rsidRPr="00D41A04">
        <w:rPr>
          <w:rFonts w:ascii="Arial" w:hAnsi="Arial" w:cs="Arial"/>
        </w:rPr>
        <w:t>ngagement can help Hanscomb Limited respond to the tight Canadian construction labour market and rising cl</w:t>
      </w:r>
      <w:r w:rsidR="004052EB">
        <w:rPr>
          <w:rFonts w:ascii="Arial" w:hAnsi="Arial" w:cs="Arial"/>
        </w:rPr>
        <w:t>ient expectations. For example learning management s</w:t>
      </w:r>
      <w:r w:rsidRPr="00D41A04">
        <w:rPr>
          <w:rFonts w:ascii="Arial" w:hAnsi="Arial" w:cs="Arial"/>
        </w:rPr>
        <w:t xml:space="preserve">ystem platforms can ensure fast, scalable upskilling in employees capabilities required in the construction consultancy sector, in areas like digital estimating, sustainability and cost modelling. On the other hand, employee engagement platforms can enhance employer brand for the organisation, since it will demonstrate a culture that is employee-centred, which is becoming more important especially for younger professionals who prioritise engagement, wellbeing and development opportunities. </w:t>
      </w:r>
    </w:p>
    <w:p w:rsidR="00D41A04" w:rsidRPr="00D41A04" w:rsidRDefault="00D41A04" w:rsidP="00D41A04">
      <w:pPr>
        <w:numPr>
          <w:ilvl w:val="0"/>
          <w:numId w:val="3"/>
        </w:numPr>
        <w:spacing w:after="0" w:line="360" w:lineRule="auto"/>
        <w:contextualSpacing/>
        <w:jc w:val="both"/>
        <w:rPr>
          <w:rFonts w:ascii="Arial" w:hAnsi="Arial" w:cs="Arial"/>
        </w:rPr>
      </w:pPr>
      <w:r w:rsidRPr="00D41A04">
        <w:rPr>
          <w:rFonts w:ascii="Arial" w:hAnsi="Arial" w:cs="Arial"/>
        </w:rPr>
        <w:t>Now let’s talk about how HR technology adoption can impact employee engagement by first looking at how it will enhance it. Technology adoption can help the organisation receive feedback, keep an eye on engagement levels, and assist support consistent communication between employees and managers. In addition, it can also strengthen recognition, onboarding and performance conversations, thereby able to build a more supportive work environment that boosts employee satisfaction and reduce the risk of disengagement. By incorporating continuous insight with significant recognition, which are two elements shown to drive long-term engagement rather than short-term boosts, according to CIPD, technology can assist the organisation to create a more motivated, resilient workforce that directly supports stronger project delivery and long-term business success. Moreover, according t</w:t>
      </w:r>
      <w:r w:rsidR="00241B47">
        <w:rPr>
          <w:rFonts w:ascii="Arial" w:hAnsi="Arial" w:cs="Arial"/>
        </w:rPr>
        <w:t>o Butcher, l</w:t>
      </w:r>
      <w:r w:rsidRPr="00D41A04">
        <w:rPr>
          <w:rFonts w:ascii="Arial" w:hAnsi="Arial" w:cs="Arial"/>
        </w:rPr>
        <w:t xml:space="preserve">earning management systems can also enhance engagement by assisting the organisation to build learning paths that are structured, track the progress of employees in real time, and strengthen engagement through its interactive activities, like live sessions, quizzes and role-based tasks thereby enhancing not only engagement, but also knowledge retention. </w:t>
      </w:r>
    </w:p>
    <w:p w:rsidR="00D41A04" w:rsidRPr="00D41A04" w:rsidRDefault="00D41A04" w:rsidP="00D41A04">
      <w:pPr>
        <w:numPr>
          <w:ilvl w:val="0"/>
          <w:numId w:val="3"/>
        </w:numPr>
        <w:spacing w:after="0" w:line="360" w:lineRule="auto"/>
        <w:contextualSpacing/>
        <w:jc w:val="both"/>
        <w:rPr>
          <w:rFonts w:ascii="Arial" w:hAnsi="Arial" w:cs="Arial"/>
        </w:rPr>
      </w:pPr>
      <w:r w:rsidRPr="00D41A04">
        <w:rPr>
          <w:rFonts w:ascii="Arial" w:hAnsi="Arial" w:cs="Arial"/>
        </w:rPr>
        <w:t xml:space="preserve">In terms of how technology can undermine employee engagement at Hanscomb Limited, autonomy may be reduced by over-automation, which decreases employee engagement when meaningful human interactions are replaced by digital systems. Research by </w:t>
      </w:r>
      <w:r w:rsidR="00DE1592" w:rsidRPr="00DE1592">
        <w:rPr>
          <w:rFonts w:ascii="Arial" w:hAnsi="Arial" w:cs="Arial"/>
        </w:rPr>
        <w:t>Žiedelis</w:t>
      </w:r>
      <w:r w:rsidRPr="00D41A04">
        <w:rPr>
          <w:rFonts w:ascii="Arial" w:hAnsi="Arial" w:cs="Arial"/>
        </w:rPr>
        <w:t xml:space="preserve"> shows heavy reliance on automated tools can reduce autonomy satisfaction and engagement especially when employees face increased demands for learning or feel the pressure of adopting to new systems. In addition, when technology becomes the primary channel for recognition or feedback, employees could feel less valued or emotionally connected to leadership. Research by Valtonen also shows that increased digital monitoring and data collection can heighten employee anxiety about surveillance and job security which can reduce engagement as trust erodes due to data-privacy concerns. </w:t>
      </w:r>
    </w:p>
    <w:p w:rsidR="00D41A04" w:rsidRPr="00D41A04" w:rsidRDefault="00D41A04" w:rsidP="00D41A04">
      <w:pPr>
        <w:numPr>
          <w:ilvl w:val="0"/>
          <w:numId w:val="3"/>
        </w:numPr>
        <w:spacing w:after="0" w:line="360" w:lineRule="auto"/>
        <w:contextualSpacing/>
        <w:jc w:val="both"/>
        <w:rPr>
          <w:rFonts w:ascii="Arial" w:hAnsi="Arial" w:cs="Arial"/>
        </w:rPr>
      </w:pPr>
      <w:r w:rsidRPr="00D41A04">
        <w:rPr>
          <w:rFonts w:ascii="Arial" w:hAnsi="Arial" w:cs="Arial"/>
        </w:rPr>
        <w:lastRenderedPageBreak/>
        <w:t>There are pitfalls and ethical considerations when it comes to HR technology adoptions which needs to be considered carefully. Risks such as algorithmic bias, data security, change resistance and over-relia</w:t>
      </w:r>
      <w:r w:rsidR="00241B47">
        <w:rPr>
          <w:rFonts w:ascii="Arial" w:hAnsi="Arial" w:cs="Arial"/>
        </w:rPr>
        <w:t>nce on automation could impact learning and d</w:t>
      </w:r>
      <w:r w:rsidRPr="00D41A04">
        <w:rPr>
          <w:rFonts w:ascii="Arial" w:hAnsi="Arial" w:cs="Arial"/>
        </w:rPr>
        <w:t>evelopment and employee engagement initiatives at the organisation negatively. Concerns around bias and fairness have been raised by employees according to recent resea</w:t>
      </w:r>
      <w:r w:rsidR="00241B47">
        <w:rPr>
          <w:rFonts w:ascii="Arial" w:hAnsi="Arial" w:cs="Arial"/>
        </w:rPr>
        <w:t xml:space="preserve">rch by Majumder, Salman and Dey, </w:t>
      </w:r>
      <w:r w:rsidRPr="00D41A04">
        <w:rPr>
          <w:rFonts w:ascii="Arial" w:hAnsi="Arial" w:cs="Arial"/>
        </w:rPr>
        <w:t xml:space="preserve">when they feel like they are being monitored or evaluated by unfair algorithms, which can diminish trust and affect engagement in a negative way. In addition, inequities may unintentionally be reinforced when data or models lacks transparency or fairness. Breaches and misuse of data can also damage psychological safety and reduces digital learning and engagement initiatives participation by employees, therefore Hanscomb Limited should carefully navigate concerns around data protection, accountability and ensuring ethical use of sensitive employee information when </w:t>
      </w:r>
      <w:r w:rsidR="00241B47">
        <w:rPr>
          <w:rFonts w:ascii="Arial" w:hAnsi="Arial" w:cs="Arial"/>
        </w:rPr>
        <w:t>adopting technology to enhance learning and d</w:t>
      </w:r>
      <w:r w:rsidRPr="00D41A04">
        <w:rPr>
          <w:rFonts w:ascii="Arial" w:hAnsi="Arial" w:cs="Arial"/>
        </w:rPr>
        <w:t>evelopment and employee engagement. Human-centred learning culture can also be weakened by over-reliance on automation by Hanscomb Limited as it will move decision-making away from managers and minimise interpersonal engagement opportunities which could limit technology-mediated system developmental value. Additionally, one major barrier to HR technology adoption in organisations is resistance to change, as employees may fear job displacement, lack of confidence in the new systems or AI-enabled tools mistrust. Hanscomb Limited should therefore ensure</w:t>
      </w:r>
      <w:r w:rsidR="00241B47">
        <w:rPr>
          <w:rFonts w:ascii="Arial" w:hAnsi="Arial" w:cs="Arial"/>
        </w:rPr>
        <w:t xml:space="preserve"> adoption of HR technology for learning and d</w:t>
      </w:r>
      <w:r w:rsidRPr="00D41A04">
        <w:rPr>
          <w:rFonts w:ascii="Arial" w:hAnsi="Arial" w:cs="Arial"/>
        </w:rPr>
        <w:t>evelopment and employee engagement genuinely enhance learning and engagem</w:t>
      </w:r>
      <w:r w:rsidR="001D5DBC">
        <w:rPr>
          <w:rFonts w:ascii="Arial" w:hAnsi="Arial" w:cs="Arial"/>
        </w:rPr>
        <w:t xml:space="preserve">ent instead of alienating staff, </w:t>
      </w:r>
      <w:r w:rsidRPr="00D41A04">
        <w:rPr>
          <w:rFonts w:ascii="Arial" w:hAnsi="Arial" w:cs="Arial"/>
        </w:rPr>
        <w:t>through stakeholder engagement, strong change management and targeted upskilling.</w:t>
      </w:r>
    </w:p>
    <w:p w:rsidR="00D41A04" w:rsidRPr="00D41A04" w:rsidRDefault="00D41A04" w:rsidP="00D41A04">
      <w:pPr>
        <w:numPr>
          <w:ilvl w:val="0"/>
          <w:numId w:val="3"/>
        </w:numPr>
        <w:spacing w:after="0" w:line="360" w:lineRule="auto"/>
        <w:contextualSpacing/>
        <w:jc w:val="both"/>
        <w:rPr>
          <w:rFonts w:ascii="Arial" w:hAnsi="Arial" w:cs="Arial"/>
        </w:rPr>
      </w:pPr>
      <w:r w:rsidRPr="00D41A04">
        <w:rPr>
          <w:rFonts w:ascii="Arial" w:hAnsi="Arial" w:cs="Arial"/>
        </w:rPr>
        <w:t>Finally I would like to make some recommendations f</w:t>
      </w:r>
      <w:r w:rsidR="004052EB">
        <w:rPr>
          <w:rFonts w:ascii="Arial" w:hAnsi="Arial" w:cs="Arial"/>
        </w:rPr>
        <w:t>or leveraging HR t</w:t>
      </w:r>
      <w:r w:rsidR="00241B47">
        <w:rPr>
          <w:rFonts w:ascii="Arial" w:hAnsi="Arial" w:cs="Arial"/>
        </w:rPr>
        <w:t>echnology in learning and development and employee e</w:t>
      </w:r>
      <w:r w:rsidRPr="00D41A04">
        <w:rPr>
          <w:rFonts w:ascii="Arial" w:hAnsi="Arial" w:cs="Arial"/>
        </w:rPr>
        <w:t>ngagement at Hanscomb Limited. Imple</w:t>
      </w:r>
      <w:r w:rsidR="00241B47">
        <w:rPr>
          <w:rFonts w:ascii="Arial" w:hAnsi="Arial" w:cs="Arial"/>
        </w:rPr>
        <w:t>mentation of HR technology for learning and d</w:t>
      </w:r>
      <w:r w:rsidRPr="00D41A04">
        <w:rPr>
          <w:rFonts w:ascii="Arial" w:hAnsi="Arial" w:cs="Arial"/>
        </w:rPr>
        <w:t xml:space="preserve">evelopment and employee engagement at the organisation should be done in a way that directly improves strategic capability, strengthens employee engagement and aid in organisational long-term sustainability. When digital tools are aligned with strategic Human Resource Management priorities for the organisation, for example talent retention, capability building and ethical governance, leveraging HR technology can enhance competitive advantage. Research by Majumder, Salman and Dey, shows efficiency and decision-making can be strengthened by AI-enabled HR systems when integrated into overall organisational strategic framework that emphasises human capital as a source of sustainable advantage. For Hanscomb Limited, this could be achieved by using people analytics for skills gaps identification, accelerate capability development by deploying adaptive learning platforms and maintaining fairness and trust through embedding </w:t>
      </w:r>
      <w:r w:rsidRPr="00D41A04">
        <w:rPr>
          <w:rFonts w:ascii="Arial" w:hAnsi="Arial" w:cs="Arial"/>
        </w:rPr>
        <w:lastRenderedPageBreak/>
        <w:t>ethical AI principles. This alignment makes sure that technology adoption is not operating in isolation but supports long-term strategic goals for the organisation. In terms of improving employee engagement, Hanscomb Limited can use HR technology to create a personalised, flexible, accessible and continuous learning experiences. According to Maiti, Kayal and Vujko, digital learning infrastructures such as micro-learning tools have been shown to strengthen motivation and supporting continuous development by giving employees greater control over their learning pathways. Moreover, communication can be enhanced at the organisation, a culture of growth fostered and employee sense of inclusion and involvement increased when interactive learning platforms, feedback tools and digital recognition tools are implemented at Hanscomb Limited. E</w:t>
      </w:r>
      <w:r w:rsidR="00241B47">
        <w:rPr>
          <w:rFonts w:ascii="Arial" w:hAnsi="Arial" w:cs="Arial"/>
        </w:rPr>
        <w:t>ngagement and participation in learning and d</w:t>
      </w:r>
      <w:r w:rsidRPr="00D41A04">
        <w:rPr>
          <w:rFonts w:ascii="Arial" w:hAnsi="Arial" w:cs="Arial"/>
        </w:rPr>
        <w:t xml:space="preserve">evelopment initiatives can increase significantly if employees perceive HR technology as supportive instead of intrusive. In terms of long-term business sustainability, Hanscomb Limited can ensure this by integrating HR technology with sustainable Human Resource Management practices such as continuous learning, employability and ethical workforce development. Research by Maiti, Kayal and Vujko, shows that digital learning platforms that enables ongoing skill renewal, support green training initiatives and preserve human capital over time can contribute to sustainable HRM strategies. Hanscomb limited can use HR technology to enhance rather than replace human expertise, support long-term workforce planning and promote environmentally responsible practices which will ensure they build resilience, maintain a future-ready workforces and a long-term competitive position that is secure. </w:t>
      </w:r>
    </w:p>
    <w:p w:rsidR="00D41A04" w:rsidRPr="00D41A04" w:rsidRDefault="001D5DBC" w:rsidP="00D41A04">
      <w:pPr>
        <w:numPr>
          <w:ilvl w:val="0"/>
          <w:numId w:val="3"/>
        </w:numPr>
        <w:spacing w:after="0" w:line="360" w:lineRule="auto"/>
        <w:contextualSpacing/>
        <w:jc w:val="both"/>
        <w:rPr>
          <w:rFonts w:ascii="Arial" w:hAnsi="Arial" w:cs="Arial"/>
        </w:rPr>
      </w:pPr>
      <w:r>
        <w:rPr>
          <w:rFonts w:ascii="Arial" w:hAnsi="Arial" w:cs="Arial"/>
        </w:rPr>
        <w:t xml:space="preserve">And </w:t>
      </w:r>
      <w:r w:rsidR="00D937B6">
        <w:rPr>
          <w:rFonts w:ascii="Arial" w:hAnsi="Arial" w:cs="Arial"/>
        </w:rPr>
        <w:t>t</w:t>
      </w:r>
      <w:r w:rsidR="00D41A04" w:rsidRPr="00D41A04">
        <w:rPr>
          <w:rFonts w:ascii="Arial" w:hAnsi="Arial" w:cs="Arial"/>
        </w:rPr>
        <w:t xml:space="preserve">hat is the end of this presentation. Thank you very much for your time. </w:t>
      </w:r>
    </w:p>
    <w:p w:rsidR="00D41A04" w:rsidRPr="00D41A04" w:rsidRDefault="00D41A04" w:rsidP="00D41A04">
      <w:pPr>
        <w:spacing w:line="360" w:lineRule="auto"/>
        <w:jc w:val="both"/>
        <w:rPr>
          <w:rFonts w:ascii="Arial" w:hAnsi="Arial" w:cs="Arial"/>
        </w:rPr>
      </w:pPr>
      <w:r w:rsidRPr="00D41A04">
        <w:rPr>
          <w:rFonts w:ascii="Arial" w:hAnsi="Arial" w:cs="Arial"/>
        </w:rPr>
        <w:t xml:space="preserve"> </w:t>
      </w:r>
    </w:p>
    <w:p w:rsidR="00D41A04" w:rsidRPr="00D41A04" w:rsidRDefault="00D41A04" w:rsidP="00D41A04">
      <w:pPr>
        <w:spacing w:line="360" w:lineRule="auto"/>
        <w:jc w:val="both"/>
        <w:rPr>
          <w:rFonts w:ascii="Arial" w:hAnsi="Arial" w:cs="Arial"/>
        </w:rPr>
      </w:pPr>
    </w:p>
    <w:p w:rsidR="00D41A04" w:rsidRPr="00D41A04" w:rsidRDefault="00D41A04" w:rsidP="00D41A04">
      <w:pPr>
        <w:spacing w:line="360" w:lineRule="auto"/>
        <w:jc w:val="both"/>
        <w:rPr>
          <w:rFonts w:ascii="Arial" w:hAnsi="Arial" w:cs="Arial"/>
        </w:rPr>
      </w:pPr>
    </w:p>
    <w:p w:rsidR="00D41A04" w:rsidRPr="00D41A04" w:rsidRDefault="00D41A04" w:rsidP="00D41A04">
      <w:pPr>
        <w:spacing w:line="360" w:lineRule="auto"/>
        <w:ind w:left="720"/>
        <w:jc w:val="both"/>
        <w:rPr>
          <w:rFonts w:ascii="Arial" w:hAnsi="Arial" w:cs="Arial"/>
        </w:rPr>
      </w:pPr>
    </w:p>
    <w:p w:rsidR="00D41A04" w:rsidRPr="00D41A04" w:rsidRDefault="00D41A04" w:rsidP="00D41A04">
      <w:pPr>
        <w:spacing w:line="360" w:lineRule="auto"/>
        <w:jc w:val="both"/>
        <w:rPr>
          <w:rFonts w:ascii="Arial" w:hAnsi="Arial" w:cs="Arial"/>
        </w:rPr>
      </w:pPr>
    </w:p>
    <w:p w:rsidR="00D41A04" w:rsidRPr="00D41A04" w:rsidRDefault="00D41A04" w:rsidP="00D41A04">
      <w:pPr>
        <w:spacing w:line="360" w:lineRule="auto"/>
        <w:ind w:left="720"/>
        <w:jc w:val="both"/>
        <w:rPr>
          <w:rFonts w:ascii="Arial" w:hAnsi="Arial" w:cs="Arial"/>
        </w:rPr>
      </w:pPr>
    </w:p>
    <w:p w:rsidR="00D41A04" w:rsidRPr="00D41A04" w:rsidRDefault="00D41A04" w:rsidP="00D41A04">
      <w:bookmarkStart w:id="1" w:name="_Toc226968791"/>
    </w:p>
    <w:p w:rsidR="00D41A04" w:rsidRPr="00D41A04" w:rsidRDefault="00D41A04" w:rsidP="00D41A04"/>
    <w:p w:rsidR="006B0E4B" w:rsidRPr="003D6D13" w:rsidRDefault="006B0E4B" w:rsidP="003D6D13">
      <w:pPr>
        <w:keepNext/>
        <w:keepLines/>
        <w:spacing w:before="240" w:after="240" w:line="360" w:lineRule="auto"/>
        <w:ind w:left="720"/>
        <w:jc w:val="center"/>
        <w:outlineLvl w:val="0"/>
        <w:rPr>
          <w:rFonts w:ascii="Arial" w:eastAsia="Times New Roman" w:hAnsi="Arial" w:cs="Arial"/>
          <w:b/>
          <w:color w:val="000000" w:themeColor="text1"/>
          <w:lang w:eastAsia="en-GB"/>
        </w:rPr>
      </w:pPr>
      <w:r w:rsidRPr="003D6D13">
        <w:rPr>
          <w:rFonts w:ascii="Arial" w:eastAsia="Times New Roman" w:hAnsi="Arial" w:cs="Arial"/>
          <w:b/>
          <w:color w:val="000000" w:themeColor="text1"/>
          <w:lang w:eastAsia="en-GB"/>
        </w:rPr>
        <w:lastRenderedPageBreak/>
        <w:t>REFERENCES</w:t>
      </w:r>
      <w:bookmarkEnd w:id="1"/>
    </w:p>
    <w:p w:rsidR="00B31B11"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 xml:space="preserve">Absorb (2026) </w:t>
      </w:r>
      <w:r w:rsidRPr="00241B47">
        <w:rPr>
          <w:rFonts w:ascii="Arial" w:hAnsi="Arial" w:cs="Arial"/>
          <w:i/>
        </w:rPr>
        <w:t>Why absorb LMS</w:t>
      </w:r>
      <w:r w:rsidRPr="00241B47">
        <w:rPr>
          <w:rFonts w:ascii="Arial" w:hAnsi="Arial" w:cs="Arial"/>
        </w:rPr>
        <w:t xml:space="preserve">. Available at: </w:t>
      </w:r>
      <w:hyperlink r:id="rId6" w:history="1">
        <w:r w:rsidRPr="00241B47">
          <w:rPr>
            <w:rFonts w:ascii="Arial" w:hAnsi="Arial" w:cs="Arial"/>
            <w:color w:val="0563C1" w:themeColor="hyperlink"/>
            <w:u w:val="single"/>
          </w:rPr>
          <w:t>https://www.absorblms.com/why-absorb</w:t>
        </w:r>
      </w:hyperlink>
      <w:r w:rsidRPr="00241B47">
        <w:rPr>
          <w:rFonts w:ascii="Arial" w:hAnsi="Arial" w:cs="Arial"/>
        </w:rPr>
        <w:t xml:space="preserve"> (Accessed: 9 April 2026).</w:t>
      </w:r>
    </w:p>
    <w:p w:rsidR="00247026" w:rsidRPr="00241B47" w:rsidRDefault="00247026" w:rsidP="00241B47">
      <w:pPr>
        <w:pStyle w:val="ListParagraph"/>
        <w:numPr>
          <w:ilvl w:val="0"/>
          <w:numId w:val="1"/>
        </w:numPr>
        <w:spacing w:after="0" w:line="360" w:lineRule="auto"/>
        <w:rPr>
          <w:rFonts w:ascii="Arial" w:hAnsi="Arial" w:cs="Arial"/>
        </w:rPr>
      </w:pPr>
      <w:r w:rsidRPr="00241B47">
        <w:rPr>
          <w:rFonts w:ascii="Arial" w:hAnsi="Arial" w:cs="Arial"/>
        </w:rPr>
        <w:t xml:space="preserve">Albrecht, S.L., Bakker, A.B., Gruman, J.A., Macey, W.H. and Saks, A.M. </w:t>
      </w:r>
      <w:r w:rsidR="00993FD3" w:rsidRPr="00241B47">
        <w:rPr>
          <w:rFonts w:ascii="Arial" w:hAnsi="Arial" w:cs="Arial"/>
        </w:rPr>
        <w:t>(</w:t>
      </w:r>
      <w:r w:rsidRPr="00241B47">
        <w:rPr>
          <w:rFonts w:ascii="Arial" w:hAnsi="Arial" w:cs="Arial"/>
        </w:rPr>
        <w:t>2015</w:t>
      </w:r>
      <w:r w:rsidR="00993FD3" w:rsidRPr="00241B47">
        <w:rPr>
          <w:rFonts w:ascii="Arial" w:hAnsi="Arial" w:cs="Arial"/>
        </w:rPr>
        <w:t>)</w:t>
      </w:r>
      <w:r w:rsidRPr="00241B47">
        <w:rPr>
          <w:rFonts w:ascii="Arial" w:hAnsi="Arial" w:cs="Arial"/>
        </w:rPr>
        <w:t xml:space="preserve"> ‘Employee engagement, human resource management practices and competitive advantage’, </w:t>
      </w:r>
      <w:r w:rsidRPr="00241B47">
        <w:rPr>
          <w:rFonts w:ascii="Arial" w:hAnsi="Arial" w:cs="Arial"/>
          <w:i/>
        </w:rPr>
        <w:t>Journal of Organizational Effectiveness</w:t>
      </w:r>
      <w:r w:rsidRPr="00241B47">
        <w:rPr>
          <w:rFonts w:ascii="Arial" w:hAnsi="Arial" w:cs="Arial"/>
        </w:rPr>
        <w:t xml:space="preserve">, 2(1), pp. 7-35. Available at: </w:t>
      </w:r>
      <w:hyperlink r:id="rId7" w:history="1">
        <w:r w:rsidRPr="00241B47">
          <w:rPr>
            <w:rStyle w:val="Hyperlink"/>
            <w:rFonts w:ascii="Arial" w:hAnsi="Arial" w:cs="Arial"/>
          </w:rPr>
          <w:t>http://doi:10.1108/joepp-08-2014-0042</w:t>
        </w:r>
      </w:hyperlink>
      <w:r w:rsidRPr="00241B47">
        <w:rPr>
          <w:rFonts w:ascii="Arial" w:hAnsi="Arial" w:cs="Arial"/>
        </w:rPr>
        <w:t>.</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Bankins, S. (2021) ‘The ethical use of artificial intelligence in human resource management: A decision</w:t>
      </w:r>
      <w:r w:rsidRPr="00241B47">
        <w:rPr>
          <w:rFonts w:ascii="Arial" w:hAnsi="Arial" w:cs="Arial"/>
        </w:rPr>
        <w:noBreakHyphen/>
        <w:t xml:space="preserve">making framework’, </w:t>
      </w:r>
      <w:r w:rsidRPr="00241B47">
        <w:rPr>
          <w:rFonts w:ascii="Arial" w:hAnsi="Arial" w:cs="Arial"/>
          <w:i/>
        </w:rPr>
        <w:t>Ethics and Information Technology</w:t>
      </w:r>
      <w:r w:rsidRPr="00241B47">
        <w:rPr>
          <w:rFonts w:ascii="Arial" w:hAnsi="Arial" w:cs="Arial"/>
        </w:rPr>
        <w:t xml:space="preserve">, 23. pp. 841–854. Available at: </w:t>
      </w:r>
      <w:hyperlink r:id="rId8" w:history="1">
        <w:r w:rsidRPr="00241B47">
          <w:rPr>
            <w:rFonts w:ascii="Arial" w:hAnsi="Arial" w:cs="Arial"/>
            <w:color w:val="0563C1" w:themeColor="hyperlink"/>
            <w:u w:val="single"/>
          </w:rPr>
          <w:t>https://doi.org/10.1007/s10676-021-09619-6</w:t>
        </w:r>
      </w:hyperlink>
      <w:r w:rsidRPr="00241B47">
        <w:rPr>
          <w:rFonts w:ascii="Arial" w:hAnsi="Arial" w:cs="Arial"/>
        </w:rPr>
        <w:t xml:space="preserve">. </w:t>
      </w:r>
    </w:p>
    <w:p w:rsidR="00B31B11"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 xml:space="preserve">Beardwell, J. and Thompson, A. (2017) </w:t>
      </w:r>
      <w:r w:rsidRPr="00241B47">
        <w:rPr>
          <w:rFonts w:ascii="Arial" w:hAnsi="Arial" w:cs="Arial"/>
          <w:i/>
        </w:rPr>
        <w:t>Human resource management: A contemporary approach</w:t>
      </w:r>
      <w:r w:rsidRPr="00241B47">
        <w:rPr>
          <w:rFonts w:ascii="Arial" w:hAnsi="Arial" w:cs="Arial"/>
        </w:rPr>
        <w:t xml:space="preserve">. Pearson Education Limited. </w:t>
      </w:r>
    </w:p>
    <w:p w:rsidR="00B31B11" w:rsidRPr="00241B47" w:rsidRDefault="00B31B11" w:rsidP="00241B47">
      <w:pPr>
        <w:numPr>
          <w:ilvl w:val="0"/>
          <w:numId w:val="1"/>
        </w:numPr>
        <w:spacing w:after="0" w:line="360" w:lineRule="auto"/>
        <w:contextualSpacing/>
        <w:rPr>
          <w:rFonts w:ascii="Arial" w:hAnsi="Arial" w:cs="Arial"/>
        </w:rPr>
      </w:pPr>
      <w:r w:rsidRPr="00241B47">
        <w:rPr>
          <w:rFonts w:ascii="Arial" w:hAnsi="Arial" w:cs="Arial"/>
        </w:rPr>
        <w:t>Bennett, A.A. et al.</w:t>
      </w:r>
      <w:r w:rsidR="0010733A" w:rsidRPr="00241B47">
        <w:rPr>
          <w:rFonts w:ascii="Arial" w:hAnsi="Arial" w:cs="Arial"/>
        </w:rPr>
        <w:t> (2021) ‘</w:t>
      </w:r>
      <w:r w:rsidRPr="00241B47">
        <w:rPr>
          <w:rFonts w:ascii="Arial" w:hAnsi="Arial" w:cs="Arial"/>
        </w:rPr>
        <w:t>Videoconfere</w:t>
      </w:r>
      <w:r w:rsidR="0010733A" w:rsidRPr="00241B47">
        <w:rPr>
          <w:rFonts w:ascii="Arial" w:hAnsi="Arial" w:cs="Arial"/>
        </w:rPr>
        <w:t>nce fatigue? Exploring changes in fatigue after v</w:t>
      </w:r>
      <w:r w:rsidRPr="00241B47">
        <w:rPr>
          <w:rFonts w:ascii="Arial" w:hAnsi="Arial" w:cs="Arial"/>
        </w:rPr>
        <w:t>ideoconfer</w:t>
      </w:r>
      <w:r w:rsidR="0010733A" w:rsidRPr="00241B47">
        <w:rPr>
          <w:rFonts w:ascii="Arial" w:hAnsi="Arial" w:cs="Arial"/>
        </w:rPr>
        <w:t xml:space="preserve">ence meetings during COVID-19’, </w:t>
      </w:r>
      <w:r w:rsidRPr="00241B47">
        <w:rPr>
          <w:rFonts w:ascii="Arial" w:hAnsi="Arial" w:cs="Arial"/>
          <w:i/>
        </w:rPr>
        <w:t>Journal of applied psychology</w:t>
      </w:r>
      <w:r w:rsidRPr="00241B47">
        <w:rPr>
          <w:rFonts w:ascii="Arial" w:hAnsi="Arial" w:cs="Arial"/>
        </w:rPr>
        <w:t xml:space="preserve">, 106(3), pp. 330–344. Available at: </w:t>
      </w:r>
      <w:hyperlink r:id="rId9" w:history="1">
        <w:r w:rsidR="0010733A" w:rsidRPr="00241B47">
          <w:rPr>
            <w:rStyle w:val="Hyperlink"/>
            <w:rFonts w:ascii="Arial" w:hAnsi="Arial" w:cs="Arial"/>
          </w:rPr>
          <w:t>https://doi.org/10.1037/apl0000906</w:t>
        </w:r>
      </w:hyperlink>
      <w:r w:rsidRPr="00241B47">
        <w:rPr>
          <w:rFonts w:ascii="Arial" w:hAnsi="Arial" w:cs="Arial"/>
        </w:rPr>
        <w:t>.</w:t>
      </w:r>
      <w:r w:rsidR="0010733A" w:rsidRPr="00241B47">
        <w:rPr>
          <w:rFonts w:ascii="Arial" w:hAnsi="Arial" w:cs="Arial"/>
        </w:rPr>
        <w:t xml:space="preserve"> </w:t>
      </w:r>
    </w:p>
    <w:p w:rsidR="00ED1C3D" w:rsidRPr="00241B47" w:rsidRDefault="00993FD3" w:rsidP="00241B47">
      <w:pPr>
        <w:pStyle w:val="ListParagraph"/>
        <w:numPr>
          <w:ilvl w:val="0"/>
          <w:numId w:val="1"/>
        </w:numPr>
        <w:spacing w:line="360" w:lineRule="auto"/>
        <w:rPr>
          <w:rFonts w:ascii="Arial" w:hAnsi="Arial" w:cs="Arial"/>
        </w:rPr>
      </w:pPr>
      <w:r w:rsidRPr="00241B47">
        <w:rPr>
          <w:rFonts w:ascii="Arial" w:hAnsi="Arial" w:cs="Arial"/>
        </w:rPr>
        <w:t xml:space="preserve">Bondarouk, T. and Brewster, C. (2016) ‘Conceptualising the future of HRM and technology research’, </w:t>
      </w:r>
      <w:r w:rsidRPr="00241B47">
        <w:rPr>
          <w:rFonts w:ascii="Arial" w:hAnsi="Arial" w:cs="Arial"/>
          <w:i/>
        </w:rPr>
        <w:t>International journal of human resource management</w:t>
      </w:r>
      <w:r w:rsidRPr="00241B47">
        <w:rPr>
          <w:rFonts w:ascii="Arial" w:hAnsi="Arial" w:cs="Arial"/>
        </w:rPr>
        <w:t xml:space="preserve">, 27(21), pp. 2652–2671. Available at: </w:t>
      </w:r>
      <w:hyperlink r:id="rId10" w:history="1">
        <w:r w:rsidRPr="00241B47">
          <w:rPr>
            <w:rStyle w:val="Hyperlink"/>
            <w:rFonts w:ascii="Arial" w:hAnsi="Arial" w:cs="Arial"/>
          </w:rPr>
          <w:t>https://doi.org/10.1080/09585192.2016.1232296</w:t>
        </w:r>
      </w:hyperlink>
      <w:r w:rsidR="00ED1C3D" w:rsidRPr="00241B47">
        <w:rPr>
          <w:rFonts w:ascii="Arial" w:hAnsi="Arial" w:cs="Arial"/>
        </w:rPr>
        <w:t>.</w:t>
      </w:r>
    </w:p>
    <w:p w:rsidR="006B0E4B" w:rsidRPr="00241B47" w:rsidRDefault="006B0E4B" w:rsidP="00241B47">
      <w:pPr>
        <w:pStyle w:val="ListParagraph"/>
        <w:numPr>
          <w:ilvl w:val="0"/>
          <w:numId w:val="1"/>
        </w:numPr>
        <w:spacing w:line="360" w:lineRule="auto"/>
        <w:rPr>
          <w:rFonts w:ascii="Arial" w:hAnsi="Arial" w:cs="Arial"/>
        </w:rPr>
      </w:pPr>
      <w:r w:rsidRPr="00241B47">
        <w:rPr>
          <w:rFonts w:ascii="Arial" w:hAnsi="Arial" w:cs="Arial"/>
        </w:rPr>
        <w:t>Butcher, A. (2023) </w:t>
      </w:r>
      <w:r w:rsidRPr="00241B47">
        <w:rPr>
          <w:rFonts w:ascii="Arial" w:hAnsi="Arial" w:cs="Arial"/>
          <w:i/>
        </w:rPr>
        <w:t>Human resources kit</w:t>
      </w:r>
      <w:r w:rsidRPr="00241B47">
        <w:rPr>
          <w:rFonts w:ascii="Arial" w:hAnsi="Arial" w:cs="Arial"/>
        </w:rPr>
        <w:t>. 4th edn. John Wiley &amp; Sons, Inc.</w:t>
      </w:r>
    </w:p>
    <w:p w:rsidR="00C241DD" w:rsidRPr="00241B47" w:rsidRDefault="00C241DD" w:rsidP="00241B47">
      <w:pPr>
        <w:pStyle w:val="ListParagraph"/>
        <w:numPr>
          <w:ilvl w:val="0"/>
          <w:numId w:val="1"/>
        </w:numPr>
        <w:spacing w:after="0" w:line="360" w:lineRule="auto"/>
        <w:jc w:val="both"/>
        <w:rPr>
          <w:rFonts w:ascii="Arial" w:hAnsi="Arial" w:cs="Arial"/>
        </w:rPr>
      </w:pPr>
      <w:r w:rsidRPr="00241B47">
        <w:rPr>
          <w:rFonts w:ascii="Arial" w:hAnsi="Arial" w:cs="Arial"/>
        </w:rPr>
        <w:t xml:space="preserve">Castellano, S. (2021). </w:t>
      </w:r>
      <w:r w:rsidRPr="00241B47">
        <w:rPr>
          <w:rFonts w:ascii="Arial" w:hAnsi="Arial" w:cs="Arial"/>
          <w:i/>
          <w:iCs/>
        </w:rPr>
        <w:t>Driving Efficiency in Virtual Learning</w:t>
      </w:r>
      <w:r w:rsidRPr="00241B47">
        <w:rPr>
          <w:rFonts w:ascii="Arial" w:hAnsi="Arial" w:cs="Arial"/>
        </w:rPr>
        <w:t xml:space="preserve">. Available at: </w:t>
      </w:r>
      <w:hyperlink r:id="rId11" w:history="1">
        <w:r w:rsidRPr="00241B47">
          <w:rPr>
            <w:rStyle w:val="Hyperlink"/>
            <w:rFonts w:ascii="Arial" w:hAnsi="Arial" w:cs="Arial"/>
          </w:rPr>
          <w:t>https://www.td.org/content/td-magazine/driving-efficiency-in-virtual-learning#comments-0000017b-7419-d15b-a9fb-75bfdcda0000</w:t>
        </w:r>
      </w:hyperlink>
      <w:r w:rsidRPr="00241B47">
        <w:rPr>
          <w:rFonts w:ascii="Arial" w:hAnsi="Arial" w:cs="Arial"/>
        </w:rPr>
        <w:t xml:space="preserve"> (Accessed 20 April 2026].</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color w:val="1D2125"/>
          <w:shd w:val="clear" w:color="auto" w:fill="FFFFFF"/>
        </w:rPr>
        <w:t>CIPD (2026). </w:t>
      </w:r>
      <w:r w:rsidRPr="00241B47">
        <w:rPr>
          <w:rFonts w:ascii="Arial" w:hAnsi="Arial" w:cs="Arial"/>
          <w:i/>
          <w:iCs/>
          <w:color w:val="1D2125"/>
          <w:shd w:val="clear" w:color="auto" w:fill="FFFFFF"/>
        </w:rPr>
        <w:t>How to make learning stick and drive performance</w:t>
      </w:r>
      <w:r w:rsidRPr="00241B47">
        <w:rPr>
          <w:rFonts w:ascii="Arial" w:hAnsi="Arial" w:cs="Arial"/>
          <w:color w:val="1D2125"/>
          <w:shd w:val="clear" w:color="auto" w:fill="FFFFFF"/>
        </w:rPr>
        <w:t>. CIPD. Available at: </w:t>
      </w:r>
      <w:hyperlink r:id="rId12" w:history="1">
        <w:r w:rsidRPr="00241B47">
          <w:rPr>
            <w:rFonts w:ascii="Arial" w:hAnsi="Arial" w:cs="Arial"/>
            <w:color w:val="0563C1" w:themeColor="hyperlink"/>
            <w:u w:val="single"/>
          </w:rPr>
          <w:t>https://www.cipd.org/uk/knowledge/podcasts/how-to-make-learning-stick-and-drive-performance/</w:t>
        </w:r>
      </w:hyperlink>
      <w:r w:rsidRPr="00241B47">
        <w:rPr>
          <w:rFonts w:ascii="Arial" w:hAnsi="Arial" w:cs="Arial"/>
        </w:rPr>
        <w:t xml:space="preserve"> </w:t>
      </w:r>
      <w:r w:rsidR="00C241DD" w:rsidRPr="00241B47">
        <w:rPr>
          <w:rFonts w:ascii="Arial" w:hAnsi="Arial" w:cs="Arial"/>
          <w:color w:val="1D2125"/>
          <w:shd w:val="clear" w:color="auto" w:fill="FFFFFF"/>
        </w:rPr>
        <w:t> (Accessed: 20 April</w:t>
      </w:r>
      <w:r w:rsidRPr="00241B47">
        <w:rPr>
          <w:rFonts w:ascii="Arial" w:hAnsi="Arial" w:cs="Arial"/>
          <w:color w:val="1D2125"/>
          <w:shd w:val="clear" w:color="auto" w:fill="FFFFFF"/>
        </w:rPr>
        <w:t xml:space="preserve"> 2026).</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 xml:space="preserve">CIPD (2025a) </w:t>
      </w:r>
      <w:r w:rsidRPr="00241B47">
        <w:rPr>
          <w:rFonts w:ascii="Arial" w:hAnsi="Arial" w:cs="Arial"/>
          <w:i/>
        </w:rPr>
        <w:t>Employee engagement and motivation</w:t>
      </w:r>
      <w:r w:rsidRPr="00241B47">
        <w:rPr>
          <w:rFonts w:ascii="Arial" w:hAnsi="Arial" w:cs="Arial"/>
        </w:rPr>
        <w:t xml:space="preserve">. Available at: </w:t>
      </w:r>
      <w:hyperlink r:id="rId13" w:anchor="gref" w:history="1">
        <w:r w:rsidRPr="00241B47">
          <w:rPr>
            <w:rFonts w:ascii="Arial" w:hAnsi="Arial" w:cs="Arial"/>
            <w:color w:val="0563C1" w:themeColor="hyperlink"/>
            <w:u w:val="single"/>
          </w:rPr>
          <w:t>https://www.cipd.org/uk/knowledge/factsheets/engagement-factsheet/#gref</w:t>
        </w:r>
      </w:hyperlink>
      <w:r w:rsidR="00C241DD" w:rsidRPr="00241B47">
        <w:rPr>
          <w:rFonts w:ascii="Arial" w:hAnsi="Arial" w:cs="Arial"/>
        </w:rPr>
        <w:t xml:space="preserve"> (Accessed: 15 April</w:t>
      </w:r>
      <w:r w:rsidRPr="00241B47">
        <w:rPr>
          <w:rFonts w:ascii="Arial" w:hAnsi="Arial" w:cs="Arial"/>
        </w:rPr>
        <w:t xml:space="preserve"> 2026). </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 xml:space="preserve">CIPD (2025b) </w:t>
      </w:r>
      <w:r w:rsidRPr="00241B47">
        <w:rPr>
          <w:rFonts w:ascii="Arial" w:hAnsi="Arial" w:cs="Arial"/>
          <w:i/>
        </w:rPr>
        <w:t>Learning and development: How to develop and deliver effective learning</w:t>
      </w:r>
      <w:r w:rsidRPr="00241B47">
        <w:rPr>
          <w:rFonts w:ascii="Arial" w:hAnsi="Arial" w:cs="Arial"/>
        </w:rPr>
        <w:t xml:space="preserve">. Available at: </w:t>
      </w:r>
      <w:hyperlink r:id="rId14" w:anchor="definitions-to-help-you-develop-and-deliver-effective-learning" w:history="1">
        <w:r w:rsidRPr="00241B47">
          <w:rPr>
            <w:rFonts w:ascii="Arial" w:hAnsi="Arial" w:cs="Arial"/>
            <w:color w:val="0563C1" w:themeColor="hyperlink"/>
            <w:u w:val="single"/>
          </w:rPr>
          <w:t>https://www.cipd.org/uk/knowledge/guides/learning-and-development/?utm_source=copilot.com#definitions-to-help-you-develop-and-deliver-effective-learning</w:t>
        </w:r>
      </w:hyperlink>
      <w:r w:rsidR="00D13A58" w:rsidRPr="00241B47">
        <w:rPr>
          <w:rFonts w:ascii="Arial" w:hAnsi="Arial" w:cs="Arial"/>
        </w:rPr>
        <w:t xml:space="preserve"> (Accessed: 13 April</w:t>
      </w:r>
      <w:r w:rsidRPr="00241B47">
        <w:rPr>
          <w:rFonts w:ascii="Arial" w:hAnsi="Arial" w:cs="Arial"/>
        </w:rPr>
        <w:t xml:space="preserve"> 2026). </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 xml:space="preserve">CIPD (2025c) </w:t>
      </w:r>
      <w:r w:rsidRPr="00241B47">
        <w:rPr>
          <w:rFonts w:ascii="Arial" w:hAnsi="Arial" w:cs="Arial"/>
          <w:i/>
        </w:rPr>
        <w:t>Technology, AI and the future of work</w:t>
      </w:r>
      <w:r w:rsidRPr="00241B47">
        <w:rPr>
          <w:rFonts w:ascii="Arial" w:hAnsi="Arial" w:cs="Arial"/>
        </w:rPr>
        <w:t xml:space="preserve">. Available at: </w:t>
      </w:r>
      <w:hyperlink r:id="rId15" w:history="1">
        <w:r w:rsidRPr="00241B47">
          <w:rPr>
            <w:rFonts w:ascii="Arial" w:hAnsi="Arial" w:cs="Arial"/>
            <w:color w:val="0563C1" w:themeColor="hyperlink"/>
            <w:u w:val="single"/>
          </w:rPr>
          <w:t>https://www.cipd.org/uk/knowledge/factsheets/emerging-future-work-factsheet/</w:t>
        </w:r>
      </w:hyperlink>
      <w:r w:rsidR="00D13A58" w:rsidRPr="00241B47">
        <w:rPr>
          <w:rFonts w:ascii="Arial" w:hAnsi="Arial" w:cs="Arial"/>
        </w:rPr>
        <w:t xml:space="preserve"> (Accessed: 12 April</w:t>
      </w:r>
      <w:r w:rsidRPr="00241B47">
        <w:rPr>
          <w:rFonts w:ascii="Arial" w:hAnsi="Arial" w:cs="Arial"/>
        </w:rPr>
        <w:t xml:space="preserve"> 2026). </w:t>
      </w:r>
    </w:p>
    <w:p w:rsidR="003660D1"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lastRenderedPageBreak/>
        <w:t xml:space="preserve">CIPD (2023) </w:t>
      </w:r>
      <w:r w:rsidRPr="00241B47">
        <w:rPr>
          <w:rFonts w:ascii="Arial" w:hAnsi="Arial" w:cs="Arial"/>
          <w:i/>
        </w:rPr>
        <w:t>Technology and data use in HR functions</w:t>
      </w:r>
      <w:r w:rsidRPr="00241B47">
        <w:rPr>
          <w:rFonts w:ascii="Arial" w:hAnsi="Arial" w:cs="Arial"/>
        </w:rPr>
        <w:t xml:space="preserve">. Available at: </w:t>
      </w:r>
      <w:hyperlink r:id="rId16" w:history="1">
        <w:r w:rsidRPr="00241B47">
          <w:rPr>
            <w:rFonts w:ascii="Arial" w:hAnsi="Arial" w:cs="Arial"/>
            <w:color w:val="0563C1" w:themeColor="hyperlink"/>
            <w:u w:val="single"/>
          </w:rPr>
          <w:t>https://www.cipd.org/uk/views-and-insights/thought-leadership/insight/technology-data-hr-functions/</w:t>
        </w:r>
      </w:hyperlink>
      <w:r w:rsidRPr="00241B47">
        <w:rPr>
          <w:rFonts w:ascii="Arial" w:hAnsi="Arial" w:cs="Arial"/>
        </w:rPr>
        <w:t xml:space="preserve"> (Accessed: </w:t>
      </w:r>
      <w:r w:rsidR="00D13A58" w:rsidRPr="00241B47">
        <w:rPr>
          <w:rFonts w:ascii="Arial" w:hAnsi="Arial" w:cs="Arial"/>
        </w:rPr>
        <w:t>11 April</w:t>
      </w:r>
      <w:r w:rsidRPr="00241B47">
        <w:rPr>
          <w:rFonts w:ascii="Arial" w:hAnsi="Arial" w:cs="Arial"/>
        </w:rPr>
        <w:t xml:space="preserve"> 2026). </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 xml:space="preserve">Engage For Success (2026) </w:t>
      </w:r>
      <w:r w:rsidRPr="00241B47">
        <w:rPr>
          <w:rFonts w:ascii="Arial" w:hAnsi="Arial" w:cs="Arial"/>
          <w:i/>
        </w:rPr>
        <w:t>What is employee engagement</w:t>
      </w:r>
      <w:r w:rsidRPr="00241B47">
        <w:rPr>
          <w:rFonts w:ascii="Arial" w:hAnsi="Arial" w:cs="Arial"/>
        </w:rPr>
        <w:t xml:space="preserve">. Available at: </w:t>
      </w:r>
      <w:hyperlink r:id="rId17" w:history="1">
        <w:r w:rsidRPr="00241B47">
          <w:rPr>
            <w:rFonts w:ascii="Arial" w:hAnsi="Arial" w:cs="Arial"/>
            <w:color w:val="0563C1" w:themeColor="hyperlink"/>
            <w:u w:val="single"/>
          </w:rPr>
          <w:t>https://engageforsuccess.org/what-is-employee-engagement/</w:t>
        </w:r>
      </w:hyperlink>
      <w:r w:rsidR="00D13A58" w:rsidRPr="00241B47">
        <w:rPr>
          <w:rFonts w:ascii="Arial" w:hAnsi="Arial" w:cs="Arial"/>
        </w:rPr>
        <w:t xml:space="preserve"> (Accessed: 20 April</w:t>
      </w:r>
      <w:r w:rsidRPr="00241B47">
        <w:rPr>
          <w:rFonts w:ascii="Arial" w:hAnsi="Arial" w:cs="Arial"/>
        </w:rPr>
        <w:t xml:space="preserve"> 2026). </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 xml:space="preserve">Hanscomb Quantity Surveyors (2026) </w:t>
      </w:r>
      <w:r w:rsidRPr="00241B47">
        <w:rPr>
          <w:rFonts w:ascii="Arial" w:hAnsi="Arial" w:cs="Arial"/>
          <w:i/>
        </w:rPr>
        <w:t xml:space="preserve">Project life cycle. Available at: </w:t>
      </w:r>
      <w:hyperlink r:id="rId18" w:history="1">
        <w:r w:rsidRPr="00241B47">
          <w:rPr>
            <w:rFonts w:ascii="Arial" w:hAnsi="Arial" w:cs="Arial"/>
            <w:color w:val="0563C1" w:themeColor="hyperlink"/>
            <w:u w:val="single"/>
          </w:rPr>
          <w:t>https://hanscomb.com/services/</w:t>
        </w:r>
      </w:hyperlink>
      <w:r w:rsidRPr="00241B47">
        <w:rPr>
          <w:rFonts w:ascii="Arial" w:hAnsi="Arial" w:cs="Arial"/>
        </w:rPr>
        <w:t xml:space="preserve"> (Accessed: 8 April 2026).</w:t>
      </w:r>
    </w:p>
    <w:p w:rsidR="006B0E4B"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Henderson, I. (2017) </w:t>
      </w:r>
      <w:r w:rsidRPr="00241B47">
        <w:rPr>
          <w:rFonts w:ascii="Arial" w:hAnsi="Arial" w:cs="Arial"/>
          <w:i/>
        </w:rPr>
        <w:t xml:space="preserve">Human resource management for MBA and business masters. </w:t>
      </w:r>
      <w:r w:rsidRPr="00241B47">
        <w:rPr>
          <w:rFonts w:ascii="Arial" w:hAnsi="Arial" w:cs="Arial"/>
        </w:rPr>
        <w:t>3th edn. Chartered Institute of Personnel and Development.</w:t>
      </w:r>
    </w:p>
    <w:p w:rsidR="001128BD" w:rsidRPr="00241B47" w:rsidRDefault="001128BD" w:rsidP="00241B47">
      <w:pPr>
        <w:widowControl w:val="0"/>
        <w:numPr>
          <w:ilvl w:val="0"/>
          <w:numId w:val="1"/>
        </w:numPr>
        <w:autoSpaceDE w:val="0"/>
        <w:autoSpaceDN w:val="0"/>
        <w:spacing w:after="0" w:line="360" w:lineRule="auto"/>
        <w:contextualSpacing/>
        <w:rPr>
          <w:rFonts w:ascii="Arial" w:eastAsia="Times New Roman" w:hAnsi="Arial" w:cs="Arial"/>
          <w:lang w:eastAsia="en-GB"/>
        </w:rPr>
      </w:pPr>
      <w:r w:rsidRPr="00241B47">
        <w:rPr>
          <w:rFonts w:ascii="Arial" w:hAnsi="Arial" w:cs="Arial"/>
        </w:rPr>
        <w:t>Maiti, M., Kayal, P. and Vujko, A. (2025) ‘A study on ethical implications of artificial intelligence adoption in business: challenges and best practices’, </w:t>
      </w:r>
      <w:r w:rsidRPr="00241B47">
        <w:rPr>
          <w:rFonts w:ascii="Arial" w:hAnsi="Arial" w:cs="Arial"/>
          <w:i/>
        </w:rPr>
        <w:t>Future business journal</w:t>
      </w:r>
      <w:r w:rsidRPr="00241B47">
        <w:rPr>
          <w:rFonts w:ascii="Arial" w:hAnsi="Arial" w:cs="Arial"/>
        </w:rPr>
        <w:t xml:space="preserve">, 11(1). Available at: </w:t>
      </w:r>
      <w:hyperlink r:id="rId19" w:history="1">
        <w:r w:rsidRPr="00241B47">
          <w:rPr>
            <w:rStyle w:val="Hyperlink"/>
            <w:rFonts w:ascii="Arial" w:hAnsi="Arial" w:cs="Arial"/>
          </w:rPr>
          <w:t>https://doi.org/10.1186/s43093-025-00462-5</w:t>
        </w:r>
      </w:hyperlink>
      <w:r w:rsidRPr="00241B47">
        <w:rPr>
          <w:rFonts w:ascii="Arial" w:hAnsi="Arial" w:cs="Arial"/>
        </w:rPr>
        <w:t xml:space="preserve">. </w:t>
      </w:r>
    </w:p>
    <w:p w:rsidR="00F12C5C" w:rsidRPr="00241B47" w:rsidRDefault="00F12C5C" w:rsidP="00241B47">
      <w:pPr>
        <w:widowControl w:val="0"/>
        <w:numPr>
          <w:ilvl w:val="0"/>
          <w:numId w:val="1"/>
        </w:numPr>
        <w:autoSpaceDE w:val="0"/>
        <w:autoSpaceDN w:val="0"/>
        <w:spacing w:after="0" w:line="360" w:lineRule="auto"/>
        <w:contextualSpacing/>
        <w:rPr>
          <w:rFonts w:ascii="Arial" w:eastAsia="Times New Roman" w:hAnsi="Arial" w:cs="Arial"/>
          <w:lang w:eastAsia="en-GB"/>
        </w:rPr>
      </w:pPr>
      <w:r w:rsidRPr="00241B47">
        <w:rPr>
          <w:rFonts w:ascii="Arial" w:hAnsi="Arial" w:cs="Arial"/>
        </w:rPr>
        <w:t>Majumder, S.,</w:t>
      </w:r>
      <w:r w:rsidR="003C0516" w:rsidRPr="00241B47">
        <w:rPr>
          <w:rFonts w:ascii="Arial" w:hAnsi="Arial" w:cs="Arial"/>
        </w:rPr>
        <w:t xml:space="preserve"> Salman, S. and Dey, N. (2026) ‘AI in human resources: E</w:t>
      </w:r>
      <w:r w:rsidRPr="00241B47">
        <w:rPr>
          <w:rFonts w:ascii="Arial" w:hAnsi="Arial" w:cs="Arial"/>
        </w:rPr>
        <w:t>fficiency, et</w:t>
      </w:r>
      <w:r w:rsidR="003C0516" w:rsidRPr="00241B47">
        <w:rPr>
          <w:rFonts w:ascii="Arial" w:hAnsi="Arial" w:cs="Arial"/>
        </w:rPr>
        <w:t xml:space="preserve">hics, and emerging challenges’, </w:t>
      </w:r>
      <w:r w:rsidR="003C0516" w:rsidRPr="00241B47">
        <w:rPr>
          <w:rFonts w:ascii="Arial" w:hAnsi="Arial" w:cs="Arial"/>
          <w:i/>
        </w:rPr>
        <w:t>AI and ethics</w:t>
      </w:r>
      <w:r w:rsidRPr="00241B47">
        <w:rPr>
          <w:rFonts w:ascii="Arial" w:hAnsi="Arial" w:cs="Arial"/>
        </w:rPr>
        <w:t xml:space="preserve">, 6(1). Available at: </w:t>
      </w:r>
      <w:hyperlink r:id="rId20" w:history="1">
        <w:r w:rsidR="003C0516" w:rsidRPr="00241B47">
          <w:rPr>
            <w:rStyle w:val="Hyperlink"/>
            <w:rFonts w:ascii="Arial" w:hAnsi="Arial" w:cs="Arial"/>
          </w:rPr>
          <w:t>https://doi.org/10.1007/s43681-025-00862-x</w:t>
        </w:r>
      </w:hyperlink>
      <w:r w:rsidRPr="00241B47">
        <w:rPr>
          <w:rFonts w:ascii="Arial" w:hAnsi="Arial" w:cs="Arial"/>
        </w:rPr>
        <w:t>.</w:t>
      </w:r>
      <w:r w:rsidR="003C0516" w:rsidRPr="00241B47">
        <w:rPr>
          <w:rFonts w:ascii="Arial" w:hAnsi="Arial" w:cs="Arial"/>
        </w:rPr>
        <w:t xml:space="preserve"> </w:t>
      </w:r>
    </w:p>
    <w:p w:rsidR="00ED1C3D" w:rsidRPr="00241B47" w:rsidRDefault="00993FD3" w:rsidP="00241B47">
      <w:pPr>
        <w:pStyle w:val="ListParagraph"/>
        <w:numPr>
          <w:ilvl w:val="0"/>
          <w:numId w:val="1"/>
        </w:numPr>
        <w:spacing w:line="360" w:lineRule="auto"/>
        <w:rPr>
          <w:rFonts w:ascii="Arial" w:hAnsi="Arial" w:cs="Arial"/>
        </w:rPr>
      </w:pPr>
      <w:r w:rsidRPr="00241B47">
        <w:rPr>
          <w:rFonts w:ascii="Arial" w:hAnsi="Arial" w:cs="Arial"/>
        </w:rPr>
        <w:t xml:space="preserve">Marler, J.H. and Parry, E. (2016) ‘Human resource management, strategic involvement and e-HRM technology’, </w:t>
      </w:r>
      <w:r w:rsidRPr="00241B47">
        <w:rPr>
          <w:rFonts w:ascii="Arial" w:hAnsi="Arial" w:cs="Arial"/>
          <w:i/>
        </w:rPr>
        <w:t>International journal of human resource management</w:t>
      </w:r>
      <w:r w:rsidRPr="00241B47">
        <w:rPr>
          <w:rFonts w:ascii="Arial" w:hAnsi="Arial" w:cs="Arial"/>
        </w:rPr>
        <w:t xml:space="preserve">, 27(19), pp. 2233–2253. Available at: </w:t>
      </w:r>
      <w:hyperlink r:id="rId21" w:history="1">
        <w:r w:rsidRPr="00241B47">
          <w:rPr>
            <w:rStyle w:val="Hyperlink"/>
            <w:rFonts w:ascii="Arial" w:hAnsi="Arial" w:cs="Arial"/>
          </w:rPr>
          <w:t>https://doi.org/10.1080/09585192.2015.1091980</w:t>
        </w:r>
      </w:hyperlink>
      <w:r w:rsidRPr="00241B47">
        <w:rPr>
          <w:rFonts w:ascii="Arial" w:hAnsi="Arial" w:cs="Arial"/>
        </w:rPr>
        <w:t xml:space="preserve">. </w:t>
      </w:r>
    </w:p>
    <w:p w:rsidR="006B0E4B" w:rsidRPr="00241B47" w:rsidRDefault="006B0E4B" w:rsidP="00241B47">
      <w:pPr>
        <w:pStyle w:val="ListParagraph"/>
        <w:numPr>
          <w:ilvl w:val="0"/>
          <w:numId w:val="1"/>
        </w:numPr>
        <w:spacing w:line="360" w:lineRule="auto"/>
        <w:rPr>
          <w:rFonts w:ascii="Arial" w:hAnsi="Arial" w:cs="Arial"/>
        </w:rPr>
      </w:pPr>
      <w:r w:rsidRPr="00241B47">
        <w:rPr>
          <w:rFonts w:ascii="Arial" w:hAnsi="Arial" w:cs="Arial"/>
        </w:rPr>
        <w:t>Motyka, B. (2018). ‘Employee engagement and performance: A systematic literature review’, </w:t>
      </w:r>
      <w:r w:rsidRPr="00241B47">
        <w:rPr>
          <w:rFonts w:ascii="Arial" w:hAnsi="Arial" w:cs="Arial"/>
          <w:i/>
        </w:rPr>
        <w:t>International Journal of Management and Economics</w:t>
      </w:r>
      <w:r w:rsidRPr="00241B47">
        <w:rPr>
          <w:rFonts w:ascii="Arial" w:hAnsi="Arial" w:cs="Arial"/>
        </w:rPr>
        <w:t xml:space="preserve">, 54(3), pp. 227-244. Available at: </w:t>
      </w:r>
      <w:hyperlink r:id="rId22" w:history="1">
        <w:r w:rsidRPr="00241B47">
          <w:rPr>
            <w:rFonts w:ascii="Arial" w:hAnsi="Arial" w:cs="Arial"/>
            <w:color w:val="0563C1" w:themeColor="hyperlink"/>
            <w:u w:val="single"/>
          </w:rPr>
          <w:t>https://doi.org/10.2478/ijme-2018-0018</w:t>
        </w:r>
      </w:hyperlink>
      <w:r w:rsidRPr="00241B47">
        <w:rPr>
          <w:rFonts w:ascii="Arial" w:hAnsi="Arial" w:cs="Arial"/>
        </w:rPr>
        <w:t>.</w:t>
      </w:r>
    </w:p>
    <w:p w:rsidR="00247026" w:rsidRPr="00241B47" w:rsidRDefault="00247026" w:rsidP="00241B47">
      <w:pPr>
        <w:pStyle w:val="ListParagraph"/>
        <w:numPr>
          <w:ilvl w:val="0"/>
          <w:numId w:val="1"/>
        </w:numPr>
        <w:spacing w:after="0" w:line="360" w:lineRule="auto"/>
        <w:rPr>
          <w:rFonts w:ascii="Arial" w:hAnsi="Arial" w:cs="Arial"/>
        </w:rPr>
      </w:pPr>
      <w:r w:rsidRPr="00241B47">
        <w:rPr>
          <w:rFonts w:ascii="Arial" w:hAnsi="Arial" w:cs="Arial"/>
        </w:rPr>
        <w:t>Parry, E. and Tyson, S. (2011) ‘Desired goals and actual outcomes of e-HRM’, </w:t>
      </w:r>
      <w:r w:rsidRPr="00241B47">
        <w:rPr>
          <w:rFonts w:ascii="Arial" w:hAnsi="Arial" w:cs="Arial"/>
          <w:i/>
        </w:rPr>
        <w:t>Human Resource Management Journal</w:t>
      </w:r>
      <w:r w:rsidRPr="00241B47">
        <w:rPr>
          <w:rFonts w:ascii="Arial" w:hAnsi="Arial" w:cs="Arial"/>
        </w:rPr>
        <w:t xml:space="preserve">, 21(3), pp. 335–354. Available at: </w:t>
      </w:r>
      <w:hyperlink r:id="rId23" w:history="1">
        <w:r w:rsidRPr="00241B47">
          <w:rPr>
            <w:rStyle w:val="Hyperlink"/>
            <w:rFonts w:ascii="Arial" w:hAnsi="Arial" w:cs="Arial"/>
          </w:rPr>
          <w:t>https://doi:10.1111/j.1748-8583.2010.00149.x</w:t>
        </w:r>
      </w:hyperlink>
      <w:r w:rsidRPr="00241B47">
        <w:rPr>
          <w:rFonts w:ascii="Arial" w:hAnsi="Arial" w:cs="Arial"/>
        </w:rPr>
        <w:t xml:space="preserve">.  </w:t>
      </w:r>
    </w:p>
    <w:p w:rsidR="003660D1" w:rsidRPr="00241B47" w:rsidRDefault="006B0E4B" w:rsidP="00241B47">
      <w:pPr>
        <w:numPr>
          <w:ilvl w:val="0"/>
          <w:numId w:val="1"/>
        </w:numPr>
        <w:spacing w:after="0" w:line="360" w:lineRule="auto"/>
        <w:contextualSpacing/>
        <w:rPr>
          <w:rFonts w:ascii="Arial" w:hAnsi="Arial" w:cs="Arial"/>
        </w:rPr>
      </w:pPr>
      <w:r w:rsidRPr="00241B47">
        <w:rPr>
          <w:rFonts w:ascii="Arial" w:hAnsi="Arial" w:cs="Arial"/>
        </w:rPr>
        <w:t>Ramachandran, K.K., Mary, A.A.S, Hawladar, S., Asokk, D., Bhaskar, B. and Pitroda, J.R. (2022) ‘Machine learning and role of artificial intelligence in optimizing work performance and employee behavior’, </w:t>
      </w:r>
      <w:r w:rsidRPr="00241B47">
        <w:rPr>
          <w:rFonts w:ascii="Arial" w:hAnsi="Arial" w:cs="Arial"/>
          <w:i/>
        </w:rPr>
        <w:t>Materials Today: Proceedings</w:t>
      </w:r>
      <w:r w:rsidRPr="00241B47">
        <w:rPr>
          <w:rFonts w:ascii="Arial" w:hAnsi="Arial" w:cs="Arial"/>
        </w:rPr>
        <w:t xml:space="preserve">, 51(8). Available at: </w:t>
      </w:r>
      <w:hyperlink r:id="rId24" w:tgtFrame="_blank" w:tooltip="Original URL: https://doi.org/10.1016/j.matpr.2021.11.544. Click or tap if you trust this link." w:history="1">
        <w:r w:rsidRPr="00241B47">
          <w:rPr>
            <w:rFonts w:ascii="Arial" w:hAnsi="Arial" w:cs="Arial"/>
            <w:color w:val="0563C1" w:themeColor="hyperlink"/>
            <w:u w:val="single"/>
          </w:rPr>
          <w:t>https://doi.org/10.1016/j.matpr.2021.11.544</w:t>
        </w:r>
      </w:hyperlink>
      <w:r w:rsidRPr="00241B47">
        <w:rPr>
          <w:rFonts w:ascii="Arial" w:hAnsi="Arial" w:cs="Arial"/>
        </w:rPr>
        <w:t>.</w:t>
      </w:r>
    </w:p>
    <w:p w:rsidR="003660D1" w:rsidRPr="00241B47" w:rsidRDefault="003660D1" w:rsidP="00241B47">
      <w:pPr>
        <w:numPr>
          <w:ilvl w:val="0"/>
          <w:numId w:val="1"/>
        </w:numPr>
        <w:spacing w:after="0" w:line="360" w:lineRule="auto"/>
        <w:contextualSpacing/>
        <w:rPr>
          <w:rFonts w:ascii="Arial" w:hAnsi="Arial" w:cs="Arial"/>
        </w:rPr>
      </w:pPr>
      <w:r w:rsidRPr="00241B47">
        <w:rPr>
          <w:rFonts w:ascii="Arial" w:hAnsi="Arial" w:cs="Arial"/>
        </w:rPr>
        <w:t>Ren, S. and Chowdhury, S. (2025) ‘Employee digital transformation experience towards automation versus augmentation: Implications for job attitudes’, </w:t>
      </w:r>
      <w:r w:rsidRPr="00241B47">
        <w:rPr>
          <w:rFonts w:ascii="Arial" w:hAnsi="Arial" w:cs="Arial"/>
          <w:i/>
        </w:rPr>
        <w:t>Human resource management</w:t>
      </w:r>
      <w:r w:rsidRPr="00241B47">
        <w:rPr>
          <w:rFonts w:ascii="Arial" w:hAnsi="Arial" w:cs="Arial"/>
        </w:rPr>
        <w:t xml:space="preserve">, 64(5), pp. 1359–1379. Available at: </w:t>
      </w:r>
      <w:hyperlink r:id="rId25" w:history="1">
        <w:r w:rsidRPr="00241B47">
          <w:rPr>
            <w:rStyle w:val="Hyperlink"/>
            <w:rFonts w:ascii="Arial" w:hAnsi="Arial" w:cs="Arial"/>
          </w:rPr>
          <w:t>https://doi.org/10.1002/hrm.22313</w:t>
        </w:r>
      </w:hyperlink>
      <w:r w:rsidRPr="00241B47">
        <w:rPr>
          <w:rFonts w:ascii="Arial" w:hAnsi="Arial" w:cs="Arial"/>
        </w:rPr>
        <w:t xml:space="preserve">. </w:t>
      </w:r>
    </w:p>
    <w:p w:rsidR="00ED1C3D" w:rsidRPr="00241B47" w:rsidRDefault="00993FD3" w:rsidP="00241B47">
      <w:pPr>
        <w:pStyle w:val="ListParagraph"/>
        <w:numPr>
          <w:ilvl w:val="0"/>
          <w:numId w:val="1"/>
        </w:numPr>
        <w:spacing w:line="360" w:lineRule="auto"/>
        <w:rPr>
          <w:rFonts w:ascii="Arial" w:hAnsi="Arial" w:cs="Arial"/>
        </w:rPr>
      </w:pPr>
      <w:r w:rsidRPr="00241B47">
        <w:rPr>
          <w:rFonts w:ascii="Arial" w:hAnsi="Arial" w:cs="Arial"/>
        </w:rPr>
        <w:t xml:space="preserve">Salas, E., Tannenbaum, S.I., Kraiger, K. and Smith-Jentsch, K.A. (2012) ‘The Science of Training and Development in Organizations: What Matters in </w:t>
      </w:r>
      <w:r w:rsidRPr="00241B47">
        <w:rPr>
          <w:rFonts w:ascii="Arial" w:hAnsi="Arial" w:cs="Arial"/>
        </w:rPr>
        <w:lastRenderedPageBreak/>
        <w:t>Practice’, </w:t>
      </w:r>
      <w:r w:rsidRPr="00241B47">
        <w:rPr>
          <w:rFonts w:ascii="Arial" w:hAnsi="Arial" w:cs="Arial"/>
          <w:i/>
        </w:rPr>
        <w:t>Psychological science in the public interest</w:t>
      </w:r>
      <w:r w:rsidRPr="00241B47">
        <w:rPr>
          <w:rFonts w:ascii="Arial" w:hAnsi="Arial" w:cs="Arial"/>
        </w:rPr>
        <w:t xml:space="preserve">, 13(2), pp. 74–101. Available at: </w:t>
      </w:r>
      <w:hyperlink r:id="rId26" w:history="1">
        <w:r w:rsidRPr="00241B47">
          <w:rPr>
            <w:rStyle w:val="Hyperlink"/>
            <w:rFonts w:ascii="Arial" w:hAnsi="Arial" w:cs="Arial"/>
          </w:rPr>
          <w:t>https://doi.org/10.1177/1529100612436661</w:t>
        </w:r>
      </w:hyperlink>
      <w:r w:rsidRPr="00241B47">
        <w:rPr>
          <w:rFonts w:ascii="Arial" w:hAnsi="Arial" w:cs="Arial"/>
        </w:rPr>
        <w:t xml:space="preserve">. </w:t>
      </w:r>
    </w:p>
    <w:p w:rsidR="00ED1C3D" w:rsidRPr="00241B47" w:rsidRDefault="006B0E4B" w:rsidP="00241B47">
      <w:pPr>
        <w:pStyle w:val="ListParagraph"/>
        <w:numPr>
          <w:ilvl w:val="0"/>
          <w:numId w:val="1"/>
        </w:numPr>
        <w:spacing w:line="360" w:lineRule="auto"/>
        <w:rPr>
          <w:rFonts w:ascii="Arial" w:hAnsi="Arial" w:cs="Arial"/>
        </w:rPr>
      </w:pPr>
      <w:r w:rsidRPr="00241B47">
        <w:rPr>
          <w:rFonts w:ascii="Arial" w:hAnsi="Arial" w:cs="Arial"/>
        </w:rPr>
        <w:t xml:space="preserve">Sharma, C., Chanana, N. and Chen, H.-Y. (2025) 'Mapping the Evolution: A Bibliometric Analysis of Employee Engagement and Performance in the Age of Artificial Intelligence-Based Solutions', </w:t>
      </w:r>
      <w:r w:rsidRPr="00241B47">
        <w:rPr>
          <w:rFonts w:ascii="Arial" w:hAnsi="Arial" w:cs="Arial"/>
          <w:i/>
        </w:rPr>
        <w:t>Information (Basel)</w:t>
      </w:r>
      <w:r w:rsidRPr="00241B47">
        <w:rPr>
          <w:rFonts w:ascii="Arial" w:hAnsi="Arial" w:cs="Arial"/>
        </w:rPr>
        <w:t xml:space="preserve">, 16(7). Available at: </w:t>
      </w:r>
      <w:hyperlink r:id="rId27" w:history="1">
        <w:r w:rsidRPr="00241B47">
          <w:rPr>
            <w:rFonts w:ascii="Arial" w:hAnsi="Arial" w:cs="Arial"/>
            <w:color w:val="0563C1" w:themeColor="hyperlink"/>
            <w:u w:val="single"/>
          </w:rPr>
          <w:t>http://dx.doi.org/10.3390/info16070555</w:t>
        </w:r>
      </w:hyperlink>
      <w:r w:rsidR="00063646" w:rsidRPr="00241B47">
        <w:rPr>
          <w:rFonts w:ascii="Arial" w:hAnsi="Arial" w:cs="Arial"/>
        </w:rPr>
        <w:t xml:space="preserve">. </w:t>
      </w:r>
    </w:p>
    <w:p w:rsidR="00ED1C3D" w:rsidRPr="00241B47" w:rsidRDefault="006B0E4B" w:rsidP="00241B47">
      <w:pPr>
        <w:pStyle w:val="ListParagraph"/>
        <w:numPr>
          <w:ilvl w:val="0"/>
          <w:numId w:val="1"/>
        </w:numPr>
        <w:spacing w:line="360" w:lineRule="auto"/>
        <w:rPr>
          <w:rFonts w:ascii="Arial" w:hAnsi="Arial" w:cs="Arial"/>
        </w:rPr>
      </w:pPr>
      <w:r w:rsidRPr="00241B47">
        <w:rPr>
          <w:rFonts w:ascii="Arial" w:hAnsi="Arial" w:cs="Arial"/>
        </w:rPr>
        <w:t xml:space="preserve">Strazzulla, P. (2026) </w:t>
      </w:r>
      <w:r w:rsidRPr="00241B47">
        <w:rPr>
          <w:rFonts w:ascii="Arial" w:hAnsi="Arial" w:cs="Arial"/>
          <w:i/>
        </w:rPr>
        <w:t>Best employee engagement software</w:t>
      </w:r>
      <w:r w:rsidRPr="00241B47">
        <w:rPr>
          <w:rFonts w:ascii="Arial" w:hAnsi="Arial" w:cs="Arial"/>
        </w:rPr>
        <w:t xml:space="preserve">. Available at: </w:t>
      </w:r>
      <w:hyperlink r:id="rId28" w:history="1">
        <w:r w:rsidRPr="00241B47">
          <w:rPr>
            <w:rFonts w:ascii="Arial" w:hAnsi="Arial" w:cs="Arial"/>
            <w:color w:val="0563C1" w:themeColor="hyperlink"/>
            <w:u w:val="single"/>
          </w:rPr>
          <w:t>https://www.selectsoftwarereviews.com/hr-tech-research/employee-engagement-software</w:t>
        </w:r>
      </w:hyperlink>
      <w:r w:rsidRPr="00241B47">
        <w:rPr>
          <w:rFonts w:ascii="Arial" w:hAnsi="Arial" w:cs="Arial"/>
        </w:rPr>
        <w:t xml:space="preserve"> (Accessed: 8 April 2026).</w:t>
      </w:r>
    </w:p>
    <w:p w:rsidR="00ED1C3D" w:rsidRPr="00241B47" w:rsidRDefault="003660D1" w:rsidP="00241B47">
      <w:pPr>
        <w:pStyle w:val="ListParagraph"/>
        <w:numPr>
          <w:ilvl w:val="0"/>
          <w:numId w:val="1"/>
        </w:numPr>
        <w:spacing w:line="360" w:lineRule="auto"/>
        <w:rPr>
          <w:rFonts w:ascii="Arial" w:hAnsi="Arial" w:cs="Arial"/>
        </w:rPr>
      </w:pPr>
      <w:r w:rsidRPr="00241B47">
        <w:rPr>
          <w:rFonts w:ascii="Arial" w:hAnsi="Arial" w:cs="Arial"/>
        </w:rPr>
        <w:t>Valtonen, A., Kimpimäki, J.P. and Savela, N. (2026) ‘Employee wellbeing: A computational review on the consequences of workplace automation’, </w:t>
      </w:r>
      <w:r w:rsidRPr="00241B47">
        <w:rPr>
          <w:rFonts w:ascii="Arial" w:hAnsi="Arial" w:cs="Arial"/>
          <w:i/>
        </w:rPr>
        <w:t>Technovatio</w:t>
      </w:r>
      <w:r w:rsidRPr="00241B47">
        <w:rPr>
          <w:rFonts w:ascii="Arial" w:hAnsi="Arial" w:cs="Arial"/>
        </w:rPr>
        <w:t xml:space="preserve">n, 152. Available at: </w:t>
      </w:r>
      <w:hyperlink r:id="rId29" w:history="1">
        <w:r w:rsidRPr="00241B47">
          <w:rPr>
            <w:rStyle w:val="Hyperlink"/>
            <w:rFonts w:ascii="Arial" w:hAnsi="Arial" w:cs="Arial"/>
          </w:rPr>
          <w:t>https://doi.org/10.1016/j.technovation.2025.103424</w:t>
        </w:r>
      </w:hyperlink>
      <w:r w:rsidRPr="00241B47">
        <w:rPr>
          <w:rFonts w:ascii="Arial" w:hAnsi="Arial" w:cs="Arial"/>
        </w:rPr>
        <w:t xml:space="preserve">. </w:t>
      </w:r>
    </w:p>
    <w:p w:rsidR="006B0E4B" w:rsidRPr="00241B47" w:rsidRDefault="006B0E4B" w:rsidP="00241B47">
      <w:pPr>
        <w:pStyle w:val="ListParagraph"/>
        <w:numPr>
          <w:ilvl w:val="0"/>
          <w:numId w:val="1"/>
        </w:numPr>
        <w:spacing w:line="360" w:lineRule="auto"/>
        <w:rPr>
          <w:rFonts w:ascii="Arial" w:hAnsi="Arial" w:cs="Arial"/>
        </w:rPr>
      </w:pPr>
      <w:r w:rsidRPr="00241B47">
        <w:rPr>
          <w:rFonts w:ascii="Arial" w:hAnsi="Arial" w:cs="Arial"/>
        </w:rPr>
        <w:t xml:space="preserve">Workleap (2026) </w:t>
      </w:r>
      <w:r w:rsidRPr="00241B47">
        <w:rPr>
          <w:rFonts w:ascii="Arial" w:hAnsi="Arial" w:cs="Arial"/>
          <w:i/>
        </w:rPr>
        <w:t>Engagement, performance, and compensation working together</w:t>
      </w:r>
      <w:r w:rsidRPr="00241B47">
        <w:rPr>
          <w:rFonts w:ascii="Arial" w:hAnsi="Arial" w:cs="Arial"/>
        </w:rPr>
        <w:t xml:space="preserve">. Available at: </w:t>
      </w:r>
      <w:hyperlink r:id="rId30" w:history="1">
        <w:r w:rsidRPr="00241B47">
          <w:rPr>
            <w:rFonts w:ascii="Arial" w:hAnsi="Arial" w:cs="Arial"/>
            <w:color w:val="0563C1" w:themeColor="hyperlink"/>
            <w:u w:val="single"/>
          </w:rPr>
          <w:t>https://workleap.com/platform</w:t>
        </w:r>
      </w:hyperlink>
      <w:r w:rsidRPr="00241B47">
        <w:rPr>
          <w:rFonts w:ascii="Arial" w:hAnsi="Arial" w:cs="Arial"/>
        </w:rPr>
        <w:t xml:space="preserve"> (Accessed: 9 April 2026). </w:t>
      </w:r>
    </w:p>
    <w:p w:rsidR="006B186D" w:rsidRPr="00241B47" w:rsidRDefault="008B2C44" w:rsidP="00241B47">
      <w:pPr>
        <w:pStyle w:val="ListParagraph"/>
        <w:numPr>
          <w:ilvl w:val="0"/>
          <w:numId w:val="1"/>
        </w:numPr>
        <w:spacing w:after="0" w:line="360" w:lineRule="auto"/>
        <w:rPr>
          <w:rFonts w:ascii="Arial" w:hAnsi="Arial" w:cs="Arial"/>
        </w:rPr>
      </w:pPr>
      <w:r w:rsidRPr="00241B47">
        <w:rPr>
          <w:rFonts w:ascii="Arial" w:hAnsi="Arial" w:cs="Arial"/>
        </w:rPr>
        <w:t xml:space="preserve">WorkTango (2026) </w:t>
      </w:r>
      <w:r w:rsidRPr="00241B47">
        <w:rPr>
          <w:rFonts w:ascii="Arial" w:hAnsi="Arial" w:cs="Arial"/>
          <w:i/>
        </w:rPr>
        <w:t>Engage, inspire &amp; retain your employees with WorkTango</w:t>
      </w:r>
      <w:r w:rsidRPr="00241B47">
        <w:rPr>
          <w:rFonts w:ascii="Arial" w:hAnsi="Arial" w:cs="Arial"/>
        </w:rPr>
        <w:t xml:space="preserve">. Available at: </w:t>
      </w:r>
      <w:hyperlink r:id="rId31" w:history="1">
        <w:r w:rsidRPr="00241B47">
          <w:rPr>
            <w:rStyle w:val="Hyperlink"/>
            <w:rFonts w:ascii="Arial" w:hAnsi="Arial" w:cs="Arial"/>
          </w:rPr>
          <w:t>https://www.worktango.com/</w:t>
        </w:r>
      </w:hyperlink>
      <w:r w:rsidRPr="00241B47">
        <w:rPr>
          <w:rFonts w:ascii="Arial" w:hAnsi="Arial" w:cs="Arial"/>
        </w:rPr>
        <w:t xml:space="preserve"> (Accessed: 21 April 2026). </w:t>
      </w:r>
    </w:p>
    <w:p w:rsidR="006B0E4B" w:rsidRPr="00241B47" w:rsidRDefault="006B186D" w:rsidP="00241B47">
      <w:pPr>
        <w:pStyle w:val="ListParagraph"/>
        <w:numPr>
          <w:ilvl w:val="0"/>
          <w:numId w:val="1"/>
        </w:numPr>
        <w:spacing w:after="0" w:line="360" w:lineRule="auto"/>
        <w:rPr>
          <w:rFonts w:ascii="Arial" w:hAnsi="Arial" w:cs="Arial"/>
        </w:rPr>
      </w:pPr>
      <w:r w:rsidRPr="00241B47">
        <w:rPr>
          <w:rFonts w:ascii="Arial" w:hAnsi="Arial" w:cs="Arial"/>
        </w:rPr>
        <w:t xml:space="preserve">Žiedelis A., Urbanavičiūtė I., Lazauskaitė-Zabielskė J. and Jakštienė R. (2025) ‘Who is serving whom? Exploring the mechanisms linking technology dependence to work engagement’, </w:t>
      </w:r>
      <w:r w:rsidRPr="00241B47">
        <w:rPr>
          <w:rFonts w:ascii="Arial" w:hAnsi="Arial" w:cs="Arial"/>
          <w:i/>
        </w:rPr>
        <w:t>Frontiers in psychology</w:t>
      </w:r>
      <w:r w:rsidRPr="00241B47">
        <w:rPr>
          <w:rFonts w:ascii="Arial" w:hAnsi="Arial" w:cs="Arial"/>
        </w:rPr>
        <w:t xml:space="preserve">, 16, pp. 1494173. Available at: </w:t>
      </w:r>
      <w:hyperlink r:id="rId32" w:history="1">
        <w:r w:rsidRPr="00241B47">
          <w:rPr>
            <w:rStyle w:val="Hyperlink"/>
            <w:rFonts w:ascii="Arial" w:hAnsi="Arial" w:cs="Arial"/>
          </w:rPr>
          <w:t>https://doi.org/10.3389/fpsyg.2025.1494173</w:t>
        </w:r>
      </w:hyperlink>
      <w:r w:rsidRPr="00241B47">
        <w:rPr>
          <w:rFonts w:ascii="Arial" w:hAnsi="Arial" w:cs="Arial"/>
        </w:rPr>
        <w:t xml:space="preserve">. </w:t>
      </w:r>
    </w:p>
    <w:p w:rsidR="006B0E4B" w:rsidRPr="00241B47" w:rsidRDefault="006B0E4B" w:rsidP="00241B47">
      <w:pPr>
        <w:spacing w:after="0" w:line="360" w:lineRule="auto"/>
        <w:rPr>
          <w:rFonts w:ascii="Arial" w:hAnsi="Arial" w:cs="Arial"/>
        </w:rPr>
      </w:pPr>
    </w:p>
    <w:p w:rsidR="006B0E4B" w:rsidRPr="00241B47" w:rsidRDefault="006B0E4B" w:rsidP="00241B47">
      <w:pPr>
        <w:spacing w:after="0" w:line="360" w:lineRule="auto"/>
        <w:rPr>
          <w:rFonts w:ascii="Arial" w:hAnsi="Arial" w:cs="Arial"/>
        </w:rPr>
      </w:pPr>
    </w:p>
    <w:p w:rsidR="006B0E4B" w:rsidRPr="00241B47" w:rsidRDefault="006B0E4B" w:rsidP="00241B47">
      <w:pPr>
        <w:spacing w:line="360" w:lineRule="auto"/>
        <w:rPr>
          <w:rFonts w:ascii="Arial" w:hAnsi="Arial" w:cs="Arial"/>
        </w:rPr>
      </w:pPr>
    </w:p>
    <w:sectPr w:rsidR="006B0E4B" w:rsidRPr="00241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9A7CEC"/>
    <w:multiLevelType w:val="hybridMultilevel"/>
    <w:tmpl w:val="578CF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6D043F8"/>
    <w:multiLevelType w:val="hybridMultilevel"/>
    <w:tmpl w:val="CF0C8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E9419CA"/>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249"/>
    <w:rsid w:val="00063646"/>
    <w:rsid w:val="00064728"/>
    <w:rsid w:val="00066184"/>
    <w:rsid w:val="0010733A"/>
    <w:rsid w:val="001128BD"/>
    <w:rsid w:val="001D5DBC"/>
    <w:rsid w:val="00205E1C"/>
    <w:rsid w:val="00241B47"/>
    <w:rsid w:val="00247026"/>
    <w:rsid w:val="00251249"/>
    <w:rsid w:val="002B106E"/>
    <w:rsid w:val="002B4CB5"/>
    <w:rsid w:val="003660D1"/>
    <w:rsid w:val="003C0516"/>
    <w:rsid w:val="003D6D13"/>
    <w:rsid w:val="004052EB"/>
    <w:rsid w:val="004616DB"/>
    <w:rsid w:val="00495D86"/>
    <w:rsid w:val="005A4294"/>
    <w:rsid w:val="006B0E4B"/>
    <w:rsid w:val="006B186D"/>
    <w:rsid w:val="00757CA3"/>
    <w:rsid w:val="008B2C44"/>
    <w:rsid w:val="00992C1A"/>
    <w:rsid w:val="00993FD3"/>
    <w:rsid w:val="00A17FE8"/>
    <w:rsid w:val="00A60966"/>
    <w:rsid w:val="00B0233B"/>
    <w:rsid w:val="00B31B11"/>
    <w:rsid w:val="00B456C8"/>
    <w:rsid w:val="00B672AD"/>
    <w:rsid w:val="00B76F9A"/>
    <w:rsid w:val="00C241DD"/>
    <w:rsid w:val="00C632F4"/>
    <w:rsid w:val="00D13A58"/>
    <w:rsid w:val="00D41A04"/>
    <w:rsid w:val="00D61CA2"/>
    <w:rsid w:val="00D66100"/>
    <w:rsid w:val="00D937B6"/>
    <w:rsid w:val="00DE1592"/>
    <w:rsid w:val="00DF7DE5"/>
    <w:rsid w:val="00ED1C3D"/>
    <w:rsid w:val="00EE5EB4"/>
    <w:rsid w:val="00F12C5C"/>
    <w:rsid w:val="00F33161"/>
    <w:rsid w:val="00F43511"/>
    <w:rsid w:val="00FC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E36836-D185-47EB-BB0E-CCF1EDFBA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0E4B"/>
  </w:style>
  <w:style w:type="paragraph" w:styleId="Heading1">
    <w:name w:val="heading 1"/>
    <w:basedOn w:val="Normal"/>
    <w:next w:val="Normal"/>
    <w:link w:val="Heading1Char"/>
    <w:autoRedefine/>
    <w:uiPriority w:val="9"/>
    <w:qFormat/>
    <w:rsid w:val="00B0233B"/>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33B"/>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A609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60966"/>
    <w:pPr>
      <w:ind w:left="720"/>
      <w:contextualSpacing/>
    </w:pPr>
  </w:style>
  <w:style w:type="character" w:styleId="Hyperlink">
    <w:name w:val="Hyperlink"/>
    <w:basedOn w:val="DefaultParagraphFont"/>
    <w:uiPriority w:val="99"/>
    <w:unhideWhenUsed/>
    <w:rsid w:val="004616DB"/>
    <w:rPr>
      <w:color w:val="0563C1" w:themeColor="hyperlink"/>
      <w:u w:val="single"/>
    </w:rPr>
  </w:style>
  <w:style w:type="character" w:customStyle="1" w:styleId="jnlarticle">
    <w:name w:val="jnlarticle"/>
    <w:basedOn w:val="DefaultParagraphFont"/>
    <w:rsid w:val="004616DB"/>
  </w:style>
  <w:style w:type="character" w:styleId="Emphasis">
    <w:name w:val="Emphasis"/>
    <w:basedOn w:val="DefaultParagraphFont"/>
    <w:uiPriority w:val="20"/>
    <w:qFormat/>
    <w:rsid w:val="00993F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873848">
      <w:bodyDiv w:val="1"/>
      <w:marLeft w:val="0"/>
      <w:marRight w:val="0"/>
      <w:marTop w:val="0"/>
      <w:marBottom w:val="0"/>
      <w:divBdr>
        <w:top w:val="none" w:sz="0" w:space="0" w:color="auto"/>
        <w:left w:val="none" w:sz="0" w:space="0" w:color="auto"/>
        <w:bottom w:val="none" w:sz="0" w:space="0" w:color="auto"/>
        <w:right w:val="none" w:sz="0" w:space="0" w:color="auto"/>
      </w:divBdr>
    </w:div>
    <w:div w:id="450632138">
      <w:bodyDiv w:val="1"/>
      <w:marLeft w:val="0"/>
      <w:marRight w:val="0"/>
      <w:marTop w:val="0"/>
      <w:marBottom w:val="0"/>
      <w:divBdr>
        <w:top w:val="none" w:sz="0" w:space="0" w:color="auto"/>
        <w:left w:val="none" w:sz="0" w:space="0" w:color="auto"/>
        <w:bottom w:val="none" w:sz="0" w:space="0" w:color="auto"/>
        <w:right w:val="none" w:sz="0" w:space="0" w:color="auto"/>
      </w:divBdr>
    </w:div>
    <w:div w:id="869954602">
      <w:bodyDiv w:val="1"/>
      <w:marLeft w:val="0"/>
      <w:marRight w:val="0"/>
      <w:marTop w:val="0"/>
      <w:marBottom w:val="0"/>
      <w:divBdr>
        <w:top w:val="none" w:sz="0" w:space="0" w:color="auto"/>
        <w:left w:val="none" w:sz="0" w:space="0" w:color="auto"/>
        <w:bottom w:val="none" w:sz="0" w:space="0" w:color="auto"/>
        <w:right w:val="none" w:sz="0" w:space="0" w:color="auto"/>
      </w:divBdr>
    </w:div>
    <w:div w:id="874267083">
      <w:bodyDiv w:val="1"/>
      <w:marLeft w:val="0"/>
      <w:marRight w:val="0"/>
      <w:marTop w:val="0"/>
      <w:marBottom w:val="0"/>
      <w:divBdr>
        <w:top w:val="none" w:sz="0" w:space="0" w:color="auto"/>
        <w:left w:val="none" w:sz="0" w:space="0" w:color="auto"/>
        <w:bottom w:val="none" w:sz="0" w:space="0" w:color="auto"/>
        <w:right w:val="none" w:sz="0" w:space="0" w:color="auto"/>
      </w:divBdr>
    </w:div>
    <w:div w:id="898712697">
      <w:bodyDiv w:val="1"/>
      <w:marLeft w:val="0"/>
      <w:marRight w:val="0"/>
      <w:marTop w:val="0"/>
      <w:marBottom w:val="0"/>
      <w:divBdr>
        <w:top w:val="none" w:sz="0" w:space="0" w:color="auto"/>
        <w:left w:val="none" w:sz="0" w:space="0" w:color="auto"/>
        <w:bottom w:val="none" w:sz="0" w:space="0" w:color="auto"/>
        <w:right w:val="none" w:sz="0" w:space="0" w:color="auto"/>
      </w:divBdr>
    </w:div>
    <w:div w:id="952441125">
      <w:bodyDiv w:val="1"/>
      <w:marLeft w:val="0"/>
      <w:marRight w:val="0"/>
      <w:marTop w:val="0"/>
      <w:marBottom w:val="0"/>
      <w:divBdr>
        <w:top w:val="none" w:sz="0" w:space="0" w:color="auto"/>
        <w:left w:val="none" w:sz="0" w:space="0" w:color="auto"/>
        <w:bottom w:val="none" w:sz="0" w:space="0" w:color="auto"/>
        <w:right w:val="none" w:sz="0" w:space="0" w:color="auto"/>
      </w:divBdr>
    </w:div>
    <w:div w:id="1188176191">
      <w:bodyDiv w:val="1"/>
      <w:marLeft w:val="0"/>
      <w:marRight w:val="0"/>
      <w:marTop w:val="0"/>
      <w:marBottom w:val="0"/>
      <w:divBdr>
        <w:top w:val="none" w:sz="0" w:space="0" w:color="auto"/>
        <w:left w:val="none" w:sz="0" w:space="0" w:color="auto"/>
        <w:bottom w:val="none" w:sz="0" w:space="0" w:color="auto"/>
        <w:right w:val="none" w:sz="0" w:space="0" w:color="auto"/>
      </w:divBdr>
    </w:div>
    <w:div w:id="1444497314">
      <w:bodyDiv w:val="1"/>
      <w:marLeft w:val="0"/>
      <w:marRight w:val="0"/>
      <w:marTop w:val="0"/>
      <w:marBottom w:val="0"/>
      <w:divBdr>
        <w:top w:val="none" w:sz="0" w:space="0" w:color="auto"/>
        <w:left w:val="none" w:sz="0" w:space="0" w:color="auto"/>
        <w:bottom w:val="none" w:sz="0" w:space="0" w:color="auto"/>
        <w:right w:val="none" w:sz="0" w:space="0" w:color="auto"/>
      </w:divBdr>
    </w:div>
    <w:div w:id="1595238642">
      <w:bodyDiv w:val="1"/>
      <w:marLeft w:val="0"/>
      <w:marRight w:val="0"/>
      <w:marTop w:val="0"/>
      <w:marBottom w:val="0"/>
      <w:divBdr>
        <w:top w:val="none" w:sz="0" w:space="0" w:color="auto"/>
        <w:left w:val="none" w:sz="0" w:space="0" w:color="auto"/>
        <w:bottom w:val="none" w:sz="0" w:space="0" w:color="auto"/>
        <w:right w:val="none" w:sz="0" w:space="0" w:color="auto"/>
      </w:divBdr>
    </w:div>
    <w:div w:id="1684744352">
      <w:bodyDiv w:val="1"/>
      <w:marLeft w:val="0"/>
      <w:marRight w:val="0"/>
      <w:marTop w:val="0"/>
      <w:marBottom w:val="0"/>
      <w:divBdr>
        <w:top w:val="none" w:sz="0" w:space="0" w:color="auto"/>
        <w:left w:val="none" w:sz="0" w:space="0" w:color="auto"/>
        <w:bottom w:val="none" w:sz="0" w:space="0" w:color="auto"/>
        <w:right w:val="none" w:sz="0" w:space="0" w:color="auto"/>
      </w:divBdr>
      <w:divsChild>
        <w:div w:id="1248807162">
          <w:marLeft w:val="0"/>
          <w:marRight w:val="0"/>
          <w:marTop w:val="0"/>
          <w:marBottom w:val="0"/>
          <w:divBdr>
            <w:top w:val="none" w:sz="0" w:space="0" w:color="auto"/>
            <w:left w:val="none" w:sz="0" w:space="0" w:color="auto"/>
            <w:bottom w:val="none" w:sz="0" w:space="0" w:color="auto"/>
            <w:right w:val="none" w:sz="0" w:space="0" w:color="auto"/>
          </w:divBdr>
        </w:div>
        <w:div w:id="1192380984">
          <w:marLeft w:val="0"/>
          <w:marRight w:val="0"/>
          <w:marTop w:val="0"/>
          <w:marBottom w:val="0"/>
          <w:divBdr>
            <w:top w:val="none" w:sz="0" w:space="0" w:color="auto"/>
            <w:left w:val="none" w:sz="0" w:space="0" w:color="auto"/>
            <w:bottom w:val="none" w:sz="0" w:space="0" w:color="auto"/>
            <w:right w:val="none" w:sz="0" w:space="0" w:color="auto"/>
          </w:divBdr>
        </w:div>
        <w:div w:id="1950434393">
          <w:marLeft w:val="0"/>
          <w:marRight w:val="0"/>
          <w:marTop w:val="0"/>
          <w:marBottom w:val="0"/>
          <w:divBdr>
            <w:top w:val="none" w:sz="0" w:space="0" w:color="auto"/>
            <w:left w:val="none" w:sz="0" w:space="0" w:color="auto"/>
            <w:bottom w:val="none" w:sz="0" w:space="0" w:color="auto"/>
            <w:right w:val="none" w:sz="0" w:space="0" w:color="auto"/>
          </w:divBdr>
        </w:div>
        <w:div w:id="808864117">
          <w:marLeft w:val="0"/>
          <w:marRight w:val="0"/>
          <w:marTop w:val="0"/>
          <w:marBottom w:val="0"/>
          <w:divBdr>
            <w:top w:val="none" w:sz="0" w:space="0" w:color="auto"/>
            <w:left w:val="none" w:sz="0" w:space="0" w:color="auto"/>
            <w:bottom w:val="none" w:sz="0" w:space="0" w:color="auto"/>
            <w:right w:val="none" w:sz="0" w:space="0" w:color="auto"/>
          </w:divBdr>
        </w:div>
        <w:div w:id="621616129">
          <w:marLeft w:val="0"/>
          <w:marRight w:val="0"/>
          <w:marTop w:val="0"/>
          <w:marBottom w:val="0"/>
          <w:divBdr>
            <w:top w:val="none" w:sz="0" w:space="0" w:color="auto"/>
            <w:left w:val="none" w:sz="0" w:space="0" w:color="auto"/>
            <w:bottom w:val="none" w:sz="0" w:space="0" w:color="auto"/>
            <w:right w:val="none" w:sz="0" w:space="0" w:color="auto"/>
          </w:divBdr>
        </w:div>
      </w:divsChild>
    </w:div>
    <w:div w:id="1696998632">
      <w:bodyDiv w:val="1"/>
      <w:marLeft w:val="0"/>
      <w:marRight w:val="0"/>
      <w:marTop w:val="0"/>
      <w:marBottom w:val="0"/>
      <w:divBdr>
        <w:top w:val="none" w:sz="0" w:space="0" w:color="auto"/>
        <w:left w:val="none" w:sz="0" w:space="0" w:color="auto"/>
        <w:bottom w:val="none" w:sz="0" w:space="0" w:color="auto"/>
        <w:right w:val="none" w:sz="0" w:space="0" w:color="auto"/>
      </w:divBdr>
    </w:div>
    <w:div w:id="184119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engagement-factsheet/" TargetMode="External"/><Relationship Id="rId18" Type="http://schemas.openxmlformats.org/officeDocument/2006/relationships/hyperlink" Target="https://hanscomb.com/services/" TargetMode="External"/><Relationship Id="rId26" Type="http://schemas.openxmlformats.org/officeDocument/2006/relationships/hyperlink" Target="https://doi.org/10.1177/1529100612436661" TargetMode="External"/><Relationship Id="rId3" Type="http://schemas.openxmlformats.org/officeDocument/2006/relationships/settings" Target="settings.xml"/><Relationship Id="rId21" Type="http://schemas.openxmlformats.org/officeDocument/2006/relationships/hyperlink" Target="https://doi.org/10.1080/09585192.2015.1091980" TargetMode="External"/><Relationship Id="rId34" Type="http://schemas.openxmlformats.org/officeDocument/2006/relationships/theme" Target="theme/theme1.xml"/><Relationship Id="rId7" Type="http://schemas.openxmlformats.org/officeDocument/2006/relationships/hyperlink" Target="http://doi:10.1108/joepp-08-2014-0042" TargetMode="External"/><Relationship Id="rId12" Type="http://schemas.openxmlformats.org/officeDocument/2006/relationships/hyperlink" Target="https://www.cipd.org/uk/knowledge/podcasts/how-to-make-learning-stick-and-drive-performance/" TargetMode="External"/><Relationship Id="rId17" Type="http://schemas.openxmlformats.org/officeDocument/2006/relationships/hyperlink" Target="https://engageforsuccess.org/what-is-employee-engagement/" TargetMode="External"/><Relationship Id="rId25" Type="http://schemas.openxmlformats.org/officeDocument/2006/relationships/hyperlink" Target="https://doi.org/10.1002/hrm.22313"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views-and-insights/thought-leadership/insight/technology-data-hr-functions/" TargetMode="External"/><Relationship Id="rId20" Type="http://schemas.openxmlformats.org/officeDocument/2006/relationships/hyperlink" Target="https://doi.org/10.1007/s43681-025-00862-x" TargetMode="External"/><Relationship Id="rId29" Type="http://schemas.openxmlformats.org/officeDocument/2006/relationships/hyperlink" Target="https://doi.org/10.1016/j.technovation.2025.103424" TargetMode="External"/><Relationship Id="rId1" Type="http://schemas.openxmlformats.org/officeDocument/2006/relationships/numbering" Target="numbering.xml"/><Relationship Id="rId6" Type="http://schemas.openxmlformats.org/officeDocument/2006/relationships/hyperlink" Target="https://www.absorblms.com/why-absorb" TargetMode="External"/><Relationship Id="rId11" Type="http://schemas.openxmlformats.org/officeDocument/2006/relationships/hyperlink" Target="https://www.td.org/content/td-magazine/driving-efficiency-in-virtual-learning%23comments-0000017b-7419-d15b-a9fb-75bfdcda0000" TargetMode="External"/><Relationship Id="rId24" Type="http://schemas.openxmlformats.org/officeDocument/2006/relationships/hyperlink" Target="https://eur01.safelinks.protection.outlook.com/?url=https%3A%2F%2Fdoi.org%2F10.1016%2Fj.matpr.2021.11.544&amp;data=05%7C02%7C2524141%40student.uwtsd.ac.uk%7C7787371cb57343e21dc208de7445236e%7C4e0f11f9046e45059cb8db2152311e21%7C0%7C0%7C639076037508468244%7CUnknown%7CTWFpbGZsb3d8eyJFbXB0eU1hcGkiOnRydWUsIlYiOiIwLjAuMDAwMCIsIlAiOiJXaW4zMiIsIkFOIjoiTWFpbCIsIldUIjoyfQ%3D%3D%7C0%7C%7C%7C&amp;sdata=norFaBX777TvYVEpYePrNktBEkhXc7QqYT60ijV%2BXK8%3D&amp;reserved=0" TargetMode="External"/><Relationship Id="rId32" Type="http://schemas.openxmlformats.org/officeDocument/2006/relationships/hyperlink" Target="https://doi.org/10.3389/fpsyg.2025.1494173" TargetMode="External"/><Relationship Id="rId5" Type="http://schemas.openxmlformats.org/officeDocument/2006/relationships/hyperlink" Target="https://uowtsd-my.sharepoint.com/:v:/g/personal/2524141_student_uwtsd_ac_uk/IQBM-1DPhxfJT51NoTqQbPV8AXk3qiRFE4JYFyoSVjm_vSs?e=JoG3lt&amp;nav=eyJyZWZlcnJhbEluZm8iOnsicmVmZXJyYWxBcHAiOiJTdHJlYW1XZWJBcHAiLCJyZWZlcnJhbFZpZXciOiJTaGFyZURpYWxvZy1MaW5rIiwicmVmZXJyYWxBcHBQbGF0Zm9ybSI6IldlYiIsInJlZmVycmFsTW9kZSI6InZpZXcifX0%3D" TargetMode="External"/><Relationship Id="rId15" Type="http://schemas.openxmlformats.org/officeDocument/2006/relationships/hyperlink" Target="https://www.cipd.org/uk/knowledge/factsheets/emerging-future-work-factsheet/" TargetMode="External"/><Relationship Id="rId23" Type="http://schemas.openxmlformats.org/officeDocument/2006/relationships/hyperlink" Target="https://doi:10.1111/j.1748-8583.2010.00149.x" TargetMode="External"/><Relationship Id="rId28" Type="http://schemas.openxmlformats.org/officeDocument/2006/relationships/hyperlink" Target="https://www.selectsoftwarereviews.com/hr-tech-research/employee-engagement-software" TargetMode="External"/><Relationship Id="rId10" Type="http://schemas.openxmlformats.org/officeDocument/2006/relationships/hyperlink" Target="https://doi.org/10.1080/09585192.2016.1232296" TargetMode="External"/><Relationship Id="rId19" Type="http://schemas.openxmlformats.org/officeDocument/2006/relationships/hyperlink" Target="https://doi.org/10.1186/s43093-025-00462-5" TargetMode="External"/><Relationship Id="rId31" Type="http://schemas.openxmlformats.org/officeDocument/2006/relationships/hyperlink" Target="https://www.worktango.com/" TargetMode="External"/><Relationship Id="rId4" Type="http://schemas.openxmlformats.org/officeDocument/2006/relationships/webSettings" Target="webSettings.xml"/><Relationship Id="rId9" Type="http://schemas.openxmlformats.org/officeDocument/2006/relationships/hyperlink" Target="https://doi.org/10.1037/apl0000906" TargetMode="External"/><Relationship Id="rId14" Type="http://schemas.openxmlformats.org/officeDocument/2006/relationships/hyperlink" Target="https://www.cipd.org/uk/knowledge/guides/learning-and-development/?utm_source=copilot.com" TargetMode="External"/><Relationship Id="rId22" Type="http://schemas.openxmlformats.org/officeDocument/2006/relationships/hyperlink" Target="https://doi.org/10.2478/ijme-2018-0018" TargetMode="External"/><Relationship Id="rId27" Type="http://schemas.openxmlformats.org/officeDocument/2006/relationships/hyperlink" Target="http://dx.doi.org/10.3390/info16070555" TargetMode="External"/><Relationship Id="rId30" Type="http://schemas.openxmlformats.org/officeDocument/2006/relationships/hyperlink" Target="https://workleap.com/platform" TargetMode="External"/><Relationship Id="rId8" Type="http://schemas.openxmlformats.org/officeDocument/2006/relationships/hyperlink" Target="https://doi.org/10.1007/s10676-021-096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9</Pages>
  <Words>3326</Words>
  <Characters>18959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33</cp:revision>
  <dcterms:created xsi:type="dcterms:W3CDTF">2026-04-20T11:37:00Z</dcterms:created>
  <dcterms:modified xsi:type="dcterms:W3CDTF">2026-04-30T11:19:00Z</dcterms:modified>
</cp:coreProperties>
</file>