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6ABBE2" w14:textId="7A969C72" w:rsidR="0020010E" w:rsidRPr="0020010E" w:rsidRDefault="0020010E" w:rsidP="0020010E">
      <w:pPr>
        <w:ind w:left="0" w:firstLine="0"/>
        <w:rPr>
          <w:rFonts w:asciiTheme="minorHAnsi" w:hAnsiTheme="minorHAnsi" w:cstheme="minorHAnsi"/>
          <w:sz w:val="22"/>
          <w:u w:val="single"/>
        </w:rPr>
      </w:pPr>
      <w:r w:rsidRPr="0020010E">
        <w:rPr>
          <w:rFonts w:asciiTheme="minorHAnsi" w:hAnsiTheme="minorHAnsi" w:cstheme="minorHAnsi"/>
          <w:sz w:val="22"/>
          <w:u w:val="single"/>
        </w:rPr>
        <w:t>Essay 1</w:t>
      </w:r>
    </w:p>
    <w:p w14:paraId="1E398E82" w14:textId="63474D3B" w:rsidR="0020010E" w:rsidRPr="0020010E" w:rsidRDefault="0020010E" w:rsidP="0020010E">
      <w:pPr>
        <w:ind w:left="0" w:firstLine="0"/>
        <w:rPr>
          <w:rFonts w:asciiTheme="minorHAnsi" w:hAnsiTheme="minorHAnsi" w:cstheme="minorHAnsi"/>
          <w:sz w:val="22"/>
        </w:rPr>
      </w:pPr>
      <w:r w:rsidRPr="0020010E">
        <w:rPr>
          <w:rFonts w:asciiTheme="minorHAnsi" w:hAnsiTheme="minorHAnsi" w:cstheme="minorHAnsi"/>
          <w:sz w:val="22"/>
        </w:rPr>
        <w:t>In this assignment I will be researching how the code of ethics helps reduce incidences of professional misconduct and increase public confidence in the police. I will be describing how the police have developed principles to reduce the possibility of professional malpractices and increase community confidence. I will be looking into what evidence there is that the Code of Ethics have reduced incidences of professional misconduct. And has public confidence really increased in the police.</w:t>
      </w:r>
    </w:p>
    <w:p w14:paraId="211CD304" w14:textId="77777777" w:rsidR="0020010E" w:rsidRPr="0020010E" w:rsidRDefault="0020010E" w:rsidP="0020010E">
      <w:pPr>
        <w:ind w:left="0" w:firstLine="0"/>
        <w:rPr>
          <w:rFonts w:asciiTheme="minorHAnsi" w:hAnsiTheme="minorHAnsi" w:cstheme="minorHAnsi"/>
          <w:sz w:val="22"/>
        </w:rPr>
      </w:pPr>
    </w:p>
    <w:p w14:paraId="69D8065C" w14:textId="77777777" w:rsidR="0020010E" w:rsidRPr="0020010E" w:rsidRDefault="0020010E" w:rsidP="0020010E">
      <w:pPr>
        <w:ind w:left="0" w:firstLine="0"/>
        <w:rPr>
          <w:rFonts w:asciiTheme="minorHAnsi" w:hAnsiTheme="minorHAnsi" w:cstheme="minorHAnsi"/>
          <w:sz w:val="22"/>
        </w:rPr>
      </w:pPr>
      <w:r w:rsidRPr="0020010E">
        <w:rPr>
          <w:rFonts w:asciiTheme="minorHAnsi" w:hAnsiTheme="minorHAnsi" w:cstheme="minorHAnsi"/>
          <w:sz w:val="22"/>
        </w:rPr>
        <w:t>It is important that we understand what the Code of Ethics and what its history. Research shows that The College of Policing developed the Code of Ethics on behalf of every member of the policing profession of England and Wales. The work was carried out by the College’s Integrity Programme in association with the national policing leads for Ethics and Professional Standards and a wide range of key stakeholders, including Chief Constables, PCCs, oversight bodies, staff associations and trade unions, and police practitioners College of Policing, 2014). All police officers and/ or staff within the police service no matter what department, rank or service must adhere to the Code of Ethics, set out and developed by the College of Policing (2014). This paragraph shows how the police have developed policies and procedures to reduce the possibility of professional malpractice. No matter their rank, function, or position, everyone who works in the police force will be given the tools they need to always act morally and with confidence when confronting colleagues who act inappropriately. In turn, the Code ought to considerably increase public confidence in and trust for the police. College of Policing (2014)</w:t>
      </w:r>
    </w:p>
    <w:p w14:paraId="1F78E352" w14:textId="77777777" w:rsidR="0020010E" w:rsidRPr="0020010E" w:rsidRDefault="0020010E" w:rsidP="0020010E">
      <w:pPr>
        <w:ind w:left="0" w:firstLine="0"/>
        <w:rPr>
          <w:rFonts w:asciiTheme="minorHAnsi" w:hAnsiTheme="minorHAnsi" w:cstheme="minorHAnsi"/>
          <w:sz w:val="22"/>
        </w:rPr>
      </w:pPr>
    </w:p>
    <w:p w14:paraId="7BB589D7" w14:textId="77777777" w:rsidR="0020010E" w:rsidRPr="0020010E" w:rsidRDefault="0020010E" w:rsidP="0020010E">
      <w:pPr>
        <w:ind w:left="0" w:firstLine="0"/>
        <w:rPr>
          <w:rFonts w:asciiTheme="minorHAnsi" w:hAnsiTheme="minorHAnsi" w:cstheme="minorHAnsi"/>
          <w:sz w:val="22"/>
        </w:rPr>
      </w:pPr>
      <w:r w:rsidRPr="0020010E">
        <w:rPr>
          <w:rFonts w:asciiTheme="minorHAnsi" w:hAnsiTheme="minorHAnsi" w:cstheme="minorHAnsi"/>
          <w:sz w:val="22"/>
        </w:rPr>
        <w:t xml:space="preserve">However, the Code of Ethics' application goes beyond its statutory status as a code of conduct. </w:t>
      </w:r>
      <w:r w:rsidRPr="0020010E">
        <w:rPr>
          <w:rFonts w:asciiTheme="minorHAnsi" w:hAnsiTheme="minorHAnsi" w:cstheme="minorHAnsi"/>
          <w:sz w:val="22"/>
        </w:rPr>
        <w:cr/>
        <w:t>Every person employed in policing is expected by the public and the professional organisation to adhere to the Code of Ethics. This comprises all persons employed on a full-time, part-time, casual, contract, permanent, temporary, or volunteer basis. It also includes any other policing bodies that fall beyond the purview of the Code as a code of practise as well as all forces that are not sponsored by the Home Office. College of Policing (2014)</w:t>
      </w:r>
    </w:p>
    <w:p w14:paraId="7E760120" w14:textId="77777777" w:rsidR="0020010E" w:rsidRPr="0020010E" w:rsidRDefault="0020010E" w:rsidP="0020010E">
      <w:pPr>
        <w:ind w:left="0" w:firstLine="0"/>
        <w:rPr>
          <w:rFonts w:asciiTheme="minorHAnsi" w:hAnsiTheme="minorHAnsi" w:cstheme="minorHAnsi"/>
          <w:sz w:val="22"/>
        </w:rPr>
      </w:pPr>
    </w:p>
    <w:p w14:paraId="10162AEE" w14:textId="77777777" w:rsidR="0020010E" w:rsidRPr="0020010E" w:rsidRDefault="0020010E" w:rsidP="0020010E">
      <w:pPr>
        <w:ind w:left="0" w:firstLine="0"/>
        <w:rPr>
          <w:rFonts w:asciiTheme="minorHAnsi" w:hAnsiTheme="minorHAnsi" w:cstheme="minorHAnsi"/>
          <w:sz w:val="22"/>
        </w:rPr>
      </w:pPr>
      <w:r w:rsidRPr="0020010E">
        <w:rPr>
          <w:rFonts w:asciiTheme="minorHAnsi" w:hAnsiTheme="minorHAnsi" w:cstheme="minorHAnsi"/>
          <w:sz w:val="22"/>
        </w:rPr>
        <w:t xml:space="preserve">Research into the Code of Ethics through its founders, the College of Policing shows how important that those in policing understand and digest these ethics imposed by the College of Policing in 2014, therefor it is important that we know what the Code of Ethics are, these are split into Policing Principles and Standards of professional behaviour. </w:t>
      </w:r>
    </w:p>
    <w:p w14:paraId="3D799B24" w14:textId="77777777" w:rsidR="0020010E" w:rsidRPr="0020010E" w:rsidRDefault="0020010E" w:rsidP="0020010E">
      <w:pPr>
        <w:ind w:left="0" w:firstLine="0"/>
        <w:rPr>
          <w:rFonts w:asciiTheme="minorHAnsi" w:hAnsiTheme="minorHAnsi" w:cstheme="minorHAnsi"/>
          <w:b/>
          <w:bCs/>
          <w:sz w:val="22"/>
        </w:rPr>
      </w:pPr>
      <w:r w:rsidRPr="0020010E">
        <w:rPr>
          <w:rFonts w:asciiTheme="minorHAnsi" w:hAnsiTheme="minorHAnsi" w:cstheme="minorHAnsi"/>
          <w:b/>
          <w:bCs/>
          <w:sz w:val="22"/>
        </w:rPr>
        <w:t>Policing Principles include,</w:t>
      </w:r>
    </w:p>
    <w:p w14:paraId="7D419422" w14:textId="77777777" w:rsidR="0020010E" w:rsidRPr="0020010E" w:rsidRDefault="0020010E" w:rsidP="0020010E">
      <w:pPr>
        <w:pStyle w:val="ListParagraph"/>
        <w:numPr>
          <w:ilvl w:val="0"/>
          <w:numId w:val="1"/>
        </w:numPr>
        <w:rPr>
          <w:rFonts w:asciiTheme="minorHAnsi" w:hAnsiTheme="minorHAnsi" w:cstheme="minorHAnsi"/>
          <w:sz w:val="22"/>
        </w:rPr>
      </w:pPr>
      <w:r w:rsidRPr="0020010E">
        <w:rPr>
          <w:rFonts w:asciiTheme="minorHAnsi" w:hAnsiTheme="minorHAnsi" w:cstheme="minorHAnsi"/>
          <w:sz w:val="22"/>
        </w:rPr>
        <w:t xml:space="preserve">Accountability </w:t>
      </w:r>
    </w:p>
    <w:p w14:paraId="57DCD74F" w14:textId="77777777" w:rsidR="0020010E" w:rsidRPr="0020010E" w:rsidRDefault="0020010E" w:rsidP="0020010E">
      <w:pPr>
        <w:pStyle w:val="ListParagraph"/>
        <w:numPr>
          <w:ilvl w:val="0"/>
          <w:numId w:val="1"/>
        </w:numPr>
        <w:rPr>
          <w:rFonts w:asciiTheme="minorHAnsi" w:hAnsiTheme="minorHAnsi" w:cstheme="minorHAnsi"/>
          <w:sz w:val="22"/>
        </w:rPr>
      </w:pPr>
      <w:r w:rsidRPr="0020010E">
        <w:rPr>
          <w:rFonts w:asciiTheme="minorHAnsi" w:hAnsiTheme="minorHAnsi" w:cstheme="minorHAnsi"/>
          <w:sz w:val="22"/>
        </w:rPr>
        <w:t xml:space="preserve">Fairness </w:t>
      </w:r>
    </w:p>
    <w:p w14:paraId="4E3CCE63" w14:textId="77777777" w:rsidR="0020010E" w:rsidRPr="0020010E" w:rsidRDefault="0020010E" w:rsidP="0020010E">
      <w:pPr>
        <w:pStyle w:val="ListParagraph"/>
        <w:numPr>
          <w:ilvl w:val="0"/>
          <w:numId w:val="1"/>
        </w:numPr>
        <w:rPr>
          <w:rFonts w:asciiTheme="minorHAnsi" w:hAnsiTheme="minorHAnsi" w:cstheme="minorHAnsi"/>
          <w:sz w:val="22"/>
        </w:rPr>
      </w:pPr>
      <w:r w:rsidRPr="0020010E">
        <w:rPr>
          <w:rFonts w:asciiTheme="minorHAnsi" w:hAnsiTheme="minorHAnsi" w:cstheme="minorHAnsi"/>
          <w:sz w:val="22"/>
        </w:rPr>
        <w:t xml:space="preserve">Honesty </w:t>
      </w:r>
    </w:p>
    <w:p w14:paraId="0DC679E5" w14:textId="77777777" w:rsidR="0020010E" w:rsidRPr="0020010E" w:rsidRDefault="0020010E" w:rsidP="0020010E">
      <w:pPr>
        <w:pStyle w:val="ListParagraph"/>
        <w:numPr>
          <w:ilvl w:val="0"/>
          <w:numId w:val="1"/>
        </w:numPr>
        <w:rPr>
          <w:rFonts w:asciiTheme="minorHAnsi" w:hAnsiTheme="minorHAnsi" w:cstheme="minorHAnsi"/>
          <w:sz w:val="22"/>
        </w:rPr>
      </w:pPr>
      <w:r w:rsidRPr="0020010E">
        <w:rPr>
          <w:rFonts w:asciiTheme="minorHAnsi" w:hAnsiTheme="minorHAnsi" w:cstheme="minorHAnsi"/>
          <w:sz w:val="22"/>
        </w:rPr>
        <w:t xml:space="preserve">Integrity </w:t>
      </w:r>
    </w:p>
    <w:p w14:paraId="123EF613" w14:textId="77777777" w:rsidR="0020010E" w:rsidRPr="0020010E" w:rsidRDefault="0020010E" w:rsidP="0020010E">
      <w:pPr>
        <w:pStyle w:val="ListParagraph"/>
        <w:numPr>
          <w:ilvl w:val="0"/>
          <w:numId w:val="1"/>
        </w:numPr>
        <w:rPr>
          <w:rFonts w:asciiTheme="minorHAnsi" w:hAnsiTheme="minorHAnsi" w:cstheme="minorHAnsi"/>
          <w:sz w:val="22"/>
        </w:rPr>
      </w:pPr>
      <w:r w:rsidRPr="0020010E">
        <w:rPr>
          <w:rFonts w:asciiTheme="minorHAnsi" w:hAnsiTheme="minorHAnsi" w:cstheme="minorHAnsi"/>
          <w:sz w:val="22"/>
        </w:rPr>
        <w:t xml:space="preserve">Leadership </w:t>
      </w:r>
    </w:p>
    <w:p w14:paraId="1472ED01" w14:textId="77777777" w:rsidR="0020010E" w:rsidRPr="0020010E" w:rsidRDefault="0020010E" w:rsidP="0020010E">
      <w:pPr>
        <w:pStyle w:val="ListParagraph"/>
        <w:numPr>
          <w:ilvl w:val="0"/>
          <w:numId w:val="1"/>
        </w:numPr>
        <w:rPr>
          <w:rFonts w:asciiTheme="minorHAnsi" w:hAnsiTheme="minorHAnsi" w:cstheme="minorHAnsi"/>
          <w:sz w:val="22"/>
        </w:rPr>
      </w:pPr>
      <w:r w:rsidRPr="0020010E">
        <w:rPr>
          <w:rFonts w:asciiTheme="minorHAnsi" w:hAnsiTheme="minorHAnsi" w:cstheme="minorHAnsi"/>
          <w:sz w:val="22"/>
        </w:rPr>
        <w:t xml:space="preserve">Objectivity </w:t>
      </w:r>
    </w:p>
    <w:p w14:paraId="17FAF863" w14:textId="77777777" w:rsidR="0020010E" w:rsidRPr="0020010E" w:rsidRDefault="0020010E" w:rsidP="0020010E">
      <w:pPr>
        <w:pStyle w:val="ListParagraph"/>
        <w:numPr>
          <w:ilvl w:val="0"/>
          <w:numId w:val="1"/>
        </w:numPr>
        <w:rPr>
          <w:rFonts w:asciiTheme="minorHAnsi" w:hAnsiTheme="minorHAnsi" w:cstheme="minorHAnsi"/>
          <w:sz w:val="22"/>
        </w:rPr>
      </w:pPr>
      <w:r w:rsidRPr="0020010E">
        <w:rPr>
          <w:rFonts w:asciiTheme="minorHAnsi" w:hAnsiTheme="minorHAnsi" w:cstheme="minorHAnsi"/>
          <w:sz w:val="22"/>
        </w:rPr>
        <w:t xml:space="preserve">Openness </w:t>
      </w:r>
    </w:p>
    <w:p w14:paraId="1217AA36" w14:textId="77777777" w:rsidR="0020010E" w:rsidRPr="0020010E" w:rsidRDefault="0020010E" w:rsidP="0020010E">
      <w:pPr>
        <w:pStyle w:val="ListParagraph"/>
        <w:numPr>
          <w:ilvl w:val="0"/>
          <w:numId w:val="1"/>
        </w:numPr>
        <w:rPr>
          <w:rFonts w:asciiTheme="minorHAnsi" w:hAnsiTheme="minorHAnsi" w:cstheme="minorHAnsi"/>
          <w:sz w:val="22"/>
        </w:rPr>
      </w:pPr>
      <w:r w:rsidRPr="0020010E">
        <w:rPr>
          <w:rFonts w:asciiTheme="minorHAnsi" w:hAnsiTheme="minorHAnsi" w:cstheme="minorHAnsi"/>
          <w:sz w:val="22"/>
        </w:rPr>
        <w:t xml:space="preserve">Respect </w:t>
      </w:r>
    </w:p>
    <w:p w14:paraId="30E98E98" w14:textId="77777777" w:rsidR="0020010E" w:rsidRPr="0020010E" w:rsidRDefault="0020010E" w:rsidP="0020010E">
      <w:pPr>
        <w:pStyle w:val="ListParagraph"/>
        <w:numPr>
          <w:ilvl w:val="0"/>
          <w:numId w:val="1"/>
        </w:numPr>
        <w:rPr>
          <w:rFonts w:asciiTheme="minorHAnsi" w:hAnsiTheme="minorHAnsi" w:cstheme="minorHAnsi"/>
          <w:sz w:val="22"/>
        </w:rPr>
      </w:pPr>
      <w:r w:rsidRPr="0020010E">
        <w:rPr>
          <w:rFonts w:asciiTheme="minorHAnsi" w:hAnsiTheme="minorHAnsi" w:cstheme="minorHAnsi"/>
          <w:sz w:val="22"/>
        </w:rPr>
        <w:t>Selflessness</w:t>
      </w:r>
    </w:p>
    <w:p w14:paraId="0B1020CF" w14:textId="77777777" w:rsidR="0020010E" w:rsidRPr="0020010E" w:rsidRDefault="0020010E" w:rsidP="0020010E">
      <w:pPr>
        <w:ind w:left="0" w:firstLine="0"/>
        <w:rPr>
          <w:rFonts w:asciiTheme="minorHAnsi" w:hAnsiTheme="minorHAnsi" w:cstheme="minorHAnsi"/>
          <w:b/>
          <w:bCs/>
          <w:sz w:val="22"/>
        </w:rPr>
      </w:pPr>
      <w:r w:rsidRPr="0020010E">
        <w:rPr>
          <w:rFonts w:asciiTheme="minorHAnsi" w:hAnsiTheme="minorHAnsi" w:cstheme="minorHAnsi"/>
          <w:b/>
          <w:bCs/>
          <w:sz w:val="22"/>
        </w:rPr>
        <w:t>Standards of Professional Behaviour include,</w:t>
      </w:r>
    </w:p>
    <w:p w14:paraId="04C75289" w14:textId="77777777" w:rsidR="0020010E" w:rsidRPr="0020010E" w:rsidRDefault="0020010E" w:rsidP="0020010E">
      <w:pPr>
        <w:pStyle w:val="ListParagraph"/>
        <w:numPr>
          <w:ilvl w:val="0"/>
          <w:numId w:val="1"/>
        </w:numPr>
        <w:rPr>
          <w:rFonts w:asciiTheme="minorHAnsi" w:hAnsiTheme="minorHAnsi" w:cstheme="minorHAnsi"/>
          <w:sz w:val="22"/>
        </w:rPr>
      </w:pPr>
      <w:r w:rsidRPr="0020010E">
        <w:rPr>
          <w:rFonts w:asciiTheme="minorHAnsi" w:hAnsiTheme="minorHAnsi" w:cstheme="minorHAnsi"/>
          <w:sz w:val="22"/>
        </w:rPr>
        <w:t xml:space="preserve">Honesty and integrity </w:t>
      </w:r>
    </w:p>
    <w:p w14:paraId="6DB6011F" w14:textId="77777777" w:rsidR="0020010E" w:rsidRPr="0020010E" w:rsidRDefault="0020010E" w:rsidP="0020010E">
      <w:pPr>
        <w:pStyle w:val="ListParagraph"/>
        <w:numPr>
          <w:ilvl w:val="0"/>
          <w:numId w:val="1"/>
        </w:numPr>
        <w:rPr>
          <w:rFonts w:asciiTheme="minorHAnsi" w:hAnsiTheme="minorHAnsi" w:cstheme="minorHAnsi"/>
          <w:sz w:val="22"/>
        </w:rPr>
      </w:pPr>
      <w:r w:rsidRPr="0020010E">
        <w:rPr>
          <w:rFonts w:asciiTheme="minorHAnsi" w:hAnsiTheme="minorHAnsi" w:cstheme="minorHAnsi"/>
          <w:sz w:val="22"/>
        </w:rPr>
        <w:lastRenderedPageBreak/>
        <w:t xml:space="preserve">Authority, </w:t>
      </w:r>
      <w:proofErr w:type="gramStart"/>
      <w:r w:rsidRPr="0020010E">
        <w:rPr>
          <w:rFonts w:asciiTheme="minorHAnsi" w:hAnsiTheme="minorHAnsi" w:cstheme="minorHAnsi"/>
          <w:sz w:val="22"/>
        </w:rPr>
        <w:t>respect</w:t>
      </w:r>
      <w:proofErr w:type="gramEnd"/>
      <w:r w:rsidRPr="0020010E">
        <w:rPr>
          <w:rFonts w:asciiTheme="minorHAnsi" w:hAnsiTheme="minorHAnsi" w:cstheme="minorHAnsi"/>
          <w:sz w:val="22"/>
        </w:rPr>
        <w:t xml:space="preserve"> and courtesy </w:t>
      </w:r>
    </w:p>
    <w:p w14:paraId="7A55FAAB" w14:textId="77777777" w:rsidR="0020010E" w:rsidRPr="0020010E" w:rsidRDefault="0020010E" w:rsidP="0020010E">
      <w:pPr>
        <w:pStyle w:val="ListParagraph"/>
        <w:numPr>
          <w:ilvl w:val="0"/>
          <w:numId w:val="1"/>
        </w:numPr>
        <w:rPr>
          <w:rFonts w:asciiTheme="minorHAnsi" w:hAnsiTheme="minorHAnsi" w:cstheme="minorHAnsi"/>
          <w:sz w:val="22"/>
        </w:rPr>
      </w:pPr>
      <w:r w:rsidRPr="0020010E">
        <w:rPr>
          <w:rFonts w:asciiTheme="minorHAnsi" w:hAnsiTheme="minorHAnsi" w:cstheme="minorHAnsi"/>
          <w:sz w:val="22"/>
        </w:rPr>
        <w:t xml:space="preserve">Equality and diversity </w:t>
      </w:r>
    </w:p>
    <w:p w14:paraId="4F7E6E6D" w14:textId="77777777" w:rsidR="0020010E" w:rsidRPr="0020010E" w:rsidRDefault="0020010E" w:rsidP="0020010E">
      <w:pPr>
        <w:pStyle w:val="ListParagraph"/>
        <w:numPr>
          <w:ilvl w:val="0"/>
          <w:numId w:val="1"/>
        </w:numPr>
        <w:rPr>
          <w:rFonts w:asciiTheme="minorHAnsi" w:hAnsiTheme="minorHAnsi" w:cstheme="minorHAnsi"/>
          <w:sz w:val="22"/>
        </w:rPr>
      </w:pPr>
      <w:r w:rsidRPr="0020010E">
        <w:rPr>
          <w:rFonts w:asciiTheme="minorHAnsi" w:hAnsiTheme="minorHAnsi" w:cstheme="minorHAnsi"/>
          <w:sz w:val="22"/>
        </w:rPr>
        <w:t xml:space="preserve">Use of force </w:t>
      </w:r>
    </w:p>
    <w:p w14:paraId="405F32A0" w14:textId="77777777" w:rsidR="0020010E" w:rsidRPr="0020010E" w:rsidRDefault="0020010E" w:rsidP="0020010E">
      <w:pPr>
        <w:pStyle w:val="ListParagraph"/>
        <w:numPr>
          <w:ilvl w:val="0"/>
          <w:numId w:val="1"/>
        </w:numPr>
        <w:rPr>
          <w:rFonts w:asciiTheme="minorHAnsi" w:hAnsiTheme="minorHAnsi" w:cstheme="minorHAnsi"/>
          <w:sz w:val="22"/>
        </w:rPr>
      </w:pPr>
      <w:r w:rsidRPr="0020010E">
        <w:rPr>
          <w:rFonts w:asciiTheme="minorHAnsi" w:hAnsiTheme="minorHAnsi" w:cstheme="minorHAnsi"/>
          <w:sz w:val="22"/>
        </w:rPr>
        <w:t xml:space="preserve">Orders and instructions </w:t>
      </w:r>
    </w:p>
    <w:p w14:paraId="1F25F49A" w14:textId="77777777" w:rsidR="0020010E" w:rsidRPr="0020010E" w:rsidRDefault="0020010E" w:rsidP="0020010E">
      <w:pPr>
        <w:pStyle w:val="ListParagraph"/>
        <w:numPr>
          <w:ilvl w:val="0"/>
          <w:numId w:val="1"/>
        </w:numPr>
        <w:rPr>
          <w:rFonts w:asciiTheme="minorHAnsi" w:hAnsiTheme="minorHAnsi" w:cstheme="minorHAnsi"/>
          <w:sz w:val="22"/>
        </w:rPr>
      </w:pPr>
      <w:r w:rsidRPr="0020010E">
        <w:rPr>
          <w:rFonts w:asciiTheme="minorHAnsi" w:hAnsiTheme="minorHAnsi" w:cstheme="minorHAnsi"/>
          <w:sz w:val="22"/>
        </w:rPr>
        <w:t xml:space="preserve">Duties and responsibilities </w:t>
      </w:r>
    </w:p>
    <w:p w14:paraId="0E256E92" w14:textId="77777777" w:rsidR="0020010E" w:rsidRPr="0020010E" w:rsidRDefault="0020010E" w:rsidP="0020010E">
      <w:pPr>
        <w:pStyle w:val="ListParagraph"/>
        <w:numPr>
          <w:ilvl w:val="0"/>
          <w:numId w:val="1"/>
        </w:numPr>
        <w:rPr>
          <w:rFonts w:asciiTheme="minorHAnsi" w:hAnsiTheme="minorHAnsi" w:cstheme="minorHAnsi"/>
          <w:sz w:val="22"/>
        </w:rPr>
      </w:pPr>
      <w:r w:rsidRPr="0020010E">
        <w:rPr>
          <w:rFonts w:asciiTheme="minorHAnsi" w:hAnsiTheme="minorHAnsi" w:cstheme="minorHAnsi"/>
          <w:sz w:val="22"/>
        </w:rPr>
        <w:t xml:space="preserve">Confidentiality </w:t>
      </w:r>
    </w:p>
    <w:p w14:paraId="4D0F9A79" w14:textId="77777777" w:rsidR="0020010E" w:rsidRPr="0020010E" w:rsidRDefault="0020010E" w:rsidP="0020010E">
      <w:pPr>
        <w:pStyle w:val="ListParagraph"/>
        <w:numPr>
          <w:ilvl w:val="0"/>
          <w:numId w:val="1"/>
        </w:numPr>
        <w:rPr>
          <w:rFonts w:asciiTheme="minorHAnsi" w:hAnsiTheme="minorHAnsi" w:cstheme="minorHAnsi"/>
          <w:sz w:val="22"/>
        </w:rPr>
      </w:pPr>
      <w:r w:rsidRPr="0020010E">
        <w:rPr>
          <w:rFonts w:asciiTheme="minorHAnsi" w:hAnsiTheme="minorHAnsi" w:cstheme="minorHAnsi"/>
          <w:sz w:val="22"/>
        </w:rPr>
        <w:t>Fitness for work</w:t>
      </w:r>
    </w:p>
    <w:p w14:paraId="6AA60014" w14:textId="77777777" w:rsidR="0020010E" w:rsidRPr="0020010E" w:rsidRDefault="0020010E" w:rsidP="0020010E">
      <w:pPr>
        <w:pStyle w:val="ListParagraph"/>
        <w:numPr>
          <w:ilvl w:val="0"/>
          <w:numId w:val="1"/>
        </w:numPr>
        <w:rPr>
          <w:rFonts w:asciiTheme="minorHAnsi" w:hAnsiTheme="minorHAnsi" w:cstheme="minorHAnsi"/>
          <w:sz w:val="22"/>
        </w:rPr>
      </w:pPr>
      <w:r w:rsidRPr="0020010E">
        <w:rPr>
          <w:rFonts w:asciiTheme="minorHAnsi" w:hAnsiTheme="minorHAnsi" w:cstheme="minorHAnsi"/>
          <w:sz w:val="22"/>
        </w:rPr>
        <w:t xml:space="preserve">Conduct </w:t>
      </w:r>
    </w:p>
    <w:p w14:paraId="7D5DDD39" w14:textId="77777777" w:rsidR="0020010E" w:rsidRPr="0020010E" w:rsidRDefault="0020010E" w:rsidP="0020010E">
      <w:pPr>
        <w:pStyle w:val="ListParagraph"/>
        <w:numPr>
          <w:ilvl w:val="0"/>
          <w:numId w:val="1"/>
        </w:numPr>
        <w:rPr>
          <w:rFonts w:asciiTheme="minorHAnsi" w:hAnsiTheme="minorHAnsi" w:cstheme="minorHAnsi"/>
          <w:sz w:val="22"/>
        </w:rPr>
      </w:pPr>
      <w:r w:rsidRPr="0020010E">
        <w:rPr>
          <w:rFonts w:asciiTheme="minorHAnsi" w:hAnsiTheme="minorHAnsi" w:cstheme="minorHAnsi"/>
          <w:sz w:val="22"/>
        </w:rPr>
        <w:t>Challenging and reporting improper conduct</w:t>
      </w:r>
    </w:p>
    <w:p w14:paraId="14FCCB5F" w14:textId="77777777" w:rsidR="0020010E" w:rsidRPr="0020010E" w:rsidRDefault="0020010E" w:rsidP="0020010E">
      <w:pPr>
        <w:ind w:left="0" w:firstLine="0"/>
        <w:rPr>
          <w:rFonts w:asciiTheme="minorHAnsi" w:hAnsiTheme="minorHAnsi" w:cstheme="minorHAnsi"/>
          <w:sz w:val="22"/>
        </w:rPr>
      </w:pPr>
      <w:r w:rsidRPr="0020010E">
        <w:rPr>
          <w:rFonts w:asciiTheme="minorHAnsi" w:hAnsiTheme="minorHAnsi" w:cstheme="minorHAnsi"/>
          <w:sz w:val="22"/>
        </w:rPr>
        <w:t>Above are the Code of Ethics which has been split into Policing Principles and Standards of Professional Behaviour. College of Policing (2014)</w:t>
      </w:r>
    </w:p>
    <w:p w14:paraId="4112B222" w14:textId="77777777" w:rsidR="0020010E" w:rsidRPr="0020010E" w:rsidRDefault="0020010E" w:rsidP="0020010E">
      <w:pPr>
        <w:ind w:left="0" w:firstLine="0"/>
        <w:rPr>
          <w:rFonts w:asciiTheme="minorHAnsi" w:hAnsiTheme="minorHAnsi" w:cstheme="minorHAnsi"/>
          <w:sz w:val="22"/>
        </w:rPr>
      </w:pPr>
    </w:p>
    <w:p w14:paraId="0548AC27" w14:textId="77777777" w:rsidR="0020010E" w:rsidRPr="0020010E" w:rsidRDefault="0020010E" w:rsidP="0020010E">
      <w:pPr>
        <w:ind w:left="0" w:firstLine="0"/>
        <w:rPr>
          <w:rFonts w:asciiTheme="minorHAnsi" w:hAnsiTheme="minorHAnsi" w:cstheme="minorHAnsi"/>
          <w:sz w:val="22"/>
        </w:rPr>
      </w:pPr>
      <w:r w:rsidRPr="0020010E">
        <w:rPr>
          <w:rFonts w:asciiTheme="minorHAnsi" w:hAnsiTheme="minorHAnsi" w:cstheme="minorHAnsi"/>
          <w:sz w:val="22"/>
        </w:rPr>
        <w:t xml:space="preserve">Evidence suggests that discussing unprofessional behaviour as a regular business concern is necessary in order to reduce it, rather than just establishing a code of ethics. The public is less likely to support the police in upholding the law if they lack the confidence to believe that the police will be fair, ethical, and operating in their best interests. The Code of Ethics focuses on self-awareness, making sure that everyone in law enforcement feels empowered to always act honourably and is confident enough to challenge coworkers regardless of their rank, function, or position. College of Policing (2023). The Code of Ethics is regularly available online, through College of Policing (2014). This publicly available ethical guidelines can promote transparency and engage the community in discussions about police conduct. Using the Code of Ethics as a legal and ethical alignment it ensures that police actions align with legal and ethical principles, reducing the likelihood of rights violation. This over time, adherence to a code of ethics can lead to a decrease in incidents of misconduct and corresponding increase in public confidence. Home Office (2012). This paragraph shows how the police can and are transparent with the way they publish the Code of Ethics into the public domain this shows transparency between the police and the public, also publishing misconduct finding reports outlining how the Code of Ethics has been used in line to make decisions in relation to professional misconduct. This in turn increases public confidence in the police, Home Office (2023). </w:t>
      </w:r>
    </w:p>
    <w:p w14:paraId="500119ED" w14:textId="77777777" w:rsidR="0020010E" w:rsidRPr="0020010E" w:rsidRDefault="0020010E" w:rsidP="0020010E">
      <w:pPr>
        <w:ind w:left="0" w:firstLine="0"/>
        <w:rPr>
          <w:rFonts w:asciiTheme="minorHAnsi" w:hAnsiTheme="minorHAnsi" w:cstheme="minorHAnsi"/>
          <w:sz w:val="22"/>
        </w:rPr>
      </w:pPr>
    </w:p>
    <w:p w14:paraId="554C770F" w14:textId="77777777" w:rsidR="0020010E" w:rsidRPr="0020010E" w:rsidRDefault="0020010E" w:rsidP="0020010E">
      <w:pPr>
        <w:ind w:left="0" w:firstLine="0"/>
        <w:rPr>
          <w:rFonts w:asciiTheme="minorHAnsi" w:hAnsiTheme="minorHAnsi" w:cstheme="minorHAnsi"/>
          <w:sz w:val="22"/>
        </w:rPr>
      </w:pPr>
      <w:r w:rsidRPr="0020010E">
        <w:rPr>
          <w:rFonts w:asciiTheme="minorHAnsi" w:hAnsiTheme="minorHAnsi" w:cstheme="minorHAnsi"/>
          <w:sz w:val="22"/>
        </w:rPr>
        <w:t xml:space="preserve">Overall, the findings demonstrated strong and dependable confidence in the UK police's proportionality in handling occurrences involving the general people. The majority of respondents (72%) believe that UK police respond to occurrences involving the public in a fair and appropriate manner, IOPC (2021). Research here shows what public confidence is at, at this present time. </w:t>
      </w:r>
    </w:p>
    <w:p w14:paraId="71804BBE" w14:textId="77777777" w:rsidR="0020010E" w:rsidRPr="0020010E" w:rsidRDefault="0020010E" w:rsidP="0020010E">
      <w:pPr>
        <w:ind w:left="0" w:firstLine="0"/>
        <w:rPr>
          <w:rFonts w:asciiTheme="minorHAnsi" w:hAnsiTheme="minorHAnsi" w:cstheme="minorHAnsi"/>
          <w:sz w:val="22"/>
        </w:rPr>
      </w:pPr>
    </w:p>
    <w:p w14:paraId="61E6BB4C" w14:textId="77777777" w:rsidR="0020010E" w:rsidRPr="0020010E" w:rsidRDefault="0020010E" w:rsidP="0020010E">
      <w:pPr>
        <w:ind w:left="0" w:firstLine="0"/>
        <w:rPr>
          <w:rFonts w:asciiTheme="minorHAnsi" w:hAnsiTheme="minorHAnsi" w:cstheme="minorHAnsi"/>
          <w:sz w:val="22"/>
        </w:rPr>
      </w:pPr>
      <w:r w:rsidRPr="0020010E">
        <w:rPr>
          <w:rFonts w:asciiTheme="minorHAnsi" w:hAnsiTheme="minorHAnsi" w:cstheme="minorHAnsi"/>
          <w:sz w:val="22"/>
        </w:rPr>
        <w:t xml:space="preserve">According to IOPC, YONDER (2023) research into public perception. It has been researched that the negativity towards the police remains at its highest level since January 2020. Below shows a graph that has been taken from IOPC, YONDER Public Perception Tracker, which shows the declination of the statement “I feel positively towards the police” and the increase of the statement “I feel negatively towards the police”. </w:t>
      </w:r>
    </w:p>
    <w:p w14:paraId="6BAC3570" w14:textId="77777777" w:rsidR="0020010E" w:rsidRPr="0020010E" w:rsidRDefault="0020010E" w:rsidP="0020010E">
      <w:pPr>
        <w:ind w:left="0" w:firstLine="0"/>
        <w:rPr>
          <w:rFonts w:asciiTheme="minorHAnsi" w:hAnsiTheme="minorHAnsi" w:cstheme="minorHAnsi"/>
          <w:sz w:val="22"/>
        </w:rPr>
      </w:pPr>
      <w:r w:rsidRPr="0020010E">
        <w:rPr>
          <w:rFonts w:asciiTheme="minorHAnsi" w:hAnsiTheme="minorHAnsi" w:cstheme="minorHAnsi"/>
          <w:noProof/>
          <w:sz w:val="22"/>
        </w:rPr>
        <w:lastRenderedPageBreak/>
        <w:drawing>
          <wp:inline distT="0" distB="0" distL="0" distR="0" wp14:anchorId="356CE46D" wp14:editId="2D83F8CC">
            <wp:extent cx="3933645" cy="1737149"/>
            <wp:effectExtent l="0" t="0" r="0" b="0"/>
            <wp:docPr id="1135446862" name="Picture 1" descr="A graph with red and blu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446862" name="Picture 1" descr="A graph with red and blue lines&#10;&#10;Description automatically generated"/>
                    <pic:cNvPicPr/>
                  </pic:nvPicPr>
                  <pic:blipFill>
                    <a:blip r:embed="rId5"/>
                    <a:stretch>
                      <a:fillRect/>
                    </a:stretch>
                  </pic:blipFill>
                  <pic:spPr>
                    <a:xfrm>
                      <a:off x="0" y="0"/>
                      <a:ext cx="3961314" cy="1749368"/>
                    </a:xfrm>
                    <a:prstGeom prst="rect">
                      <a:avLst/>
                    </a:prstGeom>
                  </pic:spPr>
                </pic:pic>
              </a:graphicData>
            </a:graphic>
          </wp:inline>
        </w:drawing>
      </w:r>
      <w:r w:rsidRPr="0020010E">
        <w:rPr>
          <w:rFonts w:asciiTheme="minorHAnsi" w:hAnsiTheme="minorHAnsi" w:cstheme="minorHAnsi"/>
          <w:sz w:val="22"/>
        </w:rPr>
        <w:t xml:space="preserve"> </w:t>
      </w:r>
    </w:p>
    <w:p w14:paraId="488AF9EE" w14:textId="77777777" w:rsidR="0020010E" w:rsidRPr="0020010E" w:rsidRDefault="0020010E" w:rsidP="0020010E">
      <w:pPr>
        <w:ind w:left="0" w:firstLine="0"/>
        <w:rPr>
          <w:rFonts w:asciiTheme="minorHAnsi" w:hAnsiTheme="minorHAnsi" w:cstheme="minorHAnsi"/>
          <w:sz w:val="22"/>
        </w:rPr>
      </w:pPr>
    </w:p>
    <w:p w14:paraId="16A2FD33" w14:textId="77777777" w:rsidR="0020010E" w:rsidRPr="0020010E" w:rsidRDefault="0020010E" w:rsidP="0020010E">
      <w:pPr>
        <w:ind w:left="0" w:firstLine="0"/>
        <w:rPr>
          <w:rFonts w:asciiTheme="minorHAnsi" w:hAnsiTheme="minorHAnsi" w:cstheme="minorHAnsi"/>
          <w:sz w:val="22"/>
        </w:rPr>
      </w:pPr>
      <w:r w:rsidRPr="0020010E">
        <w:rPr>
          <w:rFonts w:asciiTheme="minorHAnsi" w:hAnsiTheme="minorHAnsi" w:cstheme="minorHAnsi"/>
          <w:sz w:val="22"/>
        </w:rPr>
        <w:t xml:space="preserve">By reading this report by YONDER it is noted that people feel negative towards the police due to, general misconduct, police officers committing crimes, negative personal experience, and abuse of power. These were amongst the top reasons that people felt negative towards the police. By staying in line with the Code of Ethics these figures will naturally fluctuate in a more positive manner, thus increasing public confidence in the police. IOPC, YONDER (2023) </w:t>
      </w:r>
    </w:p>
    <w:p w14:paraId="05D849EC" w14:textId="77777777" w:rsidR="0020010E" w:rsidRPr="0020010E" w:rsidRDefault="0020010E" w:rsidP="0020010E">
      <w:pPr>
        <w:ind w:left="0" w:firstLine="0"/>
        <w:rPr>
          <w:rFonts w:asciiTheme="minorHAnsi" w:hAnsiTheme="minorHAnsi" w:cstheme="minorHAnsi"/>
          <w:sz w:val="22"/>
        </w:rPr>
      </w:pPr>
    </w:p>
    <w:p w14:paraId="5598A5A5" w14:textId="77777777" w:rsidR="0020010E" w:rsidRPr="0020010E" w:rsidRDefault="0020010E" w:rsidP="0020010E">
      <w:pPr>
        <w:ind w:left="0" w:firstLine="0"/>
        <w:rPr>
          <w:rFonts w:asciiTheme="minorHAnsi" w:hAnsiTheme="minorHAnsi" w:cstheme="minorHAnsi"/>
          <w:sz w:val="22"/>
        </w:rPr>
      </w:pPr>
      <w:r w:rsidRPr="0020010E">
        <w:rPr>
          <w:rFonts w:asciiTheme="minorHAnsi" w:hAnsiTheme="minorHAnsi" w:cstheme="minorHAnsi"/>
          <w:sz w:val="22"/>
        </w:rPr>
        <w:t xml:space="preserve">In this essay I have researched how the code of ethics helps to reduce incidences of professional misconduct and increase public confidence in the police. I have described how the police have developed principles to reduce the possibility of professional malpractice and increase community confidence. I have also analysed data that has been researched by the IOPC into the public confidence in police and how that can change by aligning to the Code of Ethics, which in turn will decrease incidents of professional misconduct. </w:t>
      </w:r>
    </w:p>
    <w:p w14:paraId="5C178CA6" w14:textId="77777777" w:rsidR="0020010E" w:rsidRPr="0020010E" w:rsidRDefault="0020010E" w:rsidP="0020010E">
      <w:pPr>
        <w:ind w:left="0" w:firstLine="0"/>
        <w:rPr>
          <w:rFonts w:asciiTheme="minorHAnsi" w:hAnsiTheme="minorHAnsi" w:cstheme="minorHAnsi"/>
          <w:sz w:val="22"/>
        </w:rPr>
      </w:pPr>
    </w:p>
    <w:p w14:paraId="0E7B90C1" w14:textId="77777777" w:rsidR="0020010E" w:rsidRPr="0020010E" w:rsidRDefault="0020010E" w:rsidP="0020010E">
      <w:pPr>
        <w:ind w:left="0" w:firstLine="0"/>
        <w:rPr>
          <w:rFonts w:asciiTheme="minorHAnsi" w:hAnsiTheme="minorHAnsi" w:cstheme="minorHAnsi"/>
          <w:sz w:val="22"/>
        </w:rPr>
      </w:pPr>
      <w:r w:rsidRPr="0020010E">
        <w:rPr>
          <w:rFonts w:asciiTheme="minorHAnsi" w:hAnsiTheme="minorHAnsi" w:cstheme="minorHAnsi"/>
          <w:sz w:val="22"/>
        </w:rPr>
        <w:t>Word Count: 1011</w:t>
      </w:r>
    </w:p>
    <w:p w14:paraId="3CCA9E9E" w14:textId="77777777" w:rsidR="0020010E" w:rsidRPr="0020010E" w:rsidRDefault="0020010E" w:rsidP="0020010E">
      <w:pPr>
        <w:ind w:left="0" w:firstLine="0"/>
        <w:rPr>
          <w:rFonts w:asciiTheme="minorHAnsi" w:hAnsiTheme="minorHAnsi" w:cstheme="minorHAnsi"/>
          <w:sz w:val="22"/>
        </w:rPr>
      </w:pPr>
    </w:p>
    <w:p w14:paraId="1549A40B" w14:textId="2CCD83D5" w:rsidR="0020010E" w:rsidRPr="0020010E" w:rsidRDefault="0020010E" w:rsidP="0020010E">
      <w:pPr>
        <w:ind w:left="0" w:firstLine="0"/>
        <w:rPr>
          <w:rFonts w:asciiTheme="minorHAnsi" w:hAnsiTheme="minorHAnsi" w:cstheme="minorHAnsi"/>
          <w:sz w:val="22"/>
          <w:u w:val="single"/>
        </w:rPr>
      </w:pPr>
      <w:r w:rsidRPr="0020010E">
        <w:rPr>
          <w:rFonts w:asciiTheme="minorHAnsi" w:hAnsiTheme="minorHAnsi" w:cstheme="minorHAnsi"/>
          <w:sz w:val="22"/>
          <w:u w:val="single"/>
        </w:rPr>
        <w:t>Essay 2</w:t>
      </w:r>
    </w:p>
    <w:p w14:paraId="7CE692D0" w14:textId="77777777" w:rsidR="0020010E" w:rsidRPr="0020010E" w:rsidRDefault="0020010E" w:rsidP="0020010E">
      <w:pPr>
        <w:rPr>
          <w:rFonts w:asciiTheme="minorHAnsi" w:hAnsiTheme="minorHAnsi" w:cstheme="minorHAnsi"/>
          <w:sz w:val="22"/>
        </w:rPr>
      </w:pPr>
      <w:r w:rsidRPr="0020010E">
        <w:rPr>
          <w:rFonts w:asciiTheme="minorHAnsi" w:hAnsiTheme="minorHAnsi" w:cstheme="minorHAnsi"/>
          <w:sz w:val="22"/>
        </w:rPr>
        <w:t xml:space="preserve">In this essay I will be researching how effective is multi-agency approach as a means of managing violent and sexual offenders. My answers will be based on academic research, and I will also be </w:t>
      </w:r>
      <w:proofErr w:type="gramStart"/>
      <w:r w:rsidRPr="0020010E">
        <w:rPr>
          <w:rFonts w:asciiTheme="minorHAnsi" w:hAnsiTheme="minorHAnsi" w:cstheme="minorHAnsi"/>
          <w:sz w:val="22"/>
        </w:rPr>
        <w:t>making reference</w:t>
      </w:r>
      <w:proofErr w:type="gramEnd"/>
      <w:r w:rsidRPr="0020010E">
        <w:rPr>
          <w:rFonts w:asciiTheme="minorHAnsi" w:hAnsiTheme="minorHAnsi" w:cstheme="minorHAnsi"/>
          <w:sz w:val="22"/>
        </w:rPr>
        <w:t xml:space="preserve"> to relevant case studies.</w:t>
      </w:r>
    </w:p>
    <w:p w14:paraId="349B3E9B" w14:textId="77777777" w:rsidR="0020010E" w:rsidRPr="0020010E" w:rsidRDefault="0020010E" w:rsidP="0020010E">
      <w:pPr>
        <w:rPr>
          <w:rFonts w:asciiTheme="minorHAnsi" w:hAnsiTheme="minorHAnsi" w:cstheme="minorHAnsi"/>
          <w:sz w:val="22"/>
        </w:rPr>
      </w:pPr>
      <w:r w:rsidRPr="0020010E">
        <w:rPr>
          <w:rFonts w:asciiTheme="minorHAnsi" w:hAnsiTheme="minorHAnsi" w:cstheme="minorHAnsi"/>
          <w:sz w:val="22"/>
        </w:rPr>
        <w:t>To begin we must look into the multi agencies that govern Violent and Sexual Offenders. Through research into the College of Policing, it would be apparent that there are Multi-agency Public Arrangements (MAPPA), which will be mentioned many times during this essay. (College of Policing, 2017)</w:t>
      </w:r>
    </w:p>
    <w:p w14:paraId="42BDA2B1" w14:textId="77777777" w:rsidR="0020010E" w:rsidRPr="0020010E" w:rsidRDefault="0020010E" w:rsidP="0020010E">
      <w:pPr>
        <w:rPr>
          <w:rFonts w:asciiTheme="minorHAnsi" w:hAnsiTheme="minorHAnsi" w:cstheme="minorHAnsi"/>
          <w:sz w:val="22"/>
        </w:rPr>
      </w:pPr>
      <w:r w:rsidRPr="0020010E">
        <w:rPr>
          <w:rFonts w:asciiTheme="minorHAnsi" w:hAnsiTheme="minorHAnsi" w:cstheme="minorHAnsi"/>
          <w:sz w:val="22"/>
        </w:rPr>
        <w:t xml:space="preserve">In each of England and </w:t>
      </w:r>
      <w:proofErr w:type="spellStart"/>
      <w:r w:rsidRPr="0020010E">
        <w:rPr>
          <w:rFonts w:asciiTheme="minorHAnsi" w:hAnsiTheme="minorHAnsi" w:cstheme="minorHAnsi"/>
          <w:sz w:val="22"/>
        </w:rPr>
        <w:t>Wales'</w:t>
      </w:r>
      <w:proofErr w:type="spellEnd"/>
      <w:r w:rsidRPr="0020010E">
        <w:rPr>
          <w:rFonts w:asciiTheme="minorHAnsi" w:hAnsiTheme="minorHAnsi" w:cstheme="minorHAnsi"/>
          <w:sz w:val="22"/>
        </w:rPr>
        <w:t xml:space="preserve"> 42 criminal justice areas, multi-agency public protection arrangements (MAPPAs) were formed under Sections 325 to 327B of the Criminal Justice Act 2003 (CJA). These policies are intended to safeguard the general populace, especially crime victims, from substantial harm caused by sexual, violent, and other dangerous criminals. According to MAPPA, criminal justice organisations and other organisations must collaborate with these offenders. (College of Policing, 2017).</w:t>
      </w:r>
    </w:p>
    <w:p w14:paraId="001726BD" w14:textId="77777777" w:rsidR="0020010E" w:rsidRPr="0020010E" w:rsidRDefault="0020010E" w:rsidP="0020010E">
      <w:pPr>
        <w:rPr>
          <w:rFonts w:asciiTheme="minorHAnsi" w:hAnsiTheme="minorHAnsi" w:cstheme="minorHAnsi"/>
          <w:sz w:val="22"/>
        </w:rPr>
      </w:pPr>
      <w:r w:rsidRPr="0020010E">
        <w:rPr>
          <w:rFonts w:asciiTheme="minorHAnsi" w:hAnsiTheme="minorHAnsi" w:cstheme="minorHAnsi"/>
          <w:sz w:val="22"/>
        </w:rPr>
        <w:t xml:space="preserve">According to the research NARCO, 2023. MAPPA is a system by which agencies can more efficiently carry out their legal obligations and protect the public in a coordinated way. It was established in 2000 under the Criminal Justice and Court Services Act 2000, but it was replaced by Sections 325 to 327B of the Criminal Justice Act 2003. Multi-Agency Public Protection Arrangements, or MAPPA, is the process by which several organizations, including the England and Wales Police Forces, HM Prison Service, and National Probation </w:t>
      </w:r>
      <w:r w:rsidRPr="0020010E">
        <w:rPr>
          <w:rFonts w:asciiTheme="minorHAnsi" w:hAnsiTheme="minorHAnsi" w:cstheme="minorHAnsi"/>
          <w:sz w:val="22"/>
        </w:rPr>
        <w:lastRenderedPageBreak/>
        <w:t>Service, cooperate to manage the risks posed by violent and sexual offenders living in the community. MAPPA strives to regulate the risks that sexual and violent criminals pose to society by reducing the risks associated with these sorts of offenders. (NARCO, 2023).</w:t>
      </w:r>
    </w:p>
    <w:p w14:paraId="1335CA40" w14:textId="77777777" w:rsidR="0020010E" w:rsidRPr="0020010E" w:rsidRDefault="0020010E" w:rsidP="0020010E">
      <w:pPr>
        <w:rPr>
          <w:rFonts w:asciiTheme="minorHAnsi" w:hAnsiTheme="minorHAnsi" w:cstheme="minorHAnsi"/>
          <w:sz w:val="22"/>
        </w:rPr>
      </w:pPr>
      <w:r w:rsidRPr="0020010E">
        <w:rPr>
          <w:rFonts w:asciiTheme="minorHAnsi" w:hAnsiTheme="minorHAnsi" w:cstheme="minorHAnsi"/>
          <w:sz w:val="22"/>
        </w:rPr>
        <w:t>Research into MAPPA, through NARCO, 2023 shows that there are three categories of MAPPA offenders, these are as follows:</w:t>
      </w:r>
    </w:p>
    <w:p w14:paraId="119CA576" w14:textId="77777777" w:rsidR="0020010E" w:rsidRPr="0020010E" w:rsidRDefault="0020010E" w:rsidP="0020010E">
      <w:pPr>
        <w:pStyle w:val="NormalWeb"/>
        <w:numPr>
          <w:ilvl w:val="0"/>
          <w:numId w:val="2"/>
        </w:numPr>
        <w:shd w:val="clear" w:color="auto" w:fill="FFFFFF"/>
        <w:spacing w:before="0" w:after="0"/>
        <w:textAlignment w:val="baseline"/>
        <w:rPr>
          <w:rFonts w:asciiTheme="minorHAnsi" w:hAnsiTheme="minorHAnsi" w:cstheme="minorHAnsi"/>
          <w:color w:val="000000"/>
          <w:sz w:val="22"/>
          <w:szCs w:val="22"/>
        </w:rPr>
      </w:pPr>
      <w:r w:rsidRPr="0020010E">
        <w:rPr>
          <w:rStyle w:val="Strong"/>
          <w:rFonts w:asciiTheme="minorHAnsi" w:hAnsiTheme="minorHAnsi" w:cstheme="minorHAnsi"/>
          <w:color w:val="000000"/>
          <w:sz w:val="22"/>
          <w:szCs w:val="22"/>
          <w:bdr w:val="none" w:sz="0" w:space="0" w:color="auto" w:frame="1"/>
        </w:rPr>
        <w:t>Category One –</w:t>
      </w:r>
      <w:r w:rsidRPr="0020010E">
        <w:rPr>
          <w:rFonts w:asciiTheme="minorHAnsi" w:hAnsiTheme="minorHAnsi" w:cstheme="minorHAnsi"/>
          <w:color w:val="000000"/>
          <w:sz w:val="22"/>
          <w:szCs w:val="22"/>
        </w:rPr>
        <w:t> All registered sexual offenders. Registered sexual offenders are required to notify the police of their name, address, and personal details under the terms of the Sexual Offences Act 2003.</w:t>
      </w:r>
    </w:p>
    <w:p w14:paraId="41846771" w14:textId="77777777" w:rsidR="0020010E" w:rsidRPr="0020010E" w:rsidRDefault="0020010E" w:rsidP="0020010E">
      <w:pPr>
        <w:pStyle w:val="NormalWeb"/>
        <w:numPr>
          <w:ilvl w:val="0"/>
          <w:numId w:val="2"/>
        </w:numPr>
        <w:shd w:val="clear" w:color="auto" w:fill="FFFFFF"/>
        <w:spacing w:before="0" w:after="0"/>
        <w:textAlignment w:val="baseline"/>
        <w:rPr>
          <w:rFonts w:asciiTheme="minorHAnsi" w:hAnsiTheme="minorHAnsi" w:cstheme="minorHAnsi"/>
          <w:color w:val="000000"/>
          <w:sz w:val="22"/>
          <w:szCs w:val="22"/>
        </w:rPr>
      </w:pPr>
      <w:r w:rsidRPr="0020010E">
        <w:rPr>
          <w:rStyle w:val="Strong"/>
          <w:rFonts w:asciiTheme="minorHAnsi" w:hAnsiTheme="minorHAnsi" w:cstheme="minorHAnsi"/>
          <w:color w:val="000000"/>
          <w:sz w:val="22"/>
          <w:szCs w:val="22"/>
          <w:bdr w:val="none" w:sz="0" w:space="0" w:color="auto" w:frame="1"/>
        </w:rPr>
        <w:t>Category Two –</w:t>
      </w:r>
      <w:r w:rsidRPr="0020010E">
        <w:rPr>
          <w:rFonts w:asciiTheme="minorHAnsi" w:hAnsiTheme="minorHAnsi" w:cstheme="minorHAnsi"/>
          <w:color w:val="000000"/>
          <w:sz w:val="22"/>
          <w:szCs w:val="22"/>
        </w:rPr>
        <w:t> Violent or other sex offenders not subject to notification requirements, including violent offenders who have been sentenced to 12 months or more, or to detention in hospital, and who are now living in the community subject to probation supervision.</w:t>
      </w:r>
    </w:p>
    <w:p w14:paraId="0F813DF4" w14:textId="77777777" w:rsidR="0020010E" w:rsidRPr="0020010E" w:rsidRDefault="0020010E" w:rsidP="0020010E">
      <w:pPr>
        <w:pStyle w:val="NormalWeb"/>
        <w:numPr>
          <w:ilvl w:val="0"/>
          <w:numId w:val="2"/>
        </w:numPr>
        <w:shd w:val="clear" w:color="auto" w:fill="FFFFFF"/>
        <w:spacing w:before="0" w:after="0"/>
        <w:textAlignment w:val="baseline"/>
        <w:rPr>
          <w:rFonts w:asciiTheme="minorHAnsi" w:hAnsiTheme="minorHAnsi" w:cstheme="minorHAnsi"/>
          <w:color w:val="000000"/>
          <w:sz w:val="22"/>
          <w:szCs w:val="22"/>
        </w:rPr>
      </w:pPr>
      <w:r w:rsidRPr="0020010E">
        <w:rPr>
          <w:rStyle w:val="Strong"/>
          <w:rFonts w:asciiTheme="minorHAnsi" w:hAnsiTheme="minorHAnsi" w:cstheme="minorHAnsi"/>
          <w:color w:val="000000"/>
          <w:sz w:val="22"/>
          <w:szCs w:val="22"/>
          <w:bdr w:val="none" w:sz="0" w:space="0" w:color="auto" w:frame="1"/>
        </w:rPr>
        <w:t>Category Three</w:t>
      </w:r>
      <w:r w:rsidRPr="0020010E">
        <w:rPr>
          <w:rFonts w:asciiTheme="minorHAnsi" w:hAnsiTheme="minorHAnsi" w:cstheme="minorHAnsi"/>
          <w:color w:val="000000"/>
          <w:sz w:val="22"/>
          <w:szCs w:val="22"/>
        </w:rPr>
        <w:t> – Other dangerous offenders who have committed an offence in the past and who are considered to pose a risk of serious harm to the public.</w:t>
      </w:r>
    </w:p>
    <w:p w14:paraId="6C326A1E" w14:textId="77777777" w:rsidR="0020010E" w:rsidRPr="0020010E" w:rsidRDefault="0020010E" w:rsidP="0020010E">
      <w:pPr>
        <w:pStyle w:val="NormalWeb"/>
        <w:shd w:val="clear" w:color="auto" w:fill="FFFFFF"/>
        <w:spacing w:before="0" w:after="0"/>
        <w:textAlignment w:val="baseline"/>
        <w:rPr>
          <w:rFonts w:asciiTheme="minorHAnsi" w:hAnsiTheme="minorHAnsi" w:cstheme="minorHAnsi"/>
          <w:color w:val="000000"/>
          <w:sz w:val="22"/>
          <w:szCs w:val="22"/>
        </w:rPr>
      </w:pPr>
      <w:r w:rsidRPr="0020010E">
        <w:rPr>
          <w:rFonts w:asciiTheme="minorHAnsi" w:hAnsiTheme="minorHAnsi" w:cstheme="minorHAnsi"/>
          <w:color w:val="000000"/>
          <w:sz w:val="22"/>
          <w:szCs w:val="22"/>
        </w:rPr>
        <w:t>(NARCO, 2023)</w:t>
      </w:r>
    </w:p>
    <w:p w14:paraId="651DEEBE" w14:textId="77777777" w:rsidR="0020010E" w:rsidRPr="0020010E" w:rsidRDefault="0020010E" w:rsidP="0020010E">
      <w:pPr>
        <w:pStyle w:val="NormalWeb"/>
        <w:shd w:val="clear" w:color="auto" w:fill="FFFFFF"/>
        <w:spacing w:before="0" w:after="0"/>
        <w:textAlignment w:val="baseline"/>
        <w:rPr>
          <w:rFonts w:asciiTheme="minorHAnsi" w:hAnsiTheme="minorHAnsi" w:cstheme="minorHAnsi"/>
          <w:color w:val="000000"/>
          <w:sz w:val="22"/>
          <w:szCs w:val="22"/>
        </w:rPr>
      </w:pPr>
      <w:r w:rsidRPr="0020010E">
        <w:rPr>
          <w:rFonts w:asciiTheme="minorHAnsi" w:hAnsiTheme="minorHAnsi" w:cstheme="minorHAnsi"/>
          <w:color w:val="000000"/>
          <w:sz w:val="22"/>
          <w:szCs w:val="22"/>
        </w:rPr>
        <w:t xml:space="preserve">According to the research (Bryant, Peck and </w:t>
      </w:r>
      <w:proofErr w:type="spellStart"/>
      <w:r w:rsidRPr="0020010E">
        <w:rPr>
          <w:rFonts w:asciiTheme="minorHAnsi" w:hAnsiTheme="minorHAnsi" w:cstheme="minorHAnsi"/>
          <w:color w:val="000000"/>
          <w:sz w:val="22"/>
          <w:szCs w:val="22"/>
        </w:rPr>
        <w:t>Lovbakke</w:t>
      </w:r>
      <w:proofErr w:type="spellEnd"/>
      <w:r w:rsidRPr="0020010E">
        <w:rPr>
          <w:rFonts w:asciiTheme="minorHAnsi" w:hAnsiTheme="minorHAnsi" w:cstheme="minorHAnsi"/>
          <w:color w:val="000000"/>
          <w:sz w:val="22"/>
          <w:szCs w:val="22"/>
        </w:rPr>
        <w:t>, 2015) we can investigate the effectiveness of one year reoffending rates of the new MAPPA eligible offenders, 2000-2010. This graph has been taken from Reoffending Analysis of MAPPA Eligible Offenders.</w:t>
      </w:r>
    </w:p>
    <w:p w14:paraId="485CD3F4" w14:textId="77777777" w:rsidR="0020010E" w:rsidRPr="0020010E" w:rsidRDefault="0020010E" w:rsidP="0020010E">
      <w:pPr>
        <w:pStyle w:val="NormalWeb"/>
        <w:shd w:val="clear" w:color="auto" w:fill="FFFFFF"/>
        <w:spacing w:before="0" w:after="0"/>
        <w:textAlignment w:val="baseline"/>
        <w:rPr>
          <w:rFonts w:asciiTheme="minorHAnsi" w:hAnsiTheme="minorHAnsi" w:cstheme="minorHAnsi"/>
          <w:color w:val="000000"/>
          <w:sz w:val="22"/>
          <w:szCs w:val="22"/>
        </w:rPr>
      </w:pPr>
      <w:r w:rsidRPr="0020010E">
        <w:rPr>
          <w:rFonts w:asciiTheme="minorHAnsi" w:hAnsiTheme="minorHAnsi" w:cstheme="minorHAnsi"/>
          <w:noProof/>
          <w:sz w:val="22"/>
          <w:szCs w:val="22"/>
        </w:rPr>
        <w:drawing>
          <wp:inline distT="0" distB="0" distL="0" distR="0" wp14:anchorId="79A14C9D" wp14:editId="3C051F6B">
            <wp:extent cx="4695825" cy="3209925"/>
            <wp:effectExtent l="0" t="0" r="9525" b="9525"/>
            <wp:docPr id="678661768" name="Picture 1" descr="A graph with lines and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661768" name="Picture 1" descr="A graph with lines and dots&#10;&#10;Description automatically generated"/>
                    <pic:cNvPicPr/>
                  </pic:nvPicPr>
                  <pic:blipFill>
                    <a:blip r:embed="rId6"/>
                    <a:stretch>
                      <a:fillRect/>
                    </a:stretch>
                  </pic:blipFill>
                  <pic:spPr>
                    <a:xfrm>
                      <a:off x="0" y="0"/>
                      <a:ext cx="4695825" cy="3209925"/>
                    </a:xfrm>
                    <a:prstGeom prst="rect">
                      <a:avLst/>
                    </a:prstGeom>
                  </pic:spPr>
                </pic:pic>
              </a:graphicData>
            </a:graphic>
          </wp:inline>
        </w:drawing>
      </w:r>
    </w:p>
    <w:p w14:paraId="2C3C04D1" w14:textId="77777777" w:rsidR="0020010E" w:rsidRPr="0020010E" w:rsidRDefault="0020010E" w:rsidP="0020010E">
      <w:pPr>
        <w:pStyle w:val="NormalWeb"/>
        <w:shd w:val="clear" w:color="auto" w:fill="FFFFFF"/>
        <w:spacing w:before="0" w:after="0"/>
        <w:textAlignment w:val="baseline"/>
        <w:rPr>
          <w:rFonts w:asciiTheme="minorHAnsi" w:hAnsiTheme="minorHAnsi" w:cstheme="minorHAnsi"/>
          <w:color w:val="000000"/>
          <w:sz w:val="22"/>
          <w:szCs w:val="22"/>
        </w:rPr>
      </w:pPr>
      <w:r w:rsidRPr="0020010E">
        <w:rPr>
          <w:rFonts w:asciiTheme="minorHAnsi" w:hAnsiTheme="minorHAnsi" w:cstheme="minorHAnsi"/>
          <w:color w:val="000000"/>
          <w:sz w:val="22"/>
          <w:szCs w:val="22"/>
        </w:rPr>
        <w:t xml:space="preserve">Between 2000 and 2009, a slightly higher proportion of new male offenders eligible for MAPPA reoffended in comparison to new female offenders eligible for MAPPA. They both had a 27% confirmed incidence of reoffending after one year in 2010. Between 2000 and 2010, the one-year proven reoffending rates for new male offenders eligible for MAPPA decreased overall by three percentage points, from 30% to 27%. </w:t>
      </w:r>
    </w:p>
    <w:p w14:paraId="1591A337" w14:textId="77777777" w:rsidR="0020010E" w:rsidRPr="0020010E" w:rsidRDefault="0020010E" w:rsidP="0020010E">
      <w:pPr>
        <w:pStyle w:val="NormalWeb"/>
        <w:shd w:val="clear" w:color="auto" w:fill="FFFFFF"/>
        <w:spacing w:before="0" w:after="0"/>
        <w:textAlignment w:val="baseline"/>
        <w:rPr>
          <w:rFonts w:asciiTheme="minorHAnsi" w:hAnsiTheme="minorHAnsi" w:cstheme="minorHAnsi"/>
          <w:color w:val="000000"/>
          <w:sz w:val="22"/>
          <w:szCs w:val="22"/>
        </w:rPr>
      </w:pPr>
      <w:r w:rsidRPr="0020010E">
        <w:rPr>
          <w:rFonts w:asciiTheme="minorHAnsi" w:hAnsiTheme="minorHAnsi" w:cstheme="minorHAnsi"/>
          <w:color w:val="000000"/>
          <w:sz w:val="22"/>
          <w:szCs w:val="22"/>
        </w:rPr>
        <w:t>25% of new female offenders who qualified for MAPPA in 2000 reoffended. The documented one-year reoffending rate decreased from 28% in 2002 to 22% in 2005. For new female offenders eligible for MAPPA, there has been an overall rise in the reoffending rate since 2005, reaching 27% in 2010.</w:t>
      </w:r>
    </w:p>
    <w:p w14:paraId="0F2F2DEE" w14:textId="77777777" w:rsidR="0020010E" w:rsidRPr="0020010E" w:rsidRDefault="0020010E" w:rsidP="0020010E">
      <w:pPr>
        <w:pStyle w:val="NormalWeb"/>
        <w:shd w:val="clear" w:color="auto" w:fill="FFFFFF"/>
        <w:spacing w:before="0" w:after="0"/>
        <w:textAlignment w:val="baseline"/>
        <w:rPr>
          <w:rFonts w:asciiTheme="minorHAnsi" w:hAnsiTheme="minorHAnsi" w:cstheme="minorHAnsi"/>
          <w:color w:val="000000"/>
          <w:sz w:val="22"/>
          <w:szCs w:val="22"/>
        </w:rPr>
      </w:pPr>
      <w:r w:rsidRPr="0020010E">
        <w:rPr>
          <w:rFonts w:asciiTheme="minorHAnsi" w:hAnsiTheme="minorHAnsi" w:cstheme="minorHAnsi"/>
          <w:color w:val="000000"/>
          <w:sz w:val="22"/>
          <w:szCs w:val="22"/>
        </w:rPr>
        <w:lastRenderedPageBreak/>
        <w:t xml:space="preserve">In whole the graph shows a decrease of the % of new MPPA eligible offenders between 2001 and 2010. This is a positive finding that shows the effectiveness of the MAPPA project that was introduced. (Bryant, Peck and </w:t>
      </w:r>
      <w:proofErr w:type="spellStart"/>
      <w:r w:rsidRPr="0020010E">
        <w:rPr>
          <w:rFonts w:asciiTheme="minorHAnsi" w:hAnsiTheme="minorHAnsi" w:cstheme="minorHAnsi"/>
          <w:color w:val="000000"/>
          <w:sz w:val="22"/>
          <w:szCs w:val="22"/>
        </w:rPr>
        <w:t>Lovbakke</w:t>
      </w:r>
      <w:proofErr w:type="spellEnd"/>
      <w:r w:rsidRPr="0020010E">
        <w:rPr>
          <w:rFonts w:asciiTheme="minorHAnsi" w:hAnsiTheme="minorHAnsi" w:cstheme="minorHAnsi"/>
          <w:color w:val="000000"/>
          <w:sz w:val="22"/>
          <w:szCs w:val="22"/>
        </w:rPr>
        <w:t>, 2015)</w:t>
      </w:r>
    </w:p>
    <w:p w14:paraId="2001B8BD" w14:textId="77777777" w:rsidR="0020010E" w:rsidRPr="0020010E" w:rsidRDefault="0020010E" w:rsidP="0020010E">
      <w:pPr>
        <w:pStyle w:val="NormalWeb"/>
        <w:shd w:val="clear" w:color="auto" w:fill="FFFFFF"/>
        <w:spacing w:before="0" w:after="0"/>
        <w:textAlignment w:val="baseline"/>
        <w:rPr>
          <w:rFonts w:asciiTheme="minorHAnsi" w:hAnsiTheme="minorHAnsi" w:cstheme="minorHAnsi"/>
          <w:sz w:val="22"/>
          <w:szCs w:val="22"/>
          <w:shd w:val="clear" w:color="auto" w:fill="FFFFFF"/>
        </w:rPr>
      </w:pPr>
      <w:proofErr w:type="gramStart"/>
      <w:r w:rsidRPr="0020010E">
        <w:rPr>
          <w:rFonts w:asciiTheme="minorHAnsi" w:hAnsiTheme="minorHAnsi" w:cstheme="minorHAnsi"/>
          <w:color w:val="000000"/>
          <w:sz w:val="22"/>
          <w:szCs w:val="22"/>
        </w:rPr>
        <w:t>But,</w:t>
      </w:r>
      <w:proofErr w:type="gramEnd"/>
      <w:r w:rsidRPr="0020010E">
        <w:rPr>
          <w:rFonts w:asciiTheme="minorHAnsi" w:hAnsiTheme="minorHAnsi" w:cstheme="minorHAnsi"/>
          <w:color w:val="000000"/>
          <w:sz w:val="22"/>
          <w:szCs w:val="22"/>
        </w:rPr>
        <w:t xml:space="preserve"> research shows particular failings involving MAPPA and other public protection agencies. These failings have been widely spread through the media and has been highlighted by HM Inspectorate of Probation. This failing would be related to the </w:t>
      </w:r>
      <w:r w:rsidRPr="0020010E">
        <w:rPr>
          <w:rFonts w:asciiTheme="minorHAnsi" w:hAnsiTheme="minorHAnsi" w:cstheme="minorHAnsi"/>
          <w:sz w:val="22"/>
          <w:szCs w:val="22"/>
          <w:shd w:val="clear" w:color="auto" w:fill="FFFFFF"/>
        </w:rPr>
        <w:t>Jack Merritt and Saskia Jones in the Fishmongers’ Hall terror attack by Usman Khan on November 29</w:t>
      </w:r>
      <w:r w:rsidRPr="0020010E">
        <w:rPr>
          <w:rFonts w:asciiTheme="minorHAnsi" w:hAnsiTheme="minorHAnsi" w:cstheme="minorHAnsi"/>
          <w:sz w:val="22"/>
          <w:szCs w:val="22"/>
          <w:shd w:val="clear" w:color="auto" w:fill="FFFFFF"/>
          <w:vertAlign w:val="superscript"/>
        </w:rPr>
        <w:t>th</w:t>
      </w:r>
      <w:r w:rsidRPr="0020010E">
        <w:rPr>
          <w:rFonts w:asciiTheme="minorHAnsi" w:hAnsiTheme="minorHAnsi" w:cstheme="minorHAnsi"/>
          <w:sz w:val="22"/>
          <w:szCs w:val="22"/>
          <w:shd w:val="clear" w:color="auto" w:fill="FFFFFF"/>
        </w:rPr>
        <w:t xml:space="preserve">, 2019. (HM Inspectorate of </w:t>
      </w:r>
      <w:proofErr w:type="gramStart"/>
      <w:r w:rsidRPr="0020010E">
        <w:rPr>
          <w:rFonts w:asciiTheme="minorHAnsi" w:hAnsiTheme="minorHAnsi" w:cstheme="minorHAnsi"/>
          <w:sz w:val="22"/>
          <w:szCs w:val="22"/>
          <w:shd w:val="clear" w:color="auto" w:fill="FFFFFF"/>
        </w:rPr>
        <w:t>Probation ,</w:t>
      </w:r>
      <w:proofErr w:type="gramEnd"/>
      <w:r w:rsidRPr="0020010E">
        <w:rPr>
          <w:rFonts w:asciiTheme="minorHAnsi" w:hAnsiTheme="minorHAnsi" w:cstheme="minorHAnsi"/>
          <w:sz w:val="22"/>
          <w:szCs w:val="22"/>
          <w:shd w:val="clear" w:color="auto" w:fill="FFFFFF"/>
        </w:rPr>
        <w:t xml:space="preserve"> 2021)</w:t>
      </w:r>
    </w:p>
    <w:p w14:paraId="7D18E3C1" w14:textId="77777777" w:rsidR="0020010E" w:rsidRPr="0020010E" w:rsidRDefault="0020010E" w:rsidP="0020010E">
      <w:pPr>
        <w:pStyle w:val="NormalWeb"/>
        <w:shd w:val="clear" w:color="auto" w:fill="FFFFFF"/>
        <w:spacing w:before="0" w:after="0"/>
        <w:textAlignment w:val="baseline"/>
        <w:rPr>
          <w:rFonts w:asciiTheme="minorHAnsi" w:hAnsiTheme="minorHAnsi" w:cstheme="minorHAnsi"/>
          <w:color w:val="000000"/>
          <w:sz w:val="22"/>
          <w:szCs w:val="22"/>
        </w:rPr>
      </w:pPr>
      <w:r w:rsidRPr="0020010E">
        <w:rPr>
          <w:rFonts w:asciiTheme="minorHAnsi" w:hAnsiTheme="minorHAnsi" w:cstheme="minorHAnsi"/>
          <w:color w:val="000000"/>
          <w:sz w:val="22"/>
          <w:szCs w:val="22"/>
        </w:rPr>
        <w:t xml:space="preserve">Usman Khan who was released into the society was found to pose a "very high risk" of significant injury to the public in the community, meaning that a seriously detrimental incident was imminent and more likely to occur, according to an OASys assessment conducted by his probation officer shortly before his release. There were two pieces of intelligence that surfaced just before his release from jail that suggested he had both (a) plans to go back to his old habits upon release (which was regarded as a reference to some sort of terrorist offence), and (b) plans to launch an attack after his release. Usman Khan was managed as part of the MAPPA as of June 2018. These required holding regular meetings with officials of the National Probation Service, police forces, and other parties with pertinent duties for him. In order to reduce the </w:t>
      </w:r>
      <w:proofErr w:type="gramStart"/>
      <w:r w:rsidRPr="0020010E">
        <w:rPr>
          <w:rFonts w:asciiTheme="minorHAnsi" w:hAnsiTheme="minorHAnsi" w:cstheme="minorHAnsi"/>
          <w:color w:val="000000"/>
          <w:sz w:val="22"/>
          <w:szCs w:val="22"/>
        </w:rPr>
        <w:t>hazards</w:t>
      </w:r>
      <w:proofErr w:type="gramEnd"/>
      <w:r w:rsidRPr="0020010E">
        <w:rPr>
          <w:rFonts w:asciiTheme="minorHAnsi" w:hAnsiTheme="minorHAnsi" w:cstheme="minorHAnsi"/>
          <w:color w:val="000000"/>
          <w:sz w:val="22"/>
          <w:szCs w:val="22"/>
        </w:rPr>
        <w:t xml:space="preserve"> he posed, reports were given to the meetings and choices were made. (Courts and Tribunal </w:t>
      </w:r>
      <w:proofErr w:type="gramStart"/>
      <w:r w:rsidRPr="0020010E">
        <w:rPr>
          <w:rFonts w:asciiTheme="minorHAnsi" w:hAnsiTheme="minorHAnsi" w:cstheme="minorHAnsi"/>
          <w:color w:val="000000"/>
          <w:sz w:val="22"/>
          <w:szCs w:val="22"/>
        </w:rPr>
        <w:t>Judiciary ,</w:t>
      </w:r>
      <w:proofErr w:type="gramEnd"/>
      <w:r w:rsidRPr="0020010E">
        <w:rPr>
          <w:rFonts w:asciiTheme="minorHAnsi" w:hAnsiTheme="minorHAnsi" w:cstheme="minorHAnsi"/>
          <w:color w:val="000000"/>
          <w:sz w:val="22"/>
          <w:szCs w:val="22"/>
        </w:rPr>
        <w:t xml:space="preserve"> no date)</w:t>
      </w:r>
    </w:p>
    <w:p w14:paraId="3EE64CB0" w14:textId="77777777" w:rsidR="0020010E" w:rsidRPr="0020010E" w:rsidRDefault="0020010E" w:rsidP="0020010E">
      <w:pPr>
        <w:pStyle w:val="NormalWeb"/>
        <w:shd w:val="clear" w:color="auto" w:fill="FFFFFF"/>
        <w:spacing w:before="0" w:after="0"/>
        <w:textAlignment w:val="baseline"/>
        <w:rPr>
          <w:rFonts w:asciiTheme="minorHAnsi" w:hAnsiTheme="minorHAnsi" w:cstheme="minorHAnsi"/>
          <w:sz w:val="22"/>
          <w:szCs w:val="22"/>
        </w:rPr>
      </w:pPr>
      <w:r w:rsidRPr="0020010E">
        <w:rPr>
          <w:rFonts w:asciiTheme="minorHAnsi" w:hAnsiTheme="minorHAnsi" w:cstheme="minorHAnsi"/>
          <w:sz w:val="22"/>
          <w:szCs w:val="22"/>
        </w:rPr>
        <w:t>The prospective event was discussed in either two or three of the MAPPA panel meetings held between August and November 2019, but it does not appear that the MAPPA agencies considered the risks of Usman Khan attending such an event or expressly approved his attendance. It is however right to say that none objected. (Courts and Tribunal Judiciary, no date).</w:t>
      </w:r>
    </w:p>
    <w:p w14:paraId="2418D33B" w14:textId="77777777" w:rsidR="0020010E" w:rsidRPr="0020010E" w:rsidRDefault="0020010E" w:rsidP="0020010E">
      <w:pPr>
        <w:pStyle w:val="NormalWeb"/>
        <w:shd w:val="clear" w:color="auto" w:fill="FFFFFF"/>
        <w:spacing w:before="0" w:after="0"/>
        <w:textAlignment w:val="baseline"/>
        <w:rPr>
          <w:rFonts w:asciiTheme="minorHAnsi" w:hAnsiTheme="minorHAnsi" w:cstheme="minorHAnsi"/>
          <w:sz w:val="22"/>
          <w:szCs w:val="22"/>
        </w:rPr>
      </w:pPr>
      <w:r w:rsidRPr="0020010E">
        <w:rPr>
          <w:rFonts w:asciiTheme="minorHAnsi" w:hAnsiTheme="minorHAnsi" w:cstheme="minorHAnsi"/>
          <w:sz w:val="22"/>
          <w:szCs w:val="22"/>
        </w:rPr>
        <w:t xml:space="preserve">The failures of MAPPA and other panels in the meeting identifying and highlighting the risks posed by Khan attending this event ultimately resulted in Khan attending this event at </w:t>
      </w:r>
      <w:proofErr w:type="gramStart"/>
      <w:r w:rsidRPr="0020010E">
        <w:rPr>
          <w:rFonts w:asciiTheme="minorHAnsi" w:hAnsiTheme="minorHAnsi" w:cstheme="minorHAnsi"/>
          <w:sz w:val="22"/>
          <w:szCs w:val="22"/>
        </w:rPr>
        <w:t>Fishmonger’s hall</w:t>
      </w:r>
      <w:proofErr w:type="gramEnd"/>
      <w:r w:rsidRPr="0020010E">
        <w:rPr>
          <w:rFonts w:asciiTheme="minorHAnsi" w:hAnsiTheme="minorHAnsi" w:cstheme="minorHAnsi"/>
          <w:sz w:val="22"/>
          <w:szCs w:val="22"/>
        </w:rPr>
        <w:t xml:space="preserve"> in the City of London, adjacent to London Bridge, and committing an act of terror resulting in two deaths of innocent members of the public and his own death after he was shot by police. (Courts and Tribunal Judiciary, no date).</w:t>
      </w:r>
    </w:p>
    <w:p w14:paraId="676C495C" w14:textId="77777777" w:rsidR="0020010E" w:rsidRPr="0020010E" w:rsidRDefault="0020010E" w:rsidP="0020010E">
      <w:pPr>
        <w:pStyle w:val="NormalWeb"/>
        <w:shd w:val="clear" w:color="auto" w:fill="FFFFFF"/>
        <w:spacing w:before="0" w:after="0"/>
        <w:textAlignment w:val="baseline"/>
        <w:rPr>
          <w:rFonts w:asciiTheme="minorHAnsi" w:hAnsiTheme="minorHAnsi" w:cstheme="minorHAnsi"/>
          <w:sz w:val="22"/>
          <w:szCs w:val="22"/>
        </w:rPr>
      </w:pPr>
      <w:r w:rsidRPr="0020010E">
        <w:rPr>
          <w:rFonts w:asciiTheme="minorHAnsi" w:hAnsiTheme="minorHAnsi" w:cstheme="minorHAnsi"/>
          <w:sz w:val="22"/>
          <w:szCs w:val="22"/>
        </w:rPr>
        <w:t xml:space="preserve">Lessons have been learnt by researching into </w:t>
      </w:r>
      <w:r w:rsidRPr="0020010E">
        <w:rPr>
          <w:rFonts w:asciiTheme="minorHAnsi" w:hAnsiTheme="minorHAnsi" w:cstheme="minorHAnsi"/>
          <w:sz w:val="22"/>
          <w:szCs w:val="22"/>
          <w:shd w:val="clear" w:color="auto" w:fill="FFFFFF"/>
        </w:rPr>
        <w:t xml:space="preserve">(HM Inspectorate of </w:t>
      </w:r>
      <w:proofErr w:type="gramStart"/>
      <w:r w:rsidRPr="0020010E">
        <w:rPr>
          <w:rFonts w:asciiTheme="minorHAnsi" w:hAnsiTheme="minorHAnsi" w:cstheme="minorHAnsi"/>
          <w:sz w:val="22"/>
          <w:szCs w:val="22"/>
          <w:shd w:val="clear" w:color="auto" w:fill="FFFFFF"/>
        </w:rPr>
        <w:t>Probation ,</w:t>
      </w:r>
      <w:proofErr w:type="gramEnd"/>
      <w:r w:rsidRPr="0020010E">
        <w:rPr>
          <w:rFonts w:asciiTheme="minorHAnsi" w:hAnsiTheme="minorHAnsi" w:cstheme="minorHAnsi"/>
          <w:sz w:val="22"/>
          <w:szCs w:val="22"/>
          <w:shd w:val="clear" w:color="auto" w:fill="FFFFFF"/>
        </w:rPr>
        <w:t xml:space="preserve"> 2021) where new safeguarding structures have been established such as NPA National Security Division.</w:t>
      </w:r>
    </w:p>
    <w:p w14:paraId="404740D6" w14:textId="77777777" w:rsidR="0020010E" w:rsidRPr="0020010E" w:rsidRDefault="0020010E" w:rsidP="0020010E">
      <w:pPr>
        <w:pStyle w:val="NormalWeb"/>
        <w:shd w:val="clear" w:color="auto" w:fill="FFFFFF"/>
        <w:spacing w:before="0" w:after="0"/>
        <w:textAlignment w:val="baseline"/>
        <w:rPr>
          <w:rFonts w:asciiTheme="minorHAnsi" w:hAnsiTheme="minorHAnsi" w:cstheme="minorHAnsi"/>
          <w:color w:val="000000"/>
          <w:sz w:val="22"/>
          <w:szCs w:val="22"/>
        </w:rPr>
      </w:pPr>
      <w:r w:rsidRPr="0020010E">
        <w:rPr>
          <w:rFonts w:asciiTheme="minorHAnsi" w:hAnsiTheme="minorHAnsi" w:cstheme="minorHAnsi"/>
          <w:color w:val="000000"/>
          <w:sz w:val="22"/>
          <w:szCs w:val="22"/>
        </w:rPr>
        <w:t xml:space="preserve">In this assignment I have researched how effective multi agency approach as a means of managing violent and sexual offenders. My answer has been based off academic research and I have also </w:t>
      </w:r>
      <w:proofErr w:type="gramStart"/>
      <w:r w:rsidRPr="0020010E">
        <w:rPr>
          <w:rFonts w:asciiTheme="minorHAnsi" w:hAnsiTheme="minorHAnsi" w:cstheme="minorHAnsi"/>
          <w:color w:val="000000"/>
          <w:sz w:val="22"/>
          <w:szCs w:val="22"/>
        </w:rPr>
        <w:t>made reference</w:t>
      </w:r>
      <w:proofErr w:type="gramEnd"/>
      <w:r w:rsidRPr="0020010E">
        <w:rPr>
          <w:rFonts w:asciiTheme="minorHAnsi" w:hAnsiTheme="minorHAnsi" w:cstheme="minorHAnsi"/>
          <w:color w:val="000000"/>
          <w:sz w:val="22"/>
          <w:szCs w:val="22"/>
        </w:rPr>
        <w:t xml:space="preserve"> to relevant case studies.</w:t>
      </w:r>
    </w:p>
    <w:p w14:paraId="2AD1CC84" w14:textId="7685AA3C" w:rsidR="0020010E" w:rsidRPr="0020010E" w:rsidRDefault="0020010E" w:rsidP="0020010E">
      <w:pPr>
        <w:pStyle w:val="NormalWeb"/>
        <w:shd w:val="clear" w:color="auto" w:fill="FFFFFF"/>
        <w:spacing w:before="0" w:after="0"/>
        <w:textAlignment w:val="baseline"/>
        <w:rPr>
          <w:rFonts w:asciiTheme="minorHAnsi" w:hAnsiTheme="minorHAnsi" w:cstheme="minorHAnsi"/>
          <w:color w:val="000000"/>
          <w:sz w:val="22"/>
          <w:szCs w:val="22"/>
        </w:rPr>
      </w:pPr>
      <w:r w:rsidRPr="0020010E">
        <w:rPr>
          <w:rFonts w:asciiTheme="minorHAnsi" w:hAnsiTheme="minorHAnsi" w:cstheme="minorHAnsi"/>
          <w:b/>
          <w:bCs/>
          <w:color w:val="000000"/>
          <w:sz w:val="22"/>
          <w:szCs w:val="22"/>
        </w:rPr>
        <w:t>Word Count:</w:t>
      </w:r>
      <w:r w:rsidRPr="0020010E">
        <w:rPr>
          <w:rFonts w:asciiTheme="minorHAnsi" w:hAnsiTheme="minorHAnsi" w:cstheme="minorHAnsi"/>
          <w:color w:val="000000"/>
          <w:sz w:val="22"/>
          <w:szCs w:val="22"/>
        </w:rPr>
        <w:t xml:space="preserve"> 1015</w:t>
      </w:r>
    </w:p>
    <w:p w14:paraId="47A8C38A" w14:textId="2EECC087" w:rsidR="0020010E" w:rsidRPr="0020010E" w:rsidRDefault="0020010E" w:rsidP="0020010E">
      <w:pPr>
        <w:pStyle w:val="NormalWeb"/>
        <w:shd w:val="clear" w:color="auto" w:fill="FFFFFF"/>
        <w:spacing w:before="0" w:after="0"/>
        <w:textAlignment w:val="baseline"/>
        <w:rPr>
          <w:rFonts w:asciiTheme="minorHAnsi" w:hAnsiTheme="minorHAnsi" w:cstheme="minorHAnsi"/>
          <w:color w:val="000000"/>
          <w:sz w:val="22"/>
          <w:szCs w:val="22"/>
          <w:u w:val="single"/>
        </w:rPr>
      </w:pPr>
      <w:r w:rsidRPr="0020010E">
        <w:rPr>
          <w:rFonts w:asciiTheme="minorHAnsi" w:hAnsiTheme="minorHAnsi" w:cstheme="minorHAnsi"/>
          <w:color w:val="000000"/>
          <w:sz w:val="22"/>
          <w:szCs w:val="22"/>
          <w:u w:val="single"/>
        </w:rPr>
        <w:t>Essay 3</w:t>
      </w:r>
    </w:p>
    <w:p w14:paraId="7EFC347D" w14:textId="77777777" w:rsidR="0020010E" w:rsidRPr="0020010E" w:rsidRDefault="0020010E" w:rsidP="0020010E">
      <w:pPr>
        <w:spacing w:after="8" w:line="268" w:lineRule="auto"/>
        <w:ind w:left="0" w:right="507" w:firstLine="0"/>
        <w:jc w:val="left"/>
        <w:rPr>
          <w:rFonts w:asciiTheme="minorHAnsi" w:hAnsiTheme="minorHAnsi" w:cstheme="minorHAnsi"/>
          <w:bCs/>
          <w:sz w:val="22"/>
        </w:rPr>
      </w:pPr>
      <w:r w:rsidRPr="0020010E">
        <w:rPr>
          <w:rFonts w:asciiTheme="minorHAnsi" w:hAnsiTheme="minorHAnsi" w:cstheme="minorHAnsi"/>
          <w:bCs/>
          <w:sz w:val="22"/>
        </w:rPr>
        <w:t xml:space="preserve">In this essay I will be researching into what extent “lifestyle” theory an accurate reflection of what makes certain people vulnerable to becoming a victim of Serious Organised Crime. My answer will be based on academic research into the psychological and socio-economic characteristics of vulnerable people. </w:t>
      </w:r>
    </w:p>
    <w:p w14:paraId="2C769BB8" w14:textId="77777777" w:rsidR="0020010E" w:rsidRPr="0020010E" w:rsidRDefault="0020010E" w:rsidP="0020010E">
      <w:pPr>
        <w:spacing w:after="8" w:line="268" w:lineRule="auto"/>
        <w:ind w:left="0" w:right="507" w:firstLine="0"/>
        <w:jc w:val="left"/>
        <w:rPr>
          <w:rFonts w:asciiTheme="minorHAnsi" w:hAnsiTheme="minorHAnsi" w:cstheme="minorHAnsi"/>
          <w:bCs/>
          <w:sz w:val="22"/>
        </w:rPr>
      </w:pPr>
    </w:p>
    <w:p w14:paraId="5D40A281" w14:textId="77777777" w:rsidR="0020010E" w:rsidRPr="0020010E" w:rsidRDefault="0020010E" w:rsidP="0020010E">
      <w:pPr>
        <w:spacing w:after="8" w:line="268" w:lineRule="auto"/>
        <w:ind w:left="0" w:right="507" w:firstLine="0"/>
        <w:jc w:val="left"/>
        <w:rPr>
          <w:rFonts w:asciiTheme="minorHAnsi" w:hAnsiTheme="minorHAnsi" w:cstheme="minorHAnsi"/>
          <w:bCs/>
          <w:sz w:val="22"/>
        </w:rPr>
      </w:pPr>
      <w:r w:rsidRPr="0020010E">
        <w:rPr>
          <w:rFonts w:asciiTheme="minorHAnsi" w:hAnsiTheme="minorHAnsi" w:cstheme="minorHAnsi"/>
          <w:bCs/>
          <w:sz w:val="22"/>
        </w:rPr>
        <w:t>To begin, we must understand what lifestyle theory is.</w:t>
      </w:r>
      <w:r w:rsidRPr="0020010E">
        <w:rPr>
          <w:rFonts w:asciiTheme="minorHAnsi" w:hAnsiTheme="minorHAnsi" w:cstheme="minorHAnsi"/>
          <w:sz w:val="22"/>
        </w:rPr>
        <w:t xml:space="preserve"> </w:t>
      </w:r>
      <w:r w:rsidRPr="0020010E">
        <w:rPr>
          <w:rFonts w:asciiTheme="minorHAnsi" w:hAnsiTheme="minorHAnsi" w:cstheme="minorHAnsi"/>
          <w:bCs/>
          <w:sz w:val="22"/>
        </w:rPr>
        <w:t xml:space="preserve">According to the research, Lifestyle Theory by </w:t>
      </w:r>
      <w:r w:rsidRPr="0020010E">
        <w:rPr>
          <w:rFonts w:asciiTheme="minorHAnsi" w:hAnsiTheme="minorHAnsi" w:cstheme="minorHAnsi"/>
          <w:sz w:val="22"/>
        </w:rPr>
        <w:t>Walters (2000)</w:t>
      </w:r>
      <w:r w:rsidRPr="0020010E">
        <w:rPr>
          <w:rFonts w:asciiTheme="minorHAnsi" w:hAnsiTheme="minorHAnsi" w:cstheme="minorHAnsi"/>
          <w:bCs/>
          <w:sz w:val="22"/>
        </w:rPr>
        <w:t xml:space="preserve">, crime develops as a result of a continuous interplay between three factors: opportunity, choice, and motivation. Incentive, opportunity, and choice take on distinct </w:t>
      </w:r>
      <w:r w:rsidRPr="0020010E">
        <w:rPr>
          <w:rFonts w:asciiTheme="minorHAnsi" w:hAnsiTheme="minorHAnsi" w:cstheme="minorHAnsi"/>
          <w:bCs/>
          <w:sz w:val="22"/>
        </w:rPr>
        <w:lastRenderedPageBreak/>
        <w:t xml:space="preserve">values and meanings during the initial, transitional, maintenance, burnout/maturity, and last phases of the criminal lifestyle. The inception phase of a criminal lifestyle is motivated by existential anxiety. Once started, the dread of losing out on the advantages of crime serves as an incentive for continuing lifestyle engagement. The motivation has once again shifted to a fear of change by the time the person reaches the third (maintenance) phase of a criminal lifestyle. The motivation for engaging in criminal activity has evolved once more with the onset of the burnout/maturity phase. This time, it is a dread of dying, being disabled, or incarceration. </w:t>
      </w:r>
    </w:p>
    <w:p w14:paraId="13A725B4" w14:textId="77777777" w:rsidR="0020010E" w:rsidRPr="0020010E" w:rsidRDefault="0020010E" w:rsidP="0020010E">
      <w:pPr>
        <w:spacing w:after="8" w:line="268" w:lineRule="auto"/>
        <w:ind w:left="0" w:right="507" w:firstLine="0"/>
        <w:jc w:val="left"/>
        <w:rPr>
          <w:rFonts w:asciiTheme="minorHAnsi" w:hAnsiTheme="minorHAnsi" w:cstheme="minorHAnsi"/>
          <w:bCs/>
          <w:sz w:val="22"/>
        </w:rPr>
      </w:pPr>
    </w:p>
    <w:p w14:paraId="0E5E2104" w14:textId="77777777" w:rsidR="0020010E" w:rsidRPr="0020010E" w:rsidRDefault="0020010E" w:rsidP="0020010E">
      <w:pPr>
        <w:spacing w:after="8" w:line="268" w:lineRule="auto"/>
        <w:ind w:left="0" w:right="507" w:firstLine="0"/>
        <w:jc w:val="left"/>
        <w:rPr>
          <w:rFonts w:asciiTheme="minorHAnsi" w:hAnsiTheme="minorHAnsi" w:cstheme="minorHAnsi"/>
          <w:bCs/>
          <w:sz w:val="22"/>
        </w:rPr>
      </w:pPr>
      <w:r w:rsidRPr="0020010E">
        <w:rPr>
          <w:rFonts w:asciiTheme="minorHAnsi" w:hAnsiTheme="minorHAnsi" w:cstheme="minorHAnsi"/>
          <w:bCs/>
          <w:sz w:val="22"/>
        </w:rPr>
        <w:t xml:space="preserve">In this essay I will be concentrating on the lifestyle theory around young people in geographical areas of London. According to the research </w:t>
      </w:r>
      <w:r w:rsidRPr="0020010E">
        <w:rPr>
          <w:rFonts w:asciiTheme="minorHAnsi" w:hAnsiTheme="minorHAnsi" w:cstheme="minorHAnsi"/>
          <w:sz w:val="22"/>
        </w:rPr>
        <w:t xml:space="preserve">(Annan </w:t>
      </w:r>
      <w:r w:rsidRPr="0020010E">
        <w:rPr>
          <w:rFonts w:asciiTheme="minorHAnsi" w:hAnsiTheme="minorHAnsi" w:cstheme="minorHAnsi"/>
          <w:i/>
          <w:iCs/>
          <w:sz w:val="22"/>
        </w:rPr>
        <w:t>et al.</w:t>
      </w:r>
      <w:r w:rsidRPr="0020010E">
        <w:rPr>
          <w:rFonts w:asciiTheme="minorHAnsi" w:hAnsiTheme="minorHAnsi" w:cstheme="minorHAnsi"/>
          <w:sz w:val="22"/>
        </w:rPr>
        <w:t>, 2021), y</w:t>
      </w:r>
      <w:r w:rsidRPr="0020010E">
        <w:rPr>
          <w:rFonts w:asciiTheme="minorHAnsi" w:hAnsiTheme="minorHAnsi" w:cstheme="minorHAnsi"/>
          <w:bCs/>
          <w:sz w:val="22"/>
        </w:rPr>
        <w:t xml:space="preserve">oung people today face a variety of pressures as a result of their constantly shifting surroundings. Concern over teenage social behaviour and cohesiveness is warranted, given the rise in behavioural issues, and shifting social dynamics. London is distinct in terms of population density and local government, making it one of the world's most culturally and socioeconomically diversified cities. These qualities present unique difficulties. </w:t>
      </w:r>
    </w:p>
    <w:p w14:paraId="4C2559E3" w14:textId="77777777" w:rsidR="0020010E" w:rsidRPr="0020010E" w:rsidRDefault="0020010E" w:rsidP="0020010E">
      <w:pPr>
        <w:spacing w:after="8" w:line="268" w:lineRule="auto"/>
        <w:ind w:left="0" w:right="507" w:firstLine="0"/>
        <w:jc w:val="left"/>
        <w:rPr>
          <w:rFonts w:asciiTheme="minorHAnsi" w:hAnsiTheme="minorHAnsi" w:cstheme="minorHAnsi"/>
          <w:bCs/>
          <w:sz w:val="22"/>
        </w:rPr>
      </w:pPr>
    </w:p>
    <w:p w14:paraId="4FF64596" w14:textId="77777777" w:rsidR="0020010E" w:rsidRPr="0020010E" w:rsidRDefault="0020010E" w:rsidP="0020010E">
      <w:pPr>
        <w:spacing w:after="8" w:line="268" w:lineRule="auto"/>
        <w:ind w:left="0" w:right="507" w:firstLine="0"/>
        <w:jc w:val="left"/>
        <w:rPr>
          <w:rFonts w:asciiTheme="minorHAnsi" w:hAnsiTheme="minorHAnsi" w:cstheme="minorHAnsi"/>
          <w:color w:val="0B0C0C"/>
          <w:sz w:val="22"/>
          <w:shd w:val="clear" w:color="auto" w:fill="FFFFFF"/>
        </w:rPr>
      </w:pPr>
      <w:r w:rsidRPr="0020010E">
        <w:rPr>
          <w:rFonts w:asciiTheme="minorHAnsi" w:hAnsiTheme="minorHAnsi" w:cstheme="minorHAnsi"/>
          <w:bCs/>
          <w:sz w:val="22"/>
        </w:rPr>
        <w:t xml:space="preserve">Serious organised crime targets vulnerable people, typically younger people, in this essay we are looking at young people in London. According to the research into </w:t>
      </w:r>
      <w:r w:rsidRPr="0020010E">
        <w:rPr>
          <w:rFonts w:asciiTheme="minorHAnsi" w:hAnsiTheme="minorHAnsi" w:cstheme="minorHAnsi"/>
          <w:sz w:val="22"/>
        </w:rPr>
        <w:t>(Home Office, 2020),</w:t>
      </w:r>
      <w:r w:rsidRPr="0020010E">
        <w:rPr>
          <w:rFonts w:asciiTheme="minorHAnsi" w:hAnsiTheme="minorHAnsi" w:cstheme="minorHAnsi"/>
          <w:bCs/>
          <w:sz w:val="22"/>
        </w:rPr>
        <w:t xml:space="preserve"> Drug distribution across "county lines" is an exploitative and violent practise. The exploitation of children, adolescents, and vulnerable adults who are told to transport and/or store narcotics, along with related cash or firearms, to dealers or drug users locally or in neighbouring counties, is a prevalent practise along county lines, </w:t>
      </w:r>
      <w:r w:rsidRPr="0020010E">
        <w:rPr>
          <w:rFonts w:asciiTheme="minorHAnsi" w:hAnsiTheme="minorHAnsi" w:cstheme="minorHAnsi"/>
          <w:color w:val="0B0C0C"/>
          <w:sz w:val="22"/>
          <w:shd w:val="clear" w:color="auto" w:fill="FFFFFF"/>
        </w:rPr>
        <w:t xml:space="preserve">age: </w:t>
      </w:r>
      <w:proofErr w:type="gramStart"/>
      <w:r w:rsidRPr="0020010E">
        <w:rPr>
          <w:rFonts w:asciiTheme="minorHAnsi" w:hAnsiTheme="minorHAnsi" w:cstheme="minorHAnsi"/>
          <w:color w:val="0B0C0C"/>
          <w:sz w:val="22"/>
          <w:shd w:val="clear" w:color="auto" w:fill="FFFFFF"/>
        </w:rPr>
        <w:t>15-17 year olds</w:t>
      </w:r>
      <w:proofErr w:type="gramEnd"/>
      <w:r w:rsidRPr="0020010E">
        <w:rPr>
          <w:rFonts w:asciiTheme="minorHAnsi" w:hAnsiTheme="minorHAnsi" w:cstheme="minorHAnsi"/>
          <w:color w:val="0B0C0C"/>
          <w:sz w:val="22"/>
          <w:shd w:val="clear" w:color="auto" w:fill="FFFFFF"/>
        </w:rPr>
        <w:t xml:space="preserve"> make up the majority of the vulnerable people involved in county lines.</w:t>
      </w:r>
    </w:p>
    <w:p w14:paraId="35D86974" w14:textId="77777777" w:rsidR="0020010E" w:rsidRPr="0020010E" w:rsidRDefault="0020010E" w:rsidP="0020010E">
      <w:pPr>
        <w:spacing w:after="8" w:line="268" w:lineRule="auto"/>
        <w:ind w:left="0" w:right="507" w:firstLine="0"/>
        <w:jc w:val="left"/>
        <w:rPr>
          <w:rFonts w:asciiTheme="minorHAnsi" w:hAnsiTheme="minorHAnsi" w:cstheme="minorHAnsi"/>
          <w:color w:val="0B0C0C"/>
          <w:sz w:val="22"/>
          <w:shd w:val="clear" w:color="auto" w:fill="FFFFFF"/>
        </w:rPr>
      </w:pPr>
      <w:r w:rsidRPr="0020010E">
        <w:rPr>
          <w:rFonts w:asciiTheme="minorHAnsi" w:hAnsiTheme="minorHAnsi" w:cstheme="minorHAnsi"/>
          <w:color w:val="0B0C0C"/>
          <w:sz w:val="22"/>
          <w:shd w:val="clear" w:color="auto" w:fill="FFFFFF"/>
        </w:rPr>
        <w:t xml:space="preserve"> </w:t>
      </w:r>
    </w:p>
    <w:p w14:paraId="4A525870" w14:textId="77777777" w:rsidR="0020010E" w:rsidRPr="0020010E" w:rsidRDefault="0020010E" w:rsidP="0020010E">
      <w:pPr>
        <w:spacing w:after="8" w:line="268" w:lineRule="auto"/>
        <w:ind w:left="0" w:right="507" w:firstLine="0"/>
        <w:jc w:val="left"/>
        <w:rPr>
          <w:rFonts w:asciiTheme="minorHAnsi" w:hAnsiTheme="minorHAnsi" w:cstheme="minorHAnsi"/>
          <w:sz w:val="22"/>
        </w:rPr>
      </w:pPr>
      <w:r w:rsidRPr="0020010E">
        <w:rPr>
          <w:rFonts w:asciiTheme="minorHAnsi" w:hAnsiTheme="minorHAnsi" w:cstheme="minorHAnsi"/>
          <w:color w:val="0B0C0C"/>
          <w:sz w:val="22"/>
          <w:shd w:val="clear" w:color="auto" w:fill="FFFFFF"/>
        </w:rPr>
        <w:t xml:space="preserve">Lifestyle theory relates to young people joining organised crime groups, there are many factors and findings that prove this. One being, to feel part of a family, this can be due to experiences that that young person has gone through, due to being a victim of neglect growing up, organised crime groups will prey on that person, giving them that sense of security, send of status, even to the point where other family members are already involved with organised crime groups, the young person themselves now want to be a part of </w:t>
      </w:r>
      <w:r w:rsidRPr="0020010E">
        <w:rPr>
          <w:rFonts w:asciiTheme="minorHAnsi" w:hAnsiTheme="minorHAnsi" w:cstheme="minorHAnsi"/>
          <w:sz w:val="22"/>
        </w:rPr>
        <w:t xml:space="preserve">(thurrock.gov, 2023). </w:t>
      </w:r>
    </w:p>
    <w:p w14:paraId="54179D99" w14:textId="77777777" w:rsidR="0020010E" w:rsidRPr="0020010E" w:rsidRDefault="0020010E" w:rsidP="0020010E">
      <w:pPr>
        <w:spacing w:after="8" w:line="268" w:lineRule="auto"/>
        <w:ind w:left="0" w:right="507" w:firstLine="0"/>
        <w:jc w:val="left"/>
        <w:rPr>
          <w:rFonts w:asciiTheme="minorHAnsi" w:hAnsiTheme="minorHAnsi" w:cstheme="minorHAnsi"/>
          <w:sz w:val="22"/>
        </w:rPr>
      </w:pPr>
    </w:p>
    <w:p w14:paraId="2905D96A" w14:textId="77777777" w:rsidR="0020010E" w:rsidRPr="0020010E" w:rsidRDefault="0020010E" w:rsidP="0020010E">
      <w:pPr>
        <w:spacing w:after="8" w:line="268" w:lineRule="auto"/>
        <w:ind w:left="0" w:right="507" w:firstLine="0"/>
        <w:jc w:val="left"/>
        <w:rPr>
          <w:rFonts w:asciiTheme="minorHAnsi" w:hAnsiTheme="minorHAnsi" w:cstheme="minorHAnsi"/>
          <w:sz w:val="22"/>
        </w:rPr>
      </w:pPr>
      <w:r w:rsidRPr="0020010E">
        <w:rPr>
          <w:rFonts w:asciiTheme="minorHAnsi" w:hAnsiTheme="minorHAnsi" w:cstheme="minorHAnsi"/>
          <w:bCs/>
          <w:sz w:val="22"/>
        </w:rPr>
        <w:t xml:space="preserve">There are many pathways into serious and organised crime, organised crime is not a one size fits all, it’s a totally different world where the majority of us are oblivious from, this is due to the lifestyle that we come from. </w:t>
      </w:r>
      <w:proofErr w:type="gramStart"/>
      <w:r w:rsidRPr="0020010E">
        <w:rPr>
          <w:rFonts w:asciiTheme="minorHAnsi" w:hAnsiTheme="minorHAnsi" w:cstheme="minorHAnsi"/>
          <w:bCs/>
          <w:sz w:val="22"/>
        </w:rPr>
        <w:t>However</w:t>
      </w:r>
      <w:proofErr w:type="gramEnd"/>
      <w:r w:rsidRPr="0020010E">
        <w:rPr>
          <w:rFonts w:asciiTheme="minorHAnsi" w:hAnsiTheme="minorHAnsi" w:cstheme="minorHAnsi"/>
          <w:bCs/>
          <w:sz w:val="22"/>
        </w:rPr>
        <w:t xml:space="preserve"> it is statistically proven that those who come from less affluent areas are more likely to be victims of serious and organised crime as a way of financial benefit. Children raised in impoverished communities by unstable or dispersed families that lack motivation to see their children through to graduation are especially open to harassment and intimidation from street gangs and criminal organisations. They might not get a sense of belonging from their family, but the groups and gangs are likely to provide one for them. These young individuals may first engage in antisocial behaviour and minor crimes before developing into more serious crimes as a result of their growing involvement in gang activities. Subsequently, this might develop into organised crime. In relation to the lifestyle theory spoken about in the first paragraph this would be the initial phase of criminal lifestyle. </w:t>
      </w:r>
      <w:r w:rsidRPr="0020010E">
        <w:rPr>
          <w:rFonts w:asciiTheme="minorHAnsi" w:hAnsiTheme="minorHAnsi" w:cstheme="minorHAnsi"/>
          <w:sz w:val="22"/>
        </w:rPr>
        <w:t>National Crime Agency (2016)</w:t>
      </w:r>
    </w:p>
    <w:p w14:paraId="60728163" w14:textId="77777777" w:rsidR="0020010E" w:rsidRPr="0020010E" w:rsidRDefault="0020010E" w:rsidP="0020010E">
      <w:pPr>
        <w:spacing w:after="8" w:line="268" w:lineRule="auto"/>
        <w:ind w:left="0" w:right="507" w:firstLine="0"/>
        <w:jc w:val="left"/>
        <w:rPr>
          <w:rFonts w:asciiTheme="minorHAnsi" w:hAnsiTheme="minorHAnsi" w:cstheme="minorHAnsi"/>
          <w:sz w:val="22"/>
        </w:rPr>
      </w:pPr>
    </w:p>
    <w:p w14:paraId="23DA908D" w14:textId="77777777" w:rsidR="0020010E" w:rsidRPr="0020010E" w:rsidRDefault="0020010E" w:rsidP="0020010E">
      <w:pPr>
        <w:spacing w:after="8" w:line="268" w:lineRule="auto"/>
        <w:ind w:left="0" w:right="507" w:firstLine="0"/>
        <w:jc w:val="left"/>
        <w:rPr>
          <w:rFonts w:asciiTheme="minorHAnsi" w:hAnsiTheme="minorHAnsi" w:cstheme="minorHAnsi"/>
          <w:bCs/>
          <w:sz w:val="22"/>
        </w:rPr>
      </w:pPr>
      <w:r w:rsidRPr="0020010E">
        <w:rPr>
          <w:rFonts w:asciiTheme="minorHAnsi" w:hAnsiTheme="minorHAnsi" w:cstheme="minorHAnsi"/>
          <w:bCs/>
          <w:sz w:val="22"/>
        </w:rPr>
        <w:lastRenderedPageBreak/>
        <w:t xml:space="preserve">According to the research </w:t>
      </w:r>
      <w:r w:rsidRPr="0020010E">
        <w:rPr>
          <w:rFonts w:asciiTheme="minorHAnsi" w:hAnsiTheme="minorHAnsi" w:cstheme="minorHAnsi"/>
          <w:sz w:val="22"/>
        </w:rPr>
        <w:t xml:space="preserve">(Leicester Safeguarding Adults Board, 2014), </w:t>
      </w:r>
      <w:r w:rsidRPr="0020010E">
        <w:rPr>
          <w:rFonts w:asciiTheme="minorHAnsi" w:hAnsiTheme="minorHAnsi" w:cstheme="minorHAnsi"/>
          <w:bCs/>
          <w:sz w:val="22"/>
        </w:rPr>
        <w:t>It is important that we look outside of the vulnerabilities of the young person, as older people can also be victims of serious and organised crime. Many adults can be considered to be in the vulnerability bracket and continue to be victims of serious and organised crime, some of these vulnerable factors are:</w:t>
      </w:r>
    </w:p>
    <w:p w14:paraId="12E8460B" w14:textId="77777777" w:rsidR="0020010E" w:rsidRPr="0020010E" w:rsidRDefault="0020010E" w:rsidP="0020010E">
      <w:pPr>
        <w:spacing w:after="8" w:line="268" w:lineRule="auto"/>
        <w:ind w:left="0" w:right="507" w:firstLine="0"/>
        <w:jc w:val="left"/>
        <w:rPr>
          <w:rFonts w:asciiTheme="minorHAnsi" w:hAnsiTheme="minorHAnsi" w:cstheme="minorHAnsi"/>
          <w:bCs/>
          <w:sz w:val="22"/>
        </w:rPr>
      </w:pPr>
      <w:r w:rsidRPr="0020010E">
        <w:rPr>
          <w:rFonts w:asciiTheme="minorHAnsi" w:hAnsiTheme="minorHAnsi" w:cstheme="minorHAnsi"/>
          <w:b/>
          <w:sz w:val="22"/>
        </w:rPr>
        <w:t>Age</w:t>
      </w:r>
      <w:r w:rsidRPr="0020010E">
        <w:rPr>
          <w:rFonts w:asciiTheme="minorHAnsi" w:hAnsiTheme="minorHAnsi" w:cstheme="minorHAnsi"/>
          <w:bCs/>
          <w:sz w:val="22"/>
        </w:rPr>
        <w:t>, cuckooing is a present normality in the elderly ages.</w:t>
      </w:r>
    </w:p>
    <w:p w14:paraId="73D3DF25" w14:textId="77777777" w:rsidR="0020010E" w:rsidRPr="0020010E" w:rsidRDefault="0020010E" w:rsidP="0020010E">
      <w:pPr>
        <w:spacing w:after="8" w:line="268" w:lineRule="auto"/>
        <w:ind w:left="0" w:right="507" w:firstLine="0"/>
        <w:jc w:val="left"/>
        <w:rPr>
          <w:rFonts w:asciiTheme="minorHAnsi" w:hAnsiTheme="minorHAnsi" w:cstheme="minorHAnsi"/>
          <w:bCs/>
          <w:sz w:val="22"/>
        </w:rPr>
      </w:pPr>
      <w:r w:rsidRPr="0020010E">
        <w:rPr>
          <w:rFonts w:asciiTheme="minorHAnsi" w:hAnsiTheme="minorHAnsi" w:cstheme="minorHAnsi"/>
          <w:b/>
          <w:sz w:val="22"/>
        </w:rPr>
        <w:t>Gender</w:t>
      </w:r>
      <w:r w:rsidRPr="0020010E">
        <w:rPr>
          <w:rFonts w:asciiTheme="minorHAnsi" w:hAnsiTheme="minorHAnsi" w:cstheme="minorHAnsi"/>
          <w:bCs/>
          <w:sz w:val="22"/>
        </w:rPr>
        <w:t>, there are various Organised Crime routes that females go down, this can typically be sexual exploitation in exchange for money, such as prostitution, this is not to say that males will also fall into this avenue but typically males will fall into the drug dealing avenue, whereby they are used as runners for Organised Crime kingpins.</w:t>
      </w:r>
    </w:p>
    <w:p w14:paraId="222495C4" w14:textId="77777777" w:rsidR="0020010E" w:rsidRPr="0020010E" w:rsidRDefault="0020010E" w:rsidP="0020010E">
      <w:pPr>
        <w:spacing w:after="8" w:line="268" w:lineRule="auto"/>
        <w:ind w:left="0" w:right="507" w:firstLine="0"/>
        <w:jc w:val="left"/>
        <w:rPr>
          <w:rFonts w:asciiTheme="minorHAnsi" w:hAnsiTheme="minorHAnsi" w:cstheme="minorHAnsi"/>
          <w:bCs/>
          <w:sz w:val="22"/>
        </w:rPr>
      </w:pPr>
      <w:r w:rsidRPr="0020010E">
        <w:rPr>
          <w:rFonts w:asciiTheme="minorHAnsi" w:hAnsiTheme="minorHAnsi" w:cstheme="minorHAnsi"/>
          <w:b/>
          <w:sz w:val="22"/>
        </w:rPr>
        <w:t>Cognitive ability</w:t>
      </w:r>
      <w:r w:rsidRPr="0020010E">
        <w:rPr>
          <w:rFonts w:asciiTheme="minorHAnsi" w:hAnsiTheme="minorHAnsi" w:cstheme="minorHAnsi"/>
          <w:bCs/>
          <w:sz w:val="22"/>
        </w:rPr>
        <w:t xml:space="preserve">, this makes older people extremely vulnerable if they don’t have the correct safeguarding in place for their needs, OCG’s will identify the lack of safeguarding and pray on this in order to gain from their cognitive </w:t>
      </w:r>
      <w:proofErr w:type="gramStart"/>
      <w:r w:rsidRPr="0020010E">
        <w:rPr>
          <w:rFonts w:asciiTheme="minorHAnsi" w:hAnsiTheme="minorHAnsi" w:cstheme="minorHAnsi"/>
          <w:bCs/>
          <w:sz w:val="22"/>
        </w:rPr>
        <w:t>abilities</w:t>
      </w:r>
      <w:proofErr w:type="gramEnd"/>
      <w:r w:rsidRPr="0020010E">
        <w:rPr>
          <w:rFonts w:asciiTheme="minorHAnsi" w:hAnsiTheme="minorHAnsi" w:cstheme="minorHAnsi"/>
          <w:bCs/>
          <w:sz w:val="22"/>
        </w:rPr>
        <w:t xml:space="preserve"> </w:t>
      </w:r>
    </w:p>
    <w:p w14:paraId="70923579" w14:textId="77777777" w:rsidR="0020010E" w:rsidRPr="0020010E" w:rsidRDefault="0020010E" w:rsidP="0020010E">
      <w:pPr>
        <w:spacing w:after="8" w:line="268" w:lineRule="auto"/>
        <w:ind w:left="0" w:right="507" w:firstLine="0"/>
        <w:jc w:val="left"/>
        <w:rPr>
          <w:rFonts w:asciiTheme="minorHAnsi" w:hAnsiTheme="minorHAnsi" w:cstheme="minorHAnsi"/>
          <w:bCs/>
          <w:sz w:val="22"/>
        </w:rPr>
      </w:pPr>
      <w:r w:rsidRPr="0020010E">
        <w:rPr>
          <w:rFonts w:asciiTheme="minorHAnsi" w:hAnsiTheme="minorHAnsi" w:cstheme="minorHAnsi"/>
          <w:b/>
          <w:sz w:val="22"/>
        </w:rPr>
        <w:t xml:space="preserve">Access to money, </w:t>
      </w:r>
      <w:r w:rsidRPr="0020010E">
        <w:rPr>
          <w:rFonts w:asciiTheme="minorHAnsi" w:hAnsiTheme="minorHAnsi" w:cstheme="minorHAnsi"/>
          <w:bCs/>
          <w:sz w:val="22"/>
        </w:rPr>
        <w:t xml:space="preserve">this in particular is a huge subject at the moment given the </w:t>
      </w:r>
      <w:proofErr w:type="gramStart"/>
      <w:r w:rsidRPr="0020010E">
        <w:rPr>
          <w:rFonts w:asciiTheme="minorHAnsi" w:hAnsiTheme="minorHAnsi" w:cstheme="minorHAnsi"/>
          <w:bCs/>
          <w:sz w:val="22"/>
        </w:rPr>
        <w:t>cost of living</w:t>
      </w:r>
      <w:proofErr w:type="gramEnd"/>
      <w:r w:rsidRPr="0020010E">
        <w:rPr>
          <w:rFonts w:asciiTheme="minorHAnsi" w:hAnsiTheme="minorHAnsi" w:cstheme="minorHAnsi"/>
          <w:bCs/>
          <w:sz w:val="22"/>
        </w:rPr>
        <w:t xml:space="preserve"> crisis, families and individuals are turning to OCG’s for a financial gain, people will go to desperate lengths for money due to this crisis. </w:t>
      </w:r>
    </w:p>
    <w:p w14:paraId="341A68C8" w14:textId="77777777" w:rsidR="0020010E" w:rsidRPr="0020010E" w:rsidRDefault="0020010E" w:rsidP="0020010E">
      <w:pPr>
        <w:spacing w:after="8" w:line="268" w:lineRule="auto"/>
        <w:ind w:left="0" w:right="507" w:firstLine="0"/>
        <w:jc w:val="left"/>
        <w:rPr>
          <w:rFonts w:asciiTheme="minorHAnsi" w:hAnsiTheme="minorHAnsi" w:cstheme="minorHAnsi"/>
          <w:bCs/>
          <w:sz w:val="22"/>
        </w:rPr>
      </w:pPr>
    </w:p>
    <w:p w14:paraId="74328404" w14:textId="77777777" w:rsidR="0020010E" w:rsidRPr="0020010E" w:rsidRDefault="0020010E" w:rsidP="0020010E">
      <w:pPr>
        <w:spacing w:after="8" w:line="268" w:lineRule="auto"/>
        <w:ind w:left="0" w:right="507" w:firstLine="0"/>
        <w:jc w:val="left"/>
        <w:rPr>
          <w:rFonts w:asciiTheme="minorHAnsi" w:hAnsiTheme="minorHAnsi" w:cstheme="minorHAnsi"/>
          <w:bCs/>
          <w:sz w:val="22"/>
        </w:rPr>
      </w:pPr>
      <w:r w:rsidRPr="0020010E">
        <w:rPr>
          <w:rFonts w:asciiTheme="minorHAnsi" w:hAnsiTheme="minorHAnsi" w:cstheme="minorHAnsi"/>
          <w:bCs/>
          <w:sz w:val="22"/>
        </w:rPr>
        <w:t xml:space="preserve">In this essay I have researched into what lifestyle theory is. And why it is an accurate reflection of what </w:t>
      </w:r>
      <w:proofErr w:type="gramStart"/>
      <w:r w:rsidRPr="0020010E">
        <w:rPr>
          <w:rFonts w:asciiTheme="minorHAnsi" w:hAnsiTheme="minorHAnsi" w:cstheme="minorHAnsi"/>
          <w:bCs/>
          <w:sz w:val="22"/>
        </w:rPr>
        <w:t>males</w:t>
      </w:r>
      <w:proofErr w:type="gramEnd"/>
      <w:r w:rsidRPr="0020010E">
        <w:rPr>
          <w:rFonts w:asciiTheme="minorHAnsi" w:hAnsiTheme="minorHAnsi" w:cstheme="minorHAnsi"/>
          <w:bCs/>
          <w:sz w:val="22"/>
        </w:rPr>
        <w:t xml:space="preserve"> certain people vulnerable to becoming a victim of Serious Organised Crime, my answer has been based on academic research into the psychological and socio-economic characteristics of vulnerable people.</w:t>
      </w:r>
    </w:p>
    <w:p w14:paraId="50FF729B" w14:textId="77777777" w:rsidR="0020010E" w:rsidRPr="0020010E" w:rsidRDefault="0020010E" w:rsidP="0020010E">
      <w:pPr>
        <w:spacing w:after="8" w:line="268" w:lineRule="auto"/>
        <w:ind w:left="0" w:right="507" w:firstLine="0"/>
        <w:jc w:val="left"/>
        <w:rPr>
          <w:rFonts w:asciiTheme="minorHAnsi" w:hAnsiTheme="minorHAnsi" w:cstheme="minorHAnsi"/>
          <w:bCs/>
          <w:sz w:val="22"/>
        </w:rPr>
      </w:pPr>
    </w:p>
    <w:p w14:paraId="72DC8689" w14:textId="77777777" w:rsidR="0020010E" w:rsidRPr="0020010E" w:rsidRDefault="0020010E" w:rsidP="0020010E">
      <w:pPr>
        <w:spacing w:after="8" w:line="268" w:lineRule="auto"/>
        <w:ind w:left="0" w:right="507" w:firstLine="0"/>
        <w:jc w:val="left"/>
        <w:rPr>
          <w:rFonts w:asciiTheme="minorHAnsi" w:hAnsiTheme="minorHAnsi" w:cstheme="minorHAnsi"/>
          <w:bCs/>
          <w:sz w:val="22"/>
        </w:rPr>
      </w:pPr>
      <w:r w:rsidRPr="0020010E">
        <w:rPr>
          <w:rFonts w:asciiTheme="minorHAnsi" w:hAnsiTheme="minorHAnsi" w:cstheme="minorHAnsi"/>
          <w:b/>
          <w:sz w:val="22"/>
        </w:rPr>
        <w:t>Word Count:</w:t>
      </w:r>
      <w:r w:rsidRPr="0020010E">
        <w:rPr>
          <w:rFonts w:asciiTheme="minorHAnsi" w:hAnsiTheme="minorHAnsi" w:cstheme="minorHAnsi"/>
          <w:bCs/>
          <w:sz w:val="22"/>
        </w:rPr>
        <w:t xml:space="preserve"> 914</w:t>
      </w:r>
    </w:p>
    <w:p w14:paraId="7F477FB5" w14:textId="6EA29804" w:rsidR="0020010E" w:rsidRPr="0020010E" w:rsidRDefault="0020010E" w:rsidP="0020010E">
      <w:pPr>
        <w:pStyle w:val="NormalWeb"/>
        <w:shd w:val="clear" w:color="auto" w:fill="FFFFFF"/>
        <w:spacing w:before="0" w:after="0"/>
        <w:textAlignment w:val="baseline"/>
        <w:rPr>
          <w:rFonts w:asciiTheme="minorHAnsi" w:hAnsiTheme="minorHAnsi" w:cstheme="minorHAnsi"/>
          <w:color w:val="000000"/>
          <w:sz w:val="22"/>
          <w:szCs w:val="22"/>
          <w:u w:val="single"/>
        </w:rPr>
      </w:pPr>
      <w:r w:rsidRPr="0020010E">
        <w:rPr>
          <w:rFonts w:asciiTheme="minorHAnsi" w:hAnsiTheme="minorHAnsi" w:cstheme="minorHAnsi"/>
          <w:color w:val="000000"/>
          <w:sz w:val="22"/>
          <w:szCs w:val="22"/>
          <w:u w:val="single"/>
        </w:rPr>
        <w:t>Essay 4</w:t>
      </w:r>
    </w:p>
    <w:p w14:paraId="11AA0787" w14:textId="77777777" w:rsidR="0020010E" w:rsidRPr="0020010E" w:rsidRDefault="0020010E" w:rsidP="0020010E">
      <w:pPr>
        <w:ind w:left="566" w:firstLine="0"/>
        <w:rPr>
          <w:rFonts w:asciiTheme="minorHAnsi" w:hAnsiTheme="minorHAnsi" w:cstheme="minorHAnsi"/>
          <w:sz w:val="22"/>
        </w:rPr>
      </w:pPr>
      <w:r w:rsidRPr="0020010E">
        <w:rPr>
          <w:rFonts w:asciiTheme="minorHAnsi" w:hAnsiTheme="minorHAnsi" w:cstheme="minorHAnsi"/>
          <w:sz w:val="22"/>
        </w:rPr>
        <w:t xml:space="preserve">In this essay I will be researching into why </w:t>
      </w:r>
      <w:proofErr w:type="gramStart"/>
      <w:r w:rsidRPr="0020010E">
        <w:rPr>
          <w:rFonts w:asciiTheme="minorHAnsi" w:hAnsiTheme="minorHAnsi" w:cstheme="minorHAnsi"/>
          <w:sz w:val="22"/>
        </w:rPr>
        <w:t>is partnership</w:t>
      </w:r>
      <w:proofErr w:type="gramEnd"/>
      <w:r w:rsidRPr="0020010E">
        <w:rPr>
          <w:rFonts w:asciiTheme="minorHAnsi" w:hAnsiTheme="minorHAnsi" w:cstheme="minorHAnsi"/>
          <w:sz w:val="22"/>
        </w:rPr>
        <w:t xml:space="preserve"> approach the most effective way of preventing re-offending. My answer will be supported with relevant evidence drawn from academic sources. </w:t>
      </w:r>
    </w:p>
    <w:p w14:paraId="42EF7E2A" w14:textId="77777777" w:rsidR="0020010E" w:rsidRPr="0020010E" w:rsidRDefault="0020010E" w:rsidP="0020010E">
      <w:pPr>
        <w:rPr>
          <w:rFonts w:asciiTheme="minorHAnsi" w:hAnsiTheme="minorHAnsi" w:cstheme="minorHAnsi"/>
          <w:sz w:val="22"/>
        </w:rPr>
      </w:pPr>
      <w:r w:rsidRPr="0020010E">
        <w:rPr>
          <w:rFonts w:asciiTheme="minorHAnsi" w:hAnsiTheme="minorHAnsi" w:cstheme="minorHAnsi"/>
          <w:sz w:val="22"/>
        </w:rPr>
        <w:t xml:space="preserve">According to College of Policing (2022) a partnership approach is often considered one of the most effective ways of preventing re-offending due to the fact it leverages the collective efforts and expertise of various stakeholders to address the complex and multifaceted issues associated with criminal behaviour. </w:t>
      </w:r>
    </w:p>
    <w:p w14:paraId="78C7ECF8" w14:textId="77777777" w:rsidR="0020010E" w:rsidRPr="0020010E" w:rsidRDefault="0020010E" w:rsidP="0020010E">
      <w:pPr>
        <w:rPr>
          <w:rFonts w:asciiTheme="minorHAnsi" w:hAnsiTheme="minorHAnsi" w:cstheme="minorHAnsi"/>
          <w:sz w:val="22"/>
        </w:rPr>
      </w:pPr>
      <w:proofErr w:type="gramStart"/>
      <w:r w:rsidRPr="0020010E">
        <w:rPr>
          <w:rFonts w:asciiTheme="minorHAnsi" w:hAnsiTheme="minorHAnsi" w:cstheme="minorHAnsi"/>
          <w:sz w:val="22"/>
        </w:rPr>
        <w:t>So</w:t>
      </w:r>
      <w:proofErr w:type="gramEnd"/>
      <w:r w:rsidRPr="0020010E">
        <w:rPr>
          <w:rFonts w:asciiTheme="minorHAnsi" w:hAnsiTheme="minorHAnsi" w:cstheme="minorHAnsi"/>
          <w:sz w:val="22"/>
        </w:rPr>
        <w:t xml:space="preserve"> what is partnership approach? Partnership approach all about working with agencies that are designed to accommodate a certain resolution to a problem. Right care for the right person, is a common phrase within thew police force, which strides from the very beginning, from the call into the control room asking for assistance in a particular matter, to the outcome stage at the end of an investigation, for example, case being referred to the Crown Prosecution Service, being referred to out of court disposals, or victims being referred to partner agencies such as women’s aid or Live Fear Free, all these agencies have a specific role in relation to right care right person, this research has been made through (College of Policing, 2023). </w:t>
      </w:r>
    </w:p>
    <w:p w14:paraId="28DACC86" w14:textId="77777777" w:rsidR="0020010E" w:rsidRPr="0020010E" w:rsidRDefault="0020010E" w:rsidP="0020010E">
      <w:pPr>
        <w:rPr>
          <w:rFonts w:asciiTheme="minorHAnsi" w:hAnsiTheme="minorHAnsi" w:cstheme="minorHAnsi"/>
          <w:sz w:val="22"/>
        </w:rPr>
      </w:pPr>
      <w:r w:rsidRPr="0020010E">
        <w:rPr>
          <w:rFonts w:asciiTheme="minorHAnsi" w:hAnsiTheme="minorHAnsi" w:cstheme="minorHAnsi"/>
          <w:sz w:val="22"/>
        </w:rPr>
        <w:t xml:space="preserve">Performing research into partnership policing in Wales, it has been found that according to Welsh Government (2018) we can determine that </w:t>
      </w:r>
      <w:proofErr w:type="gramStart"/>
      <w:r w:rsidRPr="0020010E">
        <w:rPr>
          <w:rFonts w:asciiTheme="minorHAnsi" w:hAnsiTheme="minorHAnsi" w:cstheme="minorHAnsi"/>
          <w:sz w:val="22"/>
        </w:rPr>
        <w:t>The</w:t>
      </w:r>
      <w:proofErr w:type="gramEnd"/>
      <w:r w:rsidRPr="0020010E">
        <w:rPr>
          <w:rFonts w:asciiTheme="minorHAnsi" w:hAnsiTheme="minorHAnsi" w:cstheme="minorHAnsi"/>
          <w:sz w:val="22"/>
        </w:rPr>
        <w:t xml:space="preserve"> needs on law enforcement have evolved. Since 1998, the partnership approach to community safety has placed enforcement at its core, with the police playing a major role in Youth Offending Teams. </w:t>
      </w:r>
      <w:r w:rsidRPr="0020010E">
        <w:rPr>
          <w:rFonts w:asciiTheme="minorHAnsi" w:hAnsiTheme="minorHAnsi" w:cstheme="minorHAnsi"/>
          <w:sz w:val="22"/>
        </w:rPr>
        <w:lastRenderedPageBreak/>
        <w:t>According to estimates, between 70% and 80% of calls these days deal with non-crime-related concerns including vulnerable individuals and mental health. While there have been notable advancements in early intervention and prevention, with a focus on local partnership, dealing with serious and organised crime and terrorism also has ties to local policing and partnership functioning.</w:t>
      </w:r>
    </w:p>
    <w:p w14:paraId="6CE4EFD8" w14:textId="77777777" w:rsidR="0020010E" w:rsidRPr="0020010E" w:rsidRDefault="0020010E" w:rsidP="0020010E">
      <w:pPr>
        <w:rPr>
          <w:rFonts w:asciiTheme="minorHAnsi" w:hAnsiTheme="minorHAnsi" w:cstheme="minorHAnsi"/>
          <w:sz w:val="22"/>
        </w:rPr>
      </w:pPr>
      <w:r w:rsidRPr="0020010E">
        <w:rPr>
          <w:rFonts w:asciiTheme="minorHAnsi" w:hAnsiTheme="minorHAnsi" w:cstheme="minorHAnsi"/>
          <w:sz w:val="22"/>
        </w:rPr>
        <w:t>In order for partnership approach to be effective it is important that a sustainable and effective infrastructure is present, this allows collaboration for the pooling of resources and expertise. Different agencies and organizations can share information, knowledge, and funding to develop and implement more effective programs and interventions. This can lead to cost savings and greater efficiency in tackling re-offending. Bryant and Bryant (2019).</w:t>
      </w:r>
    </w:p>
    <w:p w14:paraId="25D21008" w14:textId="77777777" w:rsidR="0020010E" w:rsidRPr="0020010E" w:rsidRDefault="0020010E" w:rsidP="0020010E">
      <w:pPr>
        <w:rPr>
          <w:rFonts w:asciiTheme="minorHAnsi" w:hAnsiTheme="minorHAnsi" w:cstheme="minorHAnsi"/>
          <w:sz w:val="22"/>
        </w:rPr>
      </w:pPr>
      <w:r w:rsidRPr="0020010E">
        <w:rPr>
          <w:rFonts w:asciiTheme="minorHAnsi" w:hAnsiTheme="minorHAnsi" w:cstheme="minorHAnsi"/>
          <w:sz w:val="22"/>
        </w:rPr>
        <w:t xml:space="preserve">Research has been conducted into the partnership approach via (Bryant and Bryant, 2019) and it is found that partnership approach is effective in many aspects of policing, however it is worth noting that the partnership works the police make when it comes to domestic violence related incidents. This is due to the high-risk factor between parties involved. The police response to domestic abuse is likely to include working with specialist domestic abuse services such as the locals’ women’s aid, social and health services, housing, education, and voluntary organisations such as Relate. A multi-agency approach is recommended to provide protection and support to the victim and his/her dependants. </w:t>
      </w:r>
    </w:p>
    <w:p w14:paraId="06BDBF61" w14:textId="77777777" w:rsidR="0020010E" w:rsidRPr="0020010E" w:rsidRDefault="0020010E" w:rsidP="0020010E">
      <w:pPr>
        <w:rPr>
          <w:rFonts w:asciiTheme="minorHAnsi" w:hAnsiTheme="minorHAnsi" w:cstheme="minorHAnsi"/>
          <w:sz w:val="22"/>
        </w:rPr>
      </w:pPr>
      <w:r w:rsidRPr="0020010E">
        <w:rPr>
          <w:rFonts w:asciiTheme="minorHAnsi" w:hAnsiTheme="minorHAnsi" w:cstheme="minorHAnsi"/>
          <w:sz w:val="22"/>
        </w:rPr>
        <w:t>According to College of Policing (2020), in order to collaborate on information sharing, risk assessment, and action planning to lower the risk of serious or recurrent hate crimes, some police departments and their partners have formed public protection partnerships, which are akin to the domestic abuse multi-agency risk assessment conference (MARAC) process. When reacting to repeat victims, high-risk individuals, or new trends in hate crimes, this framework can be very helpful.</w:t>
      </w:r>
    </w:p>
    <w:p w14:paraId="38638FC1" w14:textId="77777777" w:rsidR="0020010E" w:rsidRPr="0020010E" w:rsidRDefault="0020010E" w:rsidP="0020010E">
      <w:pPr>
        <w:rPr>
          <w:rFonts w:asciiTheme="minorHAnsi" w:hAnsiTheme="minorHAnsi" w:cstheme="minorHAnsi"/>
          <w:sz w:val="22"/>
        </w:rPr>
      </w:pPr>
      <w:r w:rsidRPr="0020010E">
        <w:rPr>
          <w:rFonts w:asciiTheme="minorHAnsi" w:hAnsiTheme="minorHAnsi" w:cstheme="minorHAnsi"/>
          <w:sz w:val="22"/>
        </w:rPr>
        <w:t xml:space="preserve">Multi-agency approach is effective and is widely used amongst young people, it is used as a preventative measure by Youth Offending Teams (YOT), to provide tailored intervention to those that offend at a young age. It is used to provide a more educational route for those young persons involved in crime, it provides opportunities for young people to learn from mistakes and prevents them from being exposed to the criminal justice system at a young age. these services stem from the police, social services, education, </w:t>
      </w:r>
      <w:proofErr w:type="gramStart"/>
      <w:r w:rsidRPr="0020010E">
        <w:rPr>
          <w:rFonts w:asciiTheme="minorHAnsi" w:hAnsiTheme="minorHAnsi" w:cstheme="minorHAnsi"/>
          <w:sz w:val="22"/>
        </w:rPr>
        <w:t>employment</w:t>
      </w:r>
      <w:proofErr w:type="gramEnd"/>
      <w:r w:rsidRPr="0020010E">
        <w:rPr>
          <w:rFonts w:asciiTheme="minorHAnsi" w:hAnsiTheme="minorHAnsi" w:cstheme="minorHAnsi"/>
          <w:sz w:val="22"/>
        </w:rPr>
        <w:t xml:space="preserve"> and health services working together to offer young people extra support and guidance to steer them away from crime. Thompson (2021)</w:t>
      </w:r>
    </w:p>
    <w:p w14:paraId="5E8EBCB2" w14:textId="77777777" w:rsidR="0020010E" w:rsidRPr="0020010E" w:rsidRDefault="0020010E" w:rsidP="0020010E">
      <w:pPr>
        <w:rPr>
          <w:rFonts w:asciiTheme="minorHAnsi" w:hAnsiTheme="minorHAnsi" w:cstheme="minorHAnsi"/>
          <w:sz w:val="22"/>
        </w:rPr>
      </w:pPr>
      <w:r w:rsidRPr="0020010E">
        <w:rPr>
          <w:rFonts w:asciiTheme="minorHAnsi" w:hAnsiTheme="minorHAnsi" w:cstheme="minorHAnsi"/>
          <w:sz w:val="22"/>
        </w:rPr>
        <w:t xml:space="preserve">The Thompson (2021) article for how successful are early interventions in reducing violent crime states the types of people are more likely to commit violent crime come from two major factors, Individual risk factors include things like being shut out of school, having a bad mental health history, and experiencing Adverse Childhood Experiences (ACEs) including domestic violence and Environmental Risk Factors include things like living in a low-socioeconomic region and having bad encounters with the police due to stop and search procedures; the latter is particularly associated with belonging to an ethnic minority. These would require somewhat complex tailored support, which is regularly available due to the </w:t>
      </w:r>
      <w:proofErr w:type="spellStart"/>
      <w:r w:rsidRPr="0020010E">
        <w:rPr>
          <w:rFonts w:asciiTheme="minorHAnsi" w:hAnsiTheme="minorHAnsi" w:cstheme="minorHAnsi"/>
          <w:sz w:val="22"/>
        </w:rPr>
        <w:t>multi agency</w:t>
      </w:r>
      <w:proofErr w:type="spellEnd"/>
      <w:r w:rsidRPr="0020010E">
        <w:rPr>
          <w:rFonts w:asciiTheme="minorHAnsi" w:hAnsiTheme="minorHAnsi" w:cstheme="minorHAnsi"/>
          <w:sz w:val="22"/>
        </w:rPr>
        <w:t xml:space="preserve"> approach, these include, Mentoring is the process by which a responsible adult helps a young person through their formative years. There is, however, little proof that mentoring actually lowers crime. While this can be effective if mentors are well-trained in it over the long run, it can also have detrimental impacts on </w:t>
      </w:r>
      <w:r w:rsidRPr="0020010E">
        <w:rPr>
          <w:rFonts w:asciiTheme="minorHAnsi" w:hAnsiTheme="minorHAnsi" w:cstheme="minorHAnsi"/>
          <w:sz w:val="22"/>
        </w:rPr>
        <w:lastRenderedPageBreak/>
        <w:t xml:space="preserve">the mental health of both mentor and mentee, according to a study that looked at 350 initiatives around England. One example of specialist children's services is the provision of additional financial support for young people who have been the victims of domestic abuse by child support agencies. According to one study, this caused a 25% </w:t>
      </w:r>
      <w:proofErr w:type="gramStart"/>
      <w:r w:rsidRPr="0020010E">
        <w:rPr>
          <w:rFonts w:asciiTheme="minorHAnsi" w:hAnsiTheme="minorHAnsi" w:cstheme="minorHAnsi"/>
          <w:sz w:val="22"/>
        </w:rPr>
        <w:t>drop in</w:t>
      </w:r>
      <w:proofErr w:type="gramEnd"/>
      <w:r w:rsidRPr="0020010E">
        <w:rPr>
          <w:rFonts w:asciiTheme="minorHAnsi" w:hAnsiTheme="minorHAnsi" w:cstheme="minorHAnsi"/>
          <w:sz w:val="22"/>
        </w:rPr>
        <w:t xml:space="preserve"> offending rates to 7%. </w:t>
      </w:r>
    </w:p>
    <w:p w14:paraId="24E9F3D9" w14:textId="194C6019" w:rsidR="0020010E" w:rsidRPr="0020010E" w:rsidRDefault="0020010E" w:rsidP="0020010E">
      <w:pPr>
        <w:rPr>
          <w:rFonts w:asciiTheme="minorHAnsi" w:hAnsiTheme="minorHAnsi" w:cstheme="minorHAnsi"/>
          <w:sz w:val="22"/>
        </w:rPr>
      </w:pPr>
      <w:r w:rsidRPr="0020010E">
        <w:rPr>
          <w:rFonts w:asciiTheme="minorHAnsi" w:hAnsiTheme="minorHAnsi" w:cstheme="minorHAnsi"/>
          <w:sz w:val="22"/>
        </w:rPr>
        <w:t>In conclusion, a partnership approach understands that dealing with criminal activity is a complicated process that necessitates a coordinated effort across multiple sectors and groups, which is why it is beneficial in avoiding reoffending. Together, these parties may address the underlying reasons of criminal behaviour in a way that is more thorough, customised, and holistic. Ultimately lowering the chance of reoffending and encouraging</w:t>
      </w:r>
      <w:r w:rsidR="005E5FEB">
        <w:rPr>
          <w:rFonts w:asciiTheme="minorHAnsi" w:hAnsiTheme="minorHAnsi" w:cstheme="minorHAnsi"/>
          <w:sz w:val="22"/>
        </w:rPr>
        <w:t xml:space="preserve"> </w:t>
      </w:r>
      <w:r w:rsidRPr="0020010E">
        <w:rPr>
          <w:rFonts w:asciiTheme="minorHAnsi" w:hAnsiTheme="minorHAnsi" w:cstheme="minorHAnsi"/>
          <w:sz w:val="22"/>
        </w:rPr>
        <w:t>them to successfully reintegrate back into society. (Great Britain. National Offender Management Service, 2005)</w:t>
      </w:r>
    </w:p>
    <w:p w14:paraId="3E3C96FC" w14:textId="77777777" w:rsidR="0020010E" w:rsidRPr="0020010E" w:rsidRDefault="0020010E" w:rsidP="0020010E">
      <w:pPr>
        <w:rPr>
          <w:rFonts w:asciiTheme="minorHAnsi" w:hAnsiTheme="minorHAnsi" w:cstheme="minorHAnsi"/>
          <w:sz w:val="22"/>
        </w:rPr>
      </w:pPr>
      <w:r w:rsidRPr="0020010E">
        <w:rPr>
          <w:rFonts w:asciiTheme="minorHAnsi" w:hAnsiTheme="minorHAnsi" w:cstheme="minorHAnsi"/>
          <w:sz w:val="22"/>
        </w:rPr>
        <w:t xml:space="preserve">In this essay I have researched into why </w:t>
      </w:r>
      <w:proofErr w:type="gramStart"/>
      <w:r w:rsidRPr="0020010E">
        <w:rPr>
          <w:rFonts w:asciiTheme="minorHAnsi" w:hAnsiTheme="minorHAnsi" w:cstheme="minorHAnsi"/>
          <w:sz w:val="22"/>
        </w:rPr>
        <w:t>is partnership</w:t>
      </w:r>
      <w:proofErr w:type="gramEnd"/>
      <w:r w:rsidRPr="0020010E">
        <w:rPr>
          <w:rFonts w:asciiTheme="minorHAnsi" w:hAnsiTheme="minorHAnsi" w:cstheme="minorHAnsi"/>
          <w:sz w:val="22"/>
        </w:rPr>
        <w:t xml:space="preserve"> approach the most effective way of preventing re-offending. My answer has been based on and supported with relevant evidence drawn from academic resources. </w:t>
      </w:r>
    </w:p>
    <w:p w14:paraId="35792281" w14:textId="77777777" w:rsidR="0020010E" w:rsidRPr="0020010E" w:rsidRDefault="0020010E" w:rsidP="0020010E">
      <w:pPr>
        <w:rPr>
          <w:rFonts w:asciiTheme="minorHAnsi" w:hAnsiTheme="minorHAnsi" w:cstheme="minorHAnsi"/>
          <w:sz w:val="22"/>
        </w:rPr>
      </w:pPr>
      <w:r w:rsidRPr="0020010E">
        <w:rPr>
          <w:rFonts w:asciiTheme="minorHAnsi" w:hAnsiTheme="minorHAnsi" w:cstheme="minorHAnsi"/>
          <w:b/>
          <w:bCs/>
          <w:sz w:val="22"/>
        </w:rPr>
        <w:t>Word Count:</w:t>
      </w:r>
      <w:r w:rsidRPr="0020010E">
        <w:rPr>
          <w:rFonts w:asciiTheme="minorHAnsi" w:hAnsiTheme="minorHAnsi" w:cstheme="minorHAnsi"/>
          <w:sz w:val="22"/>
        </w:rPr>
        <w:t xml:space="preserve"> 989</w:t>
      </w:r>
    </w:p>
    <w:p w14:paraId="7285CA2D" w14:textId="77777777" w:rsidR="0020010E" w:rsidRPr="0020010E" w:rsidRDefault="0020010E" w:rsidP="0020010E">
      <w:pPr>
        <w:pStyle w:val="NormalWeb"/>
        <w:shd w:val="clear" w:color="auto" w:fill="FFFFFF"/>
        <w:spacing w:before="0" w:after="0"/>
        <w:textAlignment w:val="baseline"/>
        <w:rPr>
          <w:rFonts w:asciiTheme="minorHAnsi" w:hAnsiTheme="minorHAnsi" w:cstheme="minorHAnsi"/>
          <w:color w:val="000000"/>
          <w:sz w:val="22"/>
          <w:szCs w:val="22"/>
          <w:u w:val="single"/>
        </w:rPr>
      </w:pPr>
    </w:p>
    <w:p w14:paraId="1D4EC86A" w14:textId="377264AB" w:rsidR="0020010E" w:rsidRPr="0020010E" w:rsidRDefault="0020010E" w:rsidP="0020010E">
      <w:pPr>
        <w:spacing w:after="240" w:line="360" w:lineRule="auto"/>
        <w:ind w:left="0" w:right="0" w:firstLine="0"/>
        <w:jc w:val="left"/>
        <w:rPr>
          <w:rFonts w:ascii="Times New Roman" w:eastAsia="Times New Roman" w:hAnsi="Times New Roman" w:cs="Times New Roman"/>
          <w:color w:val="auto"/>
          <w:kern w:val="0"/>
          <w:szCs w:val="24"/>
          <w14:ligatures w14:val="none"/>
        </w:rPr>
      </w:pPr>
      <w:r w:rsidRPr="0020010E">
        <w:rPr>
          <w:rFonts w:ascii="Times New Roman" w:eastAsia="Times New Roman" w:hAnsi="Times New Roman" w:cs="Times New Roman"/>
          <w:color w:val="auto"/>
          <w:kern w:val="0"/>
          <w:szCs w:val="24"/>
          <w14:ligatures w14:val="none"/>
        </w:rPr>
        <w:t xml:space="preserve">College of Policing (2014) </w:t>
      </w:r>
      <w:r w:rsidRPr="0020010E">
        <w:rPr>
          <w:rFonts w:ascii="Times New Roman" w:eastAsia="Times New Roman" w:hAnsi="Times New Roman" w:cs="Times New Roman"/>
          <w:i/>
          <w:iCs/>
          <w:color w:val="auto"/>
          <w:kern w:val="0"/>
          <w:szCs w:val="24"/>
          <w14:ligatures w14:val="none"/>
        </w:rPr>
        <w:t>Code of Ethics: Supporting Documents THE PROFESSIONAL BODY FOR POLICING</w:t>
      </w:r>
      <w:r w:rsidRPr="0020010E">
        <w:rPr>
          <w:rFonts w:ascii="Times New Roman" w:eastAsia="Times New Roman" w:hAnsi="Times New Roman" w:cs="Times New Roman"/>
          <w:color w:val="auto"/>
          <w:kern w:val="0"/>
          <w:szCs w:val="24"/>
          <w14:ligatures w14:val="none"/>
        </w:rPr>
        <w:t xml:space="preserve">. Available at: </w:t>
      </w:r>
      <w:hyperlink r:id="rId7" w:history="1">
        <w:r w:rsidR="005E5FEB" w:rsidRPr="0020010E">
          <w:rPr>
            <w:rStyle w:val="Hyperlink"/>
            <w:rFonts w:ascii="Times New Roman" w:eastAsia="Times New Roman" w:hAnsi="Times New Roman" w:cs="Times New Roman"/>
            <w:kern w:val="0"/>
            <w:szCs w:val="24"/>
            <w14:ligatures w14:val="none"/>
          </w:rPr>
          <w:t>https://assets.college.police.uk/s3fs-public/2021-02/code_of_ethics_summary.pdf</w:t>
        </w:r>
      </w:hyperlink>
      <w:r w:rsidR="005E5FEB">
        <w:rPr>
          <w:rFonts w:ascii="Times New Roman" w:eastAsia="Times New Roman" w:hAnsi="Times New Roman" w:cs="Times New Roman"/>
          <w:color w:val="auto"/>
          <w:kern w:val="0"/>
          <w:szCs w:val="24"/>
          <w14:ligatures w14:val="none"/>
        </w:rPr>
        <w:t xml:space="preserve"> </w:t>
      </w:r>
      <w:r w:rsidRPr="0020010E">
        <w:rPr>
          <w:rFonts w:ascii="Times New Roman" w:eastAsia="Times New Roman" w:hAnsi="Times New Roman" w:cs="Times New Roman"/>
          <w:color w:val="auto"/>
          <w:kern w:val="0"/>
          <w:szCs w:val="24"/>
          <w14:ligatures w14:val="none"/>
        </w:rPr>
        <w:t xml:space="preserve"> (Accessed: 22 August 2023).</w:t>
      </w:r>
    </w:p>
    <w:p w14:paraId="726B4480" w14:textId="7CA08472" w:rsidR="0020010E" w:rsidRPr="0020010E" w:rsidRDefault="0020010E" w:rsidP="0020010E">
      <w:pPr>
        <w:spacing w:after="240" w:line="360" w:lineRule="auto"/>
        <w:ind w:left="0" w:right="0" w:firstLine="0"/>
        <w:jc w:val="left"/>
        <w:rPr>
          <w:rFonts w:ascii="Times New Roman" w:eastAsia="Times New Roman" w:hAnsi="Times New Roman" w:cs="Times New Roman"/>
          <w:color w:val="auto"/>
          <w:kern w:val="0"/>
          <w:szCs w:val="24"/>
          <w14:ligatures w14:val="none"/>
        </w:rPr>
      </w:pPr>
      <w:r w:rsidRPr="0020010E">
        <w:rPr>
          <w:rFonts w:ascii="Times New Roman" w:eastAsia="Times New Roman" w:hAnsi="Times New Roman" w:cs="Times New Roman"/>
          <w:color w:val="auto"/>
          <w:kern w:val="0"/>
          <w:szCs w:val="24"/>
          <w14:ligatures w14:val="none"/>
        </w:rPr>
        <w:t xml:space="preserve">College of Policing (2023) </w:t>
      </w:r>
      <w:r w:rsidRPr="0020010E">
        <w:rPr>
          <w:rFonts w:ascii="Times New Roman" w:eastAsia="Times New Roman" w:hAnsi="Times New Roman" w:cs="Times New Roman"/>
          <w:i/>
          <w:iCs/>
          <w:color w:val="auto"/>
          <w:kern w:val="0"/>
          <w:szCs w:val="24"/>
          <w14:ligatures w14:val="none"/>
        </w:rPr>
        <w:t>Code of Ethics</w:t>
      </w:r>
      <w:r w:rsidRPr="0020010E">
        <w:rPr>
          <w:rFonts w:ascii="Times New Roman" w:eastAsia="Times New Roman" w:hAnsi="Times New Roman" w:cs="Times New Roman"/>
          <w:color w:val="auto"/>
          <w:kern w:val="0"/>
          <w:szCs w:val="24"/>
          <w14:ligatures w14:val="none"/>
        </w:rPr>
        <w:t xml:space="preserve">, </w:t>
      </w:r>
      <w:r w:rsidRPr="0020010E">
        <w:rPr>
          <w:rFonts w:ascii="Times New Roman" w:eastAsia="Times New Roman" w:hAnsi="Times New Roman" w:cs="Times New Roman"/>
          <w:i/>
          <w:iCs/>
          <w:color w:val="auto"/>
          <w:kern w:val="0"/>
          <w:szCs w:val="24"/>
          <w14:ligatures w14:val="none"/>
        </w:rPr>
        <w:t>College of Policing</w:t>
      </w:r>
      <w:r w:rsidRPr="0020010E">
        <w:rPr>
          <w:rFonts w:ascii="Times New Roman" w:eastAsia="Times New Roman" w:hAnsi="Times New Roman" w:cs="Times New Roman"/>
          <w:color w:val="auto"/>
          <w:kern w:val="0"/>
          <w:szCs w:val="24"/>
          <w14:ligatures w14:val="none"/>
        </w:rPr>
        <w:t xml:space="preserve">. Available at: </w:t>
      </w:r>
      <w:hyperlink r:id="rId8" w:history="1">
        <w:r w:rsidR="005E5FEB" w:rsidRPr="0020010E">
          <w:rPr>
            <w:rStyle w:val="Hyperlink"/>
            <w:rFonts w:ascii="Times New Roman" w:eastAsia="Times New Roman" w:hAnsi="Times New Roman" w:cs="Times New Roman"/>
            <w:kern w:val="0"/>
            <w:szCs w:val="24"/>
            <w14:ligatures w14:val="none"/>
          </w:rPr>
          <w:t>https://www.college.police.uk/ethics/code-of-ethics#:~:text=Embedding%20the%20Code%20of%20Ethics</w:t>
        </w:r>
      </w:hyperlink>
      <w:r w:rsidR="005E5FEB">
        <w:rPr>
          <w:rFonts w:ascii="Times New Roman" w:eastAsia="Times New Roman" w:hAnsi="Times New Roman" w:cs="Times New Roman"/>
          <w:color w:val="auto"/>
          <w:kern w:val="0"/>
          <w:szCs w:val="24"/>
          <w14:ligatures w14:val="none"/>
        </w:rPr>
        <w:t xml:space="preserve"> </w:t>
      </w:r>
      <w:r w:rsidRPr="0020010E">
        <w:rPr>
          <w:rFonts w:ascii="Times New Roman" w:eastAsia="Times New Roman" w:hAnsi="Times New Roman" w:cs="Times New Roman"/>
          <w:color w:val="auto"/>
          <w:kern w:val="0"/>
          <w:szCs w:val="24"/>
          <w14:ligatures w14:val="none"/>
        </w:rPr>
        <w:t xml:space="preserve"> (Accessed: 12 October 2023).</w:t>
      </w:r>
    </w:p>
    <w:p w14:paraId="182FD2F8" w14:textId="22CC3636" w:rsidR="0020010E" w:rsidRPr="0020010E" w:rsidRDefault="0020010E" w:rsidP="0020010E">
      <w:pPr>
        <w:spacing w:after="240" w:line="360" w:lineRule="auto"/>
        <w:ind w:left="0" w:right="0" w:firstLine="0"/>
        <w:jc w:val="left"/>
        <w:rPr>
          <w:rFonts w:ascii="Times New Roman" w:eastAsia="Times New Roman" w:hAnsi="Times New Roman" w:cs="Times New Roman"/>
          <w:color w:val="auto"/>
          <w:kern w:val="0"/>
          <w:szCs w:val="24"/>
          <w14:ligatures w14:val="none"/>
        </w:rPr>
      </w:pPr>
      <w:r w:rsidRPr="0020010E">
        <w:rPr>
          <w:rFonts w:ascii="Times New Roman" w:eastAsia="Times New Roman" w:hAnsi="Times New Roman" w:cs="Times New Roman"/>
          <w:color w:val="auto"/>
          <w:kern w:val="0"/>
          <w:szCs w:val="24"/>
          <w14:ligatures w14:val="none"/>
        </w:rPr>
        <w:t xml:space="preserve">Government (2018) </w:t>
      </w:r>
      <w:r w:rsidRPr="0020010E">
        <w:rPr>
          <w:rFonts w:ascii="Times New Roman" w:eastAsia="Times New Roman" w:hAnsi="Times New Roman" w:cs="Times New Roman"/>
          <w:i/>
          <w:iCs/>
          <w:color w:val="auto"/>
          <w:kern w:val="0"/>
          <w:szCs w:val="24"/>
          <w14:ligatures w14:val="none"/>
        </w:rPr>
        <w:t>Police super-complaints</w:t>
      </w:r>
      <w:r w:rsidRPr="0020010E">
        <w:rPr>
          <w:rFonts w:ascii="Times New Roman" w:eastAsia="Times New Roman" w:hAnsi="Times New Roman" w:cs="Times New Roman"/>
          <w:color w:val="auto"/>
          <w:kern w:val="0"/>
          <w:szCs w:val="24"/>
          <w14:ligatures w14:val="none"/>
        </w:rPr>
        <w:t xml:space="preserve">, </w:t>
      </w:r>
      <w:r w:rsidRPr="0020010E">
        <w:rPr>
          <w:rFonts w:ascii="Times New Roman" w:eastAsia="Times New Roman" w:hAnsi="Times New Roman" w:cs="Times New Roman"/>
          <w:i/>
          <w:iCs/>
          <w:color w:val="auto"/>
          <w:kern w:val="0"/>
          <w:szCs w:val="24"/>
          <w14:ligatures w14:val="none"/>
        </w:rPr>
        <w:t>GOV.UK</w:t>
      </w:r>
      <w:r w:rsidRPr="0020010E">
        <w:rPr>
          <w:rFonts w:ascii="Times New Roman" w:eastAsia="Times New Roman" w:hAnsi="Times New Roman" w:cs="Times New Roman"/>
          <w:color w:val="auto"/>
          <w:kern w:val="0"/>
          <w:szCs w:val="24"/>
          <w14:ligatures w14:val="none"/>
        </w:rPr>
        <w:t xml:space="preserve">. Available at: </w:t>
      </w:r>
      <w:hyperlink r:id="rId9" w:history="1">
        <w:r w:rsidR="005E5FEB" w:rsidRPr="0020010E">
          <w:rPr>
            <w:rStyle w:val="Hyperlink"/>
            <w:rFonts w:ascii="Times New Roman" w:eastAsia="Times New Roman" w:hAnsi="Times New Roman" w:cs="Times New Roman"/>
            <w:kern w:val="0"/>
            <w:szCs w:val="24"/>
            <w14:ligatures w14:val="none"/>
          </w:rPr>
          <w:t>https://www.gov.uk/guidance/police-super-complaints</w:t>
        </w:r>
      </w:hyperlink>
      <w:r w:rsidRPr="0020010E">
        <w:rPr>
          <w:rFonts w:ascii="Times New Roman" w:eastAsia="Times New Roman" w:hAnsi="Times New Roman" w:cs="Times New Roman"/>
          <w:color w:val="auto"/>
          <w:kern w:val="0"/>
          <w:szCs w:val="24"/>
          <w14:ligatures w14:val="none"/>
        </w:rPr>
        <w:t>.</w:t>
      </w:r>
      <w:r w:rsidR="005E5FEB">
        <w:rPr>
          <w:rFonts w:ascii="Times New Roman" w:eastAsia="Times New Roman" w:hAnsi="Times New Roman" w:cs="Times New Roman"/>
          <w:color w:val="auto"/>
          <w:kern w:val="0"/>
          <w:szCs w:val="24"/>
          <w14:ligatures w14:val="none"/>
        </w:rPr>
        <w:t xml:space="preserve"> </w:t>
      </w:r>
      <w:r w:rsidRPr="0020010E">
        <w:rPr>
          <w:rFonts w:ascii="Times New Roman" w:eastAsia="Times New Roman" w:hAnsi="Times New Roman" w:cs="Times New Roman"/>
          <w:color w:val="auto"/>
          <w:kern w:val="0"/>
          <w:szCs w:val="24"/>
          <w14:ligatures w14:val="none"/>
        </w:rPr>
        <w:t xml:space="preserve"> </w:t>
      </w:r>
      <w:r w:rsidRPr="0020010E">
        <w:rPr>
          <w:rFonts w:ascii="Times New Roman" w:eastAsia="Times New Roman" w:hAnsi="Times New Roman" w:cs="Times New Roman"/>
          <w:color w:val="auto"/>
          <w:kern w:val="0"/>
          <w:szCs w:val="24"/>
          <w14:ligatures w14:val="none"/>
        </w:rPr>
        <w:t>(Accessed: 22 August 2023).</w:t>
      </w:r>
    </w:p>
    <w:p w14:paraId="7DBD404B" w14:textId="254F13CC" w:rsidR="0020010E" w:rsidRPr="0020010E" w:rsidRDefault="0020010E" w:rsidP="0020010E">
      <w:pPr>
        <w:spacing w:after="240" w:line="360" w:lineRule="auto"/>
        <w:ind w:left="0" w:right="0" w:firstLine="0"/>
        <w:jc w:val="left"/>
        <w:rPr>
          <w:rFonts w:ascii="Times New Roman" w:eastAsia="Times New Roman" w:hAnsi="Times New Roman" w:cs="Times New Roman"/>
          <w:color w:val="auto"/>
          <w:kern w:val="0"/>
          <w:szCs w:val="24"/>
          <w14:ligatures w14:val="none"/>
        </w:rPr>
      </w:pPr>
      <w:r w:rsidRPr="0020010E">
        <w:rPr>
          <w:rFonts w:ascii="Times New Roman" w:eastAsia="Times New Roman" w:hAnsi="Times New Roman" w:cs="Times New Roman"/>
          <w:color w:val="auto"/>
          <w:kern w:val="0"/>
          <w:szCs w:val="24"/>
          <w14:ligatures w14:val="none"/>
        </w:rPr>
        <w:t xml:space="preserve">Home Office (2012) </w:t>
      </w:r>
      <w:r w:rsidRPr="0020010E">
        <w:rPr>
          <w:rFonts w:ascii="Times New Roman" w:eastAsia="Times New Roman" w:hAnsi="Times New Roman" w:cs="Times New Roman"/>
          <w:i/>
          <w:iCs/>
          <w:color w:val="auto"/>
          <w:kern w:val="0"/>
          <w:szCs w:val="24"/>
          <w14:ligatures w14:val="none"/>
        </w:rPr>
        <w:t>Definition of Policing by Consent</w:t>
      </w:r>
      <w:r w:rsidRPr="0020010E">
        <w:rPr>
          <w:rFonts w:ascii="Times New Roman" w:eastAsia="Times New Roman" w:hAnsi="Times New Roman" w:cs="Times New Roman"/>
          <w:color w:val="auto"/>
          <w:kern w:val="0"/>
          <w:szCs w:val="24"/>
          <w14:ligatures w14:val="none"/>
        </w:rPr>
        <w:t xml:space="preserve">, </w:t>
      </w:r>
      <w:r w:rsidRPr="0020010E">
        <w:rPr>
          <w:rFonts w:ascii="Times New Roman" w:eastAsia="Times New Roman" w:hAnsi="Times New Roman" w:cs="Times New Roman"/>
          <w:i/>
          <w:iCs/>
          <w:color w:val="auto"/>
          <w:kern w:val="0"/>
          <w:szCs w:val="24"/>
          <w14:ligatures w14:val="none"/>
        </w:rPr>
        <w:t>gov.uk</w:t>
      </w:r>
      <w:r w:rsidRPr="0020010E">
        <w:rPr>
          <w:rFonts w:ascii="Times New Roman" w:eastAsia="Times New Roman" w:hAnsi="Times New Roman" w:cs="Times New Roman"/>
          <w:color w:val="auto"/>
          <w:kern w:val="0"/>
          <w:szCs w:val="24"/>
          <w14:ligatures w14:val="none"/>
        </w:rPr>
        <w:t xml:space="preserve">. Home Office. Available at: </w:t>
      </w:r>
      <w:hyperlink r:id="rId10" w:history="1">
        <w:r w:rsidRPr="0020010E">
          <w:rPr>
            <w:rStyle w:val="Hyperlink"/>
            <w:rFonts w:ascii="Times New Roman" w:eastAsia="Times New Roman" w:hAnsi="Times New Roman" w:cs="Times New Roman"/>
            <w:kern w:val="0"/>
            <w:szCs w:val="24"/>
            <w14:ligatures w14:val="none"/>
          </w:rPr>
          <w:t>https://www.gov.uk/government/publications/policing-by-consent/definition-of-policing-by-consent</w:t>
        </w:r>
      </w:hyperlink>
      <w:r w:rsidRPr="0020010E">
        <w:rPr>
          <w:rFonts w:ascii="Times New Roman" w:eastAsia="Times New Roman" w:hAnsi="Times New Roman" w:cs="Times New Roman"/>
          <w:color w:val="auto"/>
          <w:kern w:val="0"/>
          <w:szCs w:val="24"/>
          <w14:ligatures w14:val="none"/>
        </w:rPr>
        <w:t>.</w:t>
      </w:r>
      <w:r>
        <w:rPr>
          <w:rFonts w:ascii="Times New Roman" w:eastAsia="Times New Roman" w:hAnsi="Times New Roman" w:cs="Times New Roman"/>
          <w:color w:val="auto"/>
          <w:kern w:val="0"/>
          <w:szCs w:val="24"/>
          <w14:ligatures w14:val="none"/>
        </w:rPr>
        <w:t xml:space="preserve"> </w:t>
      </w:r>
      <w:r w:rsidRPr="0020010E">
        <w:rPr>
          <w:rFonts w:ascii="Times New Roman" w:eastAsia="Times New Roman" w:hAnsi="Times New Roman" w:cs="Times New Roman"/>
          <w:color w:val="auto"/>
          <w:kern w:val="0"/>
          <w:szCs w:val="24"/>
          <w14:ligatures w14:val="none"/>
        </w:rPr>
        <w:t xml:space="preserve"> </w:t>
      </w:r>
      <w:r w:rsidRPr="0020010E">
        <w:rPr>
          <w:rFonts w:ascii="Times New Roman" w:eastAsia="Times New Roman" w:hAnsi="Times New Roman" w:cs="Times New Roman"/>
          <w:color w:val="auto"/>
          <w:kern w:val="0"/>
          <w:szCs w:val="24"/>
          <w14:ligatures w14:val="none"/>
        </w:rPr>
        <w:t>(Accessed: 22 August 2023).</w:t>
      </w:r>
    </w:p>
    <w:p w14:paraId="60587308" w14:textId="055A78BA" w:rsidR="0020010E" w:rsidRPr="0020010E" w:rsidRDefault="0020010E" w:rsidP="0020010E">
      <w:pPr>
        <w:spacing w:after="240" w:line="360" w:lineRule="auto"/>
        <w:ind w:left="0" w:right="0" w:firstLine="0"/>
        <w:jc w:val="left"/>
        <w:rPr>
          <w:rFonts w:ascii="Times New Roman" w:eastAsia="Times New Roman" w:hAnsi="Times New Roman" w:cs="Times New Roman"/>
          <w:color w:val="auto"/>
          <w:kern w:val="0"/>
          <w:szCs w:val="24"/>
          <w14:ligatures w14:val="none"/>
        </w:rPr>
      </w:pPr>
      <w:r w:rsidRPr="0020010E">
        <w:rPr>
          <w:rFonts w:ascii="Times New Roman" w:eastAsia="Times New Roman" w:hAnsi="Times New Roman" w:cs="Times New Roman"/>
          <w:color w:val="auto"/>
          <w:kern w:val="0"/>
          <w:szCs w:val="24"/>
          <w14:ligatures w14:val="none"/>
        </w:rPr>
        <w:t xml:space="preserve">Home Office (2023) </w:t>
      </w:r>
      <w:r w:rsidRPr="0020010E">
        <w:rPr>
          <w:rFonts w:ascii="Times New Roman" w:eastAsia="Times New Roman" w:hAnsi="Times New Roman" w:cs="Times New Roman"/>
          <w:i/>
          <w:iCs/>
          <w:color w:val="auto"/>
          <w:kern w:val="0"/>
          <w:szCs w:val="24"/>
          <w14:ligatures w14:val="none"/>
        </w:rPr>
        <w:t xml:space="preserve">Police misconduct, </w:t>
      </w:r>
      <w:proofErr w:type="gramStart"/>
      <w:r w:rsidRPr="0020010E">
        <w:rPr>
          <w:rFonts w:ascii="Times New Roman" w:eastAsia="Times New Roman" w:hAnsi="Times New Roman" w:cs="Times New Roman"/>
          <w:i/>
          <w:iCs/>
          <w:color w:val="auto"/>
          <w:kern w:val="0"/>
          <w:szCs w:val="24"/>
          <w14:ligatures w14:val="none"/>
        </w:rPr>
        <w:t>England</w:t>
      </w:r>
      <w:proofErr w:type="gramEnd"/>
      <w:r w:rsidRPr="0020010E">
        <w:rPr>
          <w:rFonts w:ascii="Times New Roman" w:eastAsia="Times New Roman" w:hAnsi="Times New Roman" w:cs="Times New Roman"/>
          <w:i/>
          <w:iCs/>
          <w:color w:val="auto"/>
          <w:kern w:val="0"/>
          <w:szCs w:val="24"/>
          <w14:ligatures w14:val="none"/>
        </w:rPr>
        <w:t xml:space="preserve"> and Wales: year ending 31 March 2022</w:t>
      </w:r>
      <w:r w:rsidRPr="0020010E">
        <w:rPr>
          <w:rFonts w:ascii="Times New Roman" w:eastAsia="Times New Roman" w:hAnsi="Times New Roman" w:cs="Times New Roman"/>
          <w:color w:val="auto"/>
          <w:kern w:val="0"/>
          <w:szCs w:val="24"/>
          <w14:ligatures w14:val="none"/>
        </w:rPr>
        <w:t xml:space="preserve">, </w:t>
      </w:r>
      <w:r w:rsidRPr="0020010E">
        <w:rPr>
          <w:rFonts w:ascii="Times New Roman" w:eastAsia="Times New Roman" w:hAnsi="Times New Roman" w:cs="Times New Roman"/>
          <w:i/>
          <w:iCs/>
          <w:color w:val="auto"/>
          <w:kern w:val="0"/>
          <w:szCs w:val="24"/>
          <w14:ligatures w14:val="none"/>
        </w:rPr>
        <w:t>GOV.UK</w:t>
      </w:r>
      <w:r w:rsidRPr="0020010E">
        <w:rPr>
          <w:rFonts w:ascii="Times New Roman" w:eastAsia="Times New Roman" w:hAnsi="Times New Roman" w:cs="Times New Roman"/>
          <w:color w:val="auto"/>
          <w:kern w:val="0"/>
          <w:szCs w:val="24"/>
          <w14:ligatures w14:val="none"/>
        </w:rPr>
        <w:t>. Available at: https://www.gov.uk/government/statistics/police-misconduct-england-and-wales-year-ending-31-march-2022.</w:t>
      </w:r>
      <w:r w:rsidRPr="0020010E">
        <w:rPr>
          <w:rFonts w:ascii="Times New Roman" w:eastAsia="Times New Roman" w:hAnsi="Times New Roman" w:cs="Times New Roman"/>
          <w:color w:val="auto"/>
          <w:kern w:val="0"/>
          <w:szCs w:val="24"/>
          <w14:ligatures w14:val="none"/>
        </w:rPr>
        <w:t xml:space="preserve"> </w:t>
      </w:r>
      <w:r>
        <w:rPr>
          <w:rFonts w:ascii="Times New Roman" w:eastAsia="Times New Roman" w:hAnsi="Times New Roman" w:cs="Times New Roman"/>
          <w:color w:val="auto"/>
          <w:kern w:val="0"/>
          <w:szCs w:val="24"/>
          <w14:ligatures w14:val="none"/>
        </w:rPr>
        <w:t xml:space="preserve"> </w:t>
      </w:r>
      <w:r w:rsidRPr="0020010E">
        <w:rPr>
          <w:rFonts w:ascii="Times New Roman" w:eastAsia="Times New Roman" w:hAnsi="Times New Roman" w:cs="Times New Roman"/>
          <w:color w:val="auto"/>
          <w:kern w:val="0"/>
          <w:szCs w:val="24"/>
          <w14:ligatures w14:val="none"/>
        </w:rPr>
        <w:t>(Accessed: 22 August 2023).</w:t>
      </w:r>
    </w:p>
    <w:p w14:paraId="3C41E86D" w14:textId="2BCA2782" w:rsidR="0020010E" w:rsidRPr="0020010E" w:rsidRDefault="0020010E" w:rsidP="0020010E">
      <w:pPr>
        <w:spacing w:after="240" w:line="360" w:lineRule="auto"/>
        <w:ind w:left="0" w:right="0" w:firstLine="0"/>
        <w:jc w:val="left"/>
        <w:rPr>
          <w:rFonts w:ascii="Times New Roman" w:eastAsia="Times New Roman" w:hAnsi="Times New Roman" w:cs="Times New Roman"/>
          <w:color w:val="auto"/>
          <w:kern w:val="0"/>
          <w:szCs w:val="24"/>
          <w14:ligatures w14:val="none"/>
        </w:rPr>
      </w:pPr>
      <w:r w:rsidRPr="0020010E">
        <w:rPr>
          <w:rFonts w:ascii="Times New Roman" w:eastAsia="Times New Roman" w:hAnsi="Times New Roman" w:cs="Times New Roman"/>
          <w:color w:val="auto"/>
          <w:kern w:val="0"/>
          <w:szCs w:val="24"/>
          <w14:ligatures w14:val="none"/>
        </w:rPr>
        <w:t xml:space="preserve">Independent Office for Police Conduct (2021) </w:t>
      </w:r>
      <w:r w:rsidRPr="0020010E">
        <w:rPr>
          <w:rFonts w:ascii="Times New Roman" w:eastAsia="Times New Roman" w:hAnsi="Times New Roman" w:cs="Times New Roman"/>
          <w:i/>
          <w:iCs/>
          <w:color w:val="auto"/>
          <w:kern w:val="0"/>
          <w:szCs w:val="24"/>
          <w14:ligatures w14:val="none"/>
        </w:rPr>
        <w:t>Public feel confident police respond fairly and proportionately to incidents, but questions remain around use of stop and search | Independent Office for Police Conduct</w:t>
      </w:r>
      <w:r w:rsidRPr="0020010E">
        <w:rPr>
          <w:rFonts w:ascii="Times New Roman" w:eastAsia="Times New Roman" w:hAnsi="Times New Roman" w:cs="Times New Roman"/>
          <w:color w:val="auto"/>
          <w:kern w:val="0"/>
          <w:szCs w:val="24"/>
          <w14:ligatures w14:val="none"/>
        </w:rPr>
        <w:t xml:space="preserve">, </w:t>
      </w:r>
      <w:r w:rsidRPr="0020010E">
        <w:rPr>
          <w:rFonts w:ascii="Times New Roman" w:eastAsia="Times New Roman" w:hAnsi="Times New Roman" w:cs="Times New Roman"/>
          <w:i/>
          <w:iCs/>
          <w:color w:val="auto"/>
          <w:kern w:val="0"/>
          <w:szCs w:val="24"/>
          <w14:ligatures w14:val="none"/>
        </w:rPr>
        <w:t>www.policeconduct.gov.uk</w:t>
      </w:r>
      <w:r w:rsidRPr="0020010E">
        <w:rPr>
          <w:rFonts w:ascii="Times New Roman" w:eastAsia="Times New Roman" w:hAnsi="Times New Roman" w:cs="Times New Roman"/>
          <w:color w:val="auto"/>
          <w:kern w:val="0"/>
          <w:szCs w:val="24"/>
          <w14:ligatures w14:val="none"/>
        </w:rPr>
        <w:t xml:space="preserve">. </w:t>
      </w:r>
      <w:r>
        <w:rPr>
          <w:rFonts w:ascii="Times New Roman" w:eastAsia="Times New Roman" w:hAnsi="Times New Roman" w:cs="Times New Roman"/>
          <w:color w:val="auto"/>
          <w:kern w:val="0"/>
          <w:szCs w:val="24"/>
          <w14:ligatures w14:val="none"/>
        </w:rPr>
        <w:t xml:space="preserve"> </w:t>
      </w:r>
      <w:r w:rsidRPr="0020010E">
        <w:rPr>
          <w:rFonts w:ascii="Times New Roman" w:eastAsia="Times New Roman" w:hAnsi="Times New Roman" w:cs="Times New Roman"/>
          <w:color w:val="auto"/>
          <w:kern w:val="0"/>
          <w:szCs w:val="24"/>
          <w14:ligatures w14:val="none"/>
        </w:rPr>
        <w:t xml:space="preserve">Available at: </w:t>
      </w:r>
      <w:hyperlink r:id="rId11" w:history="1">
        <w:r w:rsidRPr="0020010E">
          <w:rPr>
            <w:rStyle w:val="Hyperlink"/>
            <w:rFonts w:ascii="Times New Roman" w:eastAsia="Times New Roman" w:hAnsi="Times New Roman" w:cs="Times New Roman"/>
            <w:kern w:val="0"/>
            <w:szCs w:val="24"/>
            <w14:ligatures w14:val="none"/>
          </w:rPr>
          <w:t>https://www.policeconduct.gov.uk/news/public-feel-confident-police-respond-fairly-and-proportionately-incidents-questions-remain</w:t>
        </w:r>
      </w:hyperlink>
      <w:r w:rsidRPr="0020010E">
        <w:rPr>
          <w:rFonts w:ascii="Times New Roman" w:eastAsia="Times New Roman" w:hAnsi="Times New Roman" w:cs="Times New Roman"/>
          <w:color w:val="auto"/>
          <w:kern w:val="0"/>
          <w:szCs w:val="24"/>
          <w14:ligatures w14:val="none"/>
        </w:rPr>
        <w:t>.</w:t>
      </w:r>
      <w:r>
        <w:rPr>
          <w:rFonts w:ascii="Times New Roman" w:eastAsia="Times New Roman" w:hAnsi="Times New Roman" w:cs="Times New Roman"/>
          <w:color w:val="auto"/>
          <w:kern w:val="0"/>
          <w:szCs w:val="24"/>
          <w14:ligatures w14:val="none"/>
        </w:rPr>
        <w:t xml:space="preserve"> </w:t>
      </w:r>
      <w:r w:rsidRPr="0020010E">
        <w:rPr>
          <w:rFonts w:ascii="Times New Roman" w:eastAsia="Times New Roman" w:hAnsi="Times New Roman" w:cs="Times New Roman"/>
          <w:color w:val="auto"/>
          <w:kern w:val="0"/>
          <w:szCs w:val="24"/>
          <w14:ligatures w14:val="none"/>
        </w:rPr>
        <w:t xml:space="preserve"> </w:t>
      </w:r>
      <w:r w:rsidRPr="0020010E">
        <w:rPr>
          <w:rFonts w:ascii="Times New Roman" w:eastAsia="Times New Roman" w:hAnsi="Times New Roman" w:cs="Times New Roman"/>
          <w:color w:val="auto"/>
          <w:kern w:val="0"/>
          <w:szCs w:val="24"/>
          <w14:ligatures w14:val="none"/>
        </w:rPr>
        <w:t>(Accessed: 22 August 2023).</w:t>
      </w:r>
    </w:p>
    <w:p w14:paraId="477E745D" w14:textId="6DE6DA87" w:rsidR="0020010E" w:rsidRDefault="0020010E" w:rsidP="0020010E">
      <w:pPr>
        <w:spacing w:after="240" w:line="360" w:lineRule="auto"/>
        <w:ind w:left="0" w:right="0" w:firstLine="0"/>
        <w:jc w:val="left"/>
        <w:rPr>
          <w:rFonts w:ascii="Times New Roman" w:eastAsia="Times New Roman" w:hAnsi="Times New Roman" w:cs="Times New Roman"/>
          <w:color w:val="auto"/>
          <w:kern w:val="0"/>
          <w:szCs w:val="24"/>
          <w14:ligatures w14:val="none"/>
        </w:rPr>
      </w:pPr>
      <w:r w:rsidRPr="0020010E">
        <w:rPr>
          <w:rFonts w:ascii="Times New Roman" w:eastAsia="Times New Roman" w:hAnsi="Times New Roman" w:cs="Times New Roman"/>
          <w:color w:val="auto"/>
          <w:kern w:val="0"/>
          <w:szCs w:val="24"/>
          <w14:ligatures w14:val="none"/>
        </w:rPr>
        <w:t xml:space="preserve">IOPC, YONDER (2023) </w:t>
      </w:r>
      <w:r w:rsidRPr="0020010E">
        <w:rPr>
          <w:rFonts w:ascii="Times New Roman" w:eastAsia="Times New Roman" w:hAnsi="Times New Roman" w:cs="Times New Roman"/>
          <w:i/>
          <w:iCs/>
          <w:color w:val="auto"/>
          <w:kern w:val="0"/>
          <w:szCs w:val="24"/>
          <w14:ligatures w14:val="none"/>
        </w:rPr>
        <w:t>IOPC Public Perceptions Tracker Summary Report, Waves 6.1 -6.3 MAY 2023 INDEPENDENT OFFICE FOR POLICE CONDUCT (IOPC)</w:t>
      </w:r>
      <w:r w:rsidRPr="0020010E">
        <w:rPr>
          <w:rFonts w:ascii="Times New Roman" w:eastAsia="Times New Roman" w:hAnsi="Times New Roman" w:cs="Times New Roman"/>
          <w:color w:val="auto"/>
          <w:kern w:val="0"/>
          <w:szCs w:val="24"/>
          <w14:ligatures w14:val="none"/>
        </w:rPr>
        <w:t>.</w:t>
      </w:r>
      <w:r w:rsidRPr="0020010E">
        <w:rPr>
          <w:rFonts w:ascii="Times New Roman" w:eastAsia="Times New Roman" w:hAnsi="Times New Roman" w:cs="Times New Roman"/>
          <w:color w:val="auto"/>
          <w:kern w:val="0"/>
          <w:szCs w:val="24"/>
          <w14:ligatures w14:val="none"/>
        </w:rPr>
        <w:t xml:space="preserve"> </w:t>
      </w:r>
      <w:r>
        <w:rPr>
          <w:rFonts w:ascii="Times New Roman" w:eastAsia="Times New Roman" w:hAnsi="Times New Roman" w:cs="Times New Roman"/>
          <w:color w:val="auto"/>
          <w:kern w:val="0"/>
          <w:szCs w:val="24"/>
          <w14:ligatures w14:val="none"/>
        </w:rPr>
        <w:t xml:space="preserve"> </w:t>
      </w:r>
      <w:r w:rsidRPr="0020010E">
        <w:rPr>
          <w:rFonts w:ascii="Times New Roman" w:eastAsia="Times New Roman" w:hAnsi="Times New Roman" w:cs="Times New Roman"/>
          <w:color w:val="auto"/>
          <w:kern w:val="0"/>
          <w:szCs w:val="24"/>
          <w14:ligatures w14:val="none"/>
        </w:rPr>
        <w:t>(Accessed: 22 August 2023).</w:t>
      </w:r>
    </w:p>
    <w:p w14:paraId="42E5FCF6" w14:textId="77777777" w:rsidR="0020010E" w:rsidRDefault="0020010E" w:rsidP="0020010E">
      <w:pPr>
        <w:pStyle w:val="NormalWeb"/>
        <w:spacing w:before="0" w:beforeAutospacing="0" w:after="240" w:afterAutospacing="0" w:line="360" w:lineRule="auto"/>
      </w:pPr>
    </w:p>
    <w:p w14:paraId="00D7D672" w14:textId="0F52933A" w:rsidR="0020010E" w:rsidRDefault="0020010E" w:rsidP="0020010E">
      <w:pPr>
        <w:pStyle w:val="NormalWeb"/>
        <w:spacing w:before="0" w:beforeAutospacing="0" w:after="240" w:afterAutospacing="0" w:line="360" w:lineRule="auto"/>
      </w:pPr>
      <w:r>
        <w:t xml:space="preserve">Bryant, S., Peck, M. and </w:t>
      </w:r>
      <w:proofErr w:type="spellStart"/>
      <w:r>
        <w:t>Lovbakke</w:t>
      </w:r>
      <w:proofErr w:type="spellEnd"/>
      <w:r>
        <w:t xml:space="preserve">, J. (2015) </w:t>
      </w:r>
      <w:r>
        <w:rPr>
          <w:i/>
          <w:iCs/>
        </w:rPr>
        <w:t>Reoffending Analysis of MAPPA Eligible Offenders</w:t>
      </w:r>
      <w:r>
        <w:t>. Available at: https://assets.publishing.service.gov.uk/government/uploads/system/uploads/attachment_data/file/407139/reoffending-analysis-of-mappa-eligible-offenders.pdf.</w:t>
      </w:r>
      <w:r w:rsidRPr="0020010E">
        <w:t xml:space="preserve"> </w:t>
      </w:r>
      <w:r>
        <w:t xml:space="preserve"> </w:t>
      </w:r>
      <w:r w:rsidRPr="0020010E">
        <w:t xml:space="preserve">(Accessed: </w:t>
      </w:r>
      <w:r>
        <w:t>11</w:t>
      </w:r>
      <w:r w:rsidRPr="0020010E">
        <w:t xml:space="preserve"> </w:t>
      </w:r>
      <w:r>
        <w:t>October</w:t>
      </w:r>
      <w:r w:rsidRPr="0020010E">
        <w:t xml:space="preserve"> 2023).</w:t>
      </w:r>
    </w:p>
    <w:p w14:paraId="734A71E8" w14:textId="4CBC75C7" w:rsidR="0020010E" w:rsidRDefault="0020010E" w:rsidP="0020010E">
      <w:pPr>
        <w:pStyle w:val="NormalWeb"/>
        <w:spacing w:before="0" w:beforeAutospacing="0" w:after="240" w:afterAutospacing="0" w:line="360" w:lineRule="auto"/>
      </w:pPr>
      <w:r>
        <w:t xml:space="preserve">College of Policing (2017) </w:t>
      </w:r>
      <w:r>
        <w:rPr>
          <w:i/>
          <w:iCs/>
        </w:rPr>
        <w:t>Multi-agency public protection arrangements (MAPPA)</w:t>
      </w:r>
      <w:r>
        <w:t xml:space="preserve">, </w:t>
      </w:r>
      <w:r>
        <w:rPr>
          <w:i/>
          <w:iCs/>
        </w:rPr>
        <w:t>College of Policing</w:t>
      </w:r>
      <w:r>
        <w:t xml:space="preserve">. Available at: </w:t>
      </w:r>
      <w:hyperlink r:id="rId12" w:history="1">
        <w:r w:rsidRPr="005C2BD0">
          <w:rPr>
            <w:rStyle w:val="Hyperlink"/>
          </w:rPr>
          <w:t>https://www.college.police.uk/app/major-investigation-and-public-protection/managing-sexual-offenders-and-violent-offenders/multi-agency-public-protection-arrangements-mappa</w:t>
        </w:r>
      </w:hyperlink>
      <w:r>
        <w:t>.</w:t>
      </w:r>
      <w:r>
        <w:t xml:space="preserve"> </w:t>
      </w:r>
      <w:r w:rsidRPr="0020010E">
        <w:t xml:space="preserve">(Accessed: </w:t>
      </w:r>
      <w:r>
        <w:t>11</w:t>
      </w:r>
      <w:r w:rsidRPr="0020010E">
        <w:t xml:space="preserve"> </w:t>
      </w:r>
      <w:r>
        <w:t>October</w:t>
      </w:r>
      <w:r w:rsidRPr="0020010E">
        <w:t xml:space="preserve"> 2023).</w:t>
      </w:r>
    </w:p>
    <w:p w14:paraId="0A00CEB7" w14:textId="7B5BE44F" w:rsidR="0020010E" w:rsidRDefault="0020010E" w:rsidP="0020010E">
      <w:pPr>
        <w:pStyle w:val="NormalWeb"/>
        <w:spacing w:before="0" w:beforeAutospacing="0" w:after="240" w:afterAutospacing="0" w:line="360" w:lineRule="auto"/>
      </w:pPr>
      <w:r>
        <w:t xml:space="preserve">Courts and Tribunal Judiciary (no date) </w:t>
      </w:r>
      <w:r>
        <w:rPr>
          <w:i/>
          <w:iCs/>
        </w:rPr>
        <w:t>INQUESTS ARISING FROM THE DEATHS IN THE FISHMONGERS’ HALL TERROR ATTACK REGULATION 28 REPORT ON ACTION TO PREVENT FUTURE DEATHS</w:t>
      </w:r>
      <w:r>
        <w:t>. Available at: https://www.judiciary.uk/wp-content/uploads/2021/11/Fishmongers-Hall-Inquests-Prevention-of-future-deaths-report-2021-0362_Published-by-Chief-Coroner.pdf.</w:t>
      </w:r>
      <w:r w:rsidRPr="0020010E">
        <w:t xml:space="preserve"> </w:t>
      </w:r>
      <w:r>
        <w:t xml:space="preserve"> </w:t>
      </w:r>
      <w:r w:rsidRPr="0020010E">
        <w:t xml:space="preserve">(Accessed: </w:t>
      </w:r>
      <w:r>
        <w:t>11</w:t>
      </w:r>
      <w:r w:rsidRPr="0020010E">
        <w:t xml:space="preserve"> </w:t>
      </w:r>
      <w:r>
        <w:t>October</w:t>
      </w:r>
      <w:r w:rsidRPr="0020010E">
        <w:t xml:space="preserve"> 2023).</w:t>
      </w:r>
    </w:p>
    <w:p w14:paraId="5C07040B" w14:textId="18915E5E" w:rsidR="0020010E" w:rsidRDefault="0020010E" w:rsidP="0020010E">
      <w:pPr>
        <w:pStyle w:val="NormalWeb"/>
        <w:spacing w:before="0" w:beforeAutospacing="0" w:after="240" w:afterAutospacing="0" w:line="360" w:lineRule="auto"/>
      </w:pPr>
      <w:r>
        <w:t xml:space="preserve">HM Inspectorate of Probation (2021) </w:t>
      </w:r>
      <w:r>
        <w:rPr>
          <w:i/>
          <w:iCs/>
        </w:rPr>
        <w:t>09 June 2021 – Learning lessons from Serious Further Offences</w:t>
      </w:r>
      <w:r>
        <w:t xml:space="preserve">, </w:t>
      </w:r>
      <w:r>
        <w:rPr>
          <w:i/>
          <w:iCs/>
        </w:rPr>
        <w:t>www.justiceinspectorates.gov.uk</w:t>
      </w:r>
      <w:r>
        <w:t xml:space="preserve">. Available at: </w:t>
      </w:r>
      <w:hyperlink r:id="rId13" w:history="1">
        <w:r w:rsidRPr="005C2BD0">
          <w:rPr>
            <w:rStyle w:val="Hyperlink"/>
          </w:rPr>
          <w:t>https://www.justiceinspectorates.gov.uk/hmiprobation/2021/06/09-june-2021/</w:t>
        </w:r>
      </w:hyperlink>
      <w:r>
        <w:t>.</w:t>
      </w:r>
      <w:r>
        <w:t xml:space="preserve"> </w:t>
      </w:r>
      <w:r w:rsidRPr="0020010E">
        <w:t xml:space="preserve">(Accessed: </w:t>
      </w:r>
      <w:r>
        <w:t>11</w:t>
      </w:r>
      <w:r w:rsidRPr="0020010E">
        <w:t xml:space="preserve"> </w:t>
      </w:r>
      <w:r>
        <w:t>October</w:t>
      </w:r>
      <w:r w:rsidRPr="0020010E">
        <w:t xml:space="preserve"> 2023).</w:t>
      </w:r>
    </w:p>
    <w:p w14:paraId="1432F15E" w14:textId="3C4E584F" w:rsidR="0020010E" w:rsidRDefault="0020010E" w:rsidP="0020010E">
      <w:pPr>
        <w:pStyle w:val="NormalWeb"/>
        <w:spacing w:before="0" w:beforeAutospacing="0" w:after="240" w:afterAutospacing="0" w:line="360" w:lineRule="auto"/>
      </w:pPr>
      <w:r>
        <w:t xml:space="preserve">NARCO (2023) </w:t>
      </w:r>
      <w:r>
        <w:rPr>
          <w:i/>
          <w:iCs/>
        </w:rPr>
        <w:t>Advice for people under MAPPA</w:t>
      </w:r>
      <w:r>
        <w:t xml:space="preserve">, </w:t>
      </w:r>
      <w:r>
        <w:rPr>
          <w:i/>
          <w:iCs/>
        </w:rPr>
        <w:t>Nacro</w:t>
      </w:r>
      <w:r>
        <w:t xml:space="preserve">. Available at: </w:t>
      </w:r>
      <w:hyperlink r:id="rId14" w:history="1">
        <w:r w:rsidRPr="005C2BD0">
          <w:rPr>
            <w:rStyle w:val="Hyperlink"/>
          </w:rPr>
          <w:t>https://www.nacro.org.uk/nacro-services/advice/advice-for-individuals/sex-offences-shpo-mappa/advice-for-people-under-mappa/</w:t>
        </w:r>
      </w:hyperlink>
      <w:r>
        <w:t xml:space="preserve"> </w:t>
      </w:r>
      <w:r>
        <w:t>.</w:t>
      </w:r>
      <w:r>
        <w:t xml:space="preserve"> </w:t>
      </w:r>
      <w:r w:rsidRPr="0020010E">
        <w:t xml:space="preserve">(Accessed: </w:t>
      </w:r>
      <w:r>
        <w:t>11</w:t>
      </w:r>
      <w:r w:rsidRPr="0020010E">
        <w:t xml:space="preserve"> </w:t>
      </w:r>
      <w:r>
        <w:t>October</w:t>
      </w:r>
      <w:r w:rsidRPr="0020010E">
        <w:t xml:space="preserve"> 2023).</w:t>
      </w:r>
    </w:p>
    <w:p w14:paraId="01624EB0" w14:textId="7D99477A" w:rsidR="0020010E" w:rsidRDefault="0020010E" w:rsidP="0020010E">
      <w:pPr>
        <w:pStyle w:val="NormalWeb"/>
        <w:spacing w:before="0" w:beforeAutospacing="0" w:after="240" w:afterAutospacing="0" w:line="360" w:lineRule="auto"/>
      </w:pPr>
      <w:r>
        <w:t xml:space="preserve">Weaver, M. (2021) </w:t>
      </w:r>
      <w:r>
        <w:rPr>
          <w:i/>
          <w:iCs/>
        </w:rPr>
        <w:t>Inquest into London Bridge attack deaths finds police and MI5 failings</w:t>
      </w:r>
      <w:r>
        <w:t xml:space="preserve">, </w:t>
      </w:r>
      <w:r>
        <w:rPr>
          <w:i/>
          <w:iCs/>
        </w:rPr>
        <w:t>the Guardian</w:t>
      </w:r>
      <w:r>
        <w:t xml:space="preserve">. Available at: </w:t>
      </w:r>
      <w:hyperlink r:id="rId15" w:history="1">
        <w:r w:rsidRPr="005C2BD0">
          <w:rPr>
            <w:rStyle w:val="Hyperlink"/>
          </w:rPr>
          <w:t>https://www.theguardian.com/uk-news/2021/may/28/inquest-</w:t>
        </w:r>
        <w:r w:rsidRPr="005C2BD0">
          <w:rPr>
            <w:rStyle w:val="Hyperlink"/>
          </w:rPr>
          <w:lastRenderedPageBreak/>
          <w:t>into-london-bridge-attack-deaths-finds-police-and-mi5-failings</w:t>
        </w:r>
      </w:hyperlink>
      <w:r>
        <w:t>.</w:t>
      </w:r>
      <w:r w:rsidRPr="0020010E">
        <w:t xml:space="preserve"> </w:t>
      </w:r>
      <w:r w:rsidRPr="0020010E">
        <w:t xml:space="preserve">(Accessed: </w:t>
      </w:r>
      <w:r>
        <w:t>11</w:t>
      </w:r>
      <w:r w:rsidRPr="0020010E">
        <w:t xml:space="preserve"> </w:t>
      </w:r>
      <w:r>
        <w:t>October</w:t>
      </w:r>
      <w:r w:rsidRPr="0020010E">
        <w:t xml:space="preserve"> 2023).</w:t>
      </w:r>
    </w:p>
    <w:p w14:paraId="34152C9B" w14:textId="77777777" w:rsidR="0020010E" w:rsidRDefault="0020010E" w:rsidP="0020010E">
      <w:pPr>
        <w:pStyle w:val="NormalWeb"/>
        <w:spacing w:before="0" w:beforeAutospacing="0" w:after="240" w:afterAutospacing="0" w:line="360" w:lineRule="auto"/>
      </w:pPr>
    </w:p>
    <w:p w14:paraId="6686432F" w14:textId="6F7A158C" w:rsidR="0020010E" w:rsidRDefault="0020010E" w:rsidP="0020010E">
      <w:pPr>
        <w:pStyle w:val="NormalWeb"/>
        <w:spacing w:before="0" w:beforeAutospacing="0" w:after="240" w:afterAutospacing="0" w:line="360" w:lineRule="auto"/>
      </w:pPr>
      <w:r>
        <w:t xml:space="preserve">Annan, L.G. </w:t>
      </w:r>
      <w:r>
        <w:rPr>
          <w:i/>
          <w:iCs/>
        </w:rPr>
        <w:t>et al.</w:t>
      </w:r>
      <w:r>
        <w:t xml:space="preserve"> (2021) ‘What makes young people get involved with street gangs in London? A study of the perceived risk factors’, </w:t>
      </w:r>
      <w:r>
        <w:rPr>
          <w:i/>
          <w:iCs/>
        </w:rPr>
        <w:t>Journal of Community Psychology</w:t>
      </w:r>
      <w:r>
        <w:t>, 50(5). Available at: https://doi.org/10.1002/jcop.22767.</w:t>
      </w:r>
      <w:r w:rsidRPr="0020010E">
        <w:t xml:space="preserve"> </w:t>
      </w:r>
      <w:r w:rsidRPr="0020010E">
        <w:t xml:space="preserve">(Accessed: </w:t>
      </w:r>
      <w:r>
        <w:t>1</w:t>
      </w:r>
      <w:r>
        <w:t>6</w:t>
      </w:r>
      <w:r w:rsidRPr="0020010E">
        <w:t xml:space="preserve"> </w:t>
      </w:r>
      <w:r>
        <w:t>October</w:t>
      </w:r>
      <w:r w:rsidRPr="0020010E">
        <w:t xml:space="preserve"> 2023).</w:t>
      </w:r>
    </w:p>
    <w:p w14:paraId="47CC52B1" w14:textId="641B3050" w:rsidR="0020010E" w:rsidRDefault="0020010E" w:rsidP="0020010E">
      <w:pPr>
        <w:pStyle w:val="NormalWeb"/>
        <w:spacing w:before="0" w:beforeAutospacing="0" w:after="240" w:afterAutospacing="0" w:line="360" w:lineRule="auto"/>
      </w:pPr>
      <w:r>
        <w:t xml:space="preserve">Home Office (2020) </w:t>
      </w:r>
      <w:r>
        <w:rPr>
          <w:i/>
          <w:iCs/>
        </w:rPr>
        <w:t>Criminal exploitation of children and vulnerable adults: county lines</w:t>
      </w:r>
      <w:r>
        <w:t xml:space="preserve">, </w:t>
      </w:r>
      <w:r>
        <w:rPr>
          <w:i/>
          <w:iCs/>
        </w:rPr>
        <w:t>GOV.UK</w:t>
      </w:r>
      <w:r>
        <w:t xml:space="preserve">. Available at: </w:t>
      </w:r>
      <w:hyperlink r:id="rId16" w:history="1">
        <w:r w:rsidRPr="005C2BD0">
          <w:rPr>
            <w:rStyle w:val="Hyperlink"/>
          </w:rPr>
          <w:t>https://www.gov.uk/government/publications/criminal-exploitation-of-children-and-vulnerable-adults-county-lines/criminal-exploitation-of-children-and-vulnerable-adults-county-lines</w:t>
        </w:r>
      </w:hyperlink>
      <w:r>
        <w:t>.</w:t>
      </w:r>
      <w:r>
        <w:t xml:space="preserve"> </w:t>
      </w:r>
      <w:r w:rsidRPr="0020010E">
        <w:t xml:space="preserve">(Accessed: </w:t>
      </w:r>
      <w:r>
        <w:t>16</w:t>
      </w:r>
      <w:r w:rsidRPr="0020010E">
        <w:t xml:space="preserve"> </w:t>
      </w:r>
      <w:r>
        <w:t>October</w:t>
      </w:r>
      <w:r w:rsidRPr="0020010E">
        <w:t xml:space="preserve"> 2023).</w:t>
      </w:r>
    </w:p>
    <w:p w14:paraId="048D2A5E" w14:textId="3C3AEEB3" w:rsidR="0020010E" w:rsidRDefault="0020010E" w:rsidP="0020010E">
      <w:pPr>
        <w:pStyle w:val="NormalWeb"/>
        <w:spacing w:before="0" w:beforeAutospacing="0" w:after="240" w:afterAutospacing="0" w:line="360" w:lineRule="auto"/>
      </w:pPr>
      <w:r>
        <w:t xml:space="preserve">Leicester Safeguarding Adults Board (2014) </w:t>
      </w:r>
      <w:r>
        <w:rPr>
          <w:i/>
          <w:iCs/>
        </w:rPr>
        <w:t>Criminal Exploitation of Adults – LLR SAB Multi-Agency Policies &amp; Procedures Resource</w:t>
      </w:r>
      <w:r>
        <w:t xml:space="preserve">, </w:t>
      </w:r>
      <w:r>
        <w:rPr>
          <w:i/>
          <w:iCs/>
        </w:rPr>
        <w:t>Leicester Safeguarding Adults Board</w:t>
      </w:r>
      <w:r>
        <w:t xml:space="preserve">. Available at: </w:t>
      </w:r>
      <w:hyperlink r:id="rId17" w:history="1">
        <w:r w:rsidRPr="005C2BD0">
          <w:rPr>
            <w:rStyle w:val="Hyperlink"/>
          </w:rPr>
          <w:t>https://www.llradultsafeguarding.co.uk/criminal-exploitation-of-adults/#2_Criminal_Exploitation_Crime_Types</w:t>
        </w:r>
      </w:hyperlink>
      <w:r>
        <w:t>.</w:t>
      </w:r>
      <w:r>
        <w:t xml:space="preserve"> </w:t>
      </w:r>
      <w:r w:rsidRPr="0020010E">
        <w:t xml:space="preserve">(Accessed: </w:t>
      </w:r>
      <w:r>
        <w:t>16</w:t>
      </w:r>
      <w:r w:rsidRPr="0020010E">
        <w:t xml:space="preserve"> </w:t>
      </w:r>
      <w:r>
        <w:t>October</w:t>
      </w:r>
      <w:r w:rsidRPr="0020010E">
        <w:t xml:space="preserve"> 2023).</w:t>
      </w:r>
    </w:p>
    <w:p w14:paraId="369F185D" w14:textId="03F4C3FE" w:rsidR="0020010E" w:rsidRDefault="0020010E" w:rsidP="0020010E">
      <w:pPr>
        <w:pStyle w:val="NormalWeb"/>
        <w:spacing w:before="0" w:beforeAutospacing="0" w:after="240" w:afterAutospacing="0" w:line="360" w:lineRule="auto"/>
      </w:pPr>
      <w:r>
        <w:t xml:space="preserve">National Crime Agency (2016) </w:t>
      </w:r>
      <w:r>
        <w:rPr>
          <w:i/>
          <w:iCs/>
        </w:rPr>
        <w:t>Intelligence Assessment Pathways into Serious and Organised Crime</w:t>
      </w:r>
      <w:r>
        <w:t xml:space="preserve">. Available at: </w:t>
      </w:r>
      <w:hyperlink r:id="rId18" w:history="1">
        <w:r w:rsidRPr="005C2BD0">
          <w:rPr>
            <w:rStyle w:val="Hyperlink"/>
          </w:rPr>
          <w:t>https://nationalcrimeagency.gov.uk/who-we-are/publications/358-nca-intelligence-assessment-pathways-into-serious-and-organised-crime/file</w:t>
        </w:r>
      </w:hyperlink>
      <w:r>
        <w:t>.</w:t>
      </w:r>
      <w:r>
        <w:t xml:space="preserve"> </w:t>
      </w:r>
      <w:r w:rsidRPr="0020010E">
        <w:t xml:space="preserve">(Accessed: </w:t>
      </w:r>
      <w:r>
        <w:t>16</w:t>
      </w:r>
      <w:r w:rsidRPr="0020010E">
        <w:t xml:space="preserve"> </w:t>
      </w:r>
      <w:r>
        <w:t>October</w:t>
      </w:r>
      <w:r w:rsidRPr="0020010E">
        <w:t xml:space="preserve"> 2023).</w:t>
      </w:r>
    </w:p>
    <w:p w14:paraId="107674D1" w14:textId="4F26E6A6" w:rsidR="0020010E" w:rsidRDefault="0020010E" w:rsidP="0020010E">
      <w:pPr>
        <w:pStyle w:val="NormalWeb"/>
        <w:spacing w:before="0" w:beforeAutospacing="0" w:after="240" w:afterAutospacing="0" w:line="360" w:lineRule="auto"/>
      </w:pPr>
      <w:r>
        <w:t xml:space="preserve">thurrock.gov (2023) </w:t>
      </w:r>
      <w:r>
        <w:rPr>
          <w:i/>
          <w:iCs/>
        </w:rPr>
        <w:t>What Attracts Young People | Gangs and Gang Crime | Thurrock Council</w:t>
      </w:r>
      <w:r>
        <w:t xml:space="preserve">, </w:t>
      </w:r>
      <w:r>
        <w:rPr>
          <w:i/>
          <w:iCs/>
        </w:rPr>
        <w:t>www.thurrock.gov.uk</w:t>
      </w:r>
      <w:r>
        <w:t>. Available at: https://www.thurrock.gov.uk/gangs-and-gang-crime/what-attracts-young-people#:~:text=Young%20people%20may%20want%20to%20join%20gangs%3A%201 (Accessed: 6 November 2023).</w:t>
      </w:r>
      <w:r>
        <w:t xml:space="preserve"> </w:t>
      </w:r>
      <w:r w:rsidRPr="0020010E">
        <w:t xml:space="preserve">(Accessed: </w:t>
      </w:r>
      <w:r>
        <w:t>16</w:t>
      </w:r>
      <w:r w:rsidRPr="0020010E">
        <w:t xml:space="preserve"> </w:t>
      </w:r>
      <w:r>
        <w:t>October</w:t>
      </w:r>
      <w:r w:rsidRPr="0020010E">
        <w:t xml:space="preserve"> 2023).</w:t>
      </w:r>
    </w:p>
    <w:p w14:paraId="2B6C1EEA" w14:textId="0A427387" w:rsidR="0020010E" w:rsidRDefault="0020010E" w:rsidP="0020010E">
      <w:pPr>
        <w:pStyle w:val="NormalWeb"/>
        <w:spacing w:before="0" w:beforeAutospacing="0" w:after="240" w:afterAutospacing="0" w:line="360" w:lineRule="auto"/>
      </w:pPr>
      <w:r>
        <w:t xml:space="preserve">Walters, G.D. (2000) </w:t>
      </w:r>
      <w:r>
        <w:rPr>
          <w:i/>
          <w:iCs/>
        </w:rPr>
        <w:t xml:space="preserve">Beyond </w:t>
      </w:r>
      <w:proofErr w:type="spellStart"/>
      <w:proofErr w:type="gramStart"/>
      <w:r>
        <w:rPr>
          <w:i/>
          <w:iCs/>
        </w:rPr>
        <w:t>behavior</w:t>
      </w:r>
      <w:proofErr w:type="spellEnd"/>
      <w:r>
        <w:rPr>
          <w:i/>
          <w:iCs/>
        </w:rPr>
        <w:t xml:space="preserve"> :</w:t>
      </w:r>
      <w:proofErr w:type="gramEnd"/>
      <w:r>
        <w:rPr>
          <w:i/>
          <w:iCs/>
        </w:rPr>
        <w:t xml:space="preserve"> construction of an overarching psychological theory of lifestyles</w:t>
      </w:r>
      <w:r>
        <w:t>. Westport, Conn.: Praeger.</w:t>
      </w:r>
      <w:r>
        <w:t xml:space="preserve"> </w:t>
      </w:r>
      <w:r w:rsidRPr="0020010E">
        <w:t xml:space="preserve">(Accessed: </w:t>
      </w:r>
      <w:r>
        <w:t>16</w:t>
      </w:r>
      <w:r w:rsidRPr="0020010E">
        <w:t xml:space="preserve"> </w:t>
      </w:r>
      <w:r>
        <w:t>October</w:t>
      </w:r>
      <w:r w:rsidRPr="0020010E">
        <w:t xml:space="preserve"> 2023).</w:t>
      </w:r>
    </w:p>
    <w:p w14:paraId="52FF76E4" w14:textId="77777777" w:rsidR="0020010E" w:rsidRDefault="0020010E" w:rsidP="0020010E">
      <w:pPr>
        <w:pStyle w:val="NormalWeb"/>
        <w:spacing w:before="0" w:beforeAutospacing="0" w:after="240" w:afterAutospacing="0" w:line="360" w:lineRule="auto"/>
      </w:pPr>
    </w:p>
    <w:p w14:paraId="7D3F990C" w14:textId="04470907" w:rsidR="0020010E" w:rsidRDefault="0020010E" w:rsidP="0020010E">
      <w:pPr>
        <w:pStyle w:val="NormalWeb"/>
        <w:spacing w:before="0" w:beforeAutospacing="0" w:after="240" w:afterAutospacing="0" w:line="360" w:lineRule="auto"/>
      </w:pPr>
      <w:r>
        <w:t xml:space="preserve">Bryant, R. and Bryant, S. (2019) </w:t>
      </w:r>
      <w:r>
        <w:rPr>
          <w:i/>
          <w:iCs/>
        </w:rPr>
        <w:t>Blackstone’s Handbook for Policing Students 2020</w:t>
      </w:r>
      <w:r>
        <w:t xml:space="preserve">. 14th </w:t>
      </w:r>
      <w:proofErr w:type="spellStart"/>
      <w:r>
        <w:t>edn</w:t>
      </w:r>
      <w:proofErr w:type="spellEnd"/>
      <w:r>
        <w:t>. Oxford: Oxford University Press.</w:t>
      </w:r>
      <w:r>
        <w:t xml:space="preserve"> </w:t>
      </w:r>
      <w:r w:rsidRPr="0020010E">
        <w:t xml:space="preserve">(Accessed: </w:t>
      </w:r>
      <w:r>
        <w:t>06</w:t>
      </w:r>
      <w:r w:rsidRPr="0020010E">
        <w:t xml:space="preserve"> </w:t>
      </w:r>
      <w:r>
        <w:t>November</w:t>
      </w:r>
      <w:r w:rsidRPr="0020010E">
        <w:t xml:space="preserve"> 2023).</w:t>
      </w:r>
    </w:p>
    <w:p w14:paraId="0BDF61CA" w14:textId="1CD27A17" w:rsidR="0020010E" w:rsidRDefault="0020010E" w:rsidP="0020010E">
      <w:pPr>
        <w:pStyle w:val="NormalWeb"/>
        <w:spacing w:before="0" w:beforeAutospacing="0" w:after="240" w:afterAutospacing="0" w:line="360" w:lineRule="auto"/>
      </w:pPr>
      <w:r>
        <w:lastRenderedPageBreak/>
        <w:t xml:space="preserve">College of Policing (2022) </w:t>
      </w:r>
      <w:r>
        <w:rPr>
          <w:i/>
          <w:iCs/>
        </w:rPr>
        <w:t>We Are Collaborative</w:t>
      </w:r>
      <w:r>
        <w:t xml:space="preserve">, </w:t>
      </w:r>
      <w:r>
        <w:rPr>
          <w:i/>
          <w:iCs/>
        </w:rPr>
        <w:t>College of Policing</w:t>
      </w:r>
      <w:r>
        <w:t xml:space="preserve">. Available at: </w:t>
      </w:r>
      <w:hyperlink r:id="rId19" w:history="1">
        <w:r w:rsidRPr="005C2BD0">
          <w:rPr>
            <w:rStyle w:val="Hyperlink"/>
          </w:rPr>
          <w:t>https://profdev.college.police.uk/competency-values/we-are-collaborative/</w:t>
        </w:r>
      </w:hyperlink>
      <w:r>
        <w:t>.</w:t>
      </w:r>
      <w:r>
        <w:t xml:space="preserve"> </w:t>
      </w:r>
      <w:r w:rsidRPr="0020010E">
        <w:t xml:space="preserve">(Accessed: </w:t>
      </w:r>
      <w:r>
        <w:t>06</w:t>
      </w:r>
      <w:r w:rsidRPr="0020010E">
        <w:t xml:space="preserve"> </w:t>
      </w:r>
      <w:r>
        <w:t>November</w:t>
      </w:r>
      <w:r w:rsidRPr="0020010E">
        <w:t xml:space="preserve"> 2023).</w:t>
      </w:r>
    </w:p>
    <w:p w14:paraId="13B742C0" w14:textId="33A9D399" w:rsidR="0020010E" w:rsidRDefault="0020010E" w:rsidP="0020010E">
      <w:pPr>
        <w:pStyle w:val="NormalWeb"/>
        <w:spacing w:before="0" w:beforeAutospacing="0" w:after="240" w:afterAutospacing="0" w:line="360" w:lineRule="auto"/>
      </w:pPr>
      <w:r>
        <w:t xml:space="preserve">College of Policing (2023) </w:t>
      </w:r>
      <w:r>
        <w:rPr>
          <w:i/>
          <w:iCs/>
        </w:rPr>
        <w:t>Right Care Right Person toolkit</w:t>
      </w:r>
      <w:r>
        <w:t xml:space="preserve">, </w:t>
      </w:r>
      <w:r>
        <w:rPr>
          <w:i/>
          <w:iCs/>
        </w:rPr>
        <w:t>College of Policing</w:t>
      </w:r>
      <w:r>
        <w:t xml:space="preserve">. Available at: </w:t>
      </w:r>
      <w:hyperlink r:id="rId20" w:history="1">
        <w:r w:rsidRPr="005C2BD0">
          <w:rPr>
            <w:rStyle w:val="Hyperlink"/>
          </w:rPr>
          <w:t>https://www.college.police.uk/guidance/right-care-right-person-toolkit</w:t>
        </w:r>
      </w:hyperlink>
      <w:r>
        <w:t>.</w:t>
      </w:r>
      <w:r>
        <w:t xml:space="preserve"> </w:t>
      </w:r>
      <w:r w:rsidRPr="0020010E">
        <w:t xml:space="preserve">(Accessed: </w:t>
      </w:r>
      <w:r>
        <w:t>06</w:t>
      </w:r>
      <w:r w:rsidRPr="0020010E">
        <w:t xml:space="preserve"> </w:t>
      </w:r>
      <w:r>
        <w:t>November</w:t>
      </w:r>
      <w:r w:rsidRPr="0020010E">
        <w:t xml:space="preserve"> 2023).</w:t>
      </w:r>
    </w:p>
    <w:p w14:paraId="78887459" w14:textId="589193C4" w:rsidR="0020010E" w:rsidRDefault="0020010E" w:rsidP="0020010E">
      <w:pPr>
        <w:pStyle w:val="NormalWeb"/>
        <w:spacing w:before="0" w:beforeAutospacing="0" w:after="240" w:afterAutospacing="0" w:line="360" w:lineRule="auto"/>
      </w:pPr>
      <w:r>
        <w:t xml:space="preserve">College of Policing (2020) </w:t>
      </w:r>
      <w:r>
        <w:rPr>
          <w:i/>
          <w:iCs/>
        </w:rPr>
        <w:t>Partnership working</w:t>
      </w:r>
      <w:r>
        <w:t xml:space="preserve">, </w:t>
      </w:r>
      <w:r>
        <w:rPr>
          <w:i/>
          <w:iCs/>
        </w:rPr>
        <w:t>College of Policing</w:t>
      </w:r>
      <w:r>
        <w:t xml:space="preserve">. Available at: </w:t>
      </w:r>
      <w:hyperlink r:id="rId21" w:history="1">
        <w:r w:rsidRPr="005C2BD0">
          <w:rPr>
            <w:rStyle w:val="Hyperlink"/>
          </w:rPr>
          <w:t>https://www.college.police.uk/app/major-investigation-and-public-protection/hate-crime/partnership-working#problem-solving-in-partnerships</w:t>
        </w:r>
      </w:hyperlink>
      <w:r>
        <w:t>.</w:t>
      </w:r>
      <w:r>
        <w:t xml:space="preserve"> </w:t>
      </w:r>
      <w:r w:rsidRPr="0020010E">
        <w:t xml:space="preserve">(Accessed: </w:t>
      </w:r>
      <w:r>
        <w:t>06</w:t>
      </w:r>
      <w:r w:rsidRPr="0020010E">
        <w:t xml:space="preserve"> </w:t>
      </w:r>
      <w:r>
        <w:t>November</w:t>
      </w:r>
      <w:r w:rsidRPr="0020010E">
        <w:t xml:space="preserve"> 2023).</w:t>
      </w:r>
    </w:p>
    <w:p w14:paraId="25E467CE" w14:textId="27BBE4D2" w:rsidR="0020010E" w:rsidRDefault="0020010E" w:rsidP="0020010E">
      <w:pPr>
        <w:pStyle w:val="NormalWeb"/>
        <w:spacing w:before="0" w:beforeAutospacing="0" w:after="240" w:afterAutospacing="0" w:line="360" w:lineRule="auto"/>
      </w:pPr>
      <w:r>
        <w:t xml:space="preserve">Great Britain. National Offender Management Service (2005) </w:t>
      </w:r>
      <w:r>
        <w:rPr>
          <w:i/>
          <w:iCs/>
        </w:rPr>
        <w:t>The national reducing re-offending delivery plan</w:t>
      </w:r>
      <w:r>
        <w:t>. London: Home Office.</w:t>
      </w:r>
      <w:r>
        <w:t xml:space="preserve"> </w:t>
      </w:r>
      <w:r w:rsidRPr="0020010E">
        <w:t xml:space="preserve">(Accessed: </w:t>
      </w:r>
      <w:r>
        <w:t>06</w:t>
      </w:r>
      <w:r w:rsidRPr="0020010E">
        <w:t xml:space="preserve"> </w:t>
      </w:r>
      <w:r>
        <w:t>November</w:t>
      </w:r>
      <w:r w:rsidRPr="0020010E">
        <w:t xml:space="preserve"> 2023).</w:t>
      </w:r>
    </w:p>
    <w:p w14:paraId="466F0BD9" w14:textId="7EE49137" w:rsidR="0020010E" w:rsidRDefault="0020010E" w:rsidP="0020010E">
      <w:pPr>
        <w:pStyle w:val="NormalWeb"/>
        <w:spacing w:before="0" w:beforeAutospacing="0" w:after="240" w:afterAutospacing="0" w:line="360" w:lineRule="auto"/>
      </w:pPr>
      <w:r>
        <w:t xml:space="preserve">Thompson, K. (2021) </w:t>
      </w:r>
      <w:r>
        <w:rPr>
          <w:i/>
          <w:iCs/>
        </w:rPr>
        <w:t xml:space="preserve">How successful are early interventions in reducing violent </w:t>
      </w:r>
      <w:proofErr w:type="gramStart"/>
      <w:r>
        <w:rPr>
          <w:i/>
          <w:iCs/>
        </w:rPr>
        <w:t>crime?</w:t>
      </w:r>
      <w:r>
        <w:t>,</w:t>
      </w:r>
      <w:proofErr w:type="gramEnd"/>
      <w:r>
        <w:t xml:space="preserve"> </w:t>
      </w:r>
      <w:proofErr w:type="spellStart"/>
      <w:r>
        <w:rPr>
          <w:i/>
          <w:iCs/>
        </w:rPr>
        <w:t>ReviseSociology</w:t>
      </w:r>
      <w:proofErr w:type="spellEnd"/>
      <w:r>
        <w:t xml:space="preserve">. Available at: </w:t>
      </w:r>
      <w:hyperlink r:id="rId22" w:history="1">
        <w:r w:rsidRPr="005C2BD0">
          <w:rPr>
            <w:rStyle w:val="Hyperlink"/>
          </w:rPr>
          <w:t>https://revisesociology.com/2021/05/26/how-successful-are-early-interventions-in-reducing-violent-crime/?utm_content=cmp-true</w:t>
        </w:r>
      </w:hyperlink>
      <w:r>
        <w:t>.</w:t>
      </w:r>
      <w:r>
        <w:t xml:space="preserve"> </w:t>
      </w:r>
      <w:r w:rsidRPr="0020010E">
        <w:t xml:space="preserve">(Accessed: </w:t>
      </w:r>
      <w:r>
        <w:t>06</w:t>
      </w:r>
      <w:r w:rsidRPr="0020010E">
        <w:t xml:space="preserve"> </w:t>
      </w:r>
      <w:r>
        <w:t>November</w:t>
      </w:r>
      <w:r w:rsidRPr="0020010E">
        <w:t xml:space="preserve"> 2023).</w:t>
      </w:r>
    </w:p>
    <w:p w14:paraId="2D265EA6" w14:textId="1C186E0C" w:rsidR="0020010E" w:rsidRDefault="0020010E" w:rsidP="0020010E">
      <w:pPr>
        <w:pStyle w:val="NormalWeb"/>
        <w:spacing w:before="0" w:beforeAutospacing="0" w:after="240" w:afterAutospacing="0" w:line="360" w:lineRule="auto"/>
      </w:pPr>
      <w:r>
        <w:t xml:space="preserve">Welsh Government (2018) </w:t>
      </w:r>
      <w:r>
        <w:rPr>
          <w:i/>
          <w:iCs/>
        </w:rPr>
        <w:t>Policing and Partnership in Wales</w:t>
      </w:r>
      <w:r>
        <w:t xml:space="preserve">. Available at: </w:t>
      </w:r>
      <w:hyperlink r:id="rId23" w:history="1">
        <w:r w:rsidRPr="005C2BD0">
          <w:rPr>
            <w:rStyle w:val="Hyperlink"/>
          </w:rPr>
          <w:t>https://www.gov.wales/sites/default/files/publications/2019-04/180510-partnership-council-for-wales-meeting-paper2.pdf</w:t>
        </w:r>
      </w:hyperlink>
      <w:r>
        <w:t>.</w:t>
      </w:r>
      <w:r>
        <w:t xml:space="preserve"> </w:t>
      </w:r>
      <w:r w:rsidRPr="0020010E">
        <w:t xml:space="preserve">(Accessed: </w:t>
      </w:r>
      <w:r>
        <w:t>06</w:t>
      </w:r>
      <w:r w:rsidRPr="0020010E">
        <w:t xml:space="preserve"> </w:t>
      </w:r>
      <w:r>
        <w:t>November</w:t>
      </w:r>
      <w:r w:rsidRPr="0020010E">
        <w:t xml:space="preserve"> 2023).</w:t>
      </w:r>
    </w:p>
    <w:p w14:paraId="074EE8C9" w14:textId="77777777" w:rsidR="0020010E" w:rsidRDefault="0020010E" w:rsidP="0020010E">
      <w:pPr>
        <w:pStyle w:val="NormalWeb"/>
        <w:spacing w:before="0" w:beforeAutospacing="0" w:after="240" w:afterAutospacing="0" w:line="360" w:lineRule="auto"/>
      </w:pPr>
    </w:p>
    <w:p w14:paraId="00F255EA" w14:textId="77777777" w:rsidR="0020010E" w:rsidRDefault="0020010E" w:rsidP="0020010E">
      <w:pPr>
        <w:pStyle w:val="NormalWeb"/>
        <w:spacing w:before="0" w:beforeAutospacing="0" w:after="240" w:afterAutospacing="0" w:line="360" w:lineRule="auto"/>
      </w:pPr>
    </w:p>
    <w:p w14:paraId="491DE53C" w14:textId="77777777" w:rsidR="0020010E" w:rsidRPr="0020010E" w:rsidRDefault="0020010E" w:rsidP="0020010E">
      <w:pPr>
        <w:spacing w:after="240" w:line="360" w:lineRule="auto"/>
        <w:ind w:left="0" w:right="0" w:firstLine="0"/>
        <w:jc w:val="left"/>
        <w:rPr>
          <w:rFonts w:ascii="Times New Roman" w:eastAsia="Times New Roman" w:hAnsi="Times New Roman" w:cs="Times New Roman"/>
          <w:color w:val="auto"/>
          <w:kern w:val="0"/>
          <w:szCs w:val="24"/>
          <w14:ligatures w14:val="none"/>
        </w:rPr>
      </w:pPr>
    </w:p>
    <w:p w14:paraId="69F87D2A" w14:textId="77777777" w:rsidR="0020010E" w:rsidRPr="0020010E" w:rsidRDefault="0020010E" w:rsidP="0020010E">
      <w:pPr>
        <w:ind w:left="0" w:firstLine="0"/>
        <w:rPr>
          <w:rFonts w:asciiTheme="minorHAnsi" w:hAnsiTheme="minorHAnsi" w:cstheme="minorHAnsi"/>
          <w:sz w:val="22"/>
        </w:rPr>
      </w:pPr>
    </w:p>
    <w:sectPr w:rsidR="0020010E" w:rsidRPr="002001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C33FEA"/>
    <w:multiLevelType w:val="hybridMultilevel"/>
    <w:tmpl w:val="CEF40416"/>
    <w:lvl w:ilvl="0" w:tplc="F6060E9C">
      <w:numFmt w:val="bullet"/>
      <w:lvlText w:val="•"/>
      <w:lvlJc w:val="left"/>
      <w:pPr>
        <w:ind w:left="720" w:hanging="36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D12530"/>
    <w:multiLevelType w:val="hybridMultilevel"/>
    <w:tmpl w:val="D7789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8552837">
    <w:abstractNumId w:val="0"/>
  </w:num>
  <w:num w:numId="2" w16cid:durableId="17973297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10E"/>
    <w:rsid w:val="0020010E"/>
    <w:rsid w:val="005C504C"/>
    <w:rsid w:val="005E5FEB"/>
    <w:rsid w:val="007C4E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13F95"/>
  <w15:chartTrackingRefBased/>
  <w15:docId w15:val="{A449D6CC-AB97-4780-BBEA-B8BFA578B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010E"/>
    <w:pPr>
      <w:spacing w:after="1" w:line="276" w:lineRule="auto"/>
      <w:ind w:left="576" w:right="529" w:hanging="10"/>
      <w:jc w:val="both"/>
    </w:pPr>
    <w:rPr>
      <w:rFonts w:ascii="Arial" w:eastAsia="Arial" w:hAnsi="Arial" w:cs="Arial"/>
      <w:color w:val="000000"/>
      <w:sz w:val="24"/>
      <w:lang w:eastAsia="en-GB"/>
    </w:rPr>
  </w:style>
  <w:style w:type="paragraph" w:styleId="Heading1">
    <w:name w:val="heading 1"/>
    <w:basedOn w:val="Normal"/>
    <w:link w:val="Heading1Char"/>
    <w:uiPriority w:val="9"/>
    <w:qFormat/>
    <w:rsid w:val="0020010E"/>
    <w:pPr>
      <w:spacing w:before="100" w:beforeAutospacing="1" w:after="100" w:afterAutospacing="1" w:line="240" w:lineRule="auto"/>
      <w:ind w:left="0" w:right="0" w:firstLine="0"/>
      <w:jc w:val="left"/>
      <w:outlineLvl w:val="0"/>
    </w:pPr>
    <w:rPr>
      <w:rFonts w:ascii="Times New Roman" w:eastAsia="Times New Roman" w:hAnsi="Times New Roman" w:cs="Times New Roman"/>
      <w:b/>
      <w:bCs/>
      <w:color w:val="auto"/>
      <w:kern w:val="36"/>
      <w:sz w:val="48"/>
      <w:szCs w:val="4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010E"/>
    <w:pPr>
      <w:ind w:left="720"/>
      <w:contextualSpacing/>
    </w:pPr>
  </w:style>
  <w:style w:type="paragraph" w:styleId="NormalWeb">
    <w:name w:val="Normal (Web)"/>
    <w:basedOn w:val="Normal"/>
    <w:uiPriority w:val="99"/>
    <w:unhideWhenUsed/>
    <w:rsid w:val="0020010E"/>
    <w:pPr>
      <w:spacing w:before="100" w:beforeAutospacing="1" w:after="100" w:afterAutospacing="1" w:line="240" w:lineRule="auto"/>
      <w:ind w:left="0" w:right="0" w:firstLine="0"/>
      <w:jc w:val="left"/>
    </w:pPr>
    <w:rPr>
      <w:rFonts w:ascii="Times New Roman" w:eastAsia="Times New Roman" w:hAnsi="Times New Roman" w:cs="Times New Roman"/>
      <w:color w:val="auto"/>
      <w:kern w:val="0"/>
      <w:szCs w:val="24"/>
      <w14:ligatures w14:val="none"/>
    </w:rPr>
  </w:style>
  <w:style w:type="character" w:styleId="Strong">
    <w:name w:val="Strong"/>
    <w:basedOn w:val="DefaultParagraphFont"/>
    <w:uiPriority w:val="22"/>
    <w:qFormat/>
    <w:rsid w:val="0020010E"/>
    <w:rPr>
      <w:b/>
      <w:bCs/>
    </w:rPr>
  </w:style>
  <w:style w:type="character" w:customStyle="1" w:styleId="Heading1Char">
    <w:name w:val="Heading 1 Char"/>
    <w:basedOn w:val="DefaultParagraphFont"/>
    <w:link w:val="Heading1"/>
    <w:uiPriority w:val="9"/>
    <w:rsid w:val="0020010E"/>
    <w:rPr>
      <w:rFonts w:ascii="Times New Roman" w:eastAsia="Times New Roman" w:hAnsi="Times New Roman" w:cs="Times New Roman"/>
      <w:b/>
      <w:bCs/>
      <w:kern w:val="36"/>
      <w:sz w:val="48"/>
      <w:szCs w:val="48"/>
      <w:lang w:eastAsia="en-GB"/>
      <w14:ligatures w14:val="none"/>
    </w:rPr>
  </w:style>
  <w:style w:type="character" w:styleId="Hyperlink">
    <w:name w:val="Hyperlink"/>
    <w:basedOn w:val="DefaultParagraphFont"/>
    <w:uiPriority w:val="99"/>
    <w:unhideWhenUsed/>
    <w:rsid w:val="0020010E"/>
    <w:rPr>
      <w:color w:val="0563C1" w:themeColor="hyperlink"/>
      <w:u w:val="single"/>
    </w:rPr>
  </w:style>
  <w:style w:type="character" w:styleId="UnresolvedMention">
    <w:name w:val="Unresolved Mention"/>
    <w:basedOn w:val="DefaultParagraphFont"/>
    <w:uiPriority w:val="99"/>
    <w:semiHidden/>
    <w:unhideWhenUsed/>
    <w:rsid w:val="002001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5549083">
      <w:bodyDiv w:val="1"/>
      <w:marLeft w:val="0"/>
      <w:marRight w:val="0"/>
      <w:marTop w:val="0"/>
      <w:marBottom w:val="0"/>
      <w:divBdr>
        <w:top w:val="none" w:sz="0" w:space="0" w:color="auto"/>
        <w:left w:val="none" w:sz="0" w:space="0" w:color="auto"/>
        <w:bottom w:val="none" w:sz="0" w:space="0" w:color="auto"/>
        <w:right w:val="none" w:sz="0" w:space="0" w:color="auto"/>
      </w:divBdr>
      <w:divsChild>
        <w:div w:id="1345588816">
          <w:marLeft w:val="0"/>
          <w:marRight w:val="0"/>
          <w:marTop w:val="0"/>
          <w:marBottom w:val="0"/>
          <w:divBdr>
            <w:top w:val="none" w:sz="0" w:space="0" w:color="auto"/>
            <w:left w:val="none" w:sz="0" w:space="0" w:color="auto"/>
            <w:bottom w:val="none" w:sz="0" w:space="0" w:color="auto"/>
            <w:right w:val="none" w:sz="0" w:space="0" w:color="auto"/>
          </w:divBdr>
        </w:div>
      </w:divsChild>
    </w:div>
    <w:div w:id="1137606299">
      <w:bodyDiv w:val="1"/>
      <w:marLeft w:val="0"/>
      <w:marRight w:val="0"/>
      <w:marTop w:val="0"/>
      <w:marBottom w:val="0"/>
      <w:divBdr>
        <w:top w:val="none" w:sz="0" w:space="0" w:color="auto"/>
        <w:left w:val="none" w:sz="0" w:space="0" w:color="auto"/>
        <w:bottom w:val="none" w:sz="0" w:space="0" w:color="auto"/>
        <w:right w:val="none" w:sz="0" w:space="0" w:color="auto"/>
      </w:divBdr>
      <w:divsChild>
        <w:div w:id="642931430">
          <w:marLeft w:val="0"/>
          <w:marRight w:val="0"/>
          <w:marTop w:val="0"/>
          <w:marBottom w:val="0"/>
          <w:divBdr>
            <w:top w:val="none" w:sz="0" w:space="0" w:color="auto"/>
            <w:left w:val="none" w:sz="0" w:space="0" w:color="auto"/>
            <w:bottom w:val="none" w:sz="0" w:space="0" w:color="auto"/>
            <w:right w:val="none" w:sz="0" w:space="0" w:color="auto"/>
          </w:divBdr>
        </w:div>
      </w:divsChild>
    </w:div>
    <w:div w:id="1474058373">
      <w:bodyDiv w:val="1"/>
      <w:marLeft w:val="0"/>
      <w:marRight w:val="0"/>
      <w:marTop w:val="0"/>
      <w:marBottom w:val="0"/>
      <w:divBdr>
        <w:top w:val="none" w:sz="0" w:space="0" w:color="auto"/>
        <w:left w:val="none" w:sz="0" w:space="0" w:color="auto"/>
        <w:bottom w:val="none" w:sz="0" w:space="0" w:color="auto"/>
        <w:right w:val="none" w:sz="0" w:space="0" w:color="auto"/>
      </w:divBdr>
      <w:divsChild>
        <w:div w:id="1864586024">
          <w:marLeft w:val="0"/>
          <w:marRight w:val="0"/>
          <w:marTop w:val="0"/>
          <w:marBottom w:val="0"/>
          <w:divBdr>
            <w:top w:val="none" w:sz="0" w:space="0" w:color="auto"/>
            <w:left w:val="none" w:sz="0" w:space="0" w:color="auto"/>
            <w:bottom w:val="none" w:sz="0" w:space="0" w:color="auto"/>
            <w:right w:val="none" w:sz="0" w:space="0" w:color="auto"/>
          </w:divBdr>
        </w:div>
      </w:divsChild>
    </w:div>
    <w:div w:id="2100130346">
      <w:bodyDiv w:val="1"/>
      <w:marLeft w:val="0"/>
      <w:marRight w:val="0"/>
      <w:marTop w:val="0"/>
      <w:marBottom w:val="0"/>
      <w:divBdr>
        <w:top w:val="none" w:sz="0" w:space="0" w:color="auto"/>
        <w:left w:val="none" w:sz="0" w:space="0" w:color="auto"/>
        <w:bottom w:val="none" w:sz="0" w:space="0" w:color="auto"/>
        <w:right w:val="none" w:sz="0" w:space="0" w:color="auto"/>
      </w:divBdr>
      <w:divsChild>
        <w:div w:id="17607573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ethics/code-of-ethics#:~:text=Embedding%20the%20Code%20of%20Ethics" TargetMode="External"/><Relationship Id="rId13" Type="http://schemas.openxmlformats.org/officeDocument/2006/relationships/hyperlink" Target="https://www.justiceinspectorates.gov.uk/hmiprobation/2021/06/09-june-2021/" TargetMode="External"/><Relationship Id="rId18" Type="http://schemas.openxmlformats.org/officeDocument/2006/relationships/hyperlink" Target="https://nationalcrimeagency.gov.uk/who-we-are/publications/358-nca-intelligence-assessment-pathways-into-serious-and-organised-crime/file" TargetMode="External"/><Relationship Id="rId3" Type="http://schemas.openxmlformats.org/officeDocument/2006/relationships/settings" Target="settings.xml"/><Relationship Id="rId21" Type="http://schemas.openxmlformats.org/officeDocument/2006/relationships/hyperlink" Target="https://www.college.police.uk/app/major-investigation-and-public-protection/hate-crime/partnership-working#problem-solving-in-partnerships" TargetMode="External"/><Relationship Id="rId7" Type="http://schemas.openxmlformats.org/officeDocument/2006/relationships/hyperlink" Target="https://assets.college.police.uk/s3fs-public/2021-02/code_of_ethics_summary.pdf" TargetMode="External"/><Relationship Id="rId12" Type="http://schemas.openxmlformats.org/officeDocument/2006/relationships/hyperlink" Target="https://www.college.police.uk/app/major-investigation-and-public-protection/managing-sexual-offenders-and-violent-offenders/multi-agency-public-protection-arrangements-mappa" TargetMode="External"/><Relationship Id="rId17" Type="http://schemas.openxmlformats.org/officeDocument/2006/relationships/hyperlink" Target="https://www.llradultsafeguarding.co.uk/criminal-exploitation-of-adults/#2_Criminal_Exploitation_Crime_Type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gov.uk/government/publications/criminal-exploitation-of-children-and-vulnerable-adults-county-lines/criminal-exploitation-of-children-and-vulnerable-adults-county-lines" TargetMode="External"/><Relationship Id="rId20" Type="http://schemas.openxmlformats.org/officeDocument/2006/relationships/hyperlink" Target="https://www.college.police.uk/guidance/right-care-right-person-toolkit"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policeconduct.gov.uk/news/public-feel-confident-police-respond-fairly-and-proportionately-incidents-questions-remain" TargetMode="External"/><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www.theguardian.com/uk-news/2021/may/28/inquest-into-london-bridge-attack-deaths-finds-police-and-mi5-failings" TargetMode="External"/><Relationship Id="rId23" Type="http://schemas.openxmlformats.org/officeDocument/2006/relationships/hyperlink" Target="https://www.gov.wales/sites/default/files/publications/2019-04/180510-partnership-council-for-wales-meeting-paper2.pdf" TargetMode="External"/><Relationship Id="rId10" Type="http://schemas.openxmlformats.org/officeDocument/2006/relationships/hyperlink" Target="https://www.gov.uk/government/publications/policing-by-consent/definition-of-policing-by-consent" TargetMode="External"/><Relationship Id="rId19" Type="http://schemas.openxmlformats.org/officeDocument/2006/relationships/hyperlink" Target="https://profdev.college.police.uk/competency-values/we-are-collaborative/" TargetMode="External"/><Relationship Id="rId4" Type="http://schemas.openxmlformats.org/officeDocument/2006/relationships/webSettings" Target="webSettings.xml"/><Relationship Id="rId9" Type="http://schemas.openxmlformats.org/officeDocument/2006/relationships/hyperlink" Target="https://www.gov.uk/guidance/police-super-complaints" TargetMode="External"/><Relationship Id="rId14" Type="http://schemas.openxmlformats.org/officeDocument/2006/relationships/hyperlink" Target="https://www.nacro.org.uk/nacro-services/advice/advice-for-individuals/sex-offences-shpo-mappa/advice-for-people-under-mappa/" TargetMode="External"/><Relationship Id="rId22" Type="http://schemas.openxmlformats.org/officeDocument/2006/relationships/hyperlink" Target="https://revisesociology.com/2021/05/26/how-successful-are-early-interventions-in-reducing-violent-crime/?utm_content=cmp-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12</Pages>
  <Words>5047</Words>
  <Characters>28771</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Morgan,Fraiser swp8321</dc:creator>
  <cp:keywords/>
  <dc:description/>
  <cp:lastModifiedBy>Morgan,Fraiser swp8321</cp:lastModifiedBy>
  <cp:revision>1</cp:revision>
  <dcterms:created xsi:type="dcterms:W3CDTF">2023-11-06T19:05:00Z</dcterms:created>
  <dcterms:modified xsi:type="dcterms:W3CDTF">2023-11-06T19:17:00Z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2023-11-06T19:15:57Z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1730905d-063e-481b-aa2c-fec73f42941b</vt:lpwstr>
  </property>
  <property fmtid="{D5CDD505-2E9C-101B-9397-08002B2CF9AE}" pid="8" name="MSIP_Label_66cf8fe5-b7b7-4df7-b38d-1c61ac2f6639_ContentBits">
    <vt:lpwstr>0</vt:lpwstr>
  </property>
</Properties>
</file>