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0D981B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0EC8">
              <w:rPr>
                <w:rFonts w:ascii="Times New Roman" w:hAnsi="Times New Roman" w:cs="Times New Roman"/>
                <w:b/>
                <w:color w:val="auto"/>
                <w:sz w:val="48"/>
              </w:rPr>
              <w:t>Hayley Berry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F7C7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0EC8">
              <w:rPr>
                <w:rFonts w:ascii="Times New Roman" w:hAnsi="Times New Roman" w:cs="Times New Roman"/>
                <w:b/>
                <w:color w:val="auto"/>
                <w:sz w:val="48"/>
              </w:rPr>
              <w:t xml:space="preserve"> h.berry@hotmail.co.uk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916BE62" w14:textId="77777777" w:rsidR="00AF0EC8" w:rsidRPr="000D1F4D" w:rsidRDefault="00AF0EC8" w:rsidP="00AF0EC8">
            <w:pPr>
              <w:ind w:right="-957"/>
              <w:rPr>
                <w:rFonts w:ascii="Times New Roman" w:eastAsiaTheme="minorHAnsi" w:hAnsi="Times New Roman" w:cs="Times New Roman"/>
                <w:b/>
                <w:color w:val="auto"/>
                <w:sz w:val="48"/>
                <w:szCs w:val="24"/>
                <w:lang w:eastAsia="en-US"/>
              </w:rPr>
            </w:pPr>
            <w:r w:rsidRPr="000D1F4D">
              <w:rPr>
                <w:rFonts w:ascii="Times New Roman" w:eastAsiaTheme="minorHAnsi" w:hAnsi="Times New Roman" w:cs="Times New Roman"/>
                <w:b/>
                <w:color w:val="auto"/>
                <w:sz w:val="48"/>
                <w:szCs w:val="24"/>
                <w:lang w:eastAsia="en-US"/>
              </w:rPr>
              <w:t>2421187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700ADF6" w14:textId="175AE647" w:rsidR="007866F5" w:rsidRDefault="007866F5" w:rsidP="007866F5">
            <w:pPr>
              <w:spacing w:line="360" w:lineRule="auto"/>
              <w:jc w:val="both"/>
              <w:rPr>
                <w:sz w:val="24"/>
                <w:szCs w:val="24"/>
              </w:rPr>
            </w:pPr>
            <w:r>
              <w:rPr>
                <w:sz w:val="24"/>
                <w:szCs w:val="24"/>
              </w:rPr>
              <w:t>This essay will document a case study, worked by myself and a wider multi-disciplinary team. Individual 3 is an older adult with care and support needs and was identified as at risk of abuse. Individual 3 has a diagnosis of a cognitive impairment, diabetes and lymphoedema. Individual 3 was discharged from hospital to a care home in the town he previously resided under a best interest decision</w:t>
            </w:r>
            <w:r w:rsidR="002803EB">
              <w:rPr>
                <w:sz w:val="24"/>
                <w:szCs w:val="24"/>
              </w:rPr>
              <w:t xml:space="preserve"> (BI)</w:t>
            </w:r>
            <w:r>
              <w:rPr>
                <w:sz w:val="24"/>
                <w:szCs w:val="24"/>
              </w:rPr>
              <w:t xml:space="preserve"> as he was deemed to lack mental capacity for discharge planning (Mental Capacity Act, 2005)</w:t>
            </w:r>
            <w:r w:rsidR="00394739">
              <w:rPr>
                <w:sz w:val="24"/>
                <w:szCs w:val="24"/>
              </w:rPr>
              <w:t xml:space="preserve"> (MCA)</w:t>
            </w:r>
            <w:r>
              <w:rPr>
                <w:sz w:val="24"/>
                <w:szCs w:val="24"/>
              </w:rPr>
              <w:t xml:space="preserve">. If discharged home Individual 3 was deemed to be at high risk of self-neglect, poor medication </w:t>
            </w:r>
            <w:r w:rsidR="00AE5C61">
              <w:rPr>
                <w:sz w:val="24"/>
                <w:szCs w:val="24"/>
              </w:rPr>
              <w:t>compliance and</w:t>
            </w:r>
            <w:r>
              <w:rPr>
                <w:sz w:val="24"/>
                <w:szCs w:val="24"/>
              </w:rPr>
              <w:t xml:space="preserve"> leaving his home putting himself at risk. Individual 3 is disorientated to time and place and believes he lives in England where he spent half of his life, he believes he is still of working age,</w:t>
            </w:r>
            <w:r w:rsidRPr="00C70BD6">
              <w:rPr>
                <w:sz w:val="24"/>
                <w:szCs w:val="24"/>
              </w:rPr>
              <w:t xml:space="preserve"> and he cannot recall moving to </w:t>
            </w:r>
            <w:commentRangeStart w:id="0"/>
            <w:r w:rsidRPr="00C70BD6">
              <w:rPr>
                <w:sz w:val="24"/>
                <w:szCs w:val="24"/>
              </w:rPr>
              <w:t>Wales</w:t>
            </w:r>
            <w:commentRangeEnd w:id="0"/>
            <w:r w:rsidR="00626AE7">
              <w:rPr>
                <w:rStyle w:val="CommentReference"/>
                <w:rFonts w:cs="Times New Roman"/>
                <w:lang w:val="x-none" w:eastAsia="x-none"/>
              </w:rPr>
              <w:commentReference w:id="0"/>
            </w:r>
            <w:r w:rsidRPr="009929B5">
              <w:rPr>
                <w:sz w:val="24"/>
                <w:szCs w:val="24"/>
                <w:highlight w:val="yellow"/>
              </w:rPr>
              <w:t>.</w:t>
            </w:r>
            <w:r w:rsidR="00626AE7" w:rsidRPr="009929B5">
              <w:rPr>
                <w:sz w:val="24"/>
                <w:szCs w:val="24"/>
                <w:highlight w:val="yellow"/>
              </w:rPr>
              <w:t xml:space="preserve"> </w:t>
            </w:r>
            <w:r w:rsidR="009929B5" w:rsidRPr="009929B5">
              <w:rPr>
                <w:sz w:val="24"/>
                <w:szCs w:val="24"/>
                <w:highlight w:val="yellow"/>
              </w:rPr>
              <w:t xml:space="preserve"> The care home is close to Individual 3's </w:t>
            </w:r>
            <w:r w:rsidR="001571B3" w:rsidRPr="009929B5">
              <w:rPr>
                <w:sz w:val="24"/>
                <w:szCs w:val="24"/>
                <w:highlight w:val="yellow"/>
              </w:rPr>
              <w:t>p</w:t>
            </w:r>
            <w:r w:rsidR="001571B3">
              <w:rPr>
                <w:sz w:val="24"/>
                <w:szCs w:val="24"/>
                <w:highlight w:val="yellow"/>
              </w:rPr>
              <w:t>revious</w:t>
            </w:r>
            <w:r w:rsidR="009929B5" w:rsidRPr="009929B5">
              <w:rPr>
                <w:sz w:val="24"/>
                <w:szCs w:val="24"/>
                <w:highlight w:val="yellow"/>
              </w:rPr>
              <w:t xml:space="preserve"> home, close to the beach and café he enjoyed, it was chosen for familiarity and comfort. The Urban setting aligns with his previous residence both in Wales and England, it was acknowledge</w:t>
            </w:r>
            <w:r w:rsidR="00394739">
              <w:rPr>
                <w:sz w:val="24"/>
                <w:szCs w:val="24"/>
                <w:highlight w:val="yellow"/>
              </w:rPr>
              <w:t>d</w:t>
            </w:r>
            <w:r w:rsidR="009929B5" w:rsidRPr="009929B5">
              <w:rPr>
                <w:sz w:val="24"/>
                <w:szCs w:val="24"/>
                <w:highlight w:val="yellow"/>
              </w:rPr>
              <w:t xml:space="preserve"> discharge to a rural area would be more difficult</w:t>
            </w:r>
            <w:r w:rsidR="009929B5" w:rsidRPr="009929B5">
              <w:rPr>
                <w:sz w:val="24"/>
                <w:szCs w:val="24"/>
              </w:rPr>
              <w:t>.</w:t>
            </w:r>
            <w:r>
              <w:rPr>
                <w:sz w:val="24"/>
                <w:szCs w:val="24"/>
              </w:rPr>
              <w:t xml:space="preserve"> Individual 3 language preference is English; this was established by the hospital and records document that the ‘Active offer’ was made, this was made again </w:t>
            </w:r>
            <w:r>
              <w:rPr>
                <w:sz w:val="24"/>
                <w:szCs w:val="24"/>
              </w:rPr>
              <w:lastRenderedPageBreak/>
              <w:t xml:space="preserve">during the first meeting with me (Welsh Government, 2022). Whilst in hospital Individual 3s family member Individual 4 who held Lasting power of attorney for both health and welfare and financial affairs advocated on his behalf. Individual 4 is a relative through marriage, and social services hold information of historic physical abuse from individual 3 to his family members. </w:t>
            </w:r>
            <w:r w:rsidR="00AE5C61" w:rsidRPr="00A57915">
              <w:rPr>
                <w:sz w:val="24"/>
                <w:szCs w:val="24"/>
                <w:highlight w:val="yellow"/>
              </w:rPr>
              <w:t xml:space="preserve">This has limited his network </w:t>
            </w:r>
            <w:r w:rsidR="00A57915" w:rsidRPr="00A57915">
              <w:rPr>
                <w:sz w:val="24"/>
                <w:szCs w:val="24"/>
                <w:highlight w:val="yellow"/>
              </w:rPr>
              <w:t>resulting in isolation.</w:t>
            </w:r>
          </w:p>
          <w:p w14:paraId="501EA197" w14:textId="3873DC88" w:rsidR="007866F5" w:rsidRDefault="007866F5" w:rsidP="007866F5">
            <w:pPr>
              <w:spacing w:line="360" w:lineRule="auto"/>
              <w:jc w:val="both"/>
              <w:rPr>
                <w:sz w:val="24"/>
                <w:szCs w:val="24"/>
              </w:rPr>
            </w:pPr>
            <w:r>
              <w:rPr>
                <w:sz w:val="24"/>
                <w:szCs w:val="24"/>
              </w:rPr>
              <w:t>The guiding legislation for safeguarding adults in Wales is the Social Services and Wellbeing (Wales) Act 2014</w:t>
            </w:r>
            <w:r w:rsidR="002803EB">
              <w:rPr>
                <w:sz w:val="24"/>
                <w:szCs w:val="24"/>
              </w:rPr>
              <w:t xml:space="preserve"> (SSWBA14)</w:t>
            </w:r>
            <w:r>
              <w:rPr>
                <w:sz w:val="24"/>
                <w:szCs w:val="24"/>
              </w:rPr>
              <w:t xml:space="preserve">. Part 7 of the Act relates to safeguarding adults and children. Working together to safeguard people, published by Welsh Government accompanies the act to provide statutory guidance and expectations for safeguarding people (Welsh Government, 2022). Embedded into the act are the principles of The </w:t>
            </w:r>
            <w:r w:rsidR="00394739">
              <w:rPr>
                <w:sz w:val="24"/>
                <w:szCs w:val="24"/>
              </w:rPr>
              <w:t xml:space="preserve">MCA </w:t>
            </w:r>
            <w:r>
              <w:rPr>
                <w:sz w:val="24"/>
                <w:szCs w:val="24"/>
              </w:rPr>
              <w:t xml:space="preserve">2005, The European Convention of Human Rights, particularly Articles 2,3,5,6 and 8, The United Nations Principles of Older Persons, Welsh Language Standards and the ‘More than Just Words’ Framework. The Code of Practice under Part 10 of the </w:t>
            </w:r>
            <w:r w:rsidR="002803EB">
              <w:rPr>
                <w:sz w:val="24"/>
                <w:szCs w:val="24"/>
              </w:rPr>
              <w:t xml:space="preserve">SSWBA14 </w:t>
            </w:r>
            <w:r>
              <w:rPr>
                <w:sz w:val="24"/>
                <w:szCs w:val="24"/>
              </w:rPr>
              <w:t xml:space="preserve">provides specific guidance and emphasis the local authorities function on providing independent advocacy to citizens to ensure equal partnership and empowerment to meet their identified outcomes. </w:t>
            </w:r>
          </w:p>
          <w:p w14:paraId="4229F4EC" w14:textId="25310BDB" w:rsidR="007866F5" w:rsidRPr="001C25C3" w:rsidRDefault="007866F5" w:rsidP="007866F5">
            <w:pPr>
              <w:spacing w:line="360" w:lineRule="auto"/>
              <w:jc w:val="both"/>
              <w:rPr>
                <w:sz w:val="24"/>
                <w:szCs w:val="24"/>
              </w:rPr>
            </w:pPr>
            <w:r>
              <w:rPr>
                <w:sz w:val="24"/>
                <w:szCs w:val="24"/>
              </w:rPr>
              <w:t xml:space="preserve">The definition of a adult at risk according to section 126 (1) of </w:t>
            </w:r>
            <w:r w:rsidR="002803EB">
              <w:rPr>
                <w:sz w:val="24"/>
                <w:szCs w:val="24"/>
              </w:rPr>
              <w:t xml:space="preserve">SSWBA14 </w:t>
            </w:r>
            <w:r>
              <w:rPr>
                <w:sz w:val="24"/>
                <w:szCs w:val="24"/>
              </w:rPr>
              <w:t xml:space="preserve">is an adult </w:t>
            </w:r>
            <w:r w:rsidRPr="001C25C3">
              <w:rPr>
                <w:sz w:val="24"/>
                <w:szCs w:val="24"/>
              </w:rPr>
              <w:t>experiencing or is at risk of abuse or neglect,</w:t>
            </w:r>
            <w:r>
              <w:rPr>
                <w:sz w:val="24"/>
                <w:szCs w:val="24"/>
              </w:rPr>
              <w:t xml:space="preserve"> h</w:t>
            </w:r>
            <w:r w:rsidRPr="001C25C3">
              <w:rPr>
                <w:sz w:val="24"/>
                <w:szCs w:val="24"/>
              </w:rPr>
              <w:t>as needs for care and support (whether or not the authority is meeting any of those needs), and</w:t>
            </w:r>
            <w:r>
              <w:rPr>
                <w:sz w:val="24"/>
                <w:szCs w:val="24"/>
              </w:rPr>
              <w:t xml:space="preserve"> a</w:t>
            </w:r>
            <w:r w:rsidRPr="001C25C3">
              <w:rPr>
                <w:sz w:val="24"/>
                <w:szCs w:val="24"/>
              </w:rPr>
              <w:t>s a result of those needs is unable to protect himself or herself against the abuse or neglect or the risk of it.</w:t>
            </w:r>
            <w:r>
              <w:rPr>
                <w:sz w:val="24"/>
                <w:szCs w:val="24"/>
              </w:rPr>
              <w:t xml:space="preserve"> The three conditions must be met to satisfy an adult is at risk. The five categories of abuse are sexual, physical, emotional/psychological, neglect and financial, abuse can take place in any setting whether in a domestic dwelling, care home or institution (Social Care Wales, 2025). S126 safeguarding enquires should be made with 7 working days of receiving the adult at risk report (Social Care Wales, 2025).</w:t>
            </w:r>
          </w:p>
          <w:p w14:paraId="5EA5DE1F" w14:textId="7CA7CCB1" w:rsidR="007866F5" w:rsidRDefault="007866F5" w:rsidP="007866F5">
            <w:pPr>
              <w:spacing w:line="360" w:lineRule="auto"/>
              <w:jc w:val="both"/>
              <w:rPr>
                <w:sz w:val="24"/>
                <w:szCs w:val="24"/>
              </w:rPr>
            </w:pPr>
            <w:r>
              <w:rPr>
                <w:sz w:val="24"/>
                <w:szCs w:val="24"/>
              </w:rPr>
              <w:t xml:space="preserve">The principles of safeguarding adults are </w:t>
            </w:r>
            <w:proofErr w:type="spellStart"/>
            <w:r>
              <w:rPr>
                <w:sz w:val="24"/>
                <w:szCs w:val="24"/>
              </w:rPr>
              <w:t>inline</w:t>
            </w:r>
            <w:proofErr w:type="spellEnd"/>
            <w:r>
              <w:rPr>
                <w:sz w:val="24"/>
                <w:szCs w:val="24"/>
              </w:rPr>
              <w:t xml:space="preserve"> with the ethos of the </w:t>
            </w:r>
            <w:r w:rsidR="002803EB">
              <w:rPr>
                <w:sz w:val="24"/>
                <w:szCs w:val="24"/>
              </w:rPr>
              <w:t xml:space="preserve">SSWBA14 </w:t>
            </w:r>
            <w:r>
              <w:rPr>
                <w:sz w:val="24"/>
                <w:szCs w:val="24"/>
              </w:rPr>
              <w:t>and that of the Code of Professional Practice</w:t>
            </w:r>
            <w:r w:rsidR="00234499">
              <w:rPr>
                <w:sz w:val="24"/>
                <w:szCs w:val="24"/>
              </w:rPr>
              <w:t xml:space="preserve"> (COPP)</w:t>
            </w:r>
            <w:r>
              <w:rPr>
                <w:sz w:val="24"/>
                <w:szCs w:val="24"/>
              </w:rPr>
              <w:t xml:space="preserve"> (Social Care Wales, 2017). Voice and control, early intervention and prevention, focusing on individual outcomes and wellbeing, coproduction and multi-agency working are all recurrent themes when assessing and responding to safeguarding concerns (Welsh Government, 2017).</w:t>
            </w:r>
          </w:p>
          <w:p w14:paraId="1C4723AE" w14:textId="5C63C92B" w:rsidR="007866F5" w:rsidRDefault="007866F5" w:rsidP="007866F5">
            <w:pPr>
              <w:spacing w:line="360" w:lineRule="auto"/>
              <w:jc w:val="both"/>
              <w:rPr>
                <w:sz w:val="24"/>
                <w:szCs w:val="24"/>
              </w:rPr>
            </w:pPr>
            <w:r>
              <w:rPr>
                <w:sz w:val="24"/>
                <w:szCs w:val="24"/>
              </w:rPr>
              <w:t xml:space="preserve">When an individual is discharged to a care home this is usually to a ‘short term placement’ to allow for further assessment. Assessments would include </w:t>
            </w:r>
            <w:r w:rsidR="00394739">
              <w:rPr>
                <w:sz w:val="24"/>
                <w:szCs w:val="24"/>
              </w:rPr>
              <w:t>an</w:t>
            </w:r>
            <w:r>
              <w:rPr>
                <w:sz w:val="24"/>
                <w:szCs w:val="24"/>
              </w:rPr>
              <w:t xml:space="preserve"> </w:t>
            </w:r>
            <w:r w:rsidR="00AE5C61">
              <w:rPr>
                <w:sz w:val="24"/>
                <w:szCs w:val="24"/>
              </w:rPr>
              <w:t>MCA</w:t>
            </w:r>
            <w:r>
              <w:rPr>
                <w:sz w:val="24"/>
                <w:szCs w:val="24"/>
              </w:rPr>
              <w:t xml:space="preserve"> for care and </w:t>
            </w:r>
            <w:r>
              <w:rPr>
                <w:sz w:val="24"/>
                <w:szCs w:val="24"/>
              </w:rPr>
              <w:lastRenderedPageBreak/>
              <w:t>accommodation and a new care and support needs assessment. Graham and Cowley (2015) share the M</w:t>
            </w:r>
            <w:r w:rsidR="00394739">
              <w:rPr>
                <w:sz w:val="24"/>
                <w:szCs w:val="24"/>
              </w:rPr>
              <w:t>CA</w:t>
            </w:r>
            <w:r>
              <w:rPr>
                <w:sz w:val="24"/>
                <w:szCs w:val="24"/>
              </w:rPr>
              <w:t xml:space="preserve"> (2005) promotes a person with dementia autonomy to make key decisions about their life; conducting decision specific </w:t>
            </w:r>
            <w:r w:rsidR="00394739">
              <w:rPr>
                <w:sz w:val="24"/>
                <w:szCs w:val="24"/>
              </w:rPr>
              <w:t>MCA</w:t>
            </w:r>
            <w:r>
              <w:rPr>
                <w:sz w:val="24"/>
                <w:szCs w:val="24"/>
              </w:rPr>
              <w:t xml:space="preserve"> is key to the principles of the act. Part 3 of the </w:t>
            </w:r>
            <w:r w:rsidR="002803EB">
              <w:rPr>
                <w:sz w:val="24"/>
                <w:szCs w:val="24"/>
              </w:rPr>
              <w:t xml:space="preserve">SSWBA14 </w:t>
            </w:r>
            <w:r>
              <w:rPr>
                <w:sz w:val="24"/>
                <w:szCs w:val="24"/>
              </w:rPr>
              <w:t xml:space="preserve">direct practitioners to assessing needs of individuals, the code of practice instructs practitioners to maximise a person’s voice and control and identify their own outcomes with how they can be supported to achieve </w:t>
            </w:r>
            <w:proofErr w:type="gramStart"/>
            <w:r>
              <w:rPr>
                <w:sz w:val="24"/>
                <w:szCs w:val="24"/>
              </w:rPr>
              <w:t>this(</w:t>
            </w:r>
            <w:proofErr w:type="gramEnd"/>
            <w:r>
              <w:rPr>
                <w:sz w:val="24"/>
                <w:szCs w:val="24"/>
              </w:rPr>
              <w:t xml:space="preserve">Welsh Government, 2014). Individual 3 was consistent in his believe that he was to return ‘home and work’ in England, he was unaware he was in a care home and assessing care records there was evidence that he required a high level of supervision, requiring reassurance to keep him safe, all his care needs were anticipated by staff. Speaking to Individual 3 when he talked about ‘home’ home is when he was a young adult and many </w:t>
            </w:r>
            <w:proofErr w:type="gramStart"/>
            <w:r>
              <w:rPr>
                <w:sz w:val="24"/>
                <w:szCs w:val="24"/>
              </w:rPr>
              <w:t>people</w:t>
            </w:r>
            <w:proofErr w:type="gramEnd"/>
            <w:r>
              <w:rPr>
                <w:sz w:val="24"/>
                <w:szCs w:val="24"/>
              </w:rPr>
              <w:t xml:space="preserve"> he talked about had passed away many years ago.  I completed </w:t>
            </w:r>
            <w:r w:rsidR="00234499">
              <w:rPr>
                <w:sz w:val="24"/>
                <w:szCs w:val="24"/>
              </w:rPr>
              <w:t>an</w:t>
            </w:r>
            <w:r>
              <w:rPr>
                <w:sz w:val="24"/>
                <w:szCs w:val="24"/>
              </w:rPr>
              <w:t xml:space="preserve"> </w:t>
            </w:r>
            <w:r w:rsidR="00744026">
              <w:rPr>
                <w:sz w:val="24"/>
                <w:szCs w:val="24"/>
              </w:rPr>
              <w:t xml:space="preserve">MCA </w:t>
            </w:r>
            <w:r>
              <w:rPr>
                <w:sz w:val="24"/>
                <w:szCs w:val="24"/>
              </w:rPr>
              <w:t xml:space="preserve">for care and accommodation and on the balance of probabilities Individual 3 was deemed to lack mental capacity. Whilst completing assessments I made several unsuccessful attempts to contact individual 4 to gather their views for the assessment and to invite them to a </w:t>
            </w:r>
            <w:r w:rsidR="00744026">
              <w:rPr>
                <w:sz w:val="24"/>
                <w:szCs w:val="24"/>
              </w:rPr>
              <w:t>BIM</w:t>
            </w:r>
            <w:r>
              <w:rPr>
                <w:sz w:val="24"/>
                <w:szCs w:val="24"/>
              </w:rPr>
              <w:t xml:space="preserve"> to explore long term options for Individual 3. As Lasting Power of Attorney for both decisions it was important to engage them in care planning and for them to complete necessary financial assessments forms and make arrangements for placement payment and providing a personal allowance to Individual 4</w:t>
            </w:r>
            <w:proofErr w:type="gramStart"/>
            <w:r w:rsidR="000E2E10">
              <w:rPr>
                <w:sz w:val="24"/>
                <w:szCs w:val="24"/>
              </w:rPr>
              <w:t xml:space="preserve">. </w:t>
            </w:r>
            <w:r w:rsidR="0081080E" w:rsidRPr="0081080E">
              <w:rPr>
                <w:b/>
                <w:bCs/>
                <w:sz w:val="24"/>
                <w:szCs w:val="24"/>
                <w:highlight w:val="yellow"/>
              </w:rPr>
              <w:t>.</w:t>
            </w:r>
            <w:proofErr w:type="gramEnd"/>
            <w:r w:rsidR="0081080E" w:rsidRPr="0081080E">
              <w:rPr>
                <w:b/>
                <w:bCs/>
                <w:sz w:val="24"/>
                <w:szCs w:val="24"/>
                <w:highlight w:val="yellow"/>
              </w:rPr>
              <w:t xml:space="preserve"> </w:t>
            </w:r>
            <w:r w:rsidR="0081080E" w:rsidRPr="0081080E">
              <w:rPr>
                <w:sz w:val="24"/>
                <w:szCs w:val="24"/>
                <w:highlight w:val="yellow"/>
              </w:rPr>
              <w:t>In Wales a person is eligible for financial assistance if they have savings or assets under £50,000</w:t>
            </w:r>
            <w:r w:rsidR="00C91367">
              <w:rPr>
                <w:sz w:val="24"/>
                <w:szCs w:val="24"/>
              </w:rPr>
              <w:t xml:space="preserve"> </w:t>
            </w:r>
            <w:r>
              <w:rPr>
                <w:sz w:val="24"/>
                <w:szCs w:val="24"/>
              </w:rPr>
              <w:t xml:space="preserve">After several weeks Individual 4 contacted me to say they had an invoice from the care home. Individual 4 seemed disgruntled and said he would not have the funds to pay for this, I queried this as the money should be in Individual 3 bank account, I stated that no one should be accessing money from Individual’s 3’s account for any other reason than for paying for care and support for Individual 3. The </w:t>
            </w:r>
            <w:r w:rsidR="00234499">
              <w:rPr>
                <w:sz w:val="24"/>
                <w:szCs w:val="24"/>
              </w:rPr>
              <w:t xml:space="preserve">COPP </w:t>
            </w:r>
            <w:r>
              <w:rPr>
                <w:sz w:val="24"/>
                <w:szCs w:val="24"/>
              </w:rPr>
              <w:t>for Social Care states practitioners must strive to build collaborative trusting relationship with individuals and carers, and they must ensure the safety and wellbeing of individuals (S</w:t>
            </w:r>
            <w:r w:rsidR="00234499">
              <w:rPr>
                <w:sz w:val="24"/>
                <w:szCs w:val="24"/>
              </w:rPr>
              <w:t>CW</w:t>
            </w:r>
            <w:r>
              <w:rPr>
                <w:sz w:val="24"/>
                <w:szCs w:val="24"/>
              </w:rPr>
              <w:t>, 2017). The North Wales Safeguarding Board (2025) advises practitioners of ‘professional curiosity’, this relies on the skill of the worker to engage the individual in a more in-depth conversation to understand what is happening; the outcome being is for the worker to understand what needs to happen next. Professional curiosity directs the worker to go beyond taking things at face value.</w:t>
            </w:r>
          </w:p>
          <w:p w14:paraId="70308A92" w14:textId="762B5C35" w:rsidR="007866F5" w:rsidRDefault="007866F5" w:rsidP="007866F5">
            <w:pPr>
              <w:spacing w:line="360" w:lineRule="auto"/>
              <w:jc w:val="both"/>
              <w:rPr>
                <w:sz w:val="24"/>
                <w:szCs w:val="24"/>
              </w:rPr>
            </w:pPr>
            <w:r>
              <w:rPr>
                <w:sz w:val="24"/>
                <w:szCs w:val="24"/>
              </w:rPr>
              <w:lastRenderedPageBreak/>
              <w:t>Individual 4 declined to complete financial assessment forms or provide copies of bank statements</w:t>
            </w:r>
            <w:r w:rsidR="0081080E">
              <w:rPr>
                <w:sz w:val="24"/>
                <w:szCs w:val="24"/>
              </w:rPr>
              <w:t>.</w:t>
            </w:r>
            <w:r>
              <w:rPr>
                <w:sz w:val="24"/>
                <w:szCs w:val="24"/>
              </w:rPr>
              <w:t xml:space="preserve"> I attempted to engage individual 4 in conversation around Individual’s 3 current placement and his views and invited him to a best interest meeting. Individual 4 stated he had not visited individual 3 and was not sure of his availability for a meeting. The conversation ended with Individual 3 stating he would pay the invoice to the care home and that he would email his availability for a meeting. As an attorney you must act in the donor’s best interest and not use your position to benefit yourself (</w:t>
            </w:r>
            <w:r w:rsidRPr="00123002">
              <w:rPr>
                <w:sz w:val="24"/>
                <w:szCs w:val="24"/>
              </w:rPr>
              <w:t>WWW.GOV.UK</w:t>
            </w:r>
            <w:r>
              <w:rPr>
                <w:sz w:val="24"/>
                <w:szCs w:val="24"/>
              </w:rPr>
              <w:t xml:space="preserve">). </w:t>
            </w:r>
            <w:r w:rsidR="003A7E38" w:rsidRPr="003A7E38">
              <w:rPr>
                <w:sz w:val="24"/>
                <w:szCs w:val="24"/>
              </w:rPr>
              <w:t>The care home warned about payment issues for Individual 3's placement, as contact attempts with Individual 4 failed. I left messages and</w:t>
            </w:r>
            <w:r w:rsidR="003A7E38">
              <w:rPr>
                <w:sz w:val="24"/>
                <w:szCs w:val="24"/>
              </w:rPr>
              <w:t xml:space="preserve"> sent</w:t>
            </w:r>
            <w:r w:rsidR="003A7E38" w:rsidRPr="003A7E38">
              <w:rPr>
                <w:sz w:val="24"/>
                <w:szCs w:val="24"/>
              </w:rPr>
              <w:t xml:space="preserve"> a letter, seeking their cooperation as Individual 3's attorney. With my manager, we planned to secure the placement if no response came.</w:t>
            </w:r>
            <w:r w:rsidR="003A7E38">
              <w:rPr>
                <w:sz w:val="24"/>
                <w:szCs w:val="24"/>
              </w:rPr>
              <w:t xml:space="preserve"> There</w:t>
            </w:r>
            <w:r>
              <w:rPr>
                <w:sz w:val="24"/>
                <w:szCs w:val="24"/>
              </w:rPr>
              <w:t xml:space="preserve"> are six principle that underpin effective safeguarding systems, principle four if practitioners sharing information in a timely manner and access to direct advice (</w:t>
            </w:r>
            <w:r w:rsidR="003A7E38">
              <w:rPr>
                <w:sz w:val="24"/>
                <w:szCs w:val="24"/>
              </w:rPr>
              <w:t>SCW</w:t>
            </w:r>
            <w:r>
              <w:rPr>
                <w:sz w:val="24"/>
                <w:szCs w:val="24"/>
              </w:rPr>
              <w:t>, 2025).</w:t>
            </w:r>
          </w:p>
          <w:p w14:paraId="1141045E" w14:textId="302770B2" w:rsidR="007866F5" w:rsidRDefault="007866F5" w:rsidP="007866F5">
            <w:pPr>
              <w:spacing w:line="360" w:lineRule="auto"/>
              <w:jc w:val="both"/>
              <w:rPr>
                <w:sz w:val="24"/>
                <w:szCs w:val="24"/>
              </w:rPr>
            </w:pPr>
            <w:r>
              <w:rPr>
                <w:sz w:val="24"/>
                <w:szCs w:val="24"/>
              </w:rPr>
              <w:t xml:space="preserve">The following week I received a phone call from a social worker from a neighbouring local authority; I was informed whilst she was completing a care review for a resident, she heard staff talking about a resident who ‘had got out, she made enquiries and believed that the person was Individual 3. I contacted the care home to make further enquiries. The manager shared that Individual 3 had absconded with another resident and got quite far into town before they were found, when found Individual 3 was distressed and disorientated. I asked how this had happened given the care home has a locked door policy, individual 3 is under a Deprivation of Liberty Safeguard (DOLS), and it is well documented in my care plan and the homes own care plans that he is at high risk of wandering and attempting to </w:t>
            </w:r>
            <w:r w:rsidRPr="0017151F">
              <w:rPr>
                <w:sz w:val="24"/>
                <w:szCs w:val="24"/>
              </w:rPr>
              <w:t>abscond</w:t>
            </w:r>
            <w:r>
              <w:rPr>
                <w:sz w:val="24"/>
                <w:szCs w:val="24"/>
              </w:rPr>
              <w:t xml:space="preserve">. </w:t>
            </w:r>
            <w:r w:rsidR="002803EB">
              <w:rPr>
                <w:sz w:val="24"/>
                <w:szCs w:val="24"/>
              </w:rPr>
              <w:t xml:space="preserve">DOLS </w:t>
            </w:r>
            <w:r>
              <w:rPr>
                <w:sz w:val="24"/>
                <w:szCs w:val="24"/>
              </w:rPr>
              <w:t xml:space="preserve">offer protection to a person who lacks mental capacity for their care or </w:t>
            </w:r>
            <w:r w:rsidR="00234499">
              <w:rPr>
                <w:sz w:val="24"/>
                <w:szCs w:val="24"/>
              </w:rPr>
              <w:t>treatment and</w:t>
            </w:r>
            <w:r>
              <w:rPr>
                <w:sz w:val="24"/>
                <w:szCs w:val="24"/>
              </w:rPr>
              <w:t xml:space="preserve"> is authorised by the ‘supervisory body’ in this case the local authority, when the request is made care plans accompany the request which detail the restrictions on the persons liberty and why these are necessary to keep the person safe (Welsh Government, 2015). The care home was unable to provide a robust explanation on how this had happened and stated that one door which had a key code was left open and the second door to exit was unlocked using a key by Individual 3, the manager said the key was ‘hidden’ but was found. The manager stated that the other resident believes that she is the wife of Individual 3 and constantly asking Individual 3 to leave with her; the other resident follows Individual 3 round the home and gets distressed and verbally aggressive if anyone else approaches Individual 3. I asked the manager if she </w:t>
            </w:r>
            <w:r>
              <w:rPr>
                <w:sz w:val="24"/>
                <w:szCs w:val="24"/>
              </w:rPr>
              <w:lastRenderedPageBreak/>
              <w:t>had contacted the family and made an adult at risk safeguarding referral. The manager said they had been unable to contact Individual 4 and were in the process of making the safeguarding referral. All relevant partners under section 162 of The</w:t>
            </w:r>
            <w:r w:rsidR="002803EB">
              <w:rPr>
                <w:sz w:val="24"/>
                <w:szCs w:val="24"/>
              </w:rPr>
              <w:t xml:space="preserve"> SSWBA</w:t>
            </w:r>
            <w:proofErr w:type="gramStart"/>
            <w:r w:rsidR="002803EB">
              <w:rPr>
                <w:sz w:val="24"/>
                <w:szCs w:val="24"/>
              </w:rPr>
              <w:t xml:space="preserve">14 </w:t>
            </w:r>
            <w:r>
              <w:rPr>
                <w:sz w:val="24"/>
                <w:szCs w:val="24"/>
              </w:rPr>
              <w:t>,</w:t>
            </w:r>
            <w:proofErr w:type="gramEnd"/>
            <w:r>
              <w:rPr>
                <w:sz w:val="24"/>
                <w:szCs w:val="24"/>
              </w:rPr>
              <w:t xml:space="preserve"> s.128 have a duty to report an adult or child at risk of harm or abuse (S</w:t>
            </w:r>
            <w:r w:rsidR="00234499">
              <w:rPr>
                <w:sz w:val="24"/>
                <w:szCs w:val="24"/>
              </w:rPr>
              <w:t>CW</w:t>
            </w:r>
            <w:r>
              <w:rPr>
                <w:sz w:val="24"/>
                <w:szCs w:val="24"/>
              </w:rPr>
              <w:t xml:space="preserve">, 2025). I planned to visit Individual 3 the following day. </w:t>
            </w:r>
          </w:p>
          <w:p w14:paraId="06515169" w14:textId="532B8AF8" w:rsidR="007866F5" w:rsidRDefault="007866F5" w:rsidP="007866F5">
            <w:pPr>
              <w:spacing w:line="360" w:lineRule="auto"/>
              <w:jc w:val="both"/>
              <w:rPr>
                <w:sz w:val="24"/>
                <w:szCs w:val="24"/>
              </w:rPr>
            </w:pPr>
            <w:r>
              <w:rPr>
                <w:sz w:val="24"/>
                <w:szCs w:val="24"/>
              </w:rPr>
              <w:t xml:space="preserve">Prior to my visit I phoned the duty safeguarding social worker to check if they had received an adult at risk safeguarding referral, they </w:t>
            </w:r>
            <w:proofErr w:type="gramStart"/>
            <w:r>
              <w:rPr>
                <w:sz w:val="24"/>
                <w:szCs w:val="24"/>
              </w:rPr>
              <w:t>had</w:t>
            </w:r>
            <w:proofErr w:type="gramEnd"/>
            <w:r>
              <w:rPr>
                <w:sz w:val="24"/>
                <w:szCs w:val="24"/>
              </w:rPr>
              <w:t xml:space="preserve"> and we </w:t>
            </w:r>
            <w:r w:rsidR="00234499">
              <w:rPr>
                <w:sz w:val="24"/>
                <w:szCs w:val="24"/>
              </w:rPr>
              <w:t>discussed the</w:t>
            </w:r>
            <w:r>
              <w:rPr>
                <w:sz w:val="24"/>
                <w:szCs w:val="24"/>
              </w:rPr>
              <w:t xml:space="preserve"> contents. Welsh Safeguarding Procedures advise Professionals to record any initial discussion, what information was shared and record next steps and actions (</w:t>
            </w:r>
            <w:r w:rsidR="00234499">
              <w:rPr>
                <w:sz w:val="24"/>
                <w:szCs w:val="24"/>
              </w:rPr>
              <w:t>SCW</w:t>
            </w:r>
            <w:r>
              <w:rPr>
                <w:sz w:val="24"/>
                <w:szCs w:val="24"/>
              </w:rPr>
              <w:t xml:space="preserve">, 2025). I agreed to feedback following my visit that day. </w:t>
            </w:r>
          </w:p>
          <w:p w14:paraId="78ACD2A7" w14:textId="1EA50CD3" w:rsidR="007866F5" w:rsidRDefault="007866F5" w:rsidP="007866F5">
            <w:pPr>
              <w:spacing w:line="360" w:lineRule="auto"/>
              <w:jc w:val="both"/>
              <w:rPr>
                <w:sz w:val="24"/>
                <w:szCs w:val="24"/>
              </w:rPr>
            </w:pPr>
            <w:r>
              <w:rPr>
                <w:sz w:val="24"/>
                <w:szCs w:val="24"/>
              </w:rPr>
              <w:t xml:space="preserve">When I arrived at the care home, I asked if I could sit in a quieter area of the lounge and review the care logs on an iPad, this would give me </w:t>
            </w:r>
            <w:r w:rsidR="00234499">
              <w:rPr>
                <w:sz w:val="24"/>
                <w:szCs w:val="24"/>
              </w:rPr>
              <w:t>an</w:t>
            </w:r>
            <w:r>
              <w:rPr>
                <w:sz w:val="24"/>
                <w:szCs w:val="24"/>
              </w:rPr>
              <w:t xml:space="preserve"> opportunity to observe Individual 3 in his environment, following this I would speak to Individual 3 and then speak with the manager to gather information and discuss any concerns or queries I have. Trevithick (2012) informs direct and indirect observations are vital to gather sufficient information to accurately analyse a person’s needs, strengths and risks. Koprowska (2014) states that professional judgements and interventions are most effective if the necessary observations and analysis have adopted a person-centred approach. Reviewing daily care records and plans raised three points of concerns. One was a previous incident when Individual 3 had absconded from the care home which appeared to have gone unreported to social services, secondly an issue around non administration of medication and thirdly concerns around staff taking pictures of Individual 3 adding them to care records with written descriptions of a derogatory nature. In addition, I was sat observing Individual 3, I was concerned at Individual 3 presentation both verbal and non-verbal and how he appeared to be unsettled in the environment, He was sat with another resident which from the observation I assumed was the resident who believes she is in a relationship with Individual 3. Reflection in action according to Schon (1983) is the process of adjusting plans or actions in real time based on observations or information provided at that time. I asked a staff member why when Individual 3 is in obvious distress why no one is attempting to divert either resident. The carer acknowledged the situation however dismissed it ‘</w:t>
            </w:r>
            <w:r w:rsidRPr="004004A2">
              <w:rPr>
                <w:i/>
                <w:iCs/>
                <w:sz w:val="24"/>
                <w:szCs w:val="24"/>
              </w:rPr>
              <w:t>that’s the way they are’</w:t>
            </w:r>
            <w:r>
              <w:rPr>
                <w:sz w:val="24"/>
                <w:szCs w:val="24"/>
              </w:rPr>
              <w:t xml:space="preserve">. I asked if she could attempt an intervention to engage either of the residents to an alternative area or activity. The intervention was not successful as the other </w:t>
            </w:r>
            <w:r>
              <w:rPr>
                <w:sz w:val="24"/>
                <w:szCs w:val="24"/>
              </w:rPr>
              <w:lastRenderedPageBreak/>
              <w:t>resident would return quickly to Individual 3, every time they returned Individual 3 would put his head in his hands, the other resident was observed putting her hands out coaxing Individual 3 to follow here. I was told she leads him to get their coats and to the doors. Building on systems theory, Bronfenbrenner (1979)</w:t>
            </w:r>
            <w:r>
              <w:rPr>
                <w:b/>
                <w:bCs/>
                <w:sz w:val="24"/>
                <w:szCs w:val="24"/>
              </w:rPr>
              <w:t xml:space="preserve"> </w:t>
            </w:r>
            <w:r w:rsidRPr="00A20FB6">
              <w:rPr>
                <w:sz w:val="24"/>
                <w:szCs w:val="24"/>
              </w:rPr>
              <w:t>ecological approach</w:t>
            </w:r>
            <w:r>
              <w:rPr>
                <w:b/>
                <w:bCs/>
                <w:sz w:val="24"/>
                <w:szCs w:val="24"/>
              </w:rPr>
              <w:t xml:space="preserve"> </w:t>
            </w:r>
            <w:r>
              <w:rPr>
                <w:sz w:val="24"/>
                <w:szCs w:val="24"/>
              </w:rPr>
              <w:t xml:space="preserve">offers social workers several </w:t>
            </w:r>
            <w:r w:rsidRPr="004004A2">
              <w:rPr>
                <w:i/>
                <w:iCs/>
                <w:sz w:val="24"/>
                <w:szCs w:val="24"/>
              </w:rPr>
              <w:t>systems</w:t>
            </w:r>
            <w:r>
              <w:rPr>
                <w:sz w:val="24"/>
                <w:szCs w:val="24"/>
              </w:rPr>
              <w:t xml:space="preserve"> to consider when considering a person in the context of their environment (Maclean, 2020). When analysing all the information I had in that moment, I considered Individual 3s microsystem and macrosystems (Bronfenbrenner, 1979). From the evidence my initial assessment was that his ‘microsystem’ in this case the care home being the ‘institution’ was directly impacting on his physical and emotional wellbeing and the ‘macrosystem’ this being the culture of the care home had adopted a ‘status quo’ approach to Individual 3 and the other resident and from the photo and description of him in the care records he was being negatively labelled by staff. According to Maclean (2020) Labelling is </w:t>
            </w:r>
            <w:r w:rsidR="00234499">
              <w:rPr>
                <w:sz w:val="24"/>
                <w:szCs w:val="24"/>
              </w:rPr>
              <w:t>usually a</w:t>
            </w:r>
            <w:r>
              <w:rPr>
                <w:sz w:val="24"/>
                <w:szCs w:val="24"/>
              </w:rPr>
              <w:t xml:space="preserve"> negative process that is given, often by professionals to a person. It is linked to dimensions of power and lends itself to dehumanisation and oppression. I had not yet spoke to Individual 3 or the manager, so I needed to gather further information before making any conclusion and using my professional judgment on next steps. I went to speak to Individual 3, he was still in the main lounge, and he was sat with the other resident. I made an introduction and asked if he would be willing to come and speak to me in a quieter area. The other resident said, ‘</w:t>
            </w:r>
            <w:r w:rsidRPr="00606EBC">
              <w:rPr>
                <w:i/>
                <w:iCs/>
                <w:sz w:val="24"/>
                <w:szCs w:val="24"/>
              </w:rPr>
              <w:t>no he is with</w:t>
            </w:r>
            <w:r>
              <w:rPr>
                <w:i/>
                <w:iCs/>
                <w:sz w:val="24"/>
                <w:szCs w:val="24"/>
              </w:rPr>
              <w:t xml:space="preserve"> me</w:t>
            </w:r>
            <w:r w:rsidRPr="00606EBC">
              <w:rPr>
                <w:i/>
                <w:iCs/>
                <w:sz w:val="24"/>
                <w:szCs w:val="24"/>
              </w:rPr>
              <w:t>’</w:t>
            </w:r>
            <w:r>
              <w:rPr>
                <w:sz w:val="24"/>
                <w:szCs w:val="24"/>
              </w:rPr>
              <w:t>. Individual 3 was shaking his head and looked dismayed at the situation, he mumbled ‘</w:t>
            </w:r>
            <w:r w:rsidRPr="00606EBC">
              <w:rPr>
                <w:i/>
                <w:iCs/>
                <w:sz w:val="24"/>
                <w:szCs w:val="24"/>
              </w:rPr>
              <w:t>she won’t let me’</w:t>
            </w:r>
            <w:r>
              <w:rPr>
                <w:sz w:val="24"/>
                <w:szCs w:val="24"/>
              </w:rPr>
              <w:t xml:space="preserve"> and put his head in his hands. I asked a staff member to support the other resident whilst I supported Individual 3 to another area. From observing Individual 3s body language it was obvious it was going to take some time for him to ‘wind down’. I asked if he would like a </w:t>
            </w:r>
            <w:proofErr w:type="gramStart"/>
            <w:r>
              <w:rPr>
                <w:sz w:val="24"/>
                <w:szCs w:val="24"/>
              </w:rPr>
              <w:t>drink</w:t>
            </w:r>
            <w:proofErr w:type="gramEnd"/>
            <w:r>
              <w:rPr>
                <w:sz w:val="24"/>
                <w:szCs w:val="24"/>
              </w:rPr>
              <w:t xml:space="preserve"> and he accepted. I led the conversation with a narrative approach, although I had direct questions, I felt it inappropriate due to his presentation to lead the conversation with a questioning or more procedural model. A narrative approach to assessment supports empowerment of the individual (</w:t>
            </w:r>
            <w:proofErr w:type="spellStart"/>
            <w:r>
              <w:rPr>
                <w:sz w:val="24"/>
                <w:szCs w:val="24"/>
              </w:rPr>
              <w:t>Trevithink</w:t>
            </w:r>
            <w:proofErr w:type="spellEnd"/>
            <w:r>
              <w:rPr>
                <w:sz w:val="24"/>
                <w:szCs w:val="24"/>
              </w:rPr>
              <w:t xml:space="preserve">, 2012). It values the person as the expert and allows the person to share their experience in their own words (Maclean); it also adopts the principles of voice and control which underpin the </w:t>
            </w:r>
            <w:r w:rsidR="002803EB">
              <w:rPr>
                <w:sz w:val="24"/>
                <w:szCs w:val="24"/>
              </w:rPr>
              <w:t xml:space="preserve">SSWBA14 </w:t>
            </w:r>
            <w:r>
              <w:rPr>
                <w:sz w:val="24"/>
                <w:szCs w:val="24"/>
              </w:rPr>
              <w:t xml:space="preserve">and the </w:t>
            </w:r>
            <w:r w:rsidR="00234499">
              <w:rPr>
                <w:sz w:val="24"/>
                <w:szCs w:val="24"/>
              </w:rPr>
              <w:t>COPP</w:t>
            </w:r>
            <w:r>
              <w:rPr>
                <w:sz w:val="24"/>
                <w:szCs w:val="24"/>
              </w:rPr>
              <w:t xml:space="preserve"> (</w:t>
            </w:r>
            <w:r w:rsidR="00234499">
              <w:rPr>
                <w:sz w:val="24"/>
                <w:szCs w:val="24"/>
              </w:rPr>
              <w:t>SCW</w:t>
            </w:r>
            <w:r>
              <w:rPr>
                <w:sz w:val="24"/>
                <w:szCs w:val="24"/>
              </w:rPr>
              <w:t xml:space="preserve">, 2017). Individual 3 presented as severely impaired cognitively however this did not distract from him being able to share his feelings on his current placement; he felt ‘trapped’, ‘followed’ and ‘too many corridors here, I get </w:t>
            </w:r>
            <w:commentRangeStart w:id="1"/>
            <w:r>
              <w:rPr>
                <w:sz w:val="24"/>
                <w:szCs w:val="24"/>
              </w:rPr>
              <w:t>lost</w:t>
            </w:r>
            <w:commentRangeEnd w:id="1"/>
            <w:r w:rsidR="00817DDB">
              <w:rPr>
                <w:rStyle w:val="CommentReference"/>
                <w:rFonts w:cs="Times New Roman"/>
                <w:lang w:val="x-none" w:eastAsia="x-none"/>
              </w:rPr>
              <w:commentReference w:id="1"/>
            </w:r>
            <w:r>
              <w:rPr>
                <w:sz w:val="24"/>
                <w:szCs w:val="24"/>
              </w:rPr>
              <w:t>’.</w:t>
            </w:r>
            <w:r w:rsidR="006A2C7C">
              <w:rPr>
                <w:sz w:val="24"/>
                <w:szCs w:val="24"/>
              </w:rPr>
              <w:t xml:space="preserve"> </w:t>
            </w:r>
            <w:r w:rsidR="006A2C7C" w:rsidRPr="006A2C7C">
              <w:rPr>
                <w:sz w:val="24"/>
                <w:szCs w:val="24"/>
                <w:highlight w:val="yellow"/>
              </w:rPr>
              <w:t xml:space="preserve">The United Nations Principles for Older Persons (1991) state </w:t>
            </w:r>
            <w:r w:rsidR="006A2C7C" w:rsidRPr="006A2C7C">
              <w:rPr>
                <w:sz w:val="24"/>
                <w:szCs w:val="24"/>
                <w:highlight w:val="yellow"/>
              </w:rPr>
              <w:lastRenderedPageBreak/>
              <w:t xml:space="preserve">that regardless of where a person </w:t>
            </w:r>
            <w:proofErr w:type="gramStart"/>
            <w:r w:rsidR="006A2C7C" w:rsidRPr="006A2C7C">
              <w:rPr>
                <w:sz w:val="24"/>
                <w:szCs w:val="24"/>
                <w:highlight w:val="yellow"/>
              </w:rPr>
              <w:t>resides</w:t>
            </w:r>
            <w:proofErr w:type="gramEnd"/>
            <w:r w:rsidR="006A2C7C" w:rsidRPr="006A2C7C">
              <w:rPr>
                <w:sz w:val="24"/>
                <w:szCs w:val="24"/>
                <w:highlight w:val="yellow"/>
              </w:rPr>
              <w:t xml:space="preserve"> they should be afforded human rights and freedom; reflecting on this I felt that Individual’s rights were compromised</w:t>
            </w:r>
            <w:r w:rsidR="006A2C7C">
              <w:rPr>
                <w:sz w:val="24"/>
                <w:szCs w:val="24"/>
              </w:rPr>
              <w:t xml:space="preserve">. </w:t>
            </w:r>
            <w:r>
              <w:rPr>
                <w:sz w:val="24"/>
                <w:szCs w:val="24"/>
              </w:rPr>
              <w:t xml:space="preserve"> Following my conversation with Individual 3 I requested to speak to the manager. I highlighted my concerns and asked if she could share any further information </w:t>
            </w:r>
            <w:r w:rsidR="00234499">
              <w:rPr>
                <w:sz w:val="24"/>
                <w:szCs w:val="24"/>
              </w:rPr>
              <w:t>in regard to</w:t>
            </w:r>
            <w:r>
              <w:rPr>
                <w:sz w:val="24"/>
                <w:szCs w:val="24"/>
              </w:rPr>
              <w:t xml:space="preserve">, how Individual 3 had previously absconded and why this was not reported, how this had then happened again, the reason for the inconsistency in medication being administered, and why staff had taken pictures of Individual 3 and if she felt this was appropriate alongside the description recorded. Thomas and Kilmann (2015) suggest there are five conflict management styles. Styles are adopted </w:t>
            </w:r>
            <w:r w:rsidR="00234499">
              <w:rPr>
                <w:sz w:val="24"/>
                <w:szCs w:val="24"/>
              </w:rPr>
              <w:t>interchangeably by</w:t>
            </w:r>
            <w:r>
              <w:rPr>
                <w:sz w:val="24"/>
                <w:szCs w:val="24"/>
              </w:rPr>
              <w:t xml:space="preserve"> social workers depending on the situation. I felt I should adopt a ‘</w:t>
            </w:r>
            <w:r w:rsidRPr="000E300C">
              <w:rPr>
                <w:i/>
                <w:iCs/>
                <w:sz w:val="24"/>
                <w:szCs w:val="24"/>
              </w:rPr>
              <w:t>collaborative</w:t>
            </w:r>
            <w:r>
              <w:rPr>
                <w:sz w:val="24"/>
                <w:szCs w:val="24"/>
              </w:rPr>
              <w:t>’ style to understand how and why the highlighted concerns have arisen, however the manager was quite defensive and ‘</w:t>
            </w:r>
            <w:r w:rsidRPr="000E300C">
              <w:rPr>
                <w:i/>
                <w:iCs/>
                <w:sz w:val="24"/>
                <w:szCs w:val="24"/>
              </w:rPr>
              <w:t>avoiding</w:t>
            </w:r>
            <w:r>
              <w:rPr>
                <w:sz w:val="24"/>
                <w:szCs w:val="24"/>
              </w:rPr>
              <w:t xml:space="preserve">’ providing any reasons only ‘maybe’ answers. The manager did share that the medication which is for Individual 3s mental health was not administered as it was ‘out of stock’ rather than being ‘refused’ by Individual 3. I asked when this became out of stock and why has this not been reordered or the community psychiatric nurse (CPN) informed. I stated from my assessment today and the evidence I had collated, I would be discussing my concerns with safeguarding, and it was highly likely I would be submitting an adult at risk safeguarding report under the category of </w:t>
            </w:r>
            <w:commentRangeStart w:id="2"/>
            <w:r w:rsidR="00C16216">
              <w:rPr>
                <w:sz w:val="24"/>
                <w:szCs w:val="24"/>
              </w:rPr>
              <w:t>neglect</w:t>
            </w:r>
            <w:commentRangeEnd w:id="2"/>
            <w:r w:rsidR="00A74D27">
              <w:rPr>
                <w:rStyle w:val="CommentReference"/>
                <w:rFonts w:cs="Times New Roman"/>
                <w:lang w:val="x-none" w:eastAsia="x-none"/>
              </w:rPr>
              <w:commentReference w:id="2"/>
            </w:r>
            <w:r w:rsidR="00C16216">
              <w:rPr>
                <w:rStyle w:val="CommentReference"/>
                <w:rFonts w:cs="Times New Roman"/>
                <w:lang w:val="x-none" w:eastAsia="x-none"/>
              </w:rPr>
              <w:t>.</w:t>
            </w:r>
            <w:r w:rsidR="009929B5">
              <w:t xml:space="preserve"> </w:t>
            </w:r>
            <w:r w:rsidR="009929B5" w:rsidRPr="009929B5">
              <w:rPr>
                <w:sz w:val="24"/>
                <w:szCs w:val="24"/>
                <w:highlight w:val="yellow"/>
              </w:rPr>
              <w:t>My decision was influenced by the belief that Individual 3's rights under the Human Rights Act (1998) and UN Principles for Older Persons (1991) were not upheld, particularly regarding dignity, respect, security, and freedom from abuse</w:t>
            </w:r>
            <w:r w:rsidR="009929B5" w:rsidRPr="009929B5">
              <w:rPr>
                <w:sz w:val="24"/>
                <w:szCs w:val="24"/>
              </w:rPr>
              <w:t xml:space="preserve">. </w:t>
            </w:r>
          </w:p>
          <w:p w14:paraId="191A42A3" w14:textId="73D59EE8" w:rsidR="007866F5" w:rsidRPr="00A20FB6" w:rsidRDefault="007866F5" w:rsidP="007866F5">
            <w:pPr>
              <w:spacing w:line="360" w:lineRule="auto"/>
              <w:jc w:val="both"/>
              <w:rPr>
                <w:sz w:val="24"/>
                <w:szCs w:val="24"/>
              </w:rPr>
            </w:pPr>
            <w:r>
              <w:rPr>
                <w:sz w:val="24"/>
                <w:szCs w:val="24"/>
              </w:rPr>
              <w:t xml:space="preserve">Adhering to the Wales Safeguarding Procedures I contacted the Safeguarding team to discuss my visit, I explained Individual 3 does not have mental capacity to consent to the referral and highlighted my concerns, I also shared the challenges of engaging Individual 4 who holds LPOA, I stated I did have concerns of some financial irregularities but at this time there was no </w:t>
            </w:r>
            <w:r w:rsidRPr="006E0F24">
              <w:rPr>
                <w:i/>
                <w:iCs/>
                <w:sz w:val="24"/>
                <w:szCs w:val="24"/>
              </w:rPr>
              <w:t>evidence</w:t>
            </w:r>
            <w:r>
              <w:rPr>
                <w:sz w:val="24"/>
                <w:szCs w:val="24"/>
              </w:rPr>
              <w:t xml:space="preserve"> of financial abuse. The safeguarding social worker case noted our conversation, and I state I would submit the referral later that day (</w:t>
            </w:r>
            <w:r w:rsidR="00234499">
              <w:rPr>
                <w:sz w:val="24"/>
                <w:szCs w:val="24"/>
              </w:rPr>
              <w:t>SCW</w:t>
            </w:r>
            <w:r>
              <w:rPr>
                <w:sz w:val="24"/>
                <w:szCs w:val="24"/>
              </w:rPr>
              <w:t>, 2025). As a plan of action, I was going to attempt to contact individual 4, if unsuccessful consider a referral for an Independent Mental Capacity Advocate (IMCAs</w:t>
            </w:r>
            <w:proofErr w:type="gramStart"/>
            <w:r>
              <w:rPr>
                <w:sz w:val="24"/>
                <w:szCs w:val="24"/>
              </w:rPr>
              <w:t>), and</w:t>
            </w:r>
            <w:proofErr w:type="gramEnd"/>
            <w:r>
              <w:rPr>
                <w:sz w:val="24"/>
                <w:szCs w:val="24"/>
              </w:rPr>
              <w:t xml:space="preserve"> contact the CPN and GP regarding medication and Individual 3s psychological and emotional wellbeing. Working together to safeguard people, code of practice advises practitioners of their role in adhering to   GDPR and Data Protection Act (2018) however the legislations </w:t>
            </w:r>
            <w:proofErr w:type="gramStart"/>
            <w:r>
              <w:rPr>
                <w:sz w:val="24"/>
                <w:szCs w:val="24"/>
              </w:rPr>
              <w:t>allows</w:t>
            </w:r>
            <w:proofErr w:type="gramEnd"/>
            <w:r>
              <w:rPr>
                <w:sz w:val="24"/>
                <w:szCs w:val="24"/>
              </w:rPr>
              <w:t xml:space="preserve"> for sharing of safeguarding </w:t>
            </w:r>
            <w:r>
              <w:rPr>
                <w:sz w:val="24"/>
                <w:szCs w:val="24"/>
              </w:rPr>
              <w:lastRenderedPageBreak/>
              <w:t>information, and the importance of MDT working and collaboration in keeping people safe from harm (Welsh Government, 2022).</w:t>
            </w:r>
          </w:p>
          <w:p w14:paraId="1F7B2555" w14:textId="7F376CA1" w:rsidR="007866F5" w:rsidRDefault="007866F5" w:rsidP="007866F5">
            <w:pPr>
              <w:spacing w:line="360" w:lineRule="auto"/>
              <w:jc w:val="both"/>
              <w:rPr>
                <w:sz w:val="24"/>
                <w:szCs w:val="24"/>
              </w:rPr>
            </w:pPr>
            <w:r>
              <w:rPr>
                <w:sz w:val="24"/>
                <w:szCs w:val="24"/>
              </w:rPr>
              <w:t xml:space="preserve">All agencies were unsuccessful in contacting Individual 4. I completed a referral for an IMCA. Dalrymple and Boylan (2013) advice effective advocacy for older people living with dementia should challenge assumptions based on perceptions of aging and assessments or referrals should be led on a biographical approach considering personal outcomes. When completing the IMCA referral I explained the safeguarding context but wanted to emphasize Individual 3 personal outcomes and how he expressed the current placement felt for him.  Welsh Safeguarding Procedures also instruct practitioners to promote the voice of a person who lacks mental capacity using an advocate; this links to Part 10 of the </w:t>
            </w:r>
            <w:r w:rsidR="002803EB">
              <w:rPr>
                <w:sz w:val="24"/>
                <w:szCs w:val="24"/>
              </w:rPr>
              <w:t xml:space="preserve">SSWBA14 </w:t>
            </w:r>
            <w:r>
              <w:rPr>
                <w:sz w:val="24"/>
                <w:szCs w:val="24"/>
              </w:rPr>
              <w:t>which places a statutory duty on local authorities to ensure access to advocacy and support.</w:t>
            </w:r>
          </w:p>
          <w:p w14:paraId="5253F79C" w14:textId="114EEFBB" w:rsidR="007866F5" w:rsidRDefault="007866F5" w:rsidP="007866F5">
            <w:pPr>
              <w:spacing w:line="360" w:lineRule="auto"/>
              <w:jc w:val="both"/>
              <w:rPr>
                <w:sz w:val="24"/>
                <w:szCs w:val="24"/>
              </w:rPr>
            </w:pPr>
            <w:r>
              <w:rPr>
                <w:sz w:val="24"/>
                <w:szCs w:val="24"/>
              </w:rPr>
              <w:t>Following my referral and s126 enquires made by the safeguarding social worker the determination was ‘</w:t>
            </w:r>
            <w:r w:rsidRPr="00F53B40">
              <w:rPr>
                <w:i/>
                <w:iCs/>
                <w:sz w:val="24"/>
                <w:szCs w:val="24"/>
              </w:rPr>
              <w:t>adult at risk and action to protect needed’</w:t>
            </w:r>
            <w:r>
              <w:rPr>
                <w:sz w:val="24"/>
                <w:szCs w:val="24"/>
              </w:rPr>
              <w:t xml:space="preserve"> (</w:t>
            </w:r>
            <w:r w:rsidR="00234499">
              <w:rPr>
                <w:sz w:val="24"/>
                <w:szCs w:val="24"/>
              </w:rPr>
              <w:t>SCW</w:t>
            </w:r>
            <w:r>
              <w:rPr>
                <w:sz w:val="24"/>
                <w:szCs w:val="24"/>
              </w:rPr>
              <w:t xml:space="preserve">, 2025). A strategy meeting was arranged by the safeguarding social worker. According to </w:t>
            </w:r>
            <w:r w:rsidR="00234499">
              <w:rPr>
                <w:sz w:val="24"/>
                <w:szCs w:val="24"/>
              </w:rPr>
              <w:t>SCW</w:t>
            </w:r>
            <w:r>
              <w:rPr>
                <w:sz w:val="24"/>
                <w:szCs w:val="24"/>
              </w:rPr>
              <w:t xml:space="preserve"> (2025) </w:t>
            </w:r>
            <w:r w:rsidRPr="006756CD">
              <w:rPr>
                <w:sz w:val="24"/>
                <w:szCs w:val="24"/>
              </w:rPr>
              <w:t>the purpose of the strategy</w:t>
            </w:r>
            <w:r>
              <w:rPr>
                <w:sz w:val="24"/>
                <w:szCs w:val="24"/>
              </w:rPr>
              <w:t xml:space="preserve"> meeting</w:t>
            </w:r>
            <w:r w:rsidRPr="006756CD">
              <w:rPr>
                <w:sz w:val="24"/>
                <w:szCs w:val="24"/>
              </w:rPr>
              <w:t xml:space="preserve"> is for information sharing, assess risks posed, develop an interim plan to protect, ensure care plans and assessments are completed, understand the persons outcomes and wishes and for roles and responsibilities to be specified and understood by the delegates.</w:t>
            </w:r>
            <w:r>
              <w:rPr>
                <w:sz w:val="24"/>
                <w:szCs w:val="24"/>
              </w:rPr>
              <w:t xml:space="preserve"> I was clear on my role and responsibilities following the meeting and the responsibilities of the care home and the CPN. A IMCA was appointed who reviewed the placement, her conclusion was that the placement was not meeting Individual 3s care and support needs or maintaining his physical or emotional wellbeing. The CPN and GP reviewed, with the CPN highlighting similar conclusions. It was a concern that medication had been missed which would have likely had a detrimental effect on Individual 3s mood and sleeping pattern. Concerns were raised by all professionals regarding the impact the other resident was having on Individual 3, particularly increasing Individual 3s agitation and anxiety with them both constantly exit seeking. The other professionals me and I met to discuss the placement and what we could implement to support Individual 3 in his current placement and what support the care home staff required in achieving the recommendation from the strategy meeting. However, the following day a further adult at risk referral was made by the care home as Individual 3 had successfully exited the care home again. Whilst initial enquiries were being made by the safeguarding team I arranged a further professionals meeting. Collaborative </w:t>
            </w:r>
            <w:r>
              <w:rPr>
                <w:sz w:val="24"/>
                <w:szCs w:val="24"/>
              </w:rPr>
              <w:lastRenderedPageBreak/>
              <w:t xml:space="preserve">MDT working according to BASW (2023) is essential in safeguarding people and achieving person centred outcomes, lack of collaboration is often highlighted within serious case reviews. One suggestion of the MDT was that we consider another placement for Individual 3. I suggested that we be proactive and have everything in place to move Individual 3 if required. </w:t>
            </w:r>
            <w:r w:rsidRPr="004655FA">
              <w:rPr>
                <w:sz w:val="24"/>
                <w:szCs w:val="24"/>
              </w:rPr>
              <w:t>Intervention and application of professional judgement in</w:t>
            </w:r>
            <w:r>
              <w:rPr>
                <w:sz w:val="24"/>
                <w:szCs w:val="24"/>
              </w:rPr>
              <w:t xml:space="preserve"> this</w:t>
            </w:r>
            <w:r w:rsidRPr="004655FA">
              <w:rPr>
                <w:sz w:val="24"/>
                <w:szCs w:val="24"/>
              </w:rPr>
              <w:t xml:space="preserve"> increasingly complex</w:t>
            </w:r>
            <w:r>
              <w:rPr>
                <w:sz w:val="24"/>
                <w:szCs w:val="24"/>
              </w:rPr>
              <w:t xml:space="preserve"> situation</w:t>
            </w:r>
            <w:r w:rsidRPr="004655FA">
              <w:rPr>
                <w:sz w:val="24"/>
                <w:szCs w:val="24"/>
              </w:rPr>
              <w:t xml:space="preserve"> </w:t>
            </w:r>
            <w:r>
              <w:rPr>
                <w:sz w:val="24"/>
                <w:szCs w:val="24"/>
              </w:rPr>
              <w:t>required the MDT to be formulating action plans to implement now but also a plan to prevent crisis intervention</w:t>
            </w:r>
            <w:r w:rsidRPr="004655FA">
              <w:rPr>
                <w:sz w:val="24"/>
                <w:szCs w:val="24"/>
              </w:rPr>
              <w:t>.</w:t>
            </w:r>
            <w:r>
              <w:rPr>
                <w:sz w:val="24"/>
                <w:szCs w:val="24"/>
              </w:rPr>
              <w:t xml:space="preserve"> There were many complexities at play, these included the risk of the current placement versus the risk of ‘</w:t>
            </w:r>
            <w:r w:rsidRPr="005F0CA0">
              <w:rPr>
                <w:i/>
                <w:iCs/>
                <w:sz w:val="24"/>
                <w:szCs w:val="24"/>
              </w:rPr>
              <w:t>transfer trauma’</w:t>
            </w:r>
            <w:r>
              <w:rPr>
                <w:sz w:val="24"/>
                <w:szCs w:val="24"/>
              </w:rPr>
              <w:t xml:space="preserve"> if moved to another placement, with the added concerns regarding lack of engagement from Individual 4 and the potential of him accessing Individual 3 funds. As all the professionals were present, I suggested holding a best interest meeting for a placement move so we could explore the risks and the benefits of an alternative placement. I used my professional judgement to action this now rather than wait until we had spoken to Individual 3, this was due to me wanting to avoid a crisis situation, knowing that if seeking </w:t>
            </w:r>
            <w:r w:rsidR="00234499">
              <w:rPr>
                <w:sz w:val="24"/>
                <w:szCs w:val="24"/>
              </w:rPr>
              <w:t>an</w:t>
            </w:r>
            <w:r>
              <w:rPr>
                <w:sz w:val="24"/>
                <w:szCs w:val="24"/>
              </w:rPr>
              <w:t xml:space="preserve"> alternative </w:t>
            </w:r>
            <w:r w:rsidRPr="00257C74">
              <w:rPr>
                <w:i/>
                <w:iCs/>
                <w:sz w:val="24"/>
                <w:szCs w:val="24"/>
              </w:rPr>
              <w:t xml:space="preserve">emergency </w:t>
            </w:r>
            <w:r>
              <w:rPr>
                <w:sz w:val="24"/>
                <w:szCs w:val="24"/>
              </w:rPr>
              <w:t xml:space="preserve">placement the choices are limited and the move can be traumatic to the person as they are not given time to prepare or visit the placement prior to moving. The MDT recommendation was for myself to begin looking for an alternative placement, myself and the advocate to speak to Individual 3 about a potential move and to support him to look around alternatives and myself to seek guidance from my management team and the Office of Public Guardian regarding the appropriateness of the current attorney. After the meeting I attempted to contact Individual 4 again with no success, from previous discussions my manager agreed for the LA to fund the placement in full, with the agreement I would contact the LA deputyship court of protection team for advice; there was no evidence at this time that a crime or fraud had been committed however Individual 4 was not fulfilling his role and responsibilities as attorney. </w:t>
            </w:r>
          </w:p>
          <w:p w14:paraId="7A4EEB51" w14:textId="4E72DC6E" w:rsidR="007866F5" w:rsidRDefault="007866F5" w:rsidP="007866F5">
            <w:pPr>
              <w:spacing w:line="360" w:lineRule="auto"/>
              <w:jc w:val="both"/>
              <w:rPr>
                <w:sz w:val="24"/>
                <w:szCs w:val="24"/>
              </w:rPr>
            </w:pPr>
            <w:r>
              <w:rPr>
                <w:sz w:val="24"/>
                <w:szCs w:val="24"/>
              </w:rPr>
              <w:t xml:space="preserve">Adhering to the </w:t>
            </w:r>
            <w:r w:rsidR="002803EB">
              <w:rPr>
                <w:sz w:val="24"/>
                <w:szCs w:val="24"/>
              </w:rPr>
              <w:t>BIM</w:t>
            </w:r>
            <w:r>
              <w:rPr>
                <w:sz w:val="24"/>
                <w:szCs w:val="24"/>
              </w:rPr>
              <w:t xml:space="preserve"> MDT recommendation myself and the IMCA visited Individual 3, we discussed again his thoughts on his current placement and how he feels living here, we asked if he would want to explore an alternative home, he was very eager and asked if we could go now and asked for his coat. I had made provisional arrangements with a care home within walking distance and as Individual 3 was eager to go, IMCA and I supported him to view the alternative care home. From leaving the care home I was taken aback at the change in Individual 3s mood and demeanour. He was smiling and chatty. The visit was successful, and </w:t>
            </w:r>
            <w:r>
              <w:rPr>
                <w:sz w:val="24"/>
                <w:szCs w:val="24"/>
              </w:rPr>
              <w:lastRenderedPageBreak/>
              <w:t>the layout of the home seemed to suit Individual 3 better; it was more open plan with less corridors to wander down and less doors, he seemed to be able to relax more in this environment. I asked what he would think if I suggested a move ‘</w:t>
            </w:r>
            <w:r w:rsidRPr="008F61AE">
              <w:rPr>
                <w:i/>
                <w:iCs/>
                <w:sz w:val="24"/>
                <w:szCs w:val="24"/>
              </w:rPr>
              <w:t>Yes I would like that’</w:t>
            </w:r>
            <w:r>
              <w:rPr>
                <w:sz w:val="24"/>
                <w:szCs w:val="24"/>
              </w:rPr>
              <w:t xml:space="preserve">. On returning to his current care home his demeanour changed again, and the other resident was distressed at him leaving which caused him distress, and they both were exit seeking immediately and banging on doors. </w:t>
            </w:r>
          </w:p>
          <w:p w14:paraId="40A685DA" w14:textId="77777777" w:rsidR="007866F5" w:rsidRDefault="007866F5" w:rsidP="007866F5">
            <w:pPr>
              <w:spacing w:line="360" w:lineRule="auto"/>
              <w:jc w:val="both"/>
              <w:rPr>
                <w:sz w:val="24"/>
                <w:szCs w:val="24"/>
              </w:rPr>
            </w:pPr>
            <w:r>
              <w:rPr>
                <w:sz w:val="24"/>
                <w:szCs w:val="24"/>
              </w:rPr>
              <w:t xml:space="preserve">I spoke to the manager and asked for details regarding the last incident of Individual 3 exiting the care home. I felt the manager was dismissive and defensive in her responses. I asked what further safeguards had been put in place following the incident, no further safeguarding measures had been made. I asked if the home and made enquiries regarding blister packs for medication as this was one of the recommendations from the strategy meeting, no enquires had been made. I asked the manager if she feels she can meet Individuals needs and stated my concerns. The manager said it was difficult due to the relationship with the other resident. I felt the responses I had were lacking any problem-solving approach and evidenced a lack of engagement with the interim plan to protect and a reluctance to collaborate with professionals. Chisnell and Kelly (2019) suggest critical thinking skills during assessment aids in making sense of complex situations with the outcome being an evidence base to reasonable professional judgements.  I stated I would be giving my recommendation to the MDT that a placement move is in Individual’s 3 best interests especially given the difference in his presentation at the other care home. The manager said she understood my reasoning. </w:t>
            </w:r>
          </w:p>
          <w:p w14:paraId="4F69C6C0" w14:textId="3C890A8E" w:rsidR="007866F5" w:rsidRDefault="007866F5" w:rsidP="007866F5">
            <w:pPr>
              <w:spacing w:line="360" w:lineRule="auto"/>
              <w:jc w:val="both"/>
              <w:rPr>
                <w:sz w:val="24"/>
                <w:szCs w:val="24"/>
              </w:rPr>
            </w:pPr>
            <w:r>
              <w:rPr>
                <w:sz w:val="24"/>
                <w:szCs w:val="24"/>
              </w:rPr>
              <w:t xml:space="preserve">Following my visit, I emailed all relevant members of the MDT and the safeguarding social worker with the outcome of the visit with Individual 3 and the IMCA and my recommendation for a well-managed planned placement move. The MDT suggested we draw up a new care plan for the new care home. Person centred planning in care plans must not only consider of physical needs associated with activities of daily living but should demonstrate a commitment to a person’s overall </w:t>
            </w:r>
            <w:r w:rsidRPr="00FB3F25">
              <w:rPr>
                <w:i/>
                <w:iCs/>
                <w:sz w:val="24"/>
                <w:szCs w:val="24"/>
              </w:rPr>
              <w:t>wellbeing</w:t>
            </w:r>
            <w:r>
              <w:rPr>
                <w:i/>
                <w:iCs/>
                <w:sz w:val="24"/>
                <w:szCs w:val="24"/>
              </w:rPr>
              <w:t xml:space="preserve"> </w:t>
            </w:r>
            <w:r>
              <w:rPr>
                <w:sz w:val="24"/>
                <w:szCs w:val="24"/>
              </w:rPr>
              <w:t xml:space="preserve">including their emotional, psychological and spiritual needs (Welsh Government, 2014). I shared that Individual 3 believes he works and lives in England, that he likes to have coins in his pocket and that he likes to be ‘busy’, he likes to go outside daily. From the personal items he had at his placement I asked that these be displayed in a ‘life story’ way around his new room, and he be engaged in daily ‘work’. I created a ‘little about me’ document and under the </w:t>
            </w:r>
            <w:r w:rsidR="00234499">
              <w:rPr>
                <w:sz w:val="24"/>
                <w:szCs w:val="24"/>
              </w:rPr>
              <w:t>safety plan</w:t>
            </w:r>
            <w:r>
              <w:rPr>
                <w:sz w:val="24"/>
                <w:szCs w:val="24"/>
              </w:rPr>
              <w:t xml:space="preserve"> asked that a DOLs be applied for and a Relevant </w:t>
            </w:r>
            <w:r>
              <w:rPr>
                <w:sz w:val="24"/>
                <w:szCs w:val="24"/>
              </w:rPr>
              <w:lastRenderedPageBreak/>
              <w:t>Person’s Representative (RPR) (</w:t>
            </w:r>
            <w:r w:rsidR="00234499">
              <w:rPr>
                <w:sz w:val="24"/>
                <w:szCs w:val="24"/>
              </w:rPr>
              <w:t>MCA</w:t>
            </w:r>
            <w:r>
              <w:rPr>
                <w:sz w:val="24"/>
                <w:szCs w:val="24"/>
              </w:rPr>
              <w:t xml:space="preserve">, 2005) be allocated. I requested that CPN and GP follow up within a week of him being in his new care home. To safeguard Individual 3 finances, the local authority deputyship team continued to progress with applications to the court of protection. </w:t>
            </w:r>
          </w:p>
          <w:p w14:paraId="27FA8353" w14:textId="0CF5D4E3" w:rsidR="007866F5" w:rsidRDefault="007866F5" w:rsidP="007866F5">
            <w:pPr>
              <w:spacing w:line="360" w:lineRule="auto"/>
              <w:jc w:val="both"/>
              <w:rPr>
                <w:sz w:val="24"/>
                <w:szCs w:val="24"/>
              </w:rPr>
            </w:pPr>
            <w:r>
              <w:rPr>
                <w:sz w:val="24"/>
                <w:szCs w:val="24"/>
              </w:rPr>
              <w:t>A further strategy meeting was held and as Individual 3 had moved care homes the safeguarding process was concluded, however my involvement continued until I was satisfied that Individual 3’s needs were being met and his personal outcomes achieved. Due to other incidents with the original care home</w:t>
            </w:r>
            <w:r w:rsidR="000E13EC">
              <w:rPr>
                <w:sz w:val="24"/>
                <w:szCs w:val="24"/>
              </w:rPr>
              <w:t>.</w:t>
            </w:r>
            <w:r>
              <w:rPr>
                <w:sz w:val="24"/>
                <w:szCs w:val="24"/>
              </w:rPr>
              <w:t xml:space="preserve"> </w:t>
            </w:r>
          </w:p>
          <w:p w14:paraId="508CDD3F" w14:textId="77777777" w:rsidR="007866F5" w:rsidRDefault="007866F5" w:rsidP="007866F5">
            <w:pPr>
              <w:spacing w:line="360" w:lineRule="auto"/>
              <w:jc w:val="both"/>
              <w:rPr>
                <w:sz w:val="24"/>
                <w:szCs w:val="24"/>
              </w:rPr>
            </w:pPr>
          </w:p>
          <w:p w14:paraId="47108869" w14:textId="787AB115" w:rsidR="007866F5" w:rsidRPr="00AB37AB" w:rsidRDefault="007866F5" w:rsidP="007866F5">
            <w:pPr>
              <w:spacing w:line="360" w:lineRule="auto"/>
              <w:jc w:val="both"/>
              <w:rPr>
                <w:b/>
                <w:bCs/>
                <w:sz w:val="24"/>
                <w:szCs w:val="24"/>
                <w:u w:val="single"/>
              </w:rPr>
            </w:pPr>
            <w:r w:rsidRPr="00AB37AB">
              <w:rPr>
                <w:b/>
                <w:bCs/>
                <w:sz w:val="24"/>
                <w:szCs w:val="24"/>
                <w:u w:val="single"/>
              </w:rPr>
              <w:t>Word Count 438</w:t>
            </w:r>
            <w:r w:rsidR="003A7E38">
              <w:rPr>
                <w:b/>
                <w:bCs/>
                <w:sz w:val="24"/>
                <w:szCs w:val="24"/>
                <w:u w:val="single"/>
              </w:rPr>
              <w:t>8</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ayley Berry" w:date="2026-01-02T09:27:00Z" w:initials="HB">
    <w:p w14:paraId="00912E43" w14:textId="77777777" w:rsidR="00626AE7" w:rsidRDefault="00626AE7" w:rsidP="00626AE7">
      <w:pPr>
        <w:pStyle w:val="CommentText"/>
      </w:pPr>
      <w:r>
        <w:rPr>
          <w:rStyle w:val="CommentReference"/>
        </w:rPr>
        <w:annotationRef/>
      </w:r>
      <w:r>
        <w:t>There was also opportunity to reflect on where the care home was in terms of connections to home and familiar people for person 3</w:t>
      </w:r>
    </w:p>
  </w:comment>
  <w:comment w:id="1" w:author="Hayley Berry" w:date="2026-01-02T09:21:00Z" w:initials="HB">
    <w:p w14:paraId="143F7005" w14:textId="77777777" w:rsidR="00817DDB" w:rsidRDefault="00817DDB" w:rsidP="00817DDB">
      <w:pPr>
        <w:pStyle w:val="CommentText"/>
      </w:pPr>
      <w:r>
        <w:rPr>
          <w:rStyle w:val="CommentReference"/>
        </w:rPr>
        <w:annotationRef/>
      </w:r>
      <w:r>
        <w:t>Provide reflection on how International legislation impacted her thinking and decision making.</w:t>
      </w:r>
    </w:p>
    <w:p w14:paraId="73EA0457" w14:textId="77777777" w:rsidR="00817DDB" w:rsidRDefault="00817DDB" w:rsidP="00817DDB">
      <w:pPr>
        <w:pStyle w:val="CommentText"/>
      </w:pPr>
    </w:p>
  </w:comment>
  <w:comment w:id="2" w:author="Hayley Berry" w:date="2026-01-02T10:15:00Z" w:initials="HB">
    <w:p w14:paraId="1C1D1B7E" w14:textId="77777777" w:rsidR="00A74D27" w:rsidRDefault="00A74D27" w:rsidP="00A74D27">
      <w:pPr>
        <w:pStyle w:val="CommentText"/>
      </w:pPr>
      <w:r>
        <w:rPr>
          <w:rStyle w:val="CommentReference"/>
        </w:rPr>
        <w:annotationRef/>
      </w:r>
      <w:r>
        <w:t>Provide reflection on how International legislation impacted her thinking and decision making.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912E43" w15:done="0"/>
  <w15:commentEx w15:paraId="73EA0457" w15:done="0"/>
  <w15:commentEx w15:paraId="1C1D1B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3DCC34" w16cex:dateUtc="2026-01-02T09:27:00Z"/>
  <w16cex:commentExtensible w16cex:durableId="177D71D4" w16cex:dateUtc="2026-01-02T09:21:00Z"/>
  <w16cex:commentExtensible w16cex:durableId="4B03E22A" w16cex:dateUtc="2026-01-02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912E43" w16cid:durableId="553DCC34"/>
  <w16cid:commentId w16cid:paraId="73EA0457" w16cid:durableId="177D71D4"/>
  <w16cid:commentId w16cid:paraId="1C1D1B7E" w16cid:durableId="4B03E2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07FC4" w14:textId="77777777" w:rsidR="007625C2" w:rsidRDefault="007625C2">
      <w:r>
        <w:separator/>
      </w:r>
    </w:p>
  </w:endnote>
  <w:endnote w:type="continuationSeparator" w:id="0">
    <w:p w14:paraId="7AA08368" w14:textId="77777777" w:rsidR="007625C2" w:rsidRDefault="00762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78946" w14:textId="77777777" w:rsidR="007625C2" w:rsidRDefault="007625C2">
      <w:r>
        <w:separator/>
      </w:r>
    </w:p>
  </w:footnote>
  <w:footnote w:type="continuationSeparator" w:id="0">
    <w:p w14:paraId="6126C9D1" w14:textId="77777777" w:rsidR="007625C2" w:rsidRDefault="00762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yley Berry">
    <w15:presenceInfo w15:providerId="AD" w15:userId="S::Hayley.Berry@denbighshire.gov.uk::f8da9f61-183d-4bef-bd85-373faca41e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611"/>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3EC"/>
    <w:rsid w:val="000E26B0"/>
    <w:rsid w:val="000E2E10"/>
    <w:rsid w:val="000E37C2"/>
    <w:rsid w:val="000E38C3"/>
    <w:rsid w:val="000F1599"/>
    <w:rsid w:val="000F1769"/>
    <w:rsid w:val="000F1A97"/>
    <w:rsid w:val="000F42AE"/>
    <w:rsid w:val="000F6196"/>
    <w:rsid w:val="000F6BC3"/>
    <w:rsid w:val="001025CD"/>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71B3"/>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449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03EB"/>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98D"/>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739"/>
    <w:rsid w:val="0039762B"/>
    <w:rsid w:val="003A0C37"/>
    <w:rsid w:val="003A1B6B"/>
    <w:rsid w:val="003A46C0"/>
    <w:rsid w:val="003A600E"/>
    <w:rsid w:val="003A6513"/>
    <w:rsid w:val="003A7E38"/>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5E0"/>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AE7"/>
    <w:rsid w:val="006326D1"/>
    <w:rsid w:val="00632E0A"/>
    <w:rsid w:val="00633165"/>
    <w:rsid w:val="006447DE"/>
    <w:rsid w:val="00644889"/>
    <w:rsid w:val="00651991"/>
    <w:rsid w:val="0065276E"/>
    <w:rsid w:val="00654329"/>
    <w:rsid w:val="00654CEC"/>
    <w:rsid w:val="00655507"/>
    <w:rsid w:val="006579FD"/>
    <w:rsid w:val="006635E3"/>
    <w:rsid w:val="006669F3"/>
    <w:rsid w:val="006712A7"/>
    <w:rsid w:val="00672CED"/>
    <w:rsid w:val="00674AD3"/>
    <w:rsid w:val="00674FC2"/>
    <w:rsid w:val="00676E35"/>
    <w:rsid w:val="00677E42"/>
    <w:rsid w:val="00682334"/>
    <w:rsid w:val="00684732"/>
    <w:rsid w:val="00684B16"/>
    <w:rsid w:val="00687016"/>
    <w:rsid w:val="006872A0"/>
    <w:rsid w:val="0069625A"/>
    <w:rsid w:val="00696A88"/>
    <w:rsid w:val="00696F65"/>
    <w:rsid w:val="00697572"/>
    <w:rsid w:val="006A2C7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026"/>
    <w:rsid w:val="00745016"/>
    <w:rsid w:val="0075031F"/>
    <w:rsid w:val="00751263"/>
    <w:rsid w:val="007544FC"/>
    <w:rsid w:val="00755427"/>
    <w:rsid w:val="00756548"/>
    <w:rsid w:val="0075673A"/>
    <w:rsid w:val="0075704F"/>
    <w:rsid w:val="007625C2"/>
    <w:rsid w:val="00763B2D"/>
    <w:rsid w:val="00764C84"/>
    <w:rsid w:val="007710AD"/>
    <w:rsid w:val="00772924"/>
    <w:rsid w:val="0078112D"/>
    <w:rsid w:val="007866F5"/>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080E"/>
    <w:rsid w:val="00813CEC"/>
    <w:rsid w:val="0081534C"/>
    <w:rsid w:val="00816CE7"/>
    <w:rsid w:val="008171E4"/>
    <w:rsid w:val="00817DDB"/>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A7C"/>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9B5"/>
    <w:rsid w:val="00992ACA"/>
    <w:rsid w:val="009A5F3B"/>
    <w:rsid w:val="009A5F79"/>
    <w:rsid w:val="009A6F87"/>
    <w:rsid w:val="009B0B61"/>
    <w:rsid w:val="009B28C0"/>
    <w:rsid w:val="009B3178"/>
    <w:rsid w:val="009B3E46"/>
    <w:rsid w:val="009B4288"/>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915"/>
    <w:rsid w:val="00A60103"/>
    <w:rsid w:val="00A652F6"/>
    <w:rsid w:val="00A65861"/>
    <w:rsid w:val="00A732EA"/>
    <w:rsid w:val="00A7489E"/>
    <w:rsid w:val="00A74D27"/>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5C61"/>
    <w:rsid w:val="00AE6231"/>
    <w:rsid w:val="00AE7077"/>
    <w:rsid w:val="00AF0EC8"/>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6216"/>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367"/>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454"/>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6911"/>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12</Pages>
  <Words>4590</Words>
  <Characters>23426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Berry</cp:lastModifiedBy>
  <cp:revision>18</cp:revision>
  <cp:lastPrinted>2020-02-11T19:20:00Z</cp:lastPrinted>
  <dcterms:created xsi:type="dcterms:W3CDTF">2022-09-29T11:34:00Z</dcterms:created>
  <dcterms:modified xsi:type="dcterms:W3CDTF">2026-02-02T11:50:00Z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