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EastAsia"/>
          <w:color w:val="E97132" w:themeColor="accent2"/>
          <w:kern w:val="0"/>
          <w:sz w:val="26"/>
          <w:szCs w:val="26"/>
          <w:lang w:eastAsia="en-GB"/>
          <w14:ligatures w14:val="none"/>
        </w:rPr>
        <w:id w:val="1867330295"/>
        <w:docPartObj>
          <w:docPartGallery w:val="Cover Pages"/>
          <w:docPartUnique/>
        </w:docPartObj>
      </w:sdtPr>
      <w:sdtContent>
        <w:p w14:paraId="7F08B93B" w14:textId="069EA0DC" w:rsidR="00E31D25" w:rsidRPr="00E31D25" w:rsidRDefault="00E31D25">
          <w:pPr>
            <w:rPr>
              <w:rFonts w:ascii="Arial" w:eastAsiaTheme="minorEastAsia" w:hAnsi="Arial" w:cs="Arial"/>
              <w:b/>
              <w:bCs/>
              <w:color w:val="000000" w:themeColor="text1"/>
              <w:kern w:val="0"/>
              <w:sz w:val="40"/>
              <w:szCs w:val="40"/>
              <w:lang w:eastAsia="en-GB"/>
              <w14:ligatures w14:val="none"/>
            </w:rPr>
          </w:pPr>
          <w:r w:rsidRPr="00E31D25">
            <w:rPr>
              <w:rFonts w:ascii="Arial" w:eastAsiaTheme="minorEastAsia" w:hAnsi="Arial" w:cs="Arial"/>
              <w:b/>
              <w:bCs/>
              <w:color w:val="000000" w:themeColor="text1"/>
              <w:kern w:val="0"/>
              <w:sz w:val="40"/>
              <w:szCs w:val="40"/>
              <w:lang w:eastAsia="en-GB"/>
              <w14:ligatures w14:val="none"/>
            </w:rPr>
            <w:t>TITLE PAGE</w:t>
          </w:r>
        </w:p>
        <w:p w14:paraId="6455C794" w14:textId="77777777" w:rsidR="00E31D25" w:rsidRDefault="00E31D25">
          <w:pPr>
            <w:rPr>
              <w:rFonts w:eastAsiaTheme="minorEastAsia"/>
              <w:color w:val="E97132" w:themeColor="accent2"/>
              <w:kern w:val="0"/>
              <w:sz w:val="26"/>
              <w:szCs w:val="26"/>
              <w:lang w:eastAsia="en-GB"/>
              <w14:ligatures w14:val="none"/>
            </w:rPr>
          </w:pPr>
        </w:p>
        <w:p w14:paraId="730D8A42" w14:textId="0CB7055F" w:rsidR="00645434" w:rsidRPr="00E31D25" w:rsidRDefault="00645434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Student Name</w:t>
          </w:r>
          <w:r w:rsidR="00E31D25"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 xml:space="preserve">……………… Kingsley Adu </w:t>
          </w:r>
          <w:proofErr w:type="spellStart"/>
          <w:r w:rsidR="00E31D25"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Brefo</w:t>
          </w:r>
          <w:proofErr w:type="spellEnd"/>
        </w:p>
        <w:p w14:paraId="0A77CAA2" w14:textId="278C5149" w:rsidR="00645434" w:rsidRPr="00E31D25" w:rsidRDefault="00645434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Student ID number</w:t>
          </w:r>
          <w:r w:rsidR="00E31D25"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…</w:t>
          </w:r>
          <w:proofErr w:type="gramStart"/>
          <w:r w:rsid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…..</w:t>
          </w:r>
          <w:proofErr w:type="gramEnd"/>
          <w:r w:rsidR="00E31D25"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2424521</w:t>
          </w:r>
        </w:p>
        <w:p w14:paraId="1F836091" w14:textId="7B49E356" w:rsidR="00E31D25" w:rsidRPr="00E31D25" w:rsidRDefault="00E31D25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Module…………………</w:t>
          </w:r>
          <w:proofErr w:type="gramStart"/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…</w:t>
          </w:r>
          <w: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.</w:t>
          </w: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Protecting</w:t>
          </w:r>
          <w:proofErr w:type="gramEnd"/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 xml:space="preserve"> and supporting families in health and care</w:t>
          </w:r>
        </w:p>
        <w:p w14:paraId="0CD74763" w14:textId="2F690486" w:rsidR="00645434" w:rsidRPr="00E31D25" w:rsidRDefault="00645434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 xml:space="preserve">Module </w:t>
          </w:r>
          <w:r w:rsidR="00E31D25"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code…………………. BMHP5021</w:t>
          </w:r>
        </w:p>
        <w:p w14:paraId="3DBAECC4" w14:textId="42C4F3D5" w:rsidR="00E31D25" w:rsidRPr="00E31D25" w:rsidRDefault="00E31D25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>Lecturer name…………………Robert Nartowski</w:t>
          </w:r>
        </w:p>
        <w:p w14:paraId="7A6B6B95" w14:textId="5229F688" w:rsidR="00E31D25" w:rsidRDefault="00E31D25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t xml:space="preserve">Assignment title………………Group presentation </w:t>
          </w:r>
        </w:p>
        <w:p w14:paraId="709FDE5D" w14:textId="77777777" w:rsidR="0090187E" w:rsidRDefault="0090187E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</w:p>
        <w:p w14:paraId="0A98D462" w14:textId="77777777" w:rsidR="0090187E" w:rsidRDefault="0090187E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</w:p>
        <w:p w14:paraId="58E94868" w14:textId="77777777" w:rsidR="0090187E" w:rsidRDefault="0090187E">
          <w:pPr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</w:pPr>
        </w:p>
        <w:p w14:paraId="6F5CD44F" w14:textId="65C78611" w:rsidR="00E31D25" w:rsidRDefault="00E31D25">
          <w:pP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NAMES OF GROUP PRESENTATION</w:t>
          </w:r>
        </w:p>
        <w:p w14:paraId="2AC60CDC" w14:textId="640D9F5F" w:rsidR="00E31D25" w:rsidRPr="0090187E" w:rsidRDefault="00E31D25">
          <w:pPr>
            <w:rPr>
              <w:rFonts w:eastAsiaTheme="minorEastAsia"/>
              <w:b/>
              <w:bCs/>
              <w:color w:val="EE0000"/>
              <w:kern w:val="0"/>
              <w:sz w:val="28"/>
              <w:szCs w:val="28"/>
              <w:u w:val="single"/>
              <w:lang w:eastAsia="en-GB"/>
              <w14:ligatures w14:val="none"/>
            </w:rPr>
          </w:pPr>
          <w:r w:rsidRPr="0090187E">
            <w:rPr>
              <w:rFonts w:eastAsiaTheme="minorEastAsia"/>
              <w:b/>
              <w:bCs/>
              <w:color w:val="EE0000"/>
              <w:kern w:val="0"/>
              <w:sz w:val="28"/>
              <w:szCs w:val="28"/>
              <w:u w:val="single"/>
              <w:lang w:eastAsia="en-GB"/>
              <w14:ligatures w14:val="none"/>
            </w:rPr>
            <w:t xml:space="preserve"> Name and sur</w:t>
          </w:r>
          <w:r w:rsidR="0090187E" w:rsidRPr="0090187E">
            <w:rPr>
              <w:rFonts w:eastAsiaTheme="minorEastAsia"/>
              <w:b/>
              <w:bCs/>
              <w:color w:val="EE0000"/>
              <w:kern w:val="0"/>
              <w:sz w:val="28"/>
              <w:szCs w:val="28"/>
              <w:u w:val="single"/>
              <w:lang w:eastAsia="en-GB"/>
              <w14:ligatures w14:val="none"/>
            </w:rPr>
            <w:t>name                                   Role</w:t>
          </w:r>
        </w:p>
        <w:p w14:paraId="5F59FD84" w14:textId="575075B4" w:rsidR="00E31D25" w:rsidRDefault="00E31D25">
          <w:pP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</w:pPr>
          <w:proofErr w:type="spellStart"/>
          <w:proofErr w:type="gram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Latimah</w:t>
          </w:r>
          <w:proofErr w:type="spellEnd"/>
          <w:r w:rsidR="0090187E"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</w:t>
          </w:r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</w:t>
          </w:r>
          <w:proofErr w:type="spell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Shoukat</w:t>
          </w:r>
          <w:proofErr w:type="spellEnd"/>
          <w:proofErr w:type="gramEnd"/>
          <w:r w:rsidR="0090187E"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                                   police officer</w:t>
          </w:r>
        </w:p>
        <w:p w14:paraId="74092C0D" w14:textId="3C67AA24" w:rsidR="0090187E" w:rsidRDefault="0090187E">
          <w:pP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</w:pPr>
          <w:proofErr w:type="gram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Labeeqa  </w:t>
          </w:r>
          <w:proofErr w:type="spell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Shoukat</w:t>
          </w:r>
          <w:proofErr w:type="spellEnd"/>
          <w:proofErr w:type="gramEnd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                          </w:t>
          </w:r>
          <w:proofErr w:type="gram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family  support</w:t>
          </w:r>
          <w:proofErr w:type="gramEnd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worker</w:t>
          </w:r>
        </w:p>
        <w:p w14:paraId="23CAB1D2" w14:textId="29EAB7B8" w:rsidR="0090187E" w:rsidRDefault="0090187E">
          <w:pP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</w:pPr>
          <w:proofErr w:type="spellStart"/>
          <w:proofErr w:type="gram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Mgid</w:t>
          </w:r>
          <w:proofErr w:type="spellEnd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 </w:t>
          </w:r>
          <w:proofErr w:type="spellStart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>Glal</w:t>
          </w:r>
          <w:proofErr w:type="spellEnd"/>
          <w:proofErr w:type="gramEnd"/>
          <w: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  <w:t xml:space="preserve">                                              Social worker</w:t>
          </w:r>
        </w:p>
        <w:p w14:paraId="2F2FB0B4" w14:textId="77777777" w:rsidR="0090187E" w:rsidRPr="00E31D25" w:rsidRDefault="0090187E">
          <w:pPr>
            <w:rPr>
              <w:rFonts w:eastAsiaTheme="minorEastAsia"/>
              <w:b/>
              <w:bCs/>
              <w:color w:val="EE0000"/>
              <w:kern w:val="0"/>
              <w:sz w:val="26"/>
              <w:szCs w:val="26"/>
              <w:lang w:eastAsia="en-GB"/>
              <w14:ligatures w14:val="none"/>
            </w:rPr>
          </w:pPr>
        </w:p>
        <w:p w14:paraId="23669CF5" w14:textId="77777777" w:rsidR="00645434" w:rsidRDefault="00645434">
          <w:pPr>
            <w:rPr>
              <w:rFonts w:eastAsiaTheme="minorEastAsia"/>
              <w:color w:val="E97132" w:themeColor="accent2"/>
              <w:kern w:val="0"/>
              <w:sz w:val="26"/>
              <w:szCs w:val="26"/>
              <w:lang w:eastAsia="en-GB"/>
              <w14:ligatures w14:val="none"/>
            </w:rPr>
          </w:pPr>
          <w:r w:rsidRPr="00E31D25">
            <w:rPr>
              <w:rFonts w:eastAsiaTheme="minorEastAsia"/>
              <w:b/>
              <w:bCs/>
              <w:color w:val="000000" w:themeColor="text1"/>
              <w:kern w:val="0"/>
              <w:sz w:val="26"/>
              <w:szCs w:val="26"/>
              <w:lang w:eastAsia="en-GB"/>
              <w14:ligatures w14:val="none"/>
            </w:rPr>
            <w:br w:type="page"/>
          </w:r>
        </w:p>
        <w:p w14:paraId="0B327F66" w14:textId="697E0A86" w:rsidR="00EA0752" w:rsidRDefault="00EA0752">
          <w:pPr>
            <w:rPr>
              <w:rFonts w:eastAsiaTheme="minorEastAsia"/>
              <w:color w:val="E97132" w:themeColor="accent2"/>
              <w:kern w:val="0"/>
              <w:sz w:val="26"/>
              <w:szCs w:val="26"/>
              <w:lang w:eastAsia="en-GB"/>
              <w14:ligatures w14:val="none"/>
            </w:rPr>
          </w:pPr>
        </w:p>
      </w:sdtContent>
    </w:sdt>
    <w:p w14:paraId="3BCEC42D" w14:textId="779E33B4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b/>
          <w:bCs/>
          <w:sz w:val="22"/>
          <w:szCs w:val="22"/>
        </w:rPr>
        <w:t>References:</w:t>
      </w:r>
      <w:r w:rsidRPr="004E34D2">
        <w:rPr>
          <w:rFonts w:ascii="Arial" w:hAnsi="Arial" w:cs="Arial"/>
          <w:sz w:val="22"/>
          <w:szCs w:val="22"/>
        </w:rPr>
        <w:br/>
        <w:t xml:space="preserve">Barnet Safeguarding Children Partnership (2026) </w:t>
      </w:r>
      <w:r w:rsidRPr="004E34D2">
        <w:rPr>
          <w:rFonts w:ascii="Arial" w:hAnsi="Arial" w:cs="Arial"/>
          <w:i/>
          <w:iCs/>
          <w:sz w:val="22"/>
          <w:szCs w:val="22"/>
        </w:rPr>
        <w:t>Local Learning Review: Anna and David</w:t>
      </w:r>
      <w:r w:rsidRPr="004E34D2">
        <w:rPr>
          <w:rFonts w:ascii="Arial" w:hAnsi="Arial" w:cs="Arial"/>
          <w:sz w:val="22"/>
          <w:szCs w:val="22"/>
        </w:rPr>
        <w:t>. London: Barnet Safeguarding Children Partnership. Available at: Local Learning Review PDF provided by module tutor (Accessed: 21 June 2026).</w:t>
      </w:r>
    </w:p>
    <w:p w14:paraId="0648BEEE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Cassidy, S., Bradley, L., Shaw, R. and Baron-Cohen, S. (2024) ‘Risk markers for suicidality in autistic people: A systematic review’, </w:t>
      </w:r>
      <w:r w:rsidRPr="004E34D2">
        <w:rPr>
          <w:rFonts w:ascii="Arial" w:hAnsi="Arial" w:cs="Arial"/>
          <w:i/>
          <w:iCs/>
          <w:sz w:val="22"/>
          <w:szCs w:val="22"/>
        </w:rPr>
        <w:t>Autism Research</w:t>
      </w:r>
      <w:r w:rsidRPr="004E34D2">
        <w:rPr>
          <w:rFonts w:ascii="Arial" w:hAnsi="Arial" w:cs="Arial"/>
          <w:sz w:val="22"/>
          <w:szCs w:val="22"/>
        </w:rPr>
        <w:t xml:space="preserve">, 17(2), pp. 145–161. Available at: </w:t>
      </w:r>
      <w:hyperlink r:id="rId4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https://doi.org/10.1002/aur.3240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2FD15600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Department for Education (2023) </w:t>
      </w:r>
      <w:r w:rsidRPr="004E34D2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4E34D2">
        <w:rPr>
          <w:rFonts w:ascii="Arial" w:hAnsi="Arial" w:cs="Arial"/>
          <w:sz w:val="22"/>
          <w:szCs w:val="22"/>
        </w:rPr>
        <w:t xml:space="preserve">. London: HMSO. Available at: </w:t>
      </w:r>
      <w:hyperlink r:id="rId5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0CDD17EB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Hawton, K., Witt, K.G., Salisbury, T.L.T., Arensman, E., Gunnell, D., Hazell, P. and Townsend, E. (2022) ‘Psychosocial interventions following self-harm in adults and young people’, </w:t>
      </w:r>
      <w:r w:rsidRPr="004E34D2">
        <w:rPr>
          <w:rFonts w:ascii="Arial" w:hAnsi="Arial" w:cs="Arial"/>
          <w:i/>
          <w:iCs/>
          <w:sz w:val="22"/>
          <w:szCs w:val="22"/>
        </w:rPr>
        <w:t>The Lancet Psychiatry</w:t>
      </w:r>
      <w:r w:rsidRPr="004E34D2">
        <w:rPr>
          <w:rFonts w:ascii="Arial" w:hAnsi="Arial" w:cs="Arial"/>
          <w:sz w:val="22"/>
          <w:szCs w:val="22"/>
        </w:rPr>
        <w:t xml:space="preserve">, 9(8), pp. 661–674. Available at: </w:t>
      </w:r>
      <w:hyperlink r:id="rId6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https://doi.org/10.1016/S2215-0366(22)00176-4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18EB44A7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Marchant, A., Hawton, K., Stewart, A., Montgomery, P. and John, A. (2024) ‘The relationship between internet use, self-harm and suicidal behaviour in young people’, </w:t>
      </w:r>
      <w:r w:rsidRPr="004E34D2">
        <w:rPr>
          <w:rFonts w:ascii="Arial" w:hAnsi="Arial" w:cs="Arial"/>
          <w:i/>
          <w:iCs/>
          <w:sz w:val="22"/>
          <w:szCs w:val="22"/>
        </w:rPr>
        <w:t>Child and Adolescent Mental Health</w:t>
      </w:r>
      <w:r w:rsidRPr="004E34D2">
        <w:rPr>
          <w:rFonts w:ascii="Arial" w:hAnsi="Arial" w:cs="Arial"/>
          <w:sz w:val="22"/>
          <w:szCs w:val="22"/>
        </w:rPr>
        <w:t xml:space="preserve">, 29(1), pp. 12–22. Available at: </w:t>
      </w:r>
      <w:hyperlink r:id="rId7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https://acamh.onlinelibrary.wiley.com/journal/14753588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14B56993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McDermott, E., Hughes, E. and Rawlings, V. (2023) ‘LGBTQ+ youth mental health and suicide prevention: Emerging evidence and implications for practice’, </w:t>
      </w:r>
      <w:r w:rsidRPr="004E34D2">
        <w:rPr>
          <w:rFonts w:ascii="Arial" w:hAnsi="Arial" w:cs="Arial"/>
          <w:i/>
          <w:iCs/>
          <w:sz w:val="22"/>
          <w:szCs w:val="22"/>
        </w:rPr>
        <w:t>Journal of LGBT Youth</w:t>
      </w:r>
      <w:r w:rsidRPr="004E34D2">
        <w:rPr>
          <w:rFonts w:ascii="Arial" w:hAnsi="Arial" w:cs="Arial"/>
          <w:sz w:val="22"/>
          <w:szCs w:val="22"/>
        </w:rPr>
        <w:t xml:space="preserve">, 20(4), pp. 521–538. Available at: </w:t>
      </w:r>
      <w:hyperlink r:id="rId8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https://doi.org/10.1080/19361653.2023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0E9FFB01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National Institute for Health and Care Excellence (2021) </w:t>
      </w:r>
      <w:r w:rsidRPr="004E34D2">
        <w:rPr>
          <w:rFonts w:ascii="Arial" w:hAnsi="Arial" w:cs="Arial"/>
          <w:i/>
          <w:iCs/>
          <w:sz w:val="22"/>
          <w:szCs w:val="22"/>
        </w:rPr>
        <w:t>Transition from Children’s to Adults’ Services for Young People Using Health or Social Care Services (NG43)</w:t>
      </w:r>
      <w:r w:rsidRPr="004E34D2">
        <w:rPr>
          <w:rFonts w:ascii="Arial" w:hAnsi="Arial" w:cs="Arial"/>
          <w:sz w:val="22"/>
          <w:szCs w:val="22"/>
        </w:rPr>
        <w:t xml:space="preserve">. London: NICE. Available at: </w:t>
      </w:r>
      <w:hyperlink r:id="rId9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https://www.nice.org.uk/guidance/ng43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2A6D1D99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Royal College of General Practitioners (2024) </w:t>
      </w:r>
      <w:r w:rsidRPr="004E34D2">
        <w:rPr>
          <w:rFonts w:ascii="Arial" w:hAnsi="Arial" w:cs="Arial"/>
          <w:i/>
          <w:iCs/>
          <w:sz w:val="22"/>
          <w:szCs w:val="22"/>
        </w:rPr>
        <w:t>Supporting Transgender and Gender Diverse Patients in General Practice</w:t>
      </w:r>
      <w:r w:rsidRPr="004E34D2">
        <w:rPr>
          <w:rFonts w:ascii="Arial" w:hAnsi="Arial" w:cs="Arial"/>
          <w:sz w:val="22"/>
          <w:szCs w:val="22"/>
        </w:rPr>
        <w:t xml:space="preserve">. London: RCGP. Available at: </w:t>
      </w:r>
      <w:hyperlink r:id="rId10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https://www.rcgp.org.uk/representing-you/policy-areas/transgender-care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37152DF4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Russell, S.T. and Fish, J.N. (2023) ‘Mental health in LGBTQ+ youth’, </w:t>
      </w:r>
      <w:r w:rsidRPr="004E34D2">
        <w:rPr>
          <w:rFonts w:ascii="Arial" w:hAnsi="Arial" w:cs="Arial"/>
          <w:i/>
          <w:iCs/>
          <w:sz w:val="22"/>
          <w:szCs w:val="22"/>
        </w:rPr>
        <w:t>Annual Review of Clinical Psychology</w:t>
      </w:r>
      <w:r w:rsidRPr="004E34D2">
        <w:rPr>
          <w:rFonts w:ascii="Arial" w:hAnsi="Arial" w:cs="Arial"/>
          <w:sz w:val="22"/>
          <w:szCs w:val="22"/>
        </w:rPr>
        <w:t xml:space="preserve">, 19, pp. 127–152. Available at: </w:t>
      </w:r>
      <w:hyperlink r:id="rId11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https://doi.org/10.1146/annurev-clinpsy-072220-014808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4290CC65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World Health Organization (2023) </w:t>
      </w:r>
      <w:r w:rsidRPr="004E34D2">
        <w:rPr>
          <w:rFonts w:ascii="Arial" w:hAnsi="Arial" w:cs="Arial"/>
          <w:i/>
          <w:iCs/>
          <w:sz w:val="22"/>
          <w:szCs w:val="22"/>
        </w:rPr>
        <w:t>Suicide</w:t>
      </w:r>
      <w:r w:rsidRPr="004E34D2">
        <w:rPr>
          <w:rFonts w:ascii="Arial" w:hAnsi="Arial" w:cs="Arial"/>
          <w:sz w:val="22"/>
          <w:szCs w:val="22"/>
        </w:rPr>
        <w:t xml:space="preserve">. Geneva: World Health Organization. Available at: </w:t>
      </w:r>
      <w:hyperlink r:id="rId12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https://www.who.int/news-room/fact-sheets/detail/suicide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47FE27F7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Willis, E.R. and McDonagh, J.E. (2018) ‘Transition from children’s to adults’ services for young people using health or social care services’, </w:t>
      </w:r>
      <w:r w:rsidRPr="004E34D2">
        <w:rPr>
          <w:rFonts w:ascii="Arial" w:hAnsi="Arial" w:cs="Arial"/>
          <w:i/>
          <w:iCs/>
          <w:sz w:val="22"/>
          <w:szCs w:val="22"/>
        </w:rPr>
        <w:t>Archives of Disease in Childhood - Education and Practice</w:t>
      </w:r>
      <w:r w:rsidRPr="004E34D2">
        <w:rPr>
          <w:rFonts w:ascii="Arial" w:hAnsi="Arial" w:cs="Arial"/>
          <w:sz w:val="22"/>
          <w:szCs w:val="22"/>
        </w:rPr>
        <w:t xml:space="preserve">, 103(5), pp. 253–256. Available at: </w:t>
      </w:r>
      <w:hyperlink r:id="rId13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https://pubmed.ncbi.nlm.nih.gov/29269436/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7C50106F" w14:textId="77777777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  <w:r w:rsidRPr="004E34D2">
        <w:rPr>
          <w:rFonts w:ascii="Arial" w:hAnsi="Arial" w:cs="Arial"/>
          <w:sz w:val="22"/>
          <w:szCs w:val="22"/>
        </w:rPr>
        <w:t xml:space="preserve">NHS England (2024) </w:t>
      </w:r>
      <w:r w:rsidRPr="004E34D2">
        <w:rPr>
          <w:rFonts w:ascii="Arial" w:hAnsi="Arial" w:cs="Arial"/>
          <w:i/>
          <w:iCs/>
          <w:sz w:val="22"/>
          <w:szCs w:val="22"/>
        </w:rPr>
        <w:t>Supporting Young People to Transition into Adolescent and Adult Services</w:t>
      </w:r>
      <w:r w:rsidRPr="004E34D2">
        <w:rPr>
          <w:rFonts w:ascii="Arial" w:hAnsi="Arial" w:cs="Arial"/>
          <w:sz w:val="22"/>
          <w:szCs w:val="22"/>
        </w:rPr>
        <w:t xml:space="preserve">. London: NHS England. Available at: </w:t>
      </w:r>
      <w:hyperlink r:id="rId14" w:history="1">
        <w:r w:rsidRPr="004E34D2">
          <w:rPr>
            <w:rStyle w:val="Hyperlink"/>
            <w:rFonts w:ascii="Arial" w:hAnsi="Arial" w:cs="Arial"/>
            <w:sz w:val="22"/>
            <w:szCs w:val="22"/>
          </w:rPr>
          <w:t>https://www.england.nhs.uk/long-</w:t>
        </w:r>
        <w:r w:rsidRPr="004E34D2">
          <w:rPr>
            <w:rStyle w:val="Hyperlink"/>
            <w:rFonts w:ascii="Arial" w:hAnsi="Arial" w:cs="Arial"/>
            <w:sz w:val="22"/>
            <w:szCs w:val="22"/>
          </w:rPr>
          <w:lastRenderedPageBreak/>
          <w:t>read/supporting-young-people-to-transition-into-adolescent-and-adult-services/</w:t>
        </w:r>
      </w:hyperlink>
      <w:r w:rsidRPr="004E34D2">
        <w:rPr>
          <w:rFonts w:ascii="Arial" w:hAnsi="Arial" w:cs="Arial"/>
          <w:sz w:val="22"/>
          <w:szCs w:val="22"/>
        </w:rPr>
        <w:t xml:space="preserve"> (Accessed: 21 June 2026).</w:t>
      </w:r>
    </w:p>
    <w:p w14:paraId="0E3D0D27" w14:textId="26936D22" w:rsidR="004E34D2" w:rsidRPr="004E34D2" w:rsidRDefault="004E34D2" w:rsidP="004E34D2">
      <w:pPr>
        <w:jc w:val="both"/>
        <w:rPr>
          <w:rFonts w:ascii="Arial" w:hAnsi="Arial" w:cs="Arial"/>
          <w:sz w:val="22"/>
          <w:szCs w:val="22"/>
        </w:rPr>
      </w:pPr>
    </w:p>
    <w:sectPr w:rsidR="004E34D2" w:rsidRPr="004E34D2" w:rsidSect="00EA075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4D2"/>
    <w:rsid w:val="00326C3C"/>
    <w:rsid w:val="003C0E85"/>
    <w:rsid w:val="004E34D2"/>
    <w:rsid w:val="005259EA"/>
    <w:rsid w:val="00645434"/>
    <w:rsid w:val="0090187E"/>
    <w:rsid w:val="009D0214"/>
    <w:rsid w:val="00E31D25"/>
    <w:rsid w:val="00EA0752"/>
    <w:rsid w:val="00F16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A1728"/>
  <w15:chartTrackingRefBased/>
  <w15:docId w15:val="{56A3421B-1426-43D4-8DC1-A9C41B659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4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4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4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4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4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4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4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4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4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4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4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4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4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4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4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4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4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4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4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4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4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4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4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4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4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4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4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4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4D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E34D2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4E34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34D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EA0752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A0752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9361653.2023" TargetMode="External"/><Relationship Id="rId13" Type="http://schemas.openxmlformats.org/officeDocument/2006/relationships/hyperlink" Target="https://pubmed.ncbi.nlm.nih.gov/29269436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camh.onlinelibrary.wiley.com/journal/14753588" TargetMode="External"/><Relationship Id="rId12" Type="http://schemas.openxmlformats.org/officeDocument/2006/relationships/hyperlink" Target="https://www.who.int/news-room/fact-sheets/detail/suicid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16/S2215-0366(22)00176-4" TargetMode="External"/><Relationship Id="rId11" Type="http://schemas.openxmlformats.org/officeDocument/2006/relationships/hyperlink" Target="https://doi.org/10.1146/annurev-clinpsy-072220-014808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rcgp.org.uk/representing-you/policy-areas/transgender-care" TargetMode="External"/><Relationship Id="rId4" Type="http://schemas.openxmlformats.org/officeDocument/2006/relationships/hyperlink" Target="https://doi.org/10.1002/aur.3240" TargetMode="External"/><Relationship Id="rId9" Type="http://schemas.openxmlformats.org/officeDocument/2006/relationships/hyperlink" Target="https://www.nice.org.uk/guidance/ng43" TargetMode="External"/><Relationship Id="rId14" Type="http://schemas.openxmlformats.org/officeDocument/2006/relationships/hyperlink" Target="https://www.england.nhs.uk/long-read/supporting-young-people-to-transition-into-adolescent-and-adult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3</Pages>
  <Words>657</Words>
  <Characters>3747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REFERENCE ONLY</dc:title>
  <dc:subject/>
  <dc:creator>aaron addo</dc:creator>
  <cp:keywords/>
  <dc:description/>
  <cp:lastModifiedBy>LINDA TEKYI</cp:lastModifiedBy>
  <cp:revision>3</cp:revision>
  <dcterms:created xsi:type="dcterms:W3CDTF">2026-06-21T14:45:00Z</dcterms:created>
  <dcterms:modified xsi:type="dcterms:W3CDTF">2026-06-21T15:40:00Z</dcterms:modified>
</cp:coreProperties>
</file>