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16FB6D" w14:textId="77777777" w:rsidR="00DD28E6" w:rsidRDefault="00DD28E6" w:rsidP="00DD28E6">
      <w:pPr>
        <w:spacing w:after="220"/>
        <w:ind w:right="1438"/>
        <w:jc w:val="right"/>
      </w:pPr>
      <w:r>
        <w:rPr>
          <w:noProof/>
        </w:rPr>
        <w:drawing>
          <wp:inline distT="0" distB="0" distL="0" distR="0" wp14:anchorId="688260D3" wp14:editId="6CC9654D">
            <wp:extent cx="4648200" cy="1752600"/>
            <wp:effectExtent l="0" t="0" r="0" b="0"/>
            <wp:docPr id="47" name="Picture 47" descr="A logo with text on it&#10;&#10;AI-generated content may be incorrect."/>
            <wp:cNvGraphicFramePr/>
            <a:graphic xmlns:a="http://schemas.openxmlformats.org/drawingml/2006/main">
              <a:graphicData uri="http://schemas.openxmlformats.org/drawingml/2006/picture">
                <pic:pic xmlns:pic="http://schemas.openxmlformats.org/drawingml/2006/picture">
                  <pic:nvPicPr>
                    <pic:cNvPr id="47" name="Picture 47" descr="A logo with text on it&#10;&#10;AI-generated content may be incorrect."/>
                    <pic:cNvPicPr/>
                  </pic:nvPicPr>
                  <pic:blipFill>
                    <a:blip r:embed="rId7"/>
                    <a:stretch>
                      <a:fillRect/>
                    </a:stretch>
                  </pic:blipFill>
                  <pic:spPr>
                    <a:xfrm>
                      <a:off x="0" y="0"/>
                      <a:ext cx="4674497" cy="1762515"/>
                    </a:xfrm>
                    <a:prstGeom prst="rect">
                      <a:avLst/>
                    </a:prstGeom>
                  </pic:spPr>
                </pic:pic>
              </a:graphicData>
            </a:graphic>
          </wp:inline>
        </w:drawing>
      </w:r>
      <w:r>
        <w:rPr>
          <w:rFonts w:ascii="Times New Roman" w:eastAsia="Times New Roman" w:hAnsi="Times New Roman" w:cs="Times New Roman"/>
          <w:b/>
        </w:rPr>
        <w:t xml:space="preserve"> </w:t>
      </w:r>
    </w:p>
    <w:p w14:paraId="23B82A24" w14:textId="77777777" w:rsidR="00DD28E6" w:rsidRDefault="00DD28E6" w:rsidP="00DD28E6">
      <w:pPr>
        <w:spacing w:after="273"/>
        <w:ind w:right="5"/>
        <w:jc w:val="center"/>
      </w:pPr>
      <w:r>
        <w:rPr>
          <w:rFonts w:ascii="Times New Roman" w:eastAsia="Times New Roman" w:hAnsi="Times New Roman" w:cs="Times New Roman"/>
          <w:b/>
        </w:rPr>
        <w:t xml:space="preserve"> </w:t>
      </w:r>
    </w:p>
    <w:p w14:paraId="6B355AA1" w14:textId="77777777" w:rsidR="00DD28E6" w:rsidRDefault="00DD28E6" w:rsidP="00DD28E6">
      <w:pPr>
        <w:spacing w:after="274"/>
      </w:pPr>
      <w:r>
        <w:rPr>
          <w:rFonts w:ascii="Times New Roman" w:eastAsia="Times New Roman" w:hAnsi="Times New Roman" w:cs="Times New Roman"/>
          <w:b/>
        </w:rPr>
        <w:t xml:space="preserve"> </w:t>
      </w:r>
    </w:p>
    <w:p w14:paraId="78E2C221" w14:textId="77777777" w:rsidR="00DD28E6" w:rsidRPr="00D51540" w:rsidRDefault="00DD28E6" w:rsidP="00DD28E6">
      <w:pPr>
        <w:spacing w:after="276"/>
        <w:jc w:val="center"/>
        <w:rPr>
          <w:sz w:val="24"/>
          <w:szCs w:val="32"/>
        </w:rPr>
      </w:pPr>
    </w:p>
    <w:p w14:paraId="2E3E5EB4" w14:textId="77777777" w:rsidR="00DD28E6" w:rsidRPr="00D51540" w:rsidRDefault="00DD28E6" w:rsidP="00DD28E6">
      <w:pPr>
        <w:spacing w:after="274"/>
        <w:ind w:left="2716" w:firstLine="93"/>
        <w:rPr>
          <w:sz w:val="28"/>
        </w:rPr>
      </w:pPr>
      <w:r w:rsidRPr="00D51540">
        <w:rPr>
          <w:rFonts w:ascii="Times New Roman" w:eastAsia="Times New Roman" w:hAnsi="Times New Roman" w:cs="Times New Roman"/>
          <w:b/>
          <w:sz w:val="28"/>
        </w:rPr>
        <w:t>Programme: Master of Business Administration</w:t>
      </w:r>
    </w:p>
    <w:p w14:paraId="29C3FCD4" w14:textId="13525EFA" w:rsidR="00DD28E6" w:rsidRPr="00D51540" w:rsidRDefault="00DD28E6" w:rsidP="00DD28E6">
      <w:pPr>
        <w:spacing w:after="274"/>
        <w:ind w:left="2809"/>
        <w:rPr>
          <w:sz w:val="28"/>
        </w:rPr>
      </w:pPr>
      <w:r w:rsidRPr="00D51540">
        <w:rPr>
          <w:rFonts w:ascii="Times New Roman" w:eastAsia="Times New Roman" w:hAnsi="Times New Roman" w:cs="Times New Roman"/>
          <w:b/>
          <w:sz w:val="28"/>
        </w:rPr>
        <w:t xml:space="preserve">Module: </w:t>
      </w:r>
      <w:r>
        <w:rPr>
          <w:rFonts w:ascii="Times New Roman" w:eastAsia="Times New Roman" w:hAnsi="Times New Roman" w:cs="Times New Roman"/>
          <w:b/>
          <w:sz w:val="28"/>
        </w:rPr>
        <w:t>Financial</w:t>
      </w:r>
      <w:r w:rsidRPr="00D51540">
        <w:rPr>
          <w:rFonts w:ascii="Times New Roman" w:eastAsia="Times New Roman" w:hAnsi="Times New Roman" w:cs="Times New Roman"/>
          <w:b/>
          <w:sz w:val="28"/>
        </w:rPr>
        <w:t xml:space="preserve"> Management</w:t>
      </w:r>
    </w:p>
    <w:p w14:paraId="5EC717E5" w14:textId="6089EC28" w:rsidR="00DD28E6" w:rsidRPr="00D51540" w:rsidRDefault="00DD28E6" w:rsidP="00DD28E6">
      <w:pPr>
        <w:spacing w:after="274"/>
        <w:ind w:left="2099" w:right="66" w:firstLine="710"/>
        <w:rPr>
          <w:sz w:val="28"/>
        </w:rPr>
      </w:pPr>
      <w:r w:rsidRPr="00D51540">
        <w:rPr>
          <w:rFonts w:ascii="Times New Roman" w:eastAsia="Times New Roman" w:hAnsi="Times New Roman" w:cs="Times New Roman"/>
          <w:b/>
          <w:sz w:val="28"/>
        </w:rPr>
        <w:t xml:space="preserve">Module code: </w:t>
      </w:r>
      <w:r w:rsidR="0032606C">
        <w:rPr>
          <w:rFonts w:ascii="Arial" w:hAnsi="Arial" w:cs="Arial"/>
          <w:b/>
          <w:szCs w:val="22"/>
        </w:rPr>
        <w:t>LCMB7002</w:t>
      </w:r>
    </w:p>
    <w:p w14:paraId="16ECA5F4" w14:textId="17E1E79E" w:rsidR="00DD28E6" w:rsidRPr="000F1EFB" w:rsidRDefault="00DD28E6" w:rsidP="00DD28E6">
      <w:pPr>
        <w:spacing w:after="274"/>
        <w:ind w:left="2099" w:right="65" w:firstLine="710"/>
        <w:rPr>
          <w:rFonts w:ascii="Times New Roman" w:eastAsia="Times New Roman" w:hAnsi="Times New Roman" w:cs="Times New Roman"/>
          <w:b/>
          <w:sz w:val="28"/>
          <w:lang w:val="en-GB"/>
        </w:rPr>
      </w:pPr>
      <w:r w:rsidRPr="00D51540">
        <w:rPr>
          <w:rFonts w:ascii="Times New Roman" w:eastAsia="Times New Roman" w:hAnsi="Times New Roman" w:cs="Times New Roman"/>
          <w:b/>
          <w:sz w:val="28"/>
        </w:rPr>
        <w:t>Title</w:t>
      </w:r>
      <w:r>
        <w:rPr>
          <w:rFonts w:ascii="Times New Roman" w:eastAsia="Times New Roman" w:hAnsi="Times New Roman" w:cs="Times New Roman"/>
          <w:b/>
          <w:sz w:val="28"/>
        </w:rPr>
        <w:t xml:space="preserve">: </w:t>
      </w:r>
      <w:r w:rsidR="0032606C">
        <w:rPr>
          <w:rFonts w:ascii="Arial" w:hAnsi="Arial" w:cs="Arial"/>
          <w:b/>
          <w:szCs w:val="22"/>
        </w:rPr>
        <w:t>Financial performance and management</w:t>
      </w:r>
    </w:p>
    <w:p w14:paraId="0FA73B7D" w14:textId="24E3B503" w:rsidR="00DD28E6" w:rsidRPr="00D51540" w:rsidRDefault="00DD28E6" w:rsidP="00DD28E6">
      <w:pPr>
        <w:spacing w:after="274"/>
        <w:ind w:left="2089" w:right="62" w:firstLine="720"/>
        <w:rPr>
          <w:sz w:val="28"/>
        </w:rPr>
      </w:pPr>
      <w:r w:rsidRPr="00D51540">
        <w:rPr>
          <w:rFonts w:ascii="Times New Roman" w:eastAsia="Times New Roman" w:hAnsi="Times New Roman" w:cs="Times New Roman"/>
          <w:b/>
          <w:sz w:val="28"/>
        </w:rPr>
        <w:t xml:space="preserve">Word count: </w:t>
      </w:r>
      <w:r w:rsidR="0032606C">
        <w:rPr>
          <w:rFonts w:ascii="Times New Roman" w:eastAsia="Times New Roman" w:hAnsi="Times New Roman" w:cs="Times New Roman"/>
          <w:b/>
          <w:sz w:val="28"/>
        </w:rPr>
        <w:t>48</w:t>
      </w:r>
      <w:r w:rsidR="009D7ACA">
        <w:rPr>
          <w:rFonts w:ascii="Times New Roman" w:eastAsia="Times New Roman" w:hAnsi="Times New Roman" w:cs="Times New Roman"/>
          <w:b/>
          <w:sz w:val="28"/>
        </w:rPr>
        <w:t>47</w:t>
      </w:r>
    </w:p>
    <w:p w14:paraId="1DA1E694" w14:textId="225A031B" w:rsidR="00DD28E6" w:rsidRPr="00D51540" w:rsidRDefault="00DD28E6" w:rsidP="00DD28E6">
      <w:pPr>
        <w:spacing w:after="165" w:line="352" w:lineRule="auto"/>
        <w:ind w:left="2835" w:right="2836"/>
        <w:rPr>
          <w:rFonts w:ascii="Arial" w:eastAsia="Arial" w:hAnsi="Arial" w:cs="Arial"/>
          <w:b/>
          <w:sz w:val="28"/>
        </w:rPr>
      </w:pPr>
      <w:r w:rsidRPr="00D51540">
        <w:rPr>
          <w:rFonts w:ascii="Arial" w:eastAsia="Arial" w:hAnsi="Arial" w:cs="Arial"/>
          <w:b/>
          <w:sz w:val="28"/>
        </w:rPr>
        <w:t xml:space="preserve">Lecturer : </w:t>
      </w:r>
      <w:r w:rsidR="0032606C" w:rsidRPr="008D45BE">
        <w:rPr>
          <w:rFonts w:ascii="Arial" w:hAnsi="Arial" w:cs="Arial"/>
          <w:b/>
          <w:szCs w:val="22"/>
        </w:rPr>
        <w:t xml:space="preserve">Patrick Yeboah </w:t>
      </w:r>
      <w:r w:rsidR="0032606C">
        <w:rPr>
          <w:rFonts w:ascii="Arial" w:hAnsi="Arial" w:cs="Arial"/>
          <w:b/>
          <w:szCs w:val="22"/>
        </w:rPr>
        <w:t>(Birmingham)</w:t>
      </w:r>
    </w:p>
    <w:p w14:paraId="67179022" w14:textId="77777777" w:rsidR="00DD28E6" w:rsidRPr="00D51540" w:rsidRDefault="00DD28E6" w:rsidP="00DD28E6">
      <w:pPr>
        <w:spacing w:after="165" w:line="352" w:lineRule="auto"/>
        <w:ind w:left="2835" w:right="2836"/>
        <w:rPr>
          <w:sz w:val="28"/>
        </w:rPr>
      </w:pPr>
      <w:r w:rsidRPr="00D51540">
        <w:rPr>
          <w:rFonts w:ascii="Times New Roman" w:eastAsia="Times New Roman" w:hAnsi="Times New Roman" w:cs="Times New Roman"/>
          <w:b/>
          <w:sz w:val="28"/>
        </w:rPr>
        <w:t>Student Name :</w:t>
      </w:r>
      <w:r>
        <w:rPr>
          <w:rFonts w:ascii="Times New Roman" w:eastAsia="Times New Roman" w:hAnsi="Times New Roman" w:cs="Times New Roman"/>
          <w:b/>
          <w:sz w:val="28"/>
        </w:rPr>
        <w:t xml:space="preserve"> Rajash Ghosh</w:t>
      </w:r>
    </w:p>
    <w:p w14:paraId="0E01566D" w14:textId="77777777" w:rsidR="00DD28E6" w:rsidRPr="00D51540" w:rsidRDefault="00DD28E6" w:rsidP="00DD28E6">
      <w:pPr>
        <w:spacing w:after="274"/>
        <w:ind w:left="2125" w:right="62" w:firstLine="710"/>
        <w:rPr>
          <w:sz w:val="28"/>
        </w:rPr>
      </w:pPr>
      <w:r w:rsidRPr="00D51540">
        <w:rPr>
          <w:rFonts w:ascii="Times New Roman" w:eastAsia="Times New Roman" w:hAnsi="Times New Roman" w:cs="Times New Roman"/>
          <w:b/>
          <w:sz w:val="28"/>
        </w:rPr>
        <w:t>Student ID:</w:t>
      </w:r>
      <w:r>
        <w:rPr>
          <w:rFonts w:ascii="Times New Roman" w:eastAsia="Times New Roman" w:hAnsi="Times New Roman" w:cs="Times New Roman"/>
          <w:b/>
          <w:sz w:val="28"/>
        </w:rPr>
        <w:t xml:space="preserve"> 2428528</w:t>
      </w:r>
    </w:p>
    <w:p w14:paraId="645D408E" w14:textId="19223B36" w:rsidR="00DD28E6" w:rsidRPr="00D51540" w:rsidRDefault="00DD28E6" w:rsidP="00DD28E6">
      <w:pPr>
        <w:spacing w:after="274"/>
        <w:ind w:left="2125" w:right="62" w:firstLine="710"/>
        <w:rPr>
          <w:sz w:val="28"/>
        </w:rPr>
      </w:pPr>
      <w:r w:rsidRPr="00D51540">
        <w:rPr>
          <w:rFonts w:ascii="Times New Roman" w:eastAsia="Times New Roman" w:hAnsi="Times New Roman" w:cs="Times New Roman"/>
          <w:b/>
          <w:sz w:val="28"/>
        </w:rPr>
        <w:t>Submission Date-</w:t>
      </w:r>
      <w:r>
        <w:rPr>
          <w:rFonts w:ascii="Times New Roman" w:eastAsia="Times New Roman" w:hAnsi="Times New Roman" w:cs="Times New Roman"/>
          <w:b/>
          <w:sz w:val="28"/>
        </w:rPr>
        <w:t>24/1</w:t>
      </w:r>
      <w:r w:rsidR="0032606C">
        <w:rPr>
          <w:rFonts w:ascii="Times New Roman" w:eastAsia="Times New Roman" w:hAnsi="Times New Roman" w:cs="Times New Roman"/>
          <w:b/>
          <w:sz w:val="28"/>
        </w:rPr>
        <w:t>1</w:t>
      </w:r>
      <w:r>
        <w:rPr>
          <w:rFonts w:ascii="Times New Roman" w:eastAsia="Times New Roman" w:hAnsi="Times New Roman" w:cs="Times New Roman"/>
          <w:b/>
          <w:sz w:val="28"/>
        </w:rPr>
        <w:t>/2025</w:t>
      </w:r>
    </w:p>
    <w:p w14:paraId="60503DFE" w14:textId="77777777" w:rsidR="00723521" w:rsidRDefault="00723521">
      <w:pPr>
        <w:rPr>
          <w:rFonts w:ascii="Arial" w:hAnsi="Arial" w:cs="Arial"/>
          <w:b/>
          <w:bCs/>
          <w:sz w:val="24"/>
          <w:szCs w:val="24"/>
        </w:rPr>
      </w:pPr>
      <w:r>
        <w:rPr>
          <w:rFonts w:ascii="Arial" w:hAnsi="Arial" w:cs="Arial"/>
          <w:b/>
          <w:bCs/>
          <w:sz w:val="24"/>
          <w:szCs w:val="24"/>
        </w:rPr>
        <w:br w:type="page"/>
      </w:r>
    </w:p>
    <w:p w14:paraId="6F264E59" w14:textId="77777777" w:rsidR="00EE4574" w:rsidRPr="00EE4574" w:rsidRDefault="00EE4574" w:rsidP="00EE4574">
      <w:pPr>
        <w:jc w:val="center"/>
        <w:rPr>
          <w:rFonts w:ascii="Arial" w:hAnsi="Arial" w:cs="Arial"/>
          <w:b/>
          <w:bCs/>
          <w:sz w:val="24"/>
          <w:szCs w:val="24"/>
        </w:rPr>
      </w:pPr>
      <w:r w:rsidRPr="00EE4574">
        <w:rPr>
          <w:rFonts w:ascii="Arial" w:hAnsi="Arial" w:cs="Arial"/>
          <w:b/>
          <w:bCs/>
          <w:sz w:val="24"/>
          <w:szCs w:val="24"/>
        </w:rPr>
        <w:lastRenderedPageBreak/>
        <w:t>Table of Contents</w:t>
      </w:r>
    </w:p>
    <w:p w14:paraId="2B98A01A" w14:textId="4FB6B2FF" w:rsidR="00EE4574" w:rsidRPr="00EE4574" w:rsidRDefault="00EE4574" w:rsidP="00EE4574">
      <w:pPr>
        <w:pStyle w:val="ListParagraph"/>
        <w:numPr>
          <w:ilvl w:val="0"/>
          <w:numId w:val="41"/>
        </w:numPr>
        <w:spacing w:line="360" w:lineRule="auto"/>
        <w:rPr>
          <w:rFonts w:ascii="Arial" w:hAnsi="Arial" w:cs="Arial"/>
          <w:b/>
          <w:bCs/>
          <w:sz w:val="24"/>
          <w:szCs w:val="24"/>
        </w:rPr>
      </w:pPr>
      <w:r w:rsidRPr="00EE4574">
        <w:rPr>
          <w:rFonts w:ascii="Arial" w:hAnsi="Arial" w:cs="Arial"/>
          <w:b/>
          <w:bCs/>
          <w:sz w:val="24"/>
          <w:szCs w:val="24"/>
        </w:rPr>
        <w:t>Introduction</w:t>
      </w:r>
      <w:r>
        <w:rPr>
          <w:rFonts w:ascii="Arial" w:hAnsi="Arial" w:cs="Arial"/>
          <w:b/>
          <w:bCs/>
          <w:sz w:val="24"/>
          <w:szCs w:val="24"/>
        </w:rPr>
        <w:t>……………………………………………………… 3</w:t>
      </w:r>
    </w:p>
    <w:p w14:paraId="1942C1EA" w14:textId="2E21445B" w:rsidR="00EE4574" w:rsidRPr="00EE4574" w:rsidRDefault="00EE4574" w:rsidP="00EE4574">
      <w:pPr>
        <w:pStyle w:val="ListParagraph"/>
        <w:numPr>
          <w:ilvl w:val="0"/>
          <w:numId w:val="41"/>
        </w:numPr>
        <w:spacing w:line="360" w:lineRule="auto"/>
        <w:rPr>
          <w:rFonts w:ascii="Arial" w:hAnsi="Arial" w:cs="Arial"/>
          <w:b/>
          <w:bCs/>
          <w:sz w:val="24"/>
          <w:szCs w:val="24"/>
        </w:rPr>
      </w:pPr>
      <w:r w:rsidRPr="00EE4574">
        <w:rPr>
          <w:rFonts w:ascii="Arial" w:hAnsi="Arial" w:cs="Arial"/>
          <w:b/>
          <w:bCs/>
          <w:sz w:val="24"/>
          <w:szCs w:val="24"/>
        </w:rPr>
        <w:t>Financial Health Review</w:t>
      </w:r>
      <w:r>
        <w:rPr>
          <w:rFonts w:ascii="Arial" w:hAnsi="Arial" w:cs="Arial"/>
          <w:b/>
          <w:bCs/>
          <w:sz w:val="24"/>
          <w:szCs w:val="24"/>
        </w:rPr>
        <w:t>………………………………………. 3-7</w:t>
      </w:r>
    </w:p>
    <w:p w14:paraId="3115F7E3" w14:textId="1D245DC9" w:rsidR="00EE4574" w:rsidRPr="00EE4574" w:rsidRDefault="00EE4574" w:rsidP="00EE4574">
      <w:pPr>
        <w:pStyle w:val="ListParagraph"/>
        <w:numPr>
          <w:ilvl w:val="0"/>
          <w:numId w:val="41"/>
        </w:numPr>
        <w:spacing w:line="360" w:lineRule="auto"/>
        <w:rPr>
          <w:rFonts w:ascii="Arial" w:hAnsi="Arial" w:cs="Arial"/>
          <w:b/>
          <w:bCs/>
          <w:sz w:val="24"/>
          <w:szCs w:val="24"/>
        </w:rPr>
      </w:pPr>
      <w:r w:rsidRPr="00EE4574">
        <w:rPr>
          <w:rFonts w:ascii="Arial" w:hAnsi="Arial" w:cs="Arial"/>
          <w:b/>
          <w:bCs/>
          <w:sz w:val="24"/>
          <w:szCs w:val="24"/>
        </w:rPr>
        <w:t>Working Capital Management Analysis</w:t>
      </w:r>
      <w:r>
        <w:rPr>
          <w:rFonts w:ascii="Arial" w:hAnsi="Arial" w:cs="Arial"/>
          <w:b/>
          <w:bCs/>
          <w:sz w:val="24"/>
          <w:szCs w:val="24"/>
        </w:rPr>
        <w:t>……………………. 7-10</w:t>
      </w:r>
    </w:p>
    <w:p w14:paraId="32D39D0D" w14:textId="6F236256" w:rsidR="00EE4574" w:rsidRPr="00EE4574" w:rsidRDefault="00EE4574" w:rsidP="00EE4574">
      <w:pPr>
        <w:pStyle w:val="ListParagraph"/>
        <w:numPr>
          <w:ilvl w:val="0"/>
          <w:numId w:val="41"/>
        </w:numPr>
        <w:spacing w:line="360" w:lineRule="auto"/>
        <w:rPr>
          <w:rFonts w:ascii="Arial" w:hAnsi="Arial" w:cs="Arial"/>
          <w:b/>
          <w:bCs/>
          <w:sz w:val="24"/>
          <w:szCs w:val="24"/>
        </w:rPr>
      </w:pPr>
      <w:r w:rsidRPr="00EE4574">
        <w:rPr>
          <w:rFonts w:ascii="Arial" w:hAnsi="Arial" w:cs="Arial"/>
          <w:b/>
          <w:bCs/>
          <w:sz w:val="24"/>
          <w:szCs w:val="24"/>
        </w:rPr>
        <w:t>Financial Restructuring Strategy</w:t>
      </w:r>
      <w:r>
        <w:rPr>
          <w:rFonts w:ascii="Arial" w:hAnsi="Arial" w:cs="Arial"/>
          <w:b/>
          <w:bCs/>
          <w:sz w:val="24"/>
          <w:szCs w:val="24"/>
        </w:rPr>
        <w:t>……………………………. 11-14</w:t>
      </w:r>
    </w:p>
    <w:p w14:paraId="7B3CD08A" w14:textId="68B34D82" w:rsidR="00EE4574" w:rsidRPr="00EE4574" w:rsidRDefault="00EE4574" w:rsidP="00EE4574">
      <w:pPr>
        <w:pStyle w:val="ListParagraph"/>
        <w:numPr>
          <w:ilvl w:val="0"/>
          <w:numId w:val="41"/>
        </w:numPr>
        <w:spacing w:line="360" w:lineRule="auto"/>
        <w:rPr>
          <w:rFonts w:ascii="Arial" w:hAnsi="Arial" w:cs="Arial"/>
          <w:b/>
          <w:bCs/>
          <w:sz w:val="24"/>
          <w:szCs w:val="24"/>
        </w:rPr>
      </w:pPr>
      <w:r w:rsidRPr="00EE4574">
        <w:rPr>
          <w:rFonts w:ascii="Arial" w:hAnsi="Arial" w:cs="Arial"/>
          <w:b/>
          <w:bCs/>
          <w:sz w:val="24"/>
          <w:szCs w:val="24"/>
        </w:rPr>
        <w:t>Investment Appraisal and Decision Making</w:t>
      </w:r>
      <w:r>
        <w:rPr>
          <w:rFonts w:ascii="Arial" w:hAnsi="Arial" w:cs="Arial"/>
          <w:b/>
          <w:bCs/>
          <w:sz w:val="24"/>
          <w:szCs w:val="24"/>
        </w:rPr>
        <w:t>………………. 14-20</w:t>
      </w:r>
    </w:p>
    <w:p w14:paraId="67192FA6" w14:textId="0C56B6EF" w:rsidR="00EE4574" w:rsidRPr="00EE4574" w:rsidRDefault="00EE4574" w:rsidP="00EE4574">
      <w:pPr>
        <w:pStyle w:val="ListParagraph"/>
        <w:numPr>
          <w:ilvl w:val="0"/>
          <w:numId w:val="41"/>
        </w:numPr>
        <w:spacing w:line="360" w:lineRule="auto"/>
        <w:rPr>
          <w:rFonts w:ascii="Arial" w:hAnsi="Arial" w:cs="Arial"/>
          <w:b/>
          <w:bCs/>
          <w:sz w:val="24"/>
          <w:szCs w:val="24"/>
        </w:rPr>
      </w:pPr>
      <w:r w:rsidRPr="00EE4574">
        <w:rPr>
          <w:rFonts w:ascii="Arial" w:hAnsi="Arial" w:cs="Arial"/>
          <w:b/>
          <w:bCs/>
          <w:sz w:val="24"/>
          <w:szCs w:val="24"/>
        </w:rPr>
        <w:t>Recommendation</w:t>
      </w:r>
      <w:r>
        <w:rPr>
          <w:rFonts w:ascii="Arial" w:hAnsi="Arial" w:cs="Arial"/>
          <w:b/>
          <w:bCs/>
          <w:sz w:val="24"/>
          <w:szCs w:val="24"/>
        </w:rPr>
        <w:t>………………………………………………. 21</w:t>
      </w:r>
    </w:p>
    <w:p w14:paraId="51E31D33" w14:textId="045C6CFE" w:rsidR="00EE4574" w:rsidRPr="00EE4574" w:rsidRDefault="00EE4574" w:rsidP="00EE4574">
      <w:pPr>
        <w:pStyle w:val="ListParagraph"/>
        <w:numPr>
          <w:ilvl w:val="0"/>
          <w:numId w:val="41"/>
        </w:numPr>
        <w:spacing w:line="360" w:lineRule="auto"/>
        <w:rPr>
          <w:rFonts w:ascii="Arial" w:hAnsi="Arial" w:cs="Arial"/>
          <w:b/>
          <w:bCs/>
          <w:sz w:val="24"/>
          <w:szCs w:val="24"/>
        </w:rPr>
      </w:pPr>
      <w:r w:rsidRPr="00EE4574">
        <w:rPr>
          <w:rFonts w:ascii="Arial" w:hAnsi="Arial" w:cs="Arial"/>
          <w:b/>
          <w:bCs/>
          <w:sz w:val="24"/>
          <w:szCs w:val="24"/>
        </w:rPr>
        <w:t>Conclusion</w:t>
      </w:r>
      <w:r>
        <w:rPr>
          <w:rFonts w:ascii="Arial" w:hAnsi="Arial" w:cs="Arial"/>
          <w:b/>
          <w:bCs/>
          <w:sz w:val="24"/>
          <w:szCs w:val="24"/>
        </w:rPr>
        <w:t>………………………………………………………. 22</w:t>
      </w:r>
    </w:p>
    <w:p w14:paraId="402828E8" w14:textId="7B185F21" w:rsidR="00EE4574" w:rsidRPr="00EE4574" w:rsidRDefault="00EE4574" w:rsidP="00EE4574">
      <w:pPr>
        <w:pStyle w:val="ListParagraph"/>
        <w:numPr>
          <w:ilvl w:val="0"/>
          <w:numId w:val="41"/>
        </w:numPr>
        <w:rPr>
          <w:rFonts w:ascii="Arial" w:hAnsi="Arial" w:cs="Arial"/>
          <w:b/>
          <w:bCs/>
          <w:sz w:val="24"/>
          <w:szCs w:val="24"/>
        </w:rPr>
      </w:pPr>
      <w:r w:rsidRPr="00EE4574">
        <w:rPr>
          <w:rFonts w:ascii="Arial" w:hAnsi="Arial" w:cs="Arial"/>
          <w:b/>
          <w:bCs/>
          <w:sz w:val="24"/>
          <w:szCs w:val="24"/>
        </w:rPr>
        <w:t>References</w:t>
      </w:r>
      <w:r>
        <w:rPr>
          <w:rFonts w:ascii="Arial" w:hAnsi="Arial" w:cs="Arial"/>
          <w:b/>
          <w:bCs/>
          <w:sz w:val="24"/>
          <w:szCs w:val="24"/>
        </w:rPr>
        <w:t>………………………………………………………. 22-23</w:t>
      </w:r>
    </w:p>
    <w:p w14:paraId="37831509" w14:textId="77777777" w:rsidR="00EE4574" w:rsidRPr="00EE4574" w:rsidRDefault="00EE4574" w:rsidP="00EE4574">
      <w:pPr>
        <w:rPr>
          <w:rFonts w:ascii="Arial" w:hAnsi="Arial" w:cs="Arial"/>
          <w:b/>
          <w:bCs/>
          <w:sz w:val="24"/>
          <w:szCs w:val="24"/>
        </w:rPr>
      </w:pPr>
    </w:p>
    <w:p w14:paraId="6F99348D" w14:textId="77777777" w:rsidR="00723521" w:rsidRDefault="00723521">
      <w:pPr>
        <w:rPr>
          <w:rFonts w:ascii="Arial" w:hAnsi="Arial" w:cs="Arial"/>
          <w:b/>
          <w:bCs/>
          <w:sz w:val="24"/>
          <w:szCs w:val="24"/>
        </w:rPr>
      </w:pPr>
      <w:r>
        <w:rPr>
          <w:rFonts w:ascii="Arial" w:hAnsi="Arial" w:cs="Arial"/>
          <w:b/>
          <w:bCs/>
          <w:sz w:val="24"/>
          <w:szCs w:val="24"/>
        </w:rPr>
        <w:br w:type="page"/>
      </w:r>
    </w:p>
    <w:p w14:paraId="4250C791" w14:textId="01673642" w:rsidR="00FF79FE" w:rsidRPr="00FF79FE" w:rsidRDefault="00FF79FE" w:rsidP="00FF79FE">
      <w:pPr>
        <w:spacing w:line="360" w:lineRule="auto"/>
        <w:rPr>
          <w:rFonts w:ascii="Arial" w:hAnsi="Arial" w:cs="Arial"/>
          <w:b/>
          <w:bCs/>
          <w:sz w:val="24"/>
          <w:szCs w:val="24"/>
        </w:rPr>
      </w:pPr>
      <w:r w:rsidRPr="00FF79FE">
        <w:rPr>
          <w:rFonts w:ascii="Arial" w:hAnsi="Arial" w:cs="Arial"/>
          <w:b/>
          <w:bCs/>
          <w:sz w:val="24"/>
          <w:szCs w:val="24"/>
        </w:rPr>
        <w:lastRenderedPageBreak/>
        <w:t>1.0 Introduction</w:t>
      </w:r>
    </w:p>
    <w:p w14:paraId="3004ED9A" w14:textId="77777777" w:rsidR="00FF79FE" w:rsidRPr="00723521" w:rsidRDefault="00FF79FE" w:rsidP="00FF79FE">
      <w:pPr>
        <w:spacing w:line="360" w:lineRule="auto"/>
        <w:rPr>
          <w:rFonts w:ascii="Arial" w:hAnsi="Arial" w:cs="Arial"/>
          <w:sz w:val="24"/>
          <w:szCs w:val="24"/>
        </w:rPr>
      </w:pPr>
      <w:r w:rsidRPr="00723521">
        <w:rPr>
          <w:rFonts w:ascii="Arial" w:hAnsi="Arial" w:cs="Arial"/>
          <w:sz w:val="24"/>
          <w:szCs w:val="24"/>
        </w:rPr>
        <w:t>The global consumer electronics sector is going through the period of high-speed technological change, changing customer demands, and declining profitability (PwC, 2024). General electronics (GE), which was a giant multinational, has had an uphill financial decline in the last five years. Its revenues have been declining steadily, the level of its profitability decreased, as well as the capital structure of the company became more and more unstable. The task I have as the new Chief Financial Officer (CFO) is to request a diagnosis of the underlying financial challenges that have caused this predicament, create a sustainable recovery plan, and consider investment choices that can rebrand GE in the market.</w:t>
      </w:r>
    </w:p>
    <w:p w14:paraId="481C0450" w14:textId="77777777" w:rsidR="00FF79FE" w:rsidRPr="00723521" w:rsidRDefault="00FF79FE" w:rsidP="00FF79FE">
      <w:pPr>
        <w:spacing w:line="360" w:lineRule="auto"/>
        <w:rPr>
          <w:rFonts w:ascii="Arial" w:hAnsi="Arial" w:cs="Arial"/>
          <w:sz w:val="24"/>
          <w:szCs w:val="24"/>
        </w:rPr>
      </w:pPr>
      <w:r w:rsidRPr="00723521">
        <w:rPr>
          <w:rFonts w:ascii="Arial" w:hAnsi="Arial" w:cs="Arial"/>
          <w:sz w:val="24"/>
          <w:szCs w:val="24"/>
        </w:rPr>
        <w:t>In this report, the financial analysis of the recent performance and strategy of GE is provided in detail. It uses a set of quantitative instruments such as ratio analysis, comparative benchmarking, and corporate frameworks of restructuring to make evidence-based suggestions. Analytical tools like Altman Z-score on insolvency risk and the Net Present Value (NPV) on investment analysis are implemented to make sure that the decisions are reasonable in terms of their financial welfare as well as their ethical basis.</w:t>
      </w:r>
    </w:p>
    <w:p w14:paraId="5CAE6215" w14:textId="75211FFC" w:rsidR="00EE43CE" w:rsidRPr="00723521" w:rsidRDefault="00FF79FE" w:rsidP="00FF79FE">
      <w:pPr>
        <w:spacing w:line="360" w:lineRule="auto"/>
        <w:rPr>
          <w:rFonts w:ascii="Arial" w:hAnsi="Arial" w:cs="Arial"/>
          <w:sz w:val="24"/>
          <w:szCs w:val="24"/>
        </w:rPr>
      </w:pPr>
      <w:r w:rsidRPr="00723521">
        <w:rPr>
          <w:rFonts w:ascii="Arial" w:hAnsi="Arial" w:cs="Arial"/>
          <w:sz w:val="24"/>
          <w:szCs w:val="24"/>
        </w:rPr>
        <w:t>All the figures are in millions of pounds sterling. The assessment highlights the areas of weaknesses of GE in profitability, liquidity, and operational effectiveness, as well as areas of improvement of working-capital management, restructuring of the capital base, and future investments under the constraint of limited funding of PS60 million.</w:t>
      </w:r>
    </w:p>
    <w:p w14:paraId="28F59FC3" w14:textId="77777777" w:rsidR="00EE43CE" w:rsidRPr="000801BB" w:rsidRDefault="00EE43CE" w:rsidP="000801BB">
      <w:pPr>
        <w:spacing w:line="360" w:lineRule="auto"/>
        <w:rPr>
          <w:rFonts w:ascii="Arial" w:hAnsi="Arial" w:cs="Arial"/>
          <w:b/>
          <w:bCs/>
          <w:sz w:val="24"/>
          <w:szCs w:val="24"/>
        </w:rPr>
      </w:pPr>
      <w:r w:rsidRPr="000801BB">
        <w:rPr>
          <w:rFonts w:ascii="Arial" w:hAnsi="Arial" w:cs="Arial"/>
          <w:b/>
          <w:bCs/>
          <w:sz w:val="24"/>
          <w:szCs w:val="24"/>
        </w:rPr>
        <w:t>2.0 Financial Health Review</w:t>
      </w:r>
    </w:p>
    <w:p w14:paraId="71FED766" w14:textId="77777777" w:rsidR="00EE43CE" w:rsidRPr="000801BB" w:rsidRDefault="00EE43CE" w:rsidP="000801BB">
      <w:pPr>
        <w:spacing w:line="360" w:lineRule="auto"/>
        <w:rPr>
          <w:rFonts w:ascii="Arial" w:hAnsi="Arial" w:cs="Arial"/>
          <w:b/>
          <w:bCs/>
          <w:sz w:val="24"/>
          <w:szCs w:val="24"/>
        </w:rPr>
      </w:pPr>
      <w:r w:rsidRPr="000801BB">
        <w:rPr>
          <w:rFonts w:ascii="Arial" w:hAnsi="Arial" w:cs="Arial"/>
          <w:b/>
          <w:bCs/>
          <w:sz w:val="24"/>
          <w:szCs w:val="24"/>
        </w:rPr>
        <w:t>2.1 Profitability Assessment</w:t>
      </w:r>
    </w:p>
    <w:p w14:paraId="589A62E8" w14:textId="504A149D" w:rsidR="00EE43CE" w:rsidRPr="000801BB" w:rsidRDefault="00FF79FE" w:rsidP="000801BB">
      <w:pPr>
        <w:spacing w:line="360" w:lineRule="auto"/>
        <w:rPr>
          <w:rFonts w:ascii="Arial" w:hAnsi="Arial" w:cs="Arial"/>
          <w:sz w:val="24"/>
          <w:szCs w:val="24"/>
        </w:rPr>
      </w:pPr>
      <w:r w:rsidRPr="00FF79FE">
        <w:rPr>
          <w:rFonts w:ascii="Arial" w:hAnsi="Arial" w:cs="Arial"/>
          <w:sz w:val="24"/>
          <w:szCs w:val="24"/>
        </w:rPr>
        <w:t>The profitability of GE has declined drastically in the five years period mainly because of poor cost structures, declining demand and impairment of assets. The general trend is summarized below:</w:t>
      </w:r>
    </w:p>
    <w:tbl>
      <w:tblPr>
        <w:tblStyle w:val="TableGrid"/>
        <w:tblW w:w="0" w:type="auto"/>
        <w:tblLook w:val="04A0" w:firstRow="1" w:lastRow="0" w:firstColumn="1" w:lastColumn="0" w:noHBand="0" w:noVBand="1"/>
      </w:tblPr>
      <w:tblGrid>
        <w:gridCol w:w="750"/>
        <w:gridCol w:w="1696"/>
        <w:gridCol w:w="1856"/>
        <w:gridCol w:w="1079"/>
        <w:gridCol w:w="1937"/>
        <w:gridCol w:w="1698"/>
      </w:tblGrid>
      <w:tr w:rsidR="00EE43CE" w:rsidRPr="000801BB" w14:paraId="2A883C3B" w14:textId="77777777" w:rsidTr="00EE43CE">
        <w:tc>
          <w:tcPr>
            <w:tcW w:w="0" w:type="auto"/>
            <w:hideMark/>
          </w:tcPr>
          <w:p w14:paraId="35D14C0D" w14:textId="77777777" w:rsidR="00EE43CE" w:rsidRPr="000801BB" w:rsidRDefault="00EE43CE" w:rsidP="000801BB">
            <w:pPr>
              <w:spacing w:after="160" w:line="360" w:lineRule="auto"/>
              <w:rPr>
                <w:rFonts w:ascii="Arial" w:hAnsi="Arial" w:cs="Arial"/>
                <w:b/>
                <w:bCs/>
                <w:sz w:val="24"/>
                <w:szCs w:val="24"/>
              </w:rPr>
            </w:pPr>
            <w:r w:rsidRPr="000801BB">
              <w:rPr>
                <w:rFonts w:ascii="Arial" w:hAnsi="Arial" w:cs="Arial"/>
                <w:b/>
                <w:bCs/>
                <w:sz w:val="24"/>
                <w:szCs w:val="24"/>
              </w:rPr>
              <w:t>Year</w:t>
            </w:r>
          </w:p>
        </w:tc>
        <w:tc>
          <w:tcPr>
            <w:tcW w:w="0" w:type="auto"/>
            <w:hideMark/>
          </w:tcPr>
          <w:p w14:paraId="395F6C89" w14:textId="77777777" w:rsidR="00EE43CE" w:rsidRPr="000801BB" w:rsidRDefault="00EE43CE" w:rsidP="000801BB">
            <w:pPr>
              <w:spacing w:after="160" w:line="360" w:lineRule="auto"/>
              <w:rPr>
                <w:rFonts w:ascii="Arial" w:hAnsi="Arial" w:cs="Arial"/>
                <w:b/>
                <w:bCs/>
                <w:sz w:val="24"/>
                <w:szCs w:val="24"/>
              </w:rPr>
            </w:pPr>
            <w:r w:rsidRPr="000801BB">
              <w:rPr>
                <w:rFonts w:ascii="Arial" w:hAnsi="Arial" w:cs="Arial"/>
                <w:b/>
                <w:bCs/>
                <w:sz w:val="24"/>
                <w:szCs w:val="24"/>
              </w:rPr>
              <w:t>Net Sales (£m)</w:t>
            </w:r>
          </w:p>
        </w:tc>
        <w:tc>
          <w:tcPr>
            <w:tcW w:w="0" w:type="auto"/>
            <w:hideMark/>
          </w:tcPr>
          <w:p w14:paraId="1CD38722" w14:textId="77777777" w:rsidR="00EE43CE" w:rsidRPr="000801BB" w:rsidRDefault="00EE43CE" w:rsidP="000801BB">
            <w:pPr>
              <w:spacing w:after="160" w:line="360" w:lineRule="auto"/>
              <w:rPr>
                <w:rFonts w:ascii="Arial" w:hAnsi="Arial" w:cs="Arial"/>
                <w:b/>
                <w:bCs/>
                <w:sz w:val="24"/>
                <w:szCs w:val="24"/>
              </w:rPr>
            </w:pPr>
            <w:r w:rsidRPr="000801BB">
              <w:rPr>
                <w:rFonts w:ascii="Arial" w:hAnsi="Arial" w:cs="Arial"/>
                <w:b/>
                <w:bCs/>
                <w:sz w:val="24"/>
                <w:szCs w:val="24"/>
              </w:rPr>
              <w:t>Net Income (£m)</w:t>
            </w:r>
          </w:p>
        </w:tc>
        <w:tc>
          <w:tcPr>
            <w:tcW w:w="0" w:type="auto"/>
            <w:hideMark/>
          </w:tcPr>
          <w:p w14:paraId="79F3E223" w14:textId="77777777" w:rsidR="00EE43CE" w:rsidRPr="000801BB" w:rsidRDefault="00EE43CE" w:rsidP="000801BB">
            <w:pPr>
              <w:spacing w:after="160" w:line="360" w:lineRule="auto"/>
              <w:rPr>
                <w:rFonts w:ascii="Arial" w:hAnsi="Arial" w:cs="Arial"/>
                <w:b/>
                <w:bCs/>
                <w:sz w:val="24"/>
                <w:szCs w:val="24"/>
              </w:rPr>
            </w:pPr>
            <w:r w:rsidRPr="000801BB">
              <w:rPr>
                <w:rFonts w:ascii="Arial" w:hAnsi="Arial" w:cs="Arial"/>
                <w:b/>
                <w:bCs/>
                <w:sz w:val="24"/>
                <w:szCs w:val="24"/>
              </w:rPr>
              <w:t>ROE (%)</w:t>
            </w:r>
          </w:p>
        </w:tc>
        <w:tc>
          <w:tcPr>
            <w:tcW w:w="0" w:type="auto"/>
            <w:hideMark/>
          </w:tcPr>
          <w:p w14:paraId="1C376129" w14:textId="77777777" w:rsidR="00EE43CE" w:rsidRPr="000801BB" w:rsidRDefault="00EE43CE" w:rsidP="000801BB">
            <w:pPr>
              <w:spacing w:after="160" w:line="360" w:lineRule="auto"/>
              <w:rPr>
                <w:rFonts w:ascii="Arial" w:hAnsi="Arial" w:cs="Arial"/>
                <w:b/>
                <w:bCs/>
                <w:sz w:val="24"/>
                <w:szCs w:val="24"/>
              </w:rPr>
            </w:pPr>
            <w:r w:rsidRPr="000801BB">
              <w:rPr>
                <w:rFonts w:ascii="Arial" w:hAnsi="Arial" w:cs="Arial"/>
                <w:b/>
                <w:bCs/>
                <w:sz w:val="24"/>
                <w:szCs w:val="24"/>
              </w:rPr>
              <w:t>Gross Margin (%)</w:t>
            </w:r>
          </w:p>
        </w:tc>
        <w:tc>
          <w:tcPr>
            <w:tcW w:w="0" w:type="auto"/>
            <w:hideMark/>
          </w:tcPr>
          <w:p w14:paraId="139732E5" w14:textId="77777777" w:rsidR="00EE43CE" w:rsidRPr="000801BB" w:rsidRDefault="00EE43CE" w:rsidP="000801BB">
            <w:pPr>
              <w:spacing w:after="160" w:line="360" w:lineRule="auto"/>
              <w:rPr>
                <w:rFonts w:ascii="Arial" w:hAnsi="Arial" w:cs="Arial"/>
                <w:b/>
                <w:bCs/>
                <w:sz w:val="24"/>
                <w:szCs w:val="24"/>
              </w:rPr>
            </w:pPr>
            <w:r w:rsidRPr="000801BB">
              <w:rPr>
                <w:rFonts w:ascii="Arial" w:hAnsi="Arial" w:cs="Arial"/>
                <w:b/>
                <w:bCs/>
                <w:sz w:val="24"/>
                <w:szCs w:val="24"/>
              </w:rPr>
              <w:t>Net Margin (%)</w:t>
            </w:r>
          </w:p>
        </w:tc>
      </w:tr>
      <w:tr w:rsidR="00EE43CE" w:rsidRPr="000801BB" w14:paraId="28180984" w14:textId="77777777" w:rsidTr="00EE43CE">
        <w:tc>
          <w:tcPr>
            <w:tcW w:w="0" w:type="auto"/>
            <w:hideMark/>
          </w:tcPr>
          <w:p w14:paraId="477B7063"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2020</w:t>
            </w:r>
          </w:p>
        </w:tc>
        <w:tc>
          <w:tcPr>
            <w:tcW w:w="0" w:type="auto"/>
            <w:hideMark/>
          </w:tcPr>
          <w:p w14:paraId="65934E58"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614,680</w:t>
            </w:r>
          </w:p>
        </w:tc>
        <w:tc>
          <w:tcPr>
            <w:tcW w:w="0" w:type="auto"/>
            <w:hideMark/>
          </w:tcPr>
          <w:p w14:paraId="5F3171A4"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38,572</w:t>
            </w:r>
          </w:p>
        </w:tc>
        <w:tc>
          <w:tcPr>
            <w:tcW w:w="0" w:type="auto"/>
            <w:hideMark/>
          </w:tcPr>
          <w:p w14:paraId="06E17B18"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12.3</w:t>
            </w:r>
          </w:p>
        </w:tc>
        <w:tc>
          <w:tcPr>
            <w:tcW w:w="0" w:type="auto"/>
            <w:hideMark/>
          </w:tcPr>
          <w:p w14:paraId="133C0B62"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28.7</w:t>
            </w:r>
          </w:p>
        </w:tc>
        <w:tc>
          <w:tcPr>
            <w:tcW w:w="0" w:type="auto"/>
            <w:hideMark/>
          </w:tcPr>
          <w:p w14:paraId="018D62E8"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6.3</w:t>
            </w:r>
          </w:p>
        </w:tc>
      </w:tr>
      <w:tr w:rsidR="00EE43CE" w:rsidRPr="000801BB" w14:paraId="3049BC9A" w14:textId="77777777" w:rsidTr="00EE43CE">
        <w:tc>
          <w:tcPr>
            <w:tcW w:w="0" w:type="auto"/>
            <w:hideMark/>
          </w:tcPr>
          <w:p w14:paraId="3D31DF60"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lastRenderedPageBreak/>
              <w:t>2021</w:t>
            </w:r>
          </w:p>
        </w:tc>
        <w:tc>
          <w:tcPr>
            <w:tcW w:w="0" w:type="auto"/>
            <w:hideMark/>
          </w:tcPr>
          <w:p w14:paraId="3D5343B9"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601,602</w:t>
            </w:r>
          </w:p>
        </w:tc>
        <w:tc>
          <w:tcPr>
            <w:tcW w:w="0" w:type="auto"/>
            <w:hideMark/>
          </w:tcPr>
          <w:p w14:paraId="3E59EA45"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5,301</w:t>
            </w:r>
          </w:p>
        </w:tc>
        <w:tc>
          <w:tcPr>
            <w:tcW w:w="0" w:type="auto"/>
            <w:hideMark/>
          </w:tcPr>
          <w:p w14:paraId="1A7D3FA5"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1.6</w:t>
            </w:r>
          </w:p>
        </w:tc>
        <w:tc>
          <w:tcPr>
            <w:tcW w:w="0" w:type="auto"/>
            <w:hideMark/>
          </w:tcPr>
          <w:p w14:paraId="51FF69F8"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28.8</w:t>
            </w:r>
          </w:p>
        </w:tc>
        <w:tc>
          <w:tcPr>
            <w:tcW w:w="0" w:type="auto"/>
            <w:hideMark/>
          </w:tcPr>
          <w:p w14:paraId="4E911E71"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0.9</w:t>
            </w:r>
          </w:p>
        </w:tc>
      </w:tr>
      <w:tr w:rsidR="00EE43CE" w:rsidRPr="000801BB" w14:paraId="2B287F0A" w14:textId="77777777" w:rsidTr="00EE43CE">
        <w:tc>
          <w:tcPr>
            <w:tcW w:w="0" w:type="auto"/>
            <w:hideMark/>
          </w:tcPr>
          <w:p w14:paraId="17D53AD6"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2022</w:t>
            </w:r>
          </w:p>
        </w:tc>
        <w:tc>
          <w:tcPr>
            <w:tcW w:w="0" w:type="auto"/>
            <w:hideMark/>
          </w:tcPr>
          <w:p w14:paraId="6A3EE3E1"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542,751</w:t>
            </w:r>
          </w:p>
        </w:tc>
        <w:tc>
          <w:tcPr>
            <w:tcW w:w="0" w:type="auto"/>
            <w:hideMark/>
          </w:tcPr>
          <w:p w14:paraId="09B91B2A"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407</w:t>
            </w:r>
          </w:p>
        </w:tc>
        <w:tc>
          <w:tcPr>
            <w:tcW w:w="0" w:type="auto"/>
            <w:hideMark/>
          </w:tcPr>
          <w:p w14:paraId="1D53C75E"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0.1</w:t>
            </w:r>
          </w:p>
        </w:tc>
        <w:tc>
          <w:tcPr>
            <w:tcW w:w="0" w:type="auto"/>
            <w:hideMark/>
          </w:tcPr>
          <w:p w14:paraId="321421F6"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28.1</w:t>
            </w:r>
          </w:p>
        </w:tc>
        <w:tc>
          <w:tcPr>
            <w:tcW w:w="0" w:type="auto"/>
            <w:hideMark/>
          </w:tcPr>
          <w:p w14:paraId="4967B8C7"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0.07</w:t>
            </w:r>
          </w:p>
        </w:tc>
      </w:tr>
      <w:tr w:rsidR="00EE43CE" w:rsidRPr="000801BB" w14:paraId="6625FD50" w14:textId="77777777" w:rsidTr="00EE43CE">
        <w:tc>
          <w:tcPr>
            <w:tcW w:w="0" w:type="auto"/>
            <w:hideMark/>
          </w:tcPr>
          <w:p w14:paraId="4B9E66D1"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2023</w:t>
            </w:r>
          </w:p>
        </w:tc>
        <w:tc>
          <w:tcPr>
            <w:tcW w:w="0" w:type="auto"/>
            <w:hideMark/>
          </w:tcPr>
          <w:p w14:paraId="16DB4502"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420,457</w:t>
            </w:r>
          </w:p>
        </w:tc>
        <w:tc>
          <w:tcPr>
            <w:tcW w:w="0" w:type="auto"/>
            <w:hideMark/>
          </w:tcPr>
          <w:p w14:paraId="74F31279"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–98,238</w:t>
            </w:r>
          </w:p>
        </w:tc>
        <w:tc>
          <w:tcPr>
            <w:tcW w:w="0" w:type="auto"/>
            <w:hideMark/>
          </w:tcPr>
          <w:p w14:paraId="2C18A75E"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–54.9</w:t>
            </w:r>
          </w:p>
        </w:tc>
        <w:tc>
          <w:tcPr>
            <w:tcW w:w="0" w:type="auto"/>
            <w:hideMark/>
          </w:tcPr>
          <w:p w14:paraId="48D97AEB"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23.2</w:t>
            </w:r>
          </w:p>
        </w:tc>
        <w:tc>
          <w:tcPr>
            <w:tcW w:w="0" w:type="auto"/>
            <w:hideMark/>
          </w:tcPr>
          <w:p w14:paraId="5A4D64EF"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–23.4</w:t>
            </w:r>
          </w:p>
        </w:tc>
      </w:tr>
      <w:tr w:rsidR="00EE43CE" w:rsidRPr="000801BB" w14:paraId="3C8A5ED0" w14:textId="77777777" w:rsidTr="00EE43CE">
        <w:tc>
          <w:tcPr>
            <w:tcW w:w="0" w:type="auto"/>
            <w:hideMark/>
          </w:tcPr>
          <w:p w14:paraId="5A73D3C2"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2024</w:t>
            </w:r>
          </w:p>
        </w:tc>
        <w:tc>
          <w:tcPr>
            <w:tcW w:w="0" w:type="auto"/>
            <w:hideMark/>
          </w:tcPr>
          <w:p w14:paraId="288F9052"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394,879</w:t>
            </w:r>
          </w:p>
        </w:tc>
        <w:tc>
          <w:tcPr>
            <w:tcW w:w="0" w:type="auto"/>
            <w:hideMark/>
          </w:tcPr>
          <w:p w14:paraId="26A06146"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–24,029</w:t>
            </w:r>
          </w:p>
        </w:tc>
        <w:tc>
          <w:tcPr>
            <w:tcW w:w="0" w:type="auto"/>
            <w:hideMark/>
          </w:tcPr>
          <w:p w14:paraId="71C078D8"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–15.7</w:t>
            </w:r>
          </w:p>
        </w:tc>
        <w:tc>
          <w:tcPr>
            <w:tcW w:w="0" w:type="auto"/>
            <w:hideMark/>
          </w:tcPr>
          <w:p w14:paraId="7FE8DC11"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28.9</w:t>
            </w:r>
          </w:p>
        </w:tc>
        <w:tc>
          <w:tcPr>
            <w:tcW w:w="0" w:type="auto"/>
            <w:hideMark/>
          </w:tcPr>
          <w:p w14:paraId="234F8412"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–6.1</w:t>
            </w:r>
          </w:p>
        </w:tc>
      </w:tr>
    </w:tbl>
    <w:p w14:paraId="58D27637" w14:textId="77777777" w:rsidR="00EE43CE" w:rsidRPr="000801BB" w:rsidRDefault="00EE43CE" w:rsidP="000801BB">
      <w:pPr>
        <w:spacing w:line="360" w:lineRule="auto"/>
        <w:rPr>
          <w:rFonts w:ascii="Arial" w:hAnsi="Arial" w:cs="Arial"/>
          <w:sz w:val="24"/>
          <w:szCs w:val="24"/>
        </w:rPr>
      </w:pPr>
    </w:p>
    <w:p w14:paraId="3C17559D" w14:textId="77777777" w:rsidR="00FF79FE" w:rsidRDefault="00FF79FE" w:rsidP="000801BB">
      <w:pPr>
        <w:spacing w:line="360" w:lineRule="auto"/>
        <w:rPr>
          <w:rFonts w:ascii="Arial" w:hAnsi="Arial" w:cs="Arial"/>
          <w:sz w:val="24"/>
          <w:szCs w:val="24"/>
        </w:rPr>
      </w:pPr>
      <w:r w:rsidRPr="00FF79FE">
        <w:rPr>
          <w:rFonts w:ascii="Arial" w:hAnsi="Arial" w:cs="Arial"/>
          <w:sz w:val="24"/>
          <w:szCs w:val="24"/>
        </w:rPr>
        <w:t>Gross margins were rather not increasing (approximately 28-29 percent), which shows that the production costs are controlled reasonably. But operating margins and ROE present drastic decreases - ROE is dropping to -15.7 per cent instead of 12.3 - indicating a lack of cost control and underused assets (KPMG, 2023). The disastrous loss in 2023 represents the inefficiencies of the structure, whereas the partial recovery in 2024 is not yet indicative of a long-term improvement. GE will continue to lose shareholder value without a decisive corrective action.</w:t>
      </w:r>
    </w:p>
    <w:p w14:paraId="5180A704" w14:textId="3D81EABE" w:rsidR="00EE43CE" w:rsidRPr="000801BB" w:rsidRDefault="00EE43CE" w:rsidP="000801BB">
      <w:pPr>
        <w:spacing w:line="360" w:lineRule="auto"/>
        <w:rPr>
          <w:rFonts w:ascii="Arial" w:hAnsi="Arial" w:cs="Arial"/>
          <w:b/>
          <w:bCs/>
          <w:sz w:val="24"/>
          <w:szCs w:val="24"/>
        </w:rPr>
      </w:pPr>
      <w:r w:rsidRPr="000801BB">
        <w:rPr>
          <w:rFonts w:ascii="Arial" w:hAnsi="Arial" w:cs="Arial"/>
          <w:b/>
          <w:bCs/>
          <w:sz w:val="24"/>
          <w:szCs w:val="24"/>
        </w:rPr>
        <w:t>2.2 Liquidity Evaluation</w:t>
      </w:r>
    </w:p>
    <w:p w14:paraId="4F942AA8" w14:textId="1406C3B4" w:rsidR="00EE43CE" w:rsidRPr="000801BB" w:rsidRDefault="00FF79FE" w:rsidP="000801BB">
      <w:pPr>
        <w:spacing w:line="360" w:lineRule="auto"/>
        <w:rPr>
          <w:rFonts w:ascii="Arial" w:hAnsi="Arial" w:cs="Arial"/>
          <w:sz w:val="24"/>
          <w:szCs w:val="24"/>
        </w:rPr>
      </w:pPr>
      <w:r w:rsidRPr="00FF79FE">
        <w:rPr>
          <w:rFonts w:ascii="Arial" w:hAnsi="Arial" w:cs="Arial"/>
          <w:sz w:val="24"/>
          <w:szCs w:val="24"/>
        </w:rPr>
        <w:t>Liquidity ratios indicate the diminished capacity of GE to meet the short-term commitments.</w:t>
      </w:r>
    </w:p>
    <w:tbl>
      <w:tblPr>
        <w:tblStyle w:val="TableGrid"/>
        <w:tblW w:w="0" w:type="auto"/>
        <w:tblLook w:val="04A0" w:firstRow="1" w:lastRow="0" w:firstColumn="1" w:lastColumn="0" w:noHBand="0" w:noVBand="1"/>
      </w:tblPr>
      <w:tblGrid>
        <w:gridCol w:w="750"/>
        <w:gridCol w:w="1750"/>
        <w:gridCol w:w="1550"/>
        <w:gridCol w:w="1470"/>
      </w:tblGrid>
      <w:tr w:rsidR="00EE43CE" w:rsidRPr="000801BB" w14:paraId="1F10AC4D" w14:textId="77777777" w:rsidTr="00EE43CE">
        <w:tc>
          <w:tcPr>
            <w:tcW w:w="0" w:type="auto"/>
            <w:hideMark/>
          </w:tcPr>
          <w:p w14:paraId="02353F95" w14:textId="77777777" w:rsidR="00EE43CE" w:rsidRPr="000801BB" w:rsidRDefault="00EE43CE" w:rsidP="000801BB">
            <w:pPr>
              <w:spacing w:after="160" w:line="360" w:lineRule="auto"/>
              <w:rPr>
                <w:rFonts w:ascii="Arial" w:hAnsi="Arial" w:cs="Arial"/>
                <w:b/>
                <w:bCs/>
                <w:sz w:val="24"/>
                <w:szCs w:val="24"/>
              </w:rPr>
            </w:pPr>
            <w:r w:rsidRPr="000801BB">
              <w:rPr>
                <w:rFonts w:ascii="Arial" w:hAnsi="Arial" w:cs="Arial"/>
                <w:b/>
                <w:bCs/>
                <w:sz w:val="24"/>
                <w:szCs w:val="24"/>
              </w:rPr>
              <w:t>Year</w:t>
            </w:r>
          </w:p>
        </w:tc>
        <w:tc>
          <w:tcPr>
            <w:tcW w:w="0" w:type="auto"/>
            <w:hideMark/>
          </w:tcPr>
          <w:p w14:paraId="4FD4F4B8" w14:textId="77777777" w:rsidR="00EE43CE" w:rsidRPr="000801BB" w:rsidRDefault="00EE43CE" w:rsidP="000801BB">
            <w:pPr>
              <w:spacing w:after="160" w:line="360" w:lineRule="auto"/>
              <w:rPr>
                <w:rFonts w:ascii="Arial" w:hAnsi="Arial" w:cs="Arial"/>
                <w:b/>
                <w:bCs/>
                <w:sz w:val="24"/>
                <w:szCs w:val="24"/>
              </w:rPr>
            </w:pPr>
            <w:r w:rsidRPr="000801BB">
              <w:rPr>
                <w:rFonts w:ascii="Arial" w:hAnsi="Arial" w:cs="Arial"/>
                <w:b/>
                <w:bCs/>
                <w:sz w:val="24"/>
                <w:szCs w:val="24"/>
              </w:rPr>
              <w:t>Current Ratio</w:t>
            </w:r>
          </w:p>
        </w:tc>
        <w:tc>
          <w:tcPr>
            <w:tcW w:w="0" w:type="auto"/>
            <w:hideMark/>
          </w:tcPr>
          <w:p w14:paraId="37BD1C86" w14:textId="77777777" w:rsidR="00EE43CE" w:rsidRPr="000801BB" w:rsidRDefault="00EE43CE" w:rsidP="000801BB">
            <w:pPr>
              <w:spacing w:after="160" w:line="360" w:lineRule="auto"/>
              <w:rPr>
                <w:rFonts w:ascii="Arial" w:hAnsi="Arial" w:cs="Arial"/>
                <w:b/>
                <w:bCs/>
                <w:sz w:val="24"/>
                <w:szCs w:val="24"/>
              </w:rPr>
            </w:pPr>
            <w:r w:rsidRPr="000801BB">
              <w:rPr>
                <w:rFonts w:ascii="Arial" w:hAnsi="Arial" w:cs="Arial"/>
                <w:b/>
                <w:bCs/>
                <w:sz w:val="24"/>
                <w:szCs w:val="24"/>
              </w:rPr>
              <w:t>Quick Ratio</w:t>
            </w:r>
          </w:p>
        </w:tc>
        <w:tc>
          <w:tcPr>
            <w:tcW w:w="0" w:type="auto"/>
            <w:hideMark/>
          </w:tcPr>
          <w:p w14:paraId="6CFC1DD0" w14:textId="77777777" w:rsidR="00EE43CE" w:rsidRPr="000801BB" w:rsidRDefault="00EE43CE" w:rsidP="000801BB">
            <w:pPr>
              <w:spacing w:after="160" w:line="360" w:lineRule="auto"/>
              <w:rPr>
                <w:rFonts w:ascii="Arial" w:hAnsi="Arial" w:cs="Arial"/>
                <w:b/>
                <w:bCs/>
                <w:sz w:val="24"/>
                <w:szCs w:val="24"/>
              </w:rPr>
            </w:pPr>
            <w:r w:rsidRPr="000801BB">
              <w:rPr>
                <w:rFonts w:ascii="Arial" w:hAnsi="Arial" w:cs="Arial"/>
                <w:b/>
                <w:bCs/>
                <w:sz w:val="24"/>
                <w:szCs w:val="24"/>
              </w:rPr>
              <w:t>Cash Ratio</w:t>
            </w:r>
          </w:p>
        </w:tc>
      </w:tr>
      <w:tr w:rsidR="00EE43CE" w:rsidRPr="000801BB" w14:paraId="1DE964C5" w14:textId="77777777" w:rsidTr="00EE43CE">
        <w:tc>
          <w:tcPr>
            <w:tcW w:w="0" w:type="auto"/>
            <w:hideMark/>
          </w:tcPr>
          <w:p w14:paraId="5DAEC3A3"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2020</w:t>
            </w:r>
          </w:p>
        </w:tc>
        <w:tc>
          <w:tcPr>
            <w:tcW w:w="0" w:type="auto"/>
            <w:hideMark/>
          </w:tcPr>
          <w:p w14:paraId="149430DD"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1.82</w:t>
            </w:r>
          </w:p>
        </w:tc>
        <w:tc>
          <w:tcPr>
            <w:tcW w:w="0" w:type="auto"/>
            <w:hideMark/>
          </w:tcPr>
          <w:p w14:paraId="1423504D"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1.15</w:t>
            </w:r>
          </w:p>
        </w:tc>
        <w:tc>
          <w:tcPr>
            <w:tcW w:w="0" w:type="auto"/>
            <w:hideMark/>
          </w:tcPr>
          <w:p w14:paraId="29CC4E6D"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0.32</w:t>
            </w:r>
          </w:p>
        </w:tc>
      </w:tr>
      <w:tr w:rsidR="00EE43CE" w:rsidRPr="000801BB" w14:paraId="6080CA8F" w14:textId="77777777" w:rsidTr="00EE43CE">
        <w:tc>
          <w:tcPr>
            <w:tcW w:w="0" w:type="auto"/>
            <w:hideMark/>
          </w:tcPr>
          <w:p w14:paraId="1DCBA3BF"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2021</w:t>
            </w:r>
          </w:p>
        </w:tc>
        <w:tc>
          <w:tcPr>
            <w:tcW w:w="0" w:type="auto"/>
            <w:hideMark/>
          </w:tcPr>
          <w:p w14:paraId="2855A97C"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1.56</w:t>
            </w:r>
          </w:p>
        </w:tc>
        <w:tc>
          <w:tcPr>
            <w:tcW w:w="0" w:type="auto"/>
            <w:hideMark/>
          </w:tcPr>
          <w:p w14:paraId="7953BE61"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0.94</w:t>
            </w:r>
          </w:p>
        </w:tc>
        <w:tc>
          <w:tcPr>
            <w:tcW w:w="0" w:type="auto"/>
            <w:hideMark/>
          </w:tcPr>
          <w:p w14:paraId="1CBB8241"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0.18</w:t>
            </w:r>
          </w:p>
        </w:tc>
      </w:tr>
      <w:tr w:rsidR="00EE43CE" w:rsidRPr="000801BB" w14:paraId="1A870201" w14:textId="77777777" w:rsidTr="00EE43CE">
        <w:tc>
          <w:tcPr>
            <w:tcW w:w="0" w:type="auto"/>
            <w:hideMark/>
          </w:tcPr>
          <w:p w14:paraId="47E7ACB6"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2022</w:t>
            </w:r>
          </w:p>
        </w:tc>
        <w:tc>
          <w:tcPr>
            <w:tcW w:w="0" w:type="auto"/>
            <w:hideMark/>
          </w:tcPr>
          <w:p w14:paraId="1DD99703"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1.56</w:t>
            </w:r>
          </w:p>
        </w:tc>
        <w:tc>
          <w:tcPr>
            <w:tcW w:w="0" w:type="auto"/>
            <w:hideMark/>
          </w:tcPr>
          <w:p w14:paraId="3F832036"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0.91</w:t>
            </w:r>
          </w:p>
        </w:tc>
        <w:tc>
          <w:tcPr>
            <w:tcW w:w="0" w:type="auto"/>
            <w:hideMark/>
          </w:tcPr>
          <w:p w14:paraId="24779475"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0.20</w:t>
            </w:r>
          </w:p>
        </w:tc>
      </w:tr>
      <w:tr w:rsidR="00EE43CE" w:rsidRPr="000801BB" w14:paraId="6AB652FF" w14:textId="77777777" w:rsidTr="00EE43CE">
        <w:tc>
          <w:tcPr>
            <w:tcW w:w="0" w:type="auto"/>
            <w:hideMark/>
          </w:tcPr>
          <w:p w14:paraId="4864AE5D"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2023</w:t>
            </w:r>
          </w:p>
        </w:tc>
        <w:tc>
          <w:tcPr>
            <w:tcW w:w="0" w:type="auto"/>
            <w:hideMark/>
          </w:tcPr>
          <w:p w14:paraId="598202FF"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1.61</w:t>
            </w:r>
          </w:p>
        </w:tc>
        <w:tc>
          <w:tcPr>
            <w:tcW w:w="0" w:type="auto"/>
            <w:hideMark/>
          </w:tcPr>
          <w:p w14:paraId="6BB9C8FA"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0.91</w:t>
            </w:r>
          </w:p>
        </w:tc>
        <w:tc>
          <w:tcPr>
            <w:tcW w:w="0" w:type="auto"/>
            <w:hideMark/>
          </w:tcPr>
          <w:p w14:paraId="515FFE94"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0.26</w:t>
            </w:r>
          </w:p>
        </w:tc>
      </w:tr>
      <w:tr w:rsidR="00EE43CE" w:rsidRPr="000801BB" w14:paraId="6E82DCA7" w14:textId="77777777" w:rsidTr="00EE43CE">
        <w:tc>
          <w:tcPr>
            <w:tcW w:w="0" w:type="auto"/>
            <w:hideMark/>
          </w:tcPr>
          <w:p w14:paraId="6F9AFBAB"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2024</w:t>
            </w:r>
          </w:p>
        </w:tc>
        <w:tc>
          <w:tcPr>
            <w:tcW w:w="0" w:type="auto"/>
            <w:hideMark/>
          </w:tcPr>
          <w:p w14:paraId="27B5B2B4"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1.53</w:t>
            </w:r>
          </w:p>
        </w:tc>
        <w:tc>
          <w:tcPr>
            <w:tcW w:w="0" w:type="auto"/>
            <w:hideMark/>
          </w:tcPr>
          <w:p w14:paraId="0095664E"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0.84</w:t>
            </w:r>
          </w:p>
        </w:tc>
        <w:tc>
          <w:tcPr>
            <w:tcW w:w="0" w:type="auto"/>
            <w:hideMark/>
          </w:tcPr>
          <w:p w14:paraId="7E8279AD"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0.17</w:t>
            </w:r>
          </w:p>
        </w:tc>
      </w:tr>
    </w:tbl>
    <w:p w14:paraId="69F6E02F" w14:textId="77777777" w:rsidR="00EE43CE" w:rsidRPr="000801BB" w:rsidRDefault="00EE43CE" w:rsidP="000801BB">
      <w:pPr>
        <w:spacing w:line="360" w:lineRule="auto"/>
        <w:rPr>
          <w:rFonts w:ascii="Arial" w:hAnsi="Arial" w:cs="Arial"/>
          <w:sz w:val="24"/>
          <w:szCs w:val="24"/>
        </w:rPr>
      </w:pPr>
    </w:p>
    <w:p w14:paraId="40099445" w14:textId="3398B686" w:rsidR="00FF79FE" w:rsidRDefault="00FF79FE" w:rsidP="000801BB">
      <w:pPr>
        <w:spacing w:line="360" w:lineRule="auto"/>
        <w:rPr>
          <w:rFonts w:ascii="Arial" w:hAnsi="Arial" w:cs="Arial"/>
          <w:sz w:val="24"/>
          <w:szCs w:val="24"/>
        </w:rPr>
      </w:pPr>
      <w:r w:rsidRPr="00FF79FE">
        <w:rPr>
          <w:rFonts w:ascii="Arial" w:hAnsi="Arial" w:cs="Arial"/>
          <w:sz w:val="24"/>
          <w:szCs w:val="24"/>
        </w:rPr>
        <w:t xml:space="preserve">The current ratio is decreasing (1.82 to 1.53) indicating the erosion of the liquidity cushions (Investopedia, 2024). The quick ratio of 0.84 depicts that the company relies on inventories to satisfy the obligations, which presents liquidity risks in periods that sales slow down. Besides, the cash reserves were reduced to </w:t>
      </w:r>
      <w:r w:rsidR="00723521">
        <w:rPr>
          <w:rFonts w:ascii="Arial" w:hAnsi="Arial" w:cs="Arial"/>
          <w:sz w:val="24"/>
          <w:szCs w:val="24"/>
        </w:rPr>
        <w:t>£</w:t>
      </w:r>
      <w:r w:rsidRPr="00FF79FE">
        <w:rPr>
          <w:rFonts w:ascii="Arial" w:hAnsi="Arial" w:cs="Arial"/>
          <w:sz w:val="24"/>
          <w:szCs w:val="24"/>
        </w:rPr>
        <w:t xml:space="preserve">27 billion and this was a result of limited financial flexibility even though the company </w:t>
      </w:r>
      <w:r w:rsidRPr="00FF79FE">
        <w:rPr>
          <w:rFonts w:ascii="Arial" w:hAnsi="Arial" w:cs="Arial"/>
          <w:sz w:val="24"/>
          <w:szCs w:val="24"/>
        </w:rPr>
        <w:lastRenderedPageBreak/>
        <w:t>experienced positive operating cash flows. This mismatch in profitability and cash flow points to the urgent necessity of more strict working-capital control (Brigham and Ehrhardt, 2022).</w:t>
      </w:r>
    </w:p>
    <w:p w14:paraId="221E65FC" w14:textId="02277D96" w:rsidR="00EE43CE" w:rsidRPr="000801BB" w:rsidRDefault="00EE43CE" w:rsidP="000801BB">
      <w:pPr>
        <w:spacing w:line="360" w:lineRule="auto"/>
        <w:rPr>
          <w:rFonts w:ascii="Arial" w:hAnsi="Arial" w:cs="Arial"/>
          <w:b/>
          <w:bCs/>
          <w:sz w:val="24"/>
          <w:szCs w:val="24"/>
        </w:rPr>
      </w:pPr>
      <w:r w:rsidRPr="000801BB">
        <w:rPr>
          <w:rFonts w:ascii="Arial" w:hAnsi="Arial" w:cs="Arial"/>
          <w:b/>
          <w:bCs/>
          <w:sz w:val="24"/>
          <w:szCs w:val="24"/>
        </w:rPr>
        <w:t>2.3 Efficiency and Asset Utilisation</w:t>
      </w:r>
    </w:p>
    <w:tbl>
      <w:tblPr>
        <w:tblStyle w:val="TableGrid"/>
        <w:tblW w:w="0" w:type="auto"/>
        <w:tblLook w:val="04A0" w:firstRow="1" w:lastRow="0" w:firstColumn="1" w:lastColumn="0" w:noHBand="0" w:noVBand="1"/>
      </w:tblPr>
      <w:tblGrid>
        <w:gridCol w:w="751"/>
        <w:gridCol w:w="2206"/>
        <w:gridCol w:w="1996"/>
        <w:gridCol w:w="1649"/>
        <w:gridCol w:w="2414"/>
      </w:tblGrid>
      <w:tr w:rsidR="00EE43CE" w:rsidRPr="000801BB" w14:paraId="587DB4D3" w14:textId="77777777" w:rsidTr="00EE43CE">
        <w:tc>
          <w:tcPr>
            <w:tcW w:w="0" w:type="auto"/>
            <w:hideMark/>
          </w:tcPr>
          <w:p w14:paraId="033B3C2F" w14:textId="77777777" w:rsidR="00EE43CE" w:rsidRPr="000801BB" w:rsidRDefault="00EE43CE" w:rsidP="000801BB">
            <w:pPr>
              <w:spacing w:after="160" w:line="360" w:lineRule="auto"/>
              <w:rPr>
                <w:rFonts w:ascii="Arial" w:hAnsi="Arial" w:cs="Arial"/>
                <w:b/>
                <w:bCs/>
                <w:sz w:val="24"/>
                <w:szCs w:val="24"/>
              </w:rPr>
            </w:pPr>
            <w:r w:rsidRPr="000801BB">
              <w:rPr>
                <w:rFonts w:ascii="Arial" w:hAnsi="Arial" w:cs="Arial"/>
                <w:b/>
                <w:bCs/>
                <w:sz w:val="24"/>
                <w:szCs w:val="24"/>
              </w:rPr>
              <w:t>Year</w:t>
            </w:r>
          </w:p>
        </w:tc>
        <w:tc>
          <w:tcPr>
            <w:tcW w:w="0" w:type="auto"/>
            <w:hideMark/>
          </w:tcPr>
          <w:p w14:paraId="12807D11" w14:textId="77777777" w:rsidR="00EE43CE" w:rsidRPr="000801BB" w:rsidRDefault="00EE43CE" w:rsidP="000801BB">
            <w:pPr>
              <w:spacing w:after="160" w:line="360" w:lineRule="auto"/>
              <w:rPr>
                <w:rFonts w:ascii="Arial" w:hAnsi="Arial" w:cs="Arial"/>
                <w:b/>
                <w:bCs/>
                <w:sz w:val="24"/>
                <w:szCs w:val="24"/>
              </w:rPr>
            </w:pPr>
            <w:r w:rsidRPr="000801BB">
              <w:rPr>
                <w:rFonts w:ascii="Arial" w:hAnsi="Arial" w:cs="Arial"/>
                <w:b/>
                <w:bCs/>
                <w:sz w:val="24"/>
                <w:szCs w:val="24"/>
              </w:rPr>
              <w:t>Inventory Turnover</w:t>
            </w:r>
          </w:p>
        </w:tc>
        <w:tc>
          <w:tcPr>
            <w:tcW w:w="0" w:type="auto"/>
            <w:hideMark/>
          </w:tcPr>
          <w:p w14:paraId="664AAC2C" w14:textId="77777777" w:rsidR="00EE43CE" w:rsidRPr="000801BB" w:rsidRDefault="00EE43CE" w:rsidP="000801BB">
            <w:pPr>
              <w:spacing w:after="160" w:line="360" w:lineRule="auto"/>
              <w:rPr>
                <w:rFonts w:ascii="Arial" w:hAnsi="Arial" w:cs="Arial"/>
                <w:b/>
                <w:bCs/>
                <w:sz w:val="24"/>
                <w:szCs w:val="24"/>
              </w:rPr>
            </w:pPr>
            <w:r w:rsidRPr="000801BB">
              <w:rPr>
                <w:rFonts w:ascii="Arial" w:hAnsi="Arial" w:cs="Arial"/>
                <w:b/>
                <w:bCs/>
                <w:sz w:val="24"/>
                <w:szCs w:val="24"/>
              </w:rPr>
              <w:t>Receivable Days</w:t>
            </w:r>
          </w:p>
        </w:tc>
        <w:tc>
          <w:tcPr>
            <w:tcW w:w="0" w:type="auto"/>
            <w:hideMark/>
          </w:tcPr>
          <w:p w14:paraId="59BC1143" w14:textId="77777777" w:rsidR="00EE43CE" w:rsidRPr="000801BB" w:rsidRDefault="00EE43CE" w:rsidP="000801BB">
            <w:pPr>
              <w:spacing w:after="160" w:line="360" w:lineRule="auto"/>
              <w:rPr>
                <w:rFonts w:ascii="Arial" w:hAnsi="Arial" w:cs="Arial"/>
                <w:b/>
                <w:bCs/>
                <w:sz w:val="24"/>
                <w:szCs w:val="24"/>
              </w:rPr>
            </w:pPr>
            <w:r w:rsidRPr="000801BB">
              <w:rPr>
                <w:rFonts w:ascii="Arial" w:hAnsi="Arial" w:cs="Arial"/>
                <w:b/>
                <w:bCs/>
                <w:sz w:val="24"/>
                <w:szCs w:val="24"/>
              </w:rPr>
              <w:t>Payable Days</w:t>
            </w:r>
          </w:p>
        </w:tc>
        <w:tc>
          <w:tcPr>
            <w:tcW w:w="0" w:type="auto"/>
            <w:hideMark/>
          </w:tcPr>
          <w:p w14:paraId="1EEF2C28" w14:textId="77777777" w:rsidR="00EE43CE" w:rsidRPr="000801BB" w:rsidRDefault="00EE43CE" w:rsidP="000801BB">
            <w:pPr>
              <w:spacing w:after="160" w:line="360" w:lineRule="auto"/>
              <w:rPr>
                <w:rFonts w:ascii="Arial" w:hAnsi="Arial" w:cs="Arial"/>
                <w:b/>
                <w:bCs/>
                <w:sz w:val="24"/>
                <w:szCs w:val="24"/>
              </w:rPr>
            </w:pPr>
            <w:r w:rsidRPr="000801BB">
              <w:rPr>
                <w:rFonts w:ascii="Arial" w:hAnsi="Arial" w:cs="Arial"/>
                <w:b/>
                <w:bCs/>
                <w:sz w:val="24"/>
                <w:szCs w:val="24"/>
              </w:rPr>
              <w:t>Working Capital Days</w:t>
            </w:r>
          </w:p>
        </w:tc>
      </w:tr>
      <w:tr w:rsidR="00EE43CE" w:rsidRPr="000801BB" w14:paraId="2CEAB43D" w14:textId="77777777" w:rsidTr="00EE43CE">
        <w:tc>
          <w:tcPr>
            <w:tcW w:w="0" w:type="auto"/>
            <w:hideMark/>
          </w:tcPr>
          <w:p w14:paraId="698EE8A1"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2020</w:t>
            </w:r>
          </w:p>
        </w:tc>
        <w:tc>
          <w:tcPr>
            <w:tcW w:w="0" w:type="auto"/>
            <w:hideMark/>
          </w:tcPr>
          <w:p w14:paraId="2A7F4A7F"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3.64</w:t>
            </w:r>
          </w:p>
        </w:tc>
        <w:tc>
          <w:tcPr>
            <w:tcW w:w="0" w:type="auto"/>
            <w:hideMark/>
          </w:tcPr>
          <w:p w14:paraId="7059B417"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77</w:t>
            </w:r>
          </w:p>
        </w:tc>
        <w:tc>
          <w:tcPr>
            <w:tcW w:w="0" w:type="auto"/>
            <w:hideMark/>
          </w:tcPr>
          <w:p w14:paraId="3C5EBAE9"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48</w:t>
            </w:r>
          </w:p>
        </w:tc>
        <w:tc>
          <w:tcPr>
            <w:tcW w:w="0" w:type="auto"/>
            <w:hideMark/>
          </w:tcPr>
          <w:p w14:paraId="19354D7F"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+29</w:t>
            </w:r>
          </w:p>
        </w:tc>
      </w:tr>
      <w:tr w:rsidR="00EE43CE" w:rsidRPr="000801BB" w14:paraId="4BA77ACE" w14:textId="77777777" w:rsidTr="00EE43CE">
        <w:tc>
          <w:tcPr>
            <w:tcW w:w="0" w:type="auto"/>
            <w:hideMark/>
          </w:tcPr>
          <w:p w14:paraId="43115D5B"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2021</w:t>
            </w:r>
          </w:p>
        </w:tc>
        <w:tc>
          <w:tcPr>
            <w:tcW w:w="0" w:type="auto"/>
            <w:hideMark/>
          </w:tcPr>
          <w:p w14:paraId="0C3733B2"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3.19</w:t>
            </w:r>
          </w:p>
        </w:tc>
        <w:tc>
          <w:tcPr>
            <w:tcW w:w="0" w:type="auto"/>
            <w:hideMark/>
          </w:tcPr>
          <w:p w14:paraId="3CC6D9A7"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78</w:t>
            </w:r>
          </w:p>
        </w:tc>
        <w:tc>
          <w:tcPr>
            <w:tcW w:w="0" w:type="auto"/>
            <w:hideMark/>
          </w:tcPr>
          <w:p w14:paraId="3398B908"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56</w:t>
            </w:r>
          </w:p>
        </w:tc>
        <w:tc>
          <w:tcPr>
            <w:tcW w:w="0" w:type="auto"/>
            <w:hideMark/>
          </w:tcPr>
          <w:p w14:paraId="04FF27D3"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+22</w:t>
            </w:r>
          </w:p>
        </w:tc>
      </w:tr>
      <w:tr w:rsidR="00EE43CE" w:rsidRPr="000801BB" w14:paraId="12192BD4" w14:textId="77777777" w:rsidTr="00EE43CE">
        <w:tc>
          <w:tcPr>
            <w:tcW w:w="0" w:type="auto"/>
            <w:hideMark/>
          </w:tcPr>
          <w:p w14:paraId="731F10AB"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2022</w:t>
            </w:r>
          </w:p>
        </w:tc>
        <w:tc>
          <w:tcPr>
            <w:tcW w:w="0" w:type="auto"/>
            <w:hideMark/>
          </w:tcPr>
          <w:p w14:paraId="09CF562D"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2.79</w:t>
            </w:r>
          </w:p>
        </w:tc>
        <w:tc>
          <w:tcPr>
            <w:tcW w:w="0" w:type="auto"/>
            <w:hideMark/>
          </w:tcPr>
          <w:p w14:paraId="7229BF1B"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75</w:t>
            </w:r>
          </w:p>
        </w:tc>
        <w:tc>
          <w:tcPr>
            <w:tcW w:w="0" w:type="auto"/>
            <w:hideMark/>
          </w:tcPr>
          <w:p w14:paraId="469568F1"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65</w:t>
            </w:r>
          </w:p>
        </w:tc>
        <w:tc>
          <w:tcPr>
            <w:tcW w:w="0" w:type="auto"/>
            <w:hideMark/>
          </w:tcPr>
          <w:p w14:paraId="6CE7C262"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+10</w:t>
            </w:r>
          </w:p>
        </w:tc>
      </w:tr>
      <w:tr w:rsidR="00EE43CE" w:rsidRPr="000801BB" w14:paraId="3C88B13D" w14:textId="77777777" w:rsidTr="00EE43CE">
        <w:tc>
          <w:tcPr>
            <w:tcW w:w="0" w:type="auto"/>
            <w:hideMark/>
          </w:tcPr>
          <w:p w14:paraId="6AB3322A"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2023</w:t>
            </w:r>
          </w:p>
        </w:tc>
        <w:tc>
          <w:tcPr>
            <w:tcW w:w="0" w:type="auto"/>
            <w:hideMark/>
          </w:tcPr>
          <w:p w14:paraId="77986067"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3.65</w:t>
            </w:r>
          </w:p>
        </w:tc>
        <w:tc>
          <w:tcPr>
            <w:tcW w:w="0" w:type="auto"/>
            <w:hideMark/>
          </w:tcPr>
          <w:p w14:paraId="2BB745E2"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98</w:t>
            </w:r>
          </w:p>
        </w:tc>
        <w:tc>
          <w:tcPr>
            <w:tcW w:w="0" w:type="auto"/>
            <w:hideMark/>
          </w:tcPr>
          <w:p w14:paraId="3100A952"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61</w:t>
            </w:r>
          </w:p>
        </w:tc>
        <w:tc>
          <w:tcPr>
            <w:tcW w:w="0" w:type="auto"/>
            <w:hideMark/>
          </w:tcPr>
          <w:p w14:paraId="016C8DCD"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+37</w:t>
            </w:r>
          </w:p>
        </w:tc>
      </w:tr>
      <w:tr w:rsidR="00EE43CE" w:rsidRPr="000801BB" w14:paraId="40DB64C3" w14:textId="77777777" w:rsidTr="00EE43CE">
        <w:tc>
          <w:tcPr>
            <w:tcW w:w="0" w:type="auto"/>
            <w:hideMark/>
          </w:tcPr>
          <w:p w14:paraId="63043ABD"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2024</w:t>
            </w:r>
          </w:p>
        </w:tc>
        <w:tc>
          <w:tcPr>
            <w:tcW w:w="0" w:type="auto"/>
            <w:hideMark/>
          </w:tcPr>
          <w:p w14:paraId="344E5833"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3.54</w:t>
            </w:r>
          </w:p>
        </w:tc>
        <w:tc>
          <w:tcPr>
            <w:tcW w:w="0" w:type="auto"/>
            <w:hideMark/>
          </w:tcPr>
          <w:p w14:paraId="3C9A79D0"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105</w:t>
            </w:r>
          </w:p>
        </w:tc>
        <w:tc>
          <w:tcPr>
            <w:tcW w:w="0" w:type="auto"/>
            <w:hideMark/>
          </w:tcPr>
          <w:p w14:paraId="0D3FFFE0"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67</w:t>
            </w:r>
          </w:p>
        </w:tc>
        <w:tc>
          <w:tcPr>
            <w:tcW w:w="0" w:type="auto"/>
            <w:hideMark/>
          </w:tcPr>
          <w:p w14:paraId="6B47E9A6"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+38</w:t>
            </w:r>
          </w:p>
        </w:tc>
      </w:tr>
    </w:tbl>
    <w:p w14:paraId="38A1581E" w14:textId="77777777" w:rsidR="00EE43CE" w:rsidRPr="000801BB" w:rsidRDefault="00EE43CE" w:rsidP="000801BB">
      <w:pPr>
        <w:spacing w:line="360" w:lineRule="auto"/>
        <w:rPr>
          <w:rFonts w:ascii="Arial" w:hAnsi="Arial" w:cs="Arial"/>
          <w:sz w:val="24"/>
          <w:szCs w:val="24"/>
        </w:rPr>
      </w:pPr>
    </w:p>
    <w:p w14:paraId="7A7AB87D" w14:textId="77777777" w:rsidR="00FF79FE" w:rsidRDefault="00FF79FE" w:rsidP="000801BB">
      <w:pPr>
        <w:spacing w:line="360" w:lineRule="auto"/>
        <w:rPr>
          <w:rFonts w:ascii="Arial" w:hAnsi="Arial" w:cs="Arial"/>
          <w:sz w:val="24"/>
          <w:szCs w:val="24"/>
        </w:rPr>
      </w:pPr>
      <w:r w:rsidRPr="00FF79FE">
        <w:rPr>
          <w:rFonts w:ascii="Arial" w:hAnsi="Arial" w:cs="Arial"/>
          <w:sz w:val="24"/>
          <w:szCs w:val="24"/>
        </w:rPr>
        <w:t>By 2024, the receivables period of GE increased significantly to 105 days, which indicates a poor collection of credit and poor monitoring of customers. The inventory turnover (3.54x) is lower than the average inventory turnover of 5x in the industry, which indicates that the company is overstocked and experience high holding costs. This has led to the increase of the working-capital cycle into 38 days, which ties money within operational assets and increases liquidity strain.</w:t>
      </w:r>
    </w:p>
    <w:p w14:paraId="3B925777" w14:textId="6F5712D7" w:rsidR="00EE43CE" w:rsidRPr="000801BB" w:rsidRDefault="00EE43CE" w:rsidP="000801BB">
      <w:pPr>
        <w:spacing w:line="360" w:lineRule="auto"/>
        <w:rPr>
          <w:rFonts w:ascii="Arial" w:hAnsi="Arial" w:cs="Arial"/>
          <w:b/>
          <w:bCs/>
          <w:sz w:val="24"/>
          <w:szCs w:val="24"/>
        </w:rPr>
      </w:pPr>
      <w:r w:rsidRPr="000801BB">
        <w:rPr>
          <w:rFonts w:ascii="Arial" w:hAnsi="Arial" w:cs="Arial"/>
          <w:b/>
          <w:bCs/>
          <w:sz w:val="24"/>
          <w:szCs w:val="24"/>
        </w:rPr>
        <w:t>2.4 Gearing and Solvency</w:t>
      </w:r>
    </w:p>
    <w:tbl>
      <w:tblPr>
        <w:tblStyle w:val="TableGrid"/>
        <w:tblW w:w="0" w:type="auto"/>
        <w:tblLook w:val="04A0" w:firstRow="1" w:lastRow="0" w:firstColumn="1" w:lastColumn="0" w:noHBand="0" w:noVBand="1"/>
      </w:tblPr>
      <w:tblGrid>
        <w:gridCol w:w="750"/>
        <w:gridCol w:w="1870"/>
        <w:gridCol w:w="1416"/>
        <w:gridCol w:w="2244"/>
      </w:tblGrid>
      <w:tr w:rsidR="00EE43CE" w:rsidRPr="000801BB" w14:paraId="518C8FFB" w14:textId="77777777" w:rsidTr="00EE43CE">
        <w:tc>
          <w:tcPr>
            <w:tcW w:w="0" w:type="auto"/>
            <w:hideMark/>
          </w:tcPr>
          <w:p w14:paraId="7832524F" w14:textId="77777777" w:rsidR="00EE43CE" w:rsidRPr="000801BB" w:rsidRDefault="00EE43CE" w:rsidP="000801BB">
            <w:pPr>
              <w:spacing w:after="160" w:line="360" w:lineRule="auto"/>
              <w:rPr>
                <w:rFonts w:ascii="Arial" w:hAnsi="Arial" w:cs="Arial"/>
                <w:b/>
                <w:bCs/>
                <w:sz w:val="24"/>
                <w:szCs w:val="24"/>
              </w:rPr>
            </w:pPr>
            <w:r w:rsidRPr="000801BB">
              <w:rPr>
                <w:rFonts w:ascii="Arial" w:hAnsi="Arial" w:cs="Arial"/>
                <w:b/>
                <w:bCs/>
                <w:sz w:val="24"/>
                <w:szCs w:val="24"/>
              </w:rPr>
              <w:t>Year</w:t>
            </w:r>
          </w:p>
        </w:tc>
        <w:tc>
          <w:tcPr>
            <w:tcW w:w="0" w:type="auto"/>
            <w:hideMark/>
          </w:tcPr>
          <w:p w14:paraId="3D8C97FC" w14:textId="77777777" w:rsidR="00EE43CE" w:rsidRPr="000801BB" w:rsidRDefault="00EE43CE" w:rsidP="000801BB">
            <w:pPr>
              <w:spacing w:after="160" w:line="360" w:lineRule="auto"/>
              <w:rPr>
                <w:rFonts w:ascii="Arial" w:hAnsi="Arial" w:cs="Arial"/>
                <w:b/>
                <w:bCs/>
                <w:sz w:val="24"/>
                <w:szCs w:val="24"/>
              </w:rPr>
            </w:pPr>
            <w:r w:rsidRPr="000801BB">
              <w:rPr>
                <w:rFonts w:ascii="Arial" w:hAnsi="Arial" w:cs="Arial"/>
                <w:b/>
                <w:bCs/>
                <w:sz w:val="24"/>
                <w:szCs w:val="24"/>
              </w:rPr>
              <w:t>Debt-to-Equity</w:t>
            </w:r>
          </w:p>
        </w:tc>
        <w:tc>
          <w:tcPr>
            <w:tcW w:w="0" w:type="auto"/>
            <w:hideMark/>
          </w:tcPr>
          <w:p w14:paraId="55AF7EFB" w14:textId="77777777" w:rsidR="00EE43CE" w:rsidRPr="000801BB" w:rsidRDefault="00EE43CE" w:rsidP="000801BB">
            <w:pPr>
              <w:spacing w:after="160" w:line="360" w:lineRule="auto"/>
              <w:rPr>
                <w:rFonts w:ascii="Arial" w:hAnsi="Arial" w:cs="Arial"/>
                <w:b/>
                <w:bCs/>
                <w:sz w:val="24"/>
                <w:szCs w:val="24"/>
              </w:rPr>
            </w:pPr>
            <w:r w:rsidRPr="000801BB">
              <w:rPr>
                <w:rFonts w:ascii="Arial" w:hAnsi="Arial" w:cs="Arial"/>
                <w:b/>
                <w:bCs/>
                <w:sz w:val="24"/>
                <w:szCs w:val="24"/>
              </w:rPr>
              <w:t>Debt Ratio</w:t>
            </w:r>
          </w:p>
        </w:tc>
        <w:tc>
          <w:tcPr>
            <w:tcW w:w="0" w:type="auto"/>
            <w:hideMark/>
          </w:tcPr>
          <w:p w14:paraId="48A73441" w14:textId="77777777" w:rsidR="00EE43CE" w:rsidRPr="000801BB" w:rsidRDefault="00EE43CE" w:rsidP="000801BB">
            <w:pPr>
              <w:spacing w:after="160" w:line="360" w:lineRule="auto"/>
              <w:rPr>
                <w:rFonts w:ascii="Arial" w:hAnsi="Arial" w:cs="Arial"/>
                <w:b/>
                <w:bCs/>
                <w:sz w:val="24"/>
                <w:szCs w:val="24"/>
              </w:rPr>
            </w:pPr>
            <w:r w:rsidRPr="000801BB">
              <w:rPr>
                <w:rFonts w:ascii="Arial" w:hAnsi="Arial" w:cs="Arial"/>
                <w:b/>
                <w:bCs/>
                <w:sz w:val="24"/>
                <w:szCs w:val="24"/>
              </w:rPr>
              <w:t>Interest Coverage</w:t>
            </w:r>
          </w:p>
        </w:tc>
      </w:tr>
      <w:tr w:rsidR="00EE43CE" w:rsidRPr="000801BB" w14:paraId="6164CB80" w14:textId="77777777" w:rsidTr="00EE43CE">
        <w:tc>
          <w:tcPr>
            <w:tcW w:w="0" w:type="auto"/>
            <w:hideMark/>
          </w:tcPr>
          <w:p w14:paraId="187C7F61"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2020</w:t>
            </w:r>
          </w:p>
        </w:tc>
        <w:tc>
          <w:tcPr>
            <w:tcW w:w="0" w:type="auto"/>
            <w:hideMark/>
          </w:tcPr>
          <w:p w14:paraId="7B2F74FE"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0.63</w:t>
            </w:r>
          </w:p>
        </w:tc>
        <w:tc>
          <w:tcPr>
            <w:tcW w:w="0" w:type="auto"/>
            <w:hideMark/>
          </w:tcPr>
          <w:p w14:paraId="66A81C6C"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0.39</w:t>
            </w:r>
          </w:p>
        </w:tc>
        <w:tc>
          <w:tcPr>
            <w:tcW w:w="0" w:type="auto"/>
            <w:hideMark/>
          </w:tcPr>
          <w:p w14:paraId="5A5747A8"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26.2</w:t>
            </w:r>
          </w:p>
        </w:tc>
      </w:tr>
      <w:tr w:rsidR="00EE43CE" w:rsidRPr="000801BB" w14:paraId="4C6FCD68" w14:textId="77777777" w:rsidTr="00EE43CE">
        <w:tc>
          <w:tcPr>
            <w:tcW w:w="0" w:type="auto"/>
            <w:hideMark/>
          </w:tcPr>
          <w:p w14:paraId="72DFD4AC"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2021</w:t>
            </w:r>
          </w:p>
        </w:tc>
        <w:tc>
          <w:tcPr>
            <w:tcW w:w="0" w:type="auto"/>
            <w:hideMark/>
          </w:tcPr>
          <w:p w14:paraId="0FEECF43"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0.71</w:t>
            </w:r>
          </w:p>
        </w:tc>
        <w:tc>
          <w:tcPr>
            <w:tcW w:w="0" w:type="auto"/>
            <w:hideMark/>
          </w:tcPr>
          <w:p w14:paraId="5791EBB8"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0.46</w:t>
            </w:r>
          </w:p>
        </w:tc>
        <w:tc>
          <w:tcPr>
            <w:tcW w:w="0" w:type="auto"/>
            <w:hideMark/>
          </w:tcPr>
          <w:p w14:paraId="140CDC65"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12.1</w:t>
            </w:r>
          </w:p>
        </w:tc>
      </w:tr>
      <w:tr w:rsidR="00EE43CE" w:rsidRPr="000801BB" w14:paraId="71D5E8AB" w14:textId="77777777" w:rsidTr="00EE43CE">
        <w:tc>
          <w:tcPr>
            <w:tcW w:w="0" w:type="auto"/>
            <w:hideMark/>
          </w:tcPr>
          <w:p w14:paraId="7827E9E4"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2022</w:t>
            </w:r>
          </w:p>
        </w:tc>
        <w:tc>
          <w:tcPr>
            <w:tcW w:w="0" w:type="auto"/>
            <w:hideMark/>
          </w:tcPr>
          <w:p w14:paraId="2E44CB3D"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0.88</w:t>
            </w:r>
          </w:p>
        </w:tc>
        <w:tc>
          <w:tcPr>
            <w:tcW w:w="0" w:type="auto"/>
            <w:hideMark/>
          </w:tcPr>
          <w:p w14:paraId="20359CEF"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0.47</w:t>
            </w:r>
          </w:p>
        </w:tc>
        <w:tc>
          <w:tcPr>
            <w:tcW w:w="0" w:type="auto"/>
            <w:hideMark/>
          </w:tcPr>
          <w:p w14:paraId="43D23206"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6.6</w:t>
            </w:r>
          </w:p>
        </w:tc>
      </w:tr>
      <w:tr w:rsidR="00EE43CE" w:rsidRPr="000801BB" w14:paraId="15769352" w14:textId="77777777" w:rsidTr="00EE43CE">
        <w:tc>
          <w:tcPr>
            <w:tcW w:w="0" w:type="auto"/>
            <w:hideMark/>
          </w:tcPr>
          <w:p w14:paraId="364BD5D1"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2023</w:t>
            </w:r>
          </w:p>
        </w:tc>
        <w:tc>
          <w:tcPr>
            <w:tcW w:w="0" w:type="auto"/>
            <w:hideMark/>
          </w:tcPr>
          <w:p w14:paraId="165689C5"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0.99</w:t>
            </w:r>
          </w:p>
        </w:tc>
        <w:tc>
          <w:tcPr>
            <w:tcW w:w="0" w:type="auto"/>
            <w:hideMark/>
          </w:tcPr>
          <w:p w14:paraId="10F0120D"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0.50</w:t>
            </w:r>
          </w:p>
        </w:tc>
        <w:tc>
          <w:tcPr>
            <w:tcW w:w="0" w:type="auto"/>
            <w:hideMark/>
          </w:tcPr>
          <w:p w14:paraId="64F13B23"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–0.16</w:t>
            </w:r>
          </w:p>
        </w:tc>
      </w:tr>
      <w:tr w:rsidR="00EE43CE" w:rsidRPr="000801BB" w14:paraId="60968FFD" w14:textId="77777777" w:rsidTr="00EE43CE">
        <w:tc>
          <w:tcPr>
            <w:tcW w:w="0" w:type="auto"/>
            <w:hideMark/>
          </w:tcPr>
          <w:p w14:paraId="00FE6FF5"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2024</w:t>
            </w:r>
          </w:p>
        </w:tc>
        <w:tc>
          <w:tcPr>
            <w:tcW w:w="0" w:type="auto"/>
            <w:hideMark/>
          </w:tcPr>
          <w:p w14:paraId="3C19C233"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1.11</w:t>
            </w:r>
          </w:p>
        </w:tc>
        <w:tc>
          <w:tcPr>
            <w:tcW w:w="0" w:type="auto"/>
            <w:hideMark/>
          </w:tcPr>
          <w:p w14:paraId="433C0136"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0.53</w:t>
            </w:r>
          </w:p>
        </w:tc>
        <w:tc>
          <w:tcPr>
            <w:tcW w:w="0" w:type="auto"/>
            <w:hideMark/>
          </w:tcPr>
          <w:p w14:paraId="70073C05" w14:textId="77777777" w:rsidR="00EE43CE" w:rsidRPr="000801BB" w:rsidRDefault="00EE43CE" w:rsidP="000801BB">
            <w:pPr>
              <w:spacing w:after="160" w:line="360" w:lineRule="auto"/>
              <w:rPr>
                <w:rFonts w:ascii="Arial" w:hAnsi="Arial" w:cs="Arial"/>
                <w:sz w:val="24"/>
                <w:szCs w:val="24"/>
              </w:rPr>
            </w:pPr>
            <w:r w:rsidRPr="000801BB">
              <w:rPr>
                <w:rFonts w:ascii="Arial" w:hAnsi="Arial" w:cs="Arial"/>
                <w:sz w:val="24"/>
                <w:szCs w:val="24"/>
              </w:rPr>
              <w:t>–4.6</w:t>
            </w:r>
          </w:p>
        </w:tc>
      </w:tr>
    </w:tbl>
    <w:p w14:paraId="57BDF0C6" w14:textId="77777777" w:rsidR="00FF79FE" w:rsidRDefault="00FF79FE" w:rsidP="000801BB">
      <w:pPr>
        <w:spacing w:line="360" w:lineRule="auto"/>
        <w:rPr>
          <w:rFonts w:ascii="Arial" w:hAnsi="Arial" w:cs="Arial"/>
          <w:sz w:val="24"/>
          <w:szCs w:val="24"/>
        </w:rPr>
      </w:pPr>
      <w:r w:rsidRPr="00FF79FE">
        <w:rPr>
          <w:rFonts w:ascii="Arial" w:hAnsi="Arial" w:cs="Arial"/>
          <w:sz w:val="24"/>
          <w:szCs w:val="24"/>
        </w:rPr>
        <w:t xml:space="preserve">The debt-to-equity ratio increased by 0.63 to 1.11 which shows that it is overleveraged (EY, 2024). Negative interest coverage of 2023-2024 implies that the </w:t>
      </w:r>
      <w:r w:rsidRPr="00FF79FE">
        <w:rPr>
          <w:rFonts w:ascii="Arial" w:hAnsi="Arial" w:cs="Arial"/>
          <w:sz w:val="24"/>
          <w:szCs w:val="24"/>
        </w:rPr>
        <w:lastRenderedPageBreak/>
        <w:t>earnings will be too low to serve the interest payments, increasing the risk of default to breach covenants and go into insolvency. Excessive reliance on debt has destroyed the flexibility of GE and increased its risk profile.</w:t>
      </w:r>
    </w:p>
    <w:p w14:paraId="36B71A01" w14:textId="5EAE173A" w:rsidR="00EE43CE" w:rsidRPr="000801BB" w:rsidRDefault="00EE43CE" w:rsidP="000801BB">
      <w:pPr>
        <w:spacing w:line="360" w:lineRule="auto"/>
        <w:rPr>
          <w:rFonts w:ascii="Arial" w:hAnsi="Arial" w:cs="Arial"/>
          <w:b/>
          <w:bCs/>
          <w:sz w:val="24"/>
          <w:szCs w:val="24"/>
        </w:rPr>
      </w:pPr>
      <w:r w:rsidRPr="000801BB">
        <w:rPr>
          <w:rFonts w:ascii="Arial" w:hAnsi="Arial" w:cs="Arial"/>
          <w:b/>
          <w:bCs/>
          <w:sz w:val="24"/>
          <w:szCs w:val="24"/>
        </w:rPr>
        <w:t>2.5 Cash Flow and Investment Capacity</w:t>
      </w:r>
    </w:p>
    <w:p w14:paraId="5A93E99A" w14:textId="19FED11D" w:rsidR="00FF79FE" w:rsidRDefault="00FF79FE" w:rsidP="000801BB">
      <w:pPr>
        <w:spacing w:line="360" w:lineRule="auto"/>
        <w:rPr>
          <w:rFonts w:ascii="Arial" w:hAnsi="Arial" w:cs="Arial"/>
          <w:sz w:val="24"/>
          <w:szCs w:val="24"/>
        </w:rPr>
      </w:pPr>
      <w:r w:rsidRPr="00FF79FE">
        <w:rPr>
          <w:rFonts w:ascii="Arial" w:hAnsi="Arial" w:cs="Arial"/>
          <w:sz w:val="24"/>
          <w:szCs w:val="24"/>
        </w:rPr>
        <w:t xml:space="preserve">Even in the face of losses, GE earned positive operating cash flows of </w:t>
      </w:r>
      <w:r w:rsidR="00723521">
        <w:rPr>
          <w:rFonts w:ascii="Arial" w:hAnsi="Arial" w:cs="Arial"/>
          <w:sz w:val="24"/>
          <w:szCs w:val="24"/>
        </w:rPr>
        <w:t>£</w:t>
      </w:r>
      <w:r w:rsidRPr="00FF79FE">
        <w:rPr>
          <w:rFonts w:ascii="Arial" w:hAnsi="Arial" w:cs="Arial"/>
          <w:sz w:val="24"/>
          <w:szCs w:val="24"/>
        </w:rPr>
        <w:t>14.8 billion in 2024, which is an indication that its core business can still generate cash. Nevertheless, the net cash decreased because of capital expenditures (</w:t>
      </w:r>
      <w:r w:rsidR="00723521">
        <w:rPr>
          <w:rFonts w:ascii="Arial" w:hAnsi="Arial" w:cs="Arial"/>
          <w:sz w:val="24"/>
          <w:szCs w:val="24"/>
        </w:rPr>
        <w:t>£</w:t>
      </w:r>
      <w:r w:rsidRPr="00FF79FE">
        <w:rPr>
          <w:rFonts w:ascii="Arial" w:hAnsi="Arial" w:cs="Arial"/>
          <w:sz w:val="24"/>
          <w:szCs w:val="24"/>
        </w:rPr>
        <w:t>4.6 billion) and constrained new financing (Bloomberg, 2024). Suspension of dividend saved liquidity at the cost of investor morale. The issue of maintaining liquidity and investing to come out of it highlights the importance of prioritising capital.</w:t>
      </w:r>
    </w:p>
    <w:p w14:paraId="239BC211" w14:textId="77777777" w:rsidR="00FF79FE" w:rsidRDefault="00FF79FE" w:rsidP="000801BB">
      <w:pPr>
        <w:spacing w:line="360" w:lineRule="auto"/>
        <w:rPr>
          <w:rFonts w:ascii="Arial" w:hAnsi="Arial" w:cs="Arial"/>
          <w:b/>
          <w:bCs/>
          <w:sz w:val="24"/>
          <w:szCs w:val="24"/>
        </w:rPr>
      </w:pPr>
      <w:r w:rsidRPr="00FF79FE">
        <w:rPr>
          <w:rFonts w:ascii="Arial" w:hAnsi="Arial" w:cs="Arial"/>
          <w:b/>
          <w:bCs/>
          <w:sz w:val="24"/>
          <w:szCs w:val="24"/>
        </w:rPr>
        <w:t xml:space="preserve">2.6 Strengths and Weaknesses in a Nutshell. </w:t>
      </w:r>
    </w:p>
    <w:p w14:paraId="68326370" w14:textId="77777777" w:rsidR="00FF79FE" w:rsidRPr="00FF79FE" w:rsidRDefault="00FF79FE" w:rsidP="000801BB">
      <w:pPr>
        <w:spacing w:line="360" w:lineRule="auto"/>
        <w:rPr>
          <w:rFonts w:ascii="Arial" w:hAnsi="Arial" w:cs="Arial"/>
          <w:sz w:val="24"/>
          <w:szCs w:val="24"/>
        </w:rPr>
      </w:pPr>
      <w:r w:rsidRPr="00FF79FE">
        <w:rPr>
          <w:rFonts w:ascii="Arial" w:hAnsi="Arial" w:cs="Arial"/>
          <w:sz w:val="24"/>
          <w:szCs w:val="24"/>
        </w:rPr>
        <w:t xml:space="preserve">Strengths </w:t>
      </w:r>
    </w:p>
    <w:p w14:paraId="1BD0CC31" w14:textId="77777777" w:rsidR="00FF79FE" w:rsidRPr="00FF79FE" w:rsidRDefault="00FF79FE" w:rsidP="00FF79FE">
      <w:pPr>
        <w:pStyle w:val="ListParagraph"/>
        <w:numPr>
          <w:ilvl w:val="0"/>
          <w:numId w:val="29"/>
        </w:numPr>
        <w:spacing w:line="360" w:lineRule="auto"/>
        <w:rPr>
          <w:rFonts w:ascii="Arial" w:hAnsi="Arial" w:cs="Arial"/>
          <w:sz w:val="24"/>
          <w:szCs w:val="24"/>
        </w:rPr>
      </w:pPr>
      <w:r w:rsidRPr="00FF79FE">
        <w:rPr>
          <w:rFonts w:ascii="Arial" w:hAnsi="Arial" w:cs="Arial"/>
          <w:sz w:val="24"/>
          <w:szCs w:val="24"/>
        </w:rPr>
        <w:t xml:space="preserve">Steadfast gross margins reflect the stability of cost of production. </w:t>
      </w:r>
    </w:p>
    <w:p w14:paraId="20FFED41" w14:textId="77777777" w:rsidR="00FF79FE" w:rsidRPr="00FF79FE" w:rsidRDefault="00FF79FE" w:rsidP="00FF79FE">
      <w:pPr>
        <w:pStyle w:val="ListParagraph"/>
        <w:numPr>
          <w:ilvl w:val="0"/>
          <w:numId w:val="29"/>
        </w:numPr>
        <w:spacing w:line="360" w:lineRule="auto"/>
        <w:rPr>
          <w:rFonts w:ascii="Arial" w:hAnsi="Arial" w:cs="Arial"/>
          <w:sz w:val="24"/>
          <w:szCs w:val="24"/>
        </w:rPr>
      </w:pPr>
      <w:r w:rsidRPr="00FF79FE">
        <w:rPr>
          <w:rFonts w:ascii="Arial" w:hAnsi="Arial" w:cs="Arial"/>
          <w:sz w:val="24"/>
          <w:szCs w:val="24"/>
        </w:rPr>
        <w:t xml:space="preserve">A positive operation cash flow shows viability in a business. </w:t>
      </w:r>
    </w:p>
    <w:p w14:paraId="3BA5D58F" w14:textId="343644F3" w:rsidR="00FF79FE" w:rsidRPr="00FF79FE" w:rsidRDefault="00FF79FE" w:rsidP="00FF79FE">
      <w:pPr>
        <w:pStyle w:val="ListParagraph"/>
        <w:numPr>
          <w:ilvl w:val="0"/>
          <w:numId w:val="29"/>
        </w:numPr>
        <w:spacing w:line="360" w:lineRule="auto"/>
        <w:rPr>
          <w:rFonts w:ascii="Arial" w:hAnsi="Arial" w:cs="Arial"/>
          <w:sz w:val="24"/>
          <w:szCs w:val="24"/>
        </w:rPr>
      </w:pPr>
      <w:r w:rsidRPr="00FF79FE">
        <w:rPr>
          <w:rFonts w:ascii="Arial" w:hAnsi="Arial" w:cs="Arial"/>
          <w:sz w:val="24"/>
          <w:szCs w:val="24"/>
        </w:rPr>
        <w:t xml:space="preserve">High asset base is a collateral to refinancing. </w:t>
      </w:r>
    </w:p>
    <w:p w14:paraId="3AFD264C" w14:textId="77777777" w:rsidR="00FF79FE" w:rsidRPr="00FF79FE" w:rsidRDefault="00FF79FE" w:rsidP="000801BB">
      <w:pPr>
        <w:spacing w:line="360" w:lineRule="auto"/>
        <w:rPr>
          <w:rFonts w:ascii="Arial" w:hAnsi="Arial" w:cs="Arial"/>
          <w:sz w:val="24"/>
          <w:szCs w:val="24"/>
        </w:rPr>
      </w:pPr>
      <w:r w:rsidRPr="00FF79FE">
        <w:rPr>
          <w:rFonts w:ascii="Arial" w:hAnsi="Arial" w:cs="Arial"/>
          <w:sz w:val="24"/>
          <w:szCs w:val="24"/>
        </w:rPr>
        <w:t xml:space="preserve">Weaknesses/Threats </w:t>
      </w:r>
    </w:p>
    <w:p w14:paraId="1274088B" w14:textId="77777777" w:rsidR="00FF79FE" w:rsidRPr="00FF79FE" w:rsidRDefault="00FF79FE" w:rsidP="00FF79FE">
      <w:pPr>
        <w:pStyle w:val="ListParagraph"/>
        <w:numPr>
          <w:ilvl w:val="0"/>
          <w:numId w:val="30"/>
        </w:numPr>
        <w:spacing w:line="360" w:lineRule="auto"/>
        <w:rPr>
          <w:rFonts w:ascii="Arial" w:hAnsi="Arial" w:cs="Arial"/>
          <w:sz w:val="24"/>
          <w:szCs w:val="24"/>
        </w:rPr>
      </w:pPr>
      <w:r w:rsidRPr="00FF79FE">
        <w:rPr>
          <w:rFonts w:ascii="Arial" w:hAnsi="Arial" w:cs="Arial"/>
          <w:sz w:val="24"/>
          <w:szCs w:val="24"/>
        </w:rPr>
        <w:t xml:space="preserve">Acute revenue decline (-36% since 2020). </w:t>
      </w:r>
    </w:p>
    <w:p w14:paraId="206FF38A" w14:textId="77777777" w:rsidR="00FF79FE" w:rsidRPr="00FF79FE" w:rsidRDefault="00FF79FE" w:rsidP="00FF79FE">
      <w:pPr>
        <w:pStyle w:val="ListParagraph"/>
        <w:numPr>
          <w:ilvl w:val="0"/>
          <w:numId w:val="30"/>
        </w:numPr>
        <w:spacing w:line="360" w:lineRule="auto"/>
        <w:rPr>
          <w:rFonts w:ascii="Arial" w:hAnsi="Arial" w:cs="Arial"/>
          <w:sz w:val="24"/>
          <w:szCs w:val="24"/>
        </w:rPr>
      </w:pPr>
      <w:r w:rsidRPr="00FF79FE">
        <w:rPr>
          <w:rFonts w:ascii="Arial" w:hAnsi="Arial" w:cs="Arial"/>
          <w:sz w:val="24"/>
          <w:szCs w:val="24"/>
        </w:rPr>
        <w:t xml:space="preserve">Chronic losses incurred on retained earnings. </w:t>
      </w:r>
    </w:p>
    <w:p w14:paraId="12F8CC44" w14:textId="6DC101D3" w:rsidR="00FF79FE" w:rsidRPr="00FF79FE" w:rsidRDefault="00FF79FE" w:rsidP="00FF79FE">
      <w:pPr>
        <w:pStyle w:val="ListParagraph"/>
        <w:numPr>
          <w:ilvl w:val="0"/>
          <w:numId w:val="30"/>
        </w:numPr>
        <w:spacing w:line="360" w:lineRule="auto"/>
        <w:rPr>
          <w:rFonts w:ascii="Arial" w:hAnsi="Arial" w:cs="Arial"/>
          <w:sz w:val="24"/>
          <w:szCs w:val="24"/>
        </w:rPr>
      </w:pPr>
      <w:r w:rsidRPr="00FF79FE">
        <w:rPr>
          <w:rFonts w:ascii="Arial" w:hAnsi="Arial" w:cs="Arial"/>
          <w:sz w:val="24"/>
          <w:szCs w:val="24"/>
        </w:rPr>
        <w:t xml:space="preserve">Increasing leverage and a declining interest coverage. </w:t>
      </w:r>
    </w:p>
    <w:p w14:paraId="28F28675" w14:textId="087887A7" w:rsidR="00FF79FE" w:rsidRPr="00FF79FE" w:rsidRDefault="00FF79FE" w:rsidP="00FF79FE">
      <w:pPr>
        <w:pStyle w:val="ListParagraph"/>
        <w:numPr>
          <w:ilvl w:val="0"/>
          <w:numId w:val="30"/>
        </w:numPr>
        <w:spacing w:line="360" w:lineRule="auto"/>
        <w:rPr>
          <w:rFonts w:ascii="Arial" w:hAnsi="Arial" w:cs="Arial"/>
          <w:sz w:val="24"/>
          <w:szCs w:val="24"/>
        </w:rPr>
      </w:pPr>
      <w:r w:rsidRPr="00FF79FE">
        <w:rPr>
          <w:rFonts w:ascii="Arial" w:hAnsi="Arial" w:cs="Arial"/>
          <w:sz w:val="24"/>
          <w:szCs w:val="24"/>
        </w:rPr>
        <w:t>Ineffective receivable and inventory turnover augmenting liquidity stress.</w:t>
      </w:r>
    </w:p>
    <w:p w14:paraId="4BFF61D7" w14:textId="0ABDA869" w:rsidR="00EE43CE" w:rsidRPr="000801BB" w:rsidRDefault="00EE43CE" w:rsidP="000801BB">
      <w:pPr>
        <w:spacing w:line="360" w:lineRule="auto"/>
        <w:rPr>
          <w:rFonts w:ascii="Arial" w:hAnsi="Arial" w:cs="Arial"/>
          <w:b/>
          <w:bCs/>
          <w:sz w:val="24"/>
          <w:szCs w:val="24"/>
        </w:rPr>
      </w:pPr>
      <w:r w:rsidRPr="000801BB">
        <w:rPr>
          <w:rFonts w:ascii="Arial" w:hAnsi="Arial" w:cs="Arial"/>
          <w:b/>
          <w:bCs/>
          <w:sz w:val="24"/>
          <w:szCs w:val="24"/>
        </w:rPr>
        <w:t>2.7 Corporate Failure Risk – Altman Z-Score</w:t>
      </w:r>
    </w:p>
    <w:p w14:paraId="1F5957DD" w14:textId="77777777" w:rsidR="00EE43CE" w:rsidRPr="000801BB" w:rsidRDefault="00EE43CE" w:rsidP="000801BB">
      <w:pPr>
        <w:spacing w:line="360" w:lineRule="auto"/>
        <w:rPr>
          <w:rFonts w:ascii="Arial" w:hAnsi="Arial" w:cs="Arial"/>
          <w:sz w:val="24"/>
          <w:szCs w:val="24"/>
        </w:rPr>
      </w:pPr>
      <w:r w:rsidRPr="000801BB">
        <w:rPr>
          <w:rFonts w:ascii="Arial" w:hAnsi="Arial" w:cs="Arial"/>
          <w:sz w:val="24"/>
          <w:szCs w:val="24"/>
        </w:rPr>
        <w:t>The Altman Z-Score provides an empirical indicator of bankruptcy risk (Altman, 1968; Altman &amp; Hotchkiss, 2020):</w:t>
      </w:r>
    </w:p>
    <w:p w14:paraId="418C7C32" w14:textId="41F5CBC8" w:rsidR="00EE43CE" w:rsidRPr="000801BB" w:rsidRDefault="00EE43CE" w:rsidP="000801BB">
      <w:pPr>
        <w:spacing w:line="360" w:lineRule="auto"/>
        <w:rPr>
          <w:rFonts w:ascii="Arial" w:hAnsi="Arial" w:cs="Arial"/>
          <w:sz w:val="24"/>
          <w:szCs w:val="24"/>
        </w:rPr>
      </w:pPr>
      <m:oMathPara>
        <m:oMath>
          <m:r>
            <w:rPr>
              <w:rFonts w:ascii="Cambria Math" w:hAnsi="Cambria Math" w:cs="Arial"/>
              <w:sz w:val="24"/>
              <w:szCs w:val="24"/>
            </w:rPr>
            <m:t>Z=1.2</m:t>
          </m:r>
          <m:sSub>
            <m:sSubPr>
              <m:ctrlPr>
                <w:rPr>
                  <w:rFonts w:ascii="Cambria Math" w:hAnsi="Cambria Math" w:cs="Arial"/>
                  <w:sz w:val="24"/>
                  <w:szCs w:val="24"/>
                </w:rPr>
              </m:ctrlPr>
            </m:sSubPr>
            <m:e>
              <m:r>
                <w:rPr>
                  <w:rFonts w:ascii="Cambria Math" w:hAnsi="Cambria Math" w:cs="Arial"/>
                  <w:sz w:val="24"/>
                  <w:szCs w:val="24"/>
                </w:rPr>
                <m:t>X</m:t>
              </m:r>
            </m:e>
            <m:sub>
              <m:r>
                <w:rPr>
                  <w:rFonts w:ascii="Cambria Math" w:hAnsi="Cambria Math" w:cs="Arial"/>
                  <w:sz w:val="24"/>
                  <w:szCs w:val="24"/>
                </w:rPr>
                <m:t>1</m:t>
              </m:r>
            </m:sub>
          </m:sSub>
          <m:r>
            <w:rPr>
              <w:rFonts w:ascii="Cambria Math" w:hAnsi="Cambria Math" w:cs="Arial"/>
              <w:sz w:val="24"/>
              <w:szCs w:val="24"/>
            </w:rPr>
            <m:t>+1.4</m:t>
          </m:r>
          <m:sSub>
            <m:sSubPr>
              <m:ctrlPr>
                <w:rPr>
                  <w:rFonts w:ascii="Cambria Math" w:hAnsi="Cambria Math" w:cs="Arial"/>
                  <w:sz w:val="24"/>
                  <w:szCs w:val="24"/>
                </w:rPr>
              </m:ctrlPr>
            </m:sSubPr>
            <m:e>
              <m:r>
                <w:rPr>
                  <w:rFonts w:ascii="Cambria Math" w:hAnsi="Cambria Math" w:cs="Arial"/>
                  <w:sz w:val="24"/>
                  <w:szCs w:val="24"/>
                </w:rPr>
                <m:t>X</m:t>
              </m:r>
            </m:e>
            <m:sub>
              <m:r>
                <w:rPr>
                  <w:rFonts w:ascii="Cambria Math" w:hAnsi="Cambria Math" w:cs="Arial"/>
                  <w:sz w:val="24"/>
                  <w:szCs w:val="24"/>
                </w:rPr>
                <m:t>2</m:t>
              </m:r>
            </m:sub>
          </m:sSub>
          <m:r>
            <w:rPr>
              <w:rFonts w:ascii="Cambria Math" w:hAnsi="Cambria Math" w:cs="Arial"/>
              <w:sz w:val="24"/>
              <w:szCs w:val="24"/>
            </w:rPr>
            <m:t>+3.3</m:t>
          </m:r>
          <m:sSub>
            <m:sSubPr>
              <m:ctrlPr>
                <w:rPr>
                  <w:rFonts w:ascii="Cambria Math" w:hAnsi="Cambria Math" w:cs="Arial"/>
                  <w:sz w:val="24"/>
                  <w:szCs w:val="24"/>
                </w:rPr>
              </m:ctrlPr>
            </m:sSubPr>
            <m:e>
              <m:r>
                <w:rPr>
                  <w:rFonts w:ascii="Cambria Math" w:hAnsi="Cambria Math" w:cs="Arial"/>
                  <w:sz w:val="24"/>
                  <w:szCs w:val="24"/>
                </w:rPr>
                <m:t>X</m:t>
              </m:r>
            </m:e>
            <m:sub>
              <m:r>
                <w:rPr>
                  <w:rFonts w:ascii="Cambria Math" w:hAnsi="Cambria Math" w:cs="Arial"/>
                  <w:sz w:val="24"/>
                  <w:szCs w:val="24"/>
                </w:rPr>
                <m:t>3</m:t>
              </m:r>
            </m:sub>
          </m:sSub>
          <m:r>
            <w:rPr>
              <w:rFonts w:ascii="Cambria Math" w:hAnsi="Cambria Math" w:cs="Arial"/>
              <w:sz w:val="24"/>
              <w:szCs w:val="24"/>
            </w:rPr>
            <m:t>+0.6</m:t>
          </m:r>
          <m:sSub>
            <m:sSubPr>
              <m:ctrlPr>
                <w:rPr>
                  <w:rFonts w:ascii="Cambria Math" w:hAnsi="Cambria Math" w:cs="Arial"/>
                  <w:sz w:val="24"/>
                  <w:szCs w:val="24"/>
                </w:rPr>
              </m:ctrlPr>
            </m:sSubPr>
            <m:e>
              <m:r>
                <w:rPr>
                  <w:rFonts w:ascii="Cambria Math" w:hAnsi="Cambria Math" w:cs="Arial"/>
                  <w:sz w:val="24"/>
                  <w:szCs w:val="24"/>
                </w:rPr>
                <m:t>X</m:t>
              </m:r>
            </m:e>
            <m:sub>
              <m:r>
                <w:rPr>
                  <w:rFonts w:ascii="Cambria Math" w:hAnsi="Cambria Math" w:cs="Arial"/>
                  <w:sz w:val="24"/>
                  <w:szCs w:val="24"/>
                </w:rPr>
                <m:t>4</m:t>
              </m:r>
            </m:sub>
          </m:sSub>
          <m:r>
            <w:rPr>
              <w:rFonts w:ascii="Cambria Math" w:hAnsi="Cambria Math" w:cs="Arial"/>
              <w:sz w:val="24"/>
              <w:szCs w:val="24"/>
            </w:rPr>
            <m:t>+1.0</m:t>
          </m:r>
          <m:sSub>
            <m:sSubPr>
              <m:ctrlPr>
                <w:rPr>
                  <w:rFonts w:ascii="Cambria Math" w:hAnsi="Cambria Math" w:cs="Arial"/>
                  <w:sz w:val="24"/>
                  <w:szCs w:val="24"/>
                </w:rPr>
              </m:ctrlPr>
            </m:sSubPr>
            <m:e>
              <m:r>
                <w:rPr>
                  <w:rFonts w:ascii="Cambria Math" w:hAnsi="Cambria Math" w:cs="Arial"/>
                  <w:sz w:val="24"/>
                  <w:szCs w:val="24"/>
                </w:rPr>
                <m:t>X</m:t>
              </m:r>
            </m:e>
            <m:sub>
              <m:r>
                <w:rPr>
                  <w:rFonts w:ascii="Cambria Math" w:hAnsi="Cambria Math" w:cs="Arial"/>
                  <w:sz w:val="24"/>
                  <w:szCs w:val="24"/>
                </w:rPr>
                <m:t>5</m:t>
              </m:r>
            </m:sub>
          </m:sSub>
          <m:r>
            <m:rPr>
              <m:sty m:val="p"/>
            </m:rPr>
            <w:rPr>
              <w:rFonts w:ascii="Cambria Math" w:hAnsi="Cambria Math" w:cs="Arial"/>
              <w:sz w:val="24"/>
              <w:szCs w:val="24"/>
            </w:rPr>
            <w:br/>
          </m:r>
        </m:oMath>
      </m:oMathPara>
    </w:p>
    <w:p w14:paraId="45856BDF" w14:textId="1DE5F770" w:rsidR="00EE43CE" w:rsidRPr="000801BB" w:rsidRDefault="00EE43CE" w:rsidP="000801BB">
      <w:pPr>
        <w:spacing w:line="360" w:lineRule="auto"/>
        <w:rPr>
          <w:rFonts w:ascii="Arial" w:hAnsi="Arial" w:cs="Arial"/>
          <w:sz w:val="24"/>
          <w:szCs w:val="24"/>
        </w:rPr>
      </w:pPr>
      <w:r w:rsidRPr="000801BB">
        <w:rPr>
          <w:rFonts w:ascii="Arial" w:hAnsi="Arial" w:cs="Arial"/>
          <w:sz w:val="24"/>
          <w:szCs w:val="24"/>
        </w:rPr>
        <w:t>Where:</w:t>
      </w:r>
      <w:r w:rsidRPr="000801BB">
        <w:rPr>
          <w:rFonts w:ascii="Arial" w:hAnsi="Arial" w:cs="Arial"/>
          <w:sz w:val="24"/>
          <w:szCs w:val="24"/>
        </w:rPr>
        <w:br/>
      </w:r>
      <m:oMath>
        <m:sSub>
          <m:sSubPr>
            <m:ctrlPr>
              <w:rPr>
                <w:rFonts w:ascii="Cambria Math" w:hAnsi="Cambria Math" w:cs="Arial"/>
                <w:sz w:val="24"/>
                <w:szCs w:val="24"/>
              </w:rPr>
            </m:ctrlPr>
          </m:sSubPr>
          <m:e>
            <m:r>
              <w:rPr>
                <w:rFonts w:ascii="Cambria Math" w:hAnsi="Cambria Math" w:cs="Arial"/>
                <w:sz w:val="24"/>
                <w:szCs w:val="24"/>
              </w:rPr>
              <m:t>X</m:t>
            </m:r>
          </m:e>
          <m:sub>
            <m:r>
              <w:rPr>
                <w:rFonts w:ascii="Cambria Math" w:hAnsi="Cambria Math" w:cs="Arial"/>
                <w:sz w:val="24"/>
                <w:szCs w:val="24"/>
              </w:rPr>
              <m:t>1</m:t>
            </m:r>
          </m:sub>
        </m:sSub>
      </m:oMath>
      <w:r w:rsidRPr="000801BB">
        <w:rPr>
          <w:rFonts w:ascii="Arial" w:hAnsi="Arial" w:cs="Arial"/>
          <w:sz w:val="24"/>
          <w:szCs w:val="24"/>
        </w:rPr>
        <w:t>= Working Capital / Total Assets;</w:t>
      </w:r>
      <w:r w:rsidRPr="000801BB">
        <w:rPr>
          <w:rFonts w:ascii="Arial" w:hAnsi="Arial" w:cs="Arial"/>
          <w:sz w:val="24"/>
          <w:szCs w:val="24"/>
        </w:rPr>
        <w:br/>
      </w:r>
      <m:oMath>
        <m:sSub>
          <m:sSubPr>
            <m:ctrlPr>
              <w:rPr>
                <w:rFonts w:ascii="Cambria Math" w:hAnsi="Cambria Math" w:cs="Arial"/>
                <w:sz w:val="24"/>
                <w:szCs w:val="24"/>
              </w:rPr>
            </m:ctrlPr>
          </m:sSubPr>
          <m:e>
            <m:r>
              <w:rPr>
                <w:rFonts w:ascii="Cambria Math" w:hAnsi="Cambria Math" w:cs="Arial"/>
                <w:sz w:val="24"/>
                <w:szCs w:val="24"/>
              </w:rPr>
              <m:t>X</m:t>
            </m:r>
          </m:e>
          <m:sub>
            <m:r>
              <w:rPr>
                <w:rFonts w:ascii="Cambria Math" w:hAnsi="Cambria Math" w:cs="Arial"/>
                <w:sz w:val="24"/>
                <w:szCs w:val="24"/>
              </w:rPr>
              <m:t>2</m:t>
            </m:r>
          </m:sub>
        </m:sSub>
      </m:oMath>
      <w:r w:rsidRPr="000801BB">
        <w:rPr>
          <w:rFonts w:ascii="Arial" w:hAnsi="Arial" w:cs="Arial"/>
          <w:sz w:val="24"/>
          <w:szCs w:val="24"/>
        </w:rPr>
        <w:t>= Retained Earnings / Total Assets;</w:t>
      </w:r>
      <w:r w:rsidRPr="000801BB">
        <w:rPr>
          <w:rFonts w:ascii="Arial" w:hAnsi="Arial" w:cs="Arial"/>
          <w:sz w:val="24"/>
          <w:szCs w:val="24"/>
        </w:rPr>
        <w:br/>
      </w:r>
      <m:oMath>
        <m:sSub>
          <m:sSubPr>
            <m:ctrlPr>
              <w:rPr>
                <w:rFonts w:ascii="Cambria Math" w:hAnsi="Cambria Math" w:cs="Arial"/>
                <w:sz w:val="24"/>
                <w:szCs w:val="24"/>
              </w:rPr>
            </m:ctrlPr>
          </m:sSubPr>
          <m:e>
            <m:r>
              <w:rPr>
                <w:rFonts w:ascii="Cambria Math" w:hAnsi="Cambria Math" w:cs="Arial"/>
                <w:sz w:val="24"/>
                <w:szCs w:val="24"/>
              </w:rPr>
              <m:t>X</m:t>
            </m:r>
          </m:e>
          <m:sub>
            <m:r>
              <w:rPr>
                <w:rFonts w:ascii="Cambria Math" w:hAnsi="Cambria Math" w:cs="Arial"/>
                <w:sz w:val="24"/>
                <w:szCs w:val="24"/>
              </w:rPr>
              <m:t>3</m:t>
            </m:r>
          </m:sub>
        </m:sSub>
      </m:oMath>
      <w:r w:rsidRPr="000801BB">
        <w:rPr>
          <w:rFonts w:ascii="Arial" w:hAnsi="Arial" w:cs="Arial"/>
          <w:sz w:val="24"/>
          <w:szCs w:val="24"/>
        </w:rPr>
        <w:t>= EBIT / Total Assets;</w:t>
      </w:r>
      <w:r w:rsidRPr="000801BB">
        <w:rPr>
          <w:rFonts w:ascii="Arial" w:hAnsi="Arial" w:cs="Arial"/>
          <w:sz w:val="24"/>
          <w:szCs w:val="24"/>
        </w:rPr>
        <w:br/>
      </w:r>
      <m:oMath>
        <m:sSub>
          <m:sSubPr>
            <m:ctrlPr>
              <w:rPr>
                <w:rFonts w:ascii="Cambria Math" w:hAnsi="Cambria Math" w:cs="Arial"/>
                <w:sz w:val="24"/>
                <w:szCs w:val="24"/>
              </w:rPr>
            </m:ctrlPr>
          </m:sSubPr>
          <m:e>
            <m:r>
              <w:rPr>
                <w:rFonts w:ascii="Cambria Math" w:hAnsi="Cambria Math" w:cs="Arial"/>
                <w:sz w:val="24"/>
                <w:szCs w:val="24"/>
              </w:rPr>
              <m:t>X</m:t>
            </m:r>
          </m:e>
          <m:sub>
            <m:r>
              <w:rPr>
                <w:rFonts w:ascii="Cambria Math" w:hAnsi="Cambria Math" w:cs="Arial"/>
                <w:sz w:val="24"/>
                <w:szCs w:val="24"/>
              </w:rPr>
              <m:t>4</m:t>
            </m:r>
          </m:sub>
        </m:sSub>
      </m:oMath>
      <w:r w:rsidRPr="000801BB">
        <w:rPr>
          <w:rFonts w:ascii="Arial" w:hAnsi="Arial" w:cs="Arial"/>
          <w:sz w:val="24"/>
          <w:szCs w:val="24"/>
        </w:rPr>
        <w:t>= Market Value of Equity / Total Liabilities;</w:t>
      </w:r>
      <w:r w:rsidRPr="000801BB">
        <w:rPr>
          <w:rFonts w:ascii="Arial" w:hAnsi="Arial" w:cs="Arial"/>
          <w:sz w:val="24"/>
          <w:szCs w:val="24"/>
        </w:rPr>
        <w:br/>
      </w:r>
      <m:oMath>
        <m:sSub>
          <m:sSubPr>
            <m:ctrlPr>
              <w:rPr>
                <w:rFonts w:ascii="Cambria Math" w:hAnsi="Cambria Math" w:cs="Arial"/>
                <w:sz w:val="24"/>
                <w:szCs w:val="24"/>
              </w:rPr>
            </m:ctrlPr>
          </m:sSubPr>
          <m:e>
            <m:r>
              <w:rPr>
                <w:rFonts w:ascii="Cambria Math" w:hAnsi="Cambria Math" w:cs="Arial"/>
                <w:sz w:val="24"/>
                <w:szCs w:val="24"/>
              </w:rPr>
              <m:t>X</m:t>
            </m:r>
          </m:e>
          <m:sub>
            <m:r>
              <w:rPr>
                <w:rFonts w:ascii="Cambria Math" w:hAnsi="Cambria Math" w:cs="Arial"/>
                <w:sz w:val="24"/>
                <w:szCs w:val="24"/>
              </w:rPr>
              <m:t>5</m:t>
            </m:r>
          </m:sub>
        </m:sSub>
      </m:oMath>
      <w:r w:rsidRPr="000801BB">
        <w:rPr>
          <w:rFonts w:ascii="Arial" w:hAnsi="Arial" w:cs="Arial"/>
          <w:sz w:val="24"/>
          <w:szCs w:val="24"/>
        </w:rPr>
        <w:t>= Sales / Total Assets.</w:t>
      </w:r>
    </w:p>
    <w:p w14:paraId="08519001" w14:textId="1B4BE7DB" w:rsidR="002B49ED" w:rsidRDefault="00EE43CE" w:rsidP="000801BB">
      <w:pPr>
        <w:spacing w:line="360" w:lineRule="auto"/>
        <w:rPr>
          <w:rFonts w:ascii="Arial" w:hAnsi="Arial" w:cs="Arial"/>
          <w:sz w:val="24"/>
          <w:szCs w:val="24"/>
        </w:rPr>
      </w:pPr>
      <w:r w:rsidRPr="000801BB">
        <w:rPr>
          <w:rFonts w:ascii="Arial" w:hAnsi="Arial" w:cs="Arial"/>
          <w:b/>
          <w:bCs/>
          <w:sz w:val="24"/>
          <w:szCs w:val="24"/>
        </w:rPr>
        <w:t>2024 values:</w:t>
      </w:r>
      <w:r w:rsidRPr="000801BB">
        <w:rPr>
          <w:rFonts w:ascii="Arial" w:hAnsi="Arial" w:cs="Arial"/>
          <w:sz w:val="24"/>
          <w:szCs w:val="24"/>
        </w:rPr>
        <w:br/>
      </w:r>
      <w:r w:rsidR="002B49ED" w:rsidRPr="002B49ED">
        <w:rPr>
          <w:rFonts w:ascii="Arial" w:hAnsi="Arial" w:cs="Arial"/>
          <w:sz w:val="24"/>
          <w:szCs w:val="24"/>
        </w:rPr>
        <w:t xml:space="preserve">Working capital = </w:t>
      </w:r>
      <w:r w:rsidR="002B49ED" w:rsidRPr="000801BB">
        <w:rPr>
          <w:rFonts w:ascii="Arial" w:hAnsi="Arial" w:cs="Arial"/>
          <w:sz w:val="24"/>
          <w:szCs w:val="24"/>
        </w:rPr>
        <w:t>£</w:t>
      </w:r>
      <w:r w:rsidR="002B49ED" w:rsidRPr="002B49ED">
        <w:rPr>
          <w:rFonts w:ascii="Arial" w:hAnsi="Arial" w:cs="Arial"/>
          <w:sz w:val="24"/>
          <w:szCs w:val="24"/>
        </w:rPr>
        <w:t xml:space="preserve">84, 203 m; total assets = </w:t>
      </w:r>
      <w:r w:rsidR="002B49ED" w:rsidRPr="000801BB">
        <w:rPr>
          <w:rFonts w:ascii="Arial" w:hAnsi="Arial" w:cs="Arial"/>
          <w:sz w:val="24"/>
          <w:szCs w:val="24"/>
        </w:rPr>
        <w:t>£</w:t>
      </w:r>
      <w:r w:rsidR="002B49ED" w:rsidRPr="002B49ED">
        <w:rPr>
          <w:rFonts w:ascii="Arial" w:hAnsi="Arial" w:cs="Arial"/>
          <w:sz w:val="24"/>
          <w:szCs w:val="24"/>
        </w:rPr>
        <w:t xml:space="preserve">323,354 m; retained earnings = </w:t>
      </w:r>
      <w:r w:rsidR="002B49ED" w:rsidRPr="000801BB">
        <w:rPr>
          <w:rFonts w:ascii="Arial" w:hAnsi="Arial" w:cs="Arial"/>
          <w:sz w:val="24"/>
          <w:szCs w:val="24"/>
        </w:rPr>
        <w:t>£</w:t>
      </w:r>
      <w:r w:rsidR="002B49ED" w:rsidRPr="002B49ED">
        <w:rPr>
          <w:rFonts w:ascii="Arial" w:hAnsi="Arial" w:cs="Arial"/>
          <w:sz w:val="24"/>
          <w:szCs w:val="24"/>
        </w:rPr>
        <w:t>208,431 m; EBIT = -</w:t>
      </w:r>
      <w:r w:rsidR="002B49ED" w:rsidRPr="000801BB">
        <w:rPr>
          <w:rFonts w:ascii="Arial" w:hAnsi="Arial" w:cs="Arial"/>
          <w:sz w:val="24"/>
          <w:szCs w:val="24"/>
        </w:rPr>
        <w:t>£</w:t>
      </w:r>
      <w:r w:rsidR="002B49ED" w:rsidRPr="002B49ED">
        <w:rPr>
          <w:rFonts w:ascii="Arial" w:hAnsi="Arial" w:cs="Arial"/>
          <w:sz w:val="24"/>
          <w:szCs w:val="24"/>
        </w:rPr>
        <w:t xml:space="preserve">15,297 m; market value of equity = </w:t>
      </w:r>
      <w:r w:rsidR="002B49ED" w:rsidRPr="000801BB">
        <w:rPr>
          <w:rFonts w:ascii="Arial" w:hAnsi="Arial" w:cs="Arial"/>
          <w:sz w:val="24"/>
          <w:szCs w:val="24"/>
        </w:rPr>
        <w:t>£</w:t>
      </w:r>
      <w:r w:rsidR="002B49ED" w:rsidRPr="002B49ED">
        <w:rPr>
          <w:rFonts w:ascii="Arial" w:hAnsi="Arial" w:cs="Arial"/>
          <w:sz w:val="24"/>
          <w:szCs w:val="24"/>
        </w:rPr>
        <w:t xml:space="preserve">153,105 m; total liabilities = </w:t>
      </w:r>
      <w:r w:rsidR="002B49ED" w:rsidRPr="000801BB">
        <w:rPr>
          <w:rFonts w:ascii="Arial" w:hAnsi="Arial" w:cs="Arial"/>
          <w:sz w:val="24"/>
          <w:szCs w:val="24"/>
        </w:rPr>
        <w:t>£</w:t>
      </w:r>
      <w:r w:rsidR="002B49ED" w:rsidRPr="002B49ED">
        <w:rPr>
          <w:rFonts w:ascii="Arial" w:hAnsi="Arial" w:cs="Arial"/>
          <w:sz w:val="24"/>
          <w:szCs w:val="24"/>
        </w:rPr>
        <w:t xml:space="preserve">170,249 m; sales = </w:t>
      </w:r>
      <w:r w:rsidR="002B49ED" w:rsidRPr="000801BB">
        <w:rPr>
          <w:rFonts w:ascii="Arial" w:hAnsi="Arial" w:cs="Arial"/>
          <w:sz w:val="24"/>
          <w:szCs w:val="24"/>
        </w:rPr>
        <w:t>£</w:t>
      </w:r>
      <w:r w:rsidR="002B49ED" w:rsidRPr="002B49ED">
        <w:rPr>
          <w:rFonts w:ascii="Arial" w:hAnsi="Arial" w:cs="Arial"/>
          <w:sz w:val="24"/>
          <w:szCs w:val="24"/>
        </w:rPr>
        <w:t xml:space="preserve">394,879 m. </w:t>
      </w:r>
    </w:p>
    <w:p w14:paraId="03ECAB5D" w14:textId="501EA9B9" w:rsidR="002B49ED" w:rsidRDefault="002B49ED" w:rsidP="000801BB">
      <w:pPr>
        <w:spacing w:line="360" w:lineRule="auto"/>
        <w:rPr>
          <w:rFonts w:ascii="Arial" w:hAnsi="Arial" w:cs="Arial"/>
          <w:sz w:val="24"/>
          <w:szCs w:val="24"/>
        </w:rPr>
      </w:pPr>
      <w:r w:rsidRPr="002B49ED">
        <w:rPr>
          <w:rFonts w:ascii="Arial" w:hAnsi="Arial" w:cs="Arial"/>
          <w:sz w:val="24"/>
          <w:szCs w:val="24"/>
        </w:rPr>
        <w:t>Z</w:t>
      </w:r>
      <w:r>
        <w:rPr>
          <w:rFonts w:ascii="Arial" w:hAnsi="Arial" w:cs="Arial"/>
          <w:sz w:val="24"/>
          <w:szCs w:val="24"/>
        </w:rPr>
        <w:t xml:space="preserve"> </w:t>
      </w:r>
      <m:oMath>
        <m:r>
          <w:rPr>
            <w:rFonts w:ascii="Cambria Math" w:hAnsi="Cambria Math" w:cs="Arial"/>
            <w:sz w:val="24"/>
            <w:szCs w:val="24"/>
          </w:rPr>
          <m:t>≈</m:t>
        </m:r>
      </m:oMath>
      <w:r w:rsidRPr="002B49ED">
        <w:rPr>
          <w:rFonts w:ascii="Arial" w:hAnsi="Arial" w:cs="Arial"/>
          <w:sz w:val="24"/>
          <w:szCs w:val="24"/>
        </w:rPr>
        <w:t>1.2(0.26)+1.4(0.64)+3.3(</w:t>
      </w:r>
      <m:oMath>
        <m:r>
          <m:rPr>
            <m:nor/>
          </m:rPr>
          <w:rPr>
            <w:rFonts w:ascii="Arial" w:hAnsi="Arial" w:cs="Arial"/>
            <w:sz w:val="24"/>
            <w:szCs w:val="24"/>
          </w:rPr>
          <m:t>–</m:t>
        </m:r>
      </m:oMath>
      <w:r w:rsidRPr="002B49ED">
        <w:rPr>
          <w:rFonts w:ascii="Arial" w:hAnsi="Arial" w:cs="Arial"/>
          <w:sz w:val="24"/>
          <w:szCs w:val="24"/>
        </w:rPr>
        <w:t xml:space="preserve"> 0.047)+0.6(0.9)+1(1.22)=2.19. </w:t>
      </w:r>
    </w:p>
    <w:p w14:paraId="2E4F2F20" w14:textId="3C0E1948" w:rsidR="002B49ED" w:rsidRPr="000801BB" w:rsidRDefault="002B49ED" w:rsidP="000801BB">
      <w:pPr>
        <w:spacing w:line="360" w:lineRule="auto"/>
        <w:rPr>
          <w:rFonts w:ascii="Arial" w:hAnsi="Arial" w:cs="Arial"/>
          <w:sz w:val="24"/>
          <w:szCs w:val="24"/>
        </w:rPr>
      </w:pPr>
      <w:r w:rsidRPr="002B49ED">
        <w:rPr>
          <w:rFonts w:ascii="Arial" w:hAnsi="Arial" w:cs="Arial"/>
          <w:sz w:val="24"/>
          <w:szCs w:val="24"/>
        </w:rPr>
        <w:t>GE has a score of 2.19 in the grey zone, which implies that it is financially stressed but not insolvent yet. This decrease of 3.0 in 2020 is an indicator of a declining solvency perspective that requires strategic re-organization.</w:t>
      </w:r>
    </w:p>
    <w:p w14:paraId="5E0FB042" w14:textId="77777777" w:rsidR="00EE43CE" w:rsidRPr="000801BB" w:rsidRDefault="00EE43CE" w:rsidP="000801BB">
      <w:pPr>
        <w:spacing w:line="360" w:lineRule="auto"/>
        <w:rPr>
          <w:rFonts w:ascii="Arial" w:hAnsi="Arial" w:cs="Arial"/>
          <w:b/>
          <w:bCs/>
          <w:sz w:val="24"/>
          <w:szCs w:val="24"/>
        </w:rPr>
      </w:pPr>
      <w:r w:rsidRPr="000801BB">
        <w:rPr>
          <w:rFonts w:ascii="Arial" w:hAnsi="Arial" w:cs="Arial"/>
          <w:b/>
          <w:bCs/>
          <w:sz w:val="24"/>
          <w:szCs w:val="24"/>
        </w:rPr>
        <w:t>2.8 Financial Health Summary</w:t>
      </w:r>
    </w:p>
    <w:p w14:paraId="1C3160FC" w14:textId="71661C0B" w:rsidR="00FF79FE" w:rsidRPr="000801BB" w:rsidRDefault="00FF79FE" w:rsidP="000801BB">
      <w:pPr>
        <w:spacing w:line="360" w:lineRule="auto"/>
        <w:rPr>
          <w:rFonts w:ascii="Arial" w:hAnsi="Arial" w:cs="Arial"/>
          <w:sz w:val="24"/>
          <w:szCs w:val="24"/>
        </w:rPr>
      </w:pPr>
      <w:r w:rsidRPr="00FF79FE">
        <w:rPr>
          <w:rFonts w:ascii="Arial" w:hAnsi="Arial" w:cs="Arial"/>
          <w:sz w:val="24"/>
          <w:szCs w:val="24"/>
        </w:rPr>
        <w:t>In general, GE is not bankrupt but in bad health. The company has become less profitable, its liquidity position is tight and the leverage has increased. Nevertheless, the gross margins that are not decreasing and positive cash flow give some grounds to recover. There should be short-term priorities which are:</w:t>
      </w:r>
    </w:p>
    <w:p w14:paraId="2AEF08E0" w14:textId="77777777" w:rsidR="00FF79FE" w:rsidRPr="00FF79FE" w:rsidRDefault="00FF79FE" w:rsidP="00FF79FE">
      <w:pPr>
        <w:pStyle w:val="ListParagraph"/>
        <w:numPr>
          <w:ilvl w:val="0"/>
          <w:numId w:val="31"/>
        </w:numPr>
        <w:spacing w:line="360" w:lineRule="auto"/>
        <w:rPr>
          <w:rFonts w:ascii="Arial" w:hAnsi="Arial" w:cs="Arial"/>
          <w:sz w:val="24"/>
          <w:szCs w:val="24"/>
        </w:rPr>
      </w:pPr>
      <w:r w:rsidRPr="00FF79FE">
        <w:rPr>
          <w:rFonts w:ascii="Arial" w:hAnsi="Arial" w:cs="Arial"/>
          <w:sz w:val="24"/>
          <w:szCs w:val="24"/>
        </w:rPr>
        <w:t xml:space="preserve">Reduction in costs and operational effectiveness. </w:t>
      </w:r>
    </w:p>
    <w:p w14:paraId="0332F022" w14:textId="77777777" w:rsidR="00FF79FE" w:rsidRPr="00FF79FE" w:rsidRDefault="00FF79FE" w:rsidP="00FF79FE">
      <w:pPr>
        <w:pStyle w:val="ListParagraph"/>
        <w:numPr>
          <w:ilvl w:val="0"/>
          <w:numId w:val="31"/>
        </w:numPr>
        <w:spacing w:line="360" w:lineRule="auto"/>
        <w:rPr>
          <w:rFonts w:ascii="Arial" w:hAnsi="Arial" w:cs="Arial"/>
          <w:sz w:val="24"/>
          <w:szCs w:val="24"/>
        </w:rPr>
      </w:pPr>
      <w:r w:rsidRPr="00FF79FE">
        <w:rPr>
          <w:rFonts w:ascii="Arial" w:hAnsi="Arial" w:cs="Arial"/>
          <w:sz w:val="24"/>
          <w:szCs w:val="24"/>
        </w:rPr>
        <w:t xml:space="preserve">Restructuring of debt to relieve interest pressure. </w:t>
      </w:r>
    </w:p>
    <w:p w14:paraId="43D11BBB" w14:textId="77777777" w:rsidR="00FF79FE" w:rsidRPr="00FF79FE" w:rsidRDefault="00FF79FE" w:rsidP="00FF79FE">
      <w:pPr>
        <w:pStyle w:val="ListParagraph"/>
        <w:numPr>
          <w:ilvl w:val="0"/>
          <w:numId w:val="31"/>
        </w:numPr>
        <w:spacing w:line="360" w:lineRule="auto"/>
        <w:rPr>
          <w:rFonts w:ascii="Arial" w:hAnsi="Arial" w:cs="Arial"/>
          <w:sz w:val="24"/>
          <w:szCs w:val="24"/>
        </w:rPr>
      </w:pPr>
      <w:r w:rsidRPr="00FF79FE">
        <w:rPr>
          <w:rFonts w:ascii="Arial" w:hAnsi="Arial" w:cs="Arial"/>
          <w:sz w:val="24"/>
          <w:szCs w:val="24"/>
        </w:rPr>
        <w:t xml:space="preserve">Better inventory management and control. </w:t>
      </w:r>
    </w:p>
    <w:p w14:paraId="29EDC3E5" w14:textId="54330199" w:rsidR="00EE43CE" w:rsidRPr="00FF79FE" w:rsidRDefault="00FF79FE" w:rsidP="00FF79FE">
      <w:pPr>
        <w:pStyle w:val="ListParagraph"/>
        <w:numPr>
          <w:ilvl w:val="0"/>
          <w:numId w:val="31"/>
        </w:numPr>
        <w:spacing w:line="360" w:lineRule="auto"/>
        <w:rPr>
          <w:rFonts w:ascii="Arial" w:hAnsi="Arial" w:cs="Arial"/>
          <w:sz w:val="24"/>
          <w:szCs w:val="24"/>
        </w:rPr>
      </w:pPr>
      <w:r w:rsidRPr="00FF79FE">
        <w:rPr>
          <w:rFonts w:ascii="Arial" w:hAnsi="Arial" w:cs="Arial"/>
          <w:sz w:val="24"/>
          <w:szCs w:val="24"/>
        </w:rPr>
        <w:t>Investment on low risk, high returns projects to replenish profitability.</w:t>
      </w:r>
    </w:p>
    <w:p w14:paraId="08B91322" w14:textId="77777777" w:rsidR="004E254F" w:rsidRPr="000801BB" w:rsidRDefault="004E254F" w:rsidP="000801BB">
      <w:pPr>
        <w:spacing w:line="360" w:lineRule="auto"/>
        <w:rPr>
          <w:rFonts w:ascii="Arial" w:hAnsi="Arial" w:cs="Arial"/>
          <w:b/>
          <w:bCs/>
          <w:sz w:val="24"/>
          <w:szCs w:val="24"/>
        </w:rPr>
      </w:pPr>
      <w:r w:rsidRPr="000801BB">
        <w:rPr>
          <w:rFonts w:ascii="Arial" w:hAnsi="Arial" w:cs="Arial"/>
          <w:b/>
          <w:bCs/>
          <w:sz w:val="24"/>
          <w:szCs w:val="24"/>
        </w:rPr>
        <w:t>3.0 Working Capital Management Analysis</w:t>
      </w:r>
    </w:p>
    <w:p w14:paraId="14922660" w14:textId="77777777" w:rsidR="00FF79FE" w:rsidRDefault="00FF79FE" w:rsidP="000801BB">
      <w:pPr>
        <w:spacing w:line="360" w:lineRule="auto"/>
        <w:rPr>
          <w:rFonts w:ascii="Arial" w:hAnsi="Arial" w:cs="Arial"/>
          <w:sz w:val="24"/>
          <w:szCs w:val="24"/>
        </w:rPr>
      </w:pPr>
      <w:r w:rsidRPr="00FF79FE">
        <w:rPr>
          <w:rFonts w:ascii="Arial" w:hAnsi="Arial" w:cs="Arial"/>
          <w:sz w:val="24"/>
          <w:szCs w:val="24"/>
        </w:rPr>
        <w:t>The working capital management is very essential in ensuring that GE survives in the face of tightening liquidity. The working capital (the difference between the current liabilities and assets) guarantees the continuity of operations and flexibility of finances (Brigham and Ehrhardt, 2022). In 2024, the current ratio of 1.53 and quick ratio of 0.84 in GE indicate the unavailability of a large liquidity buffer. Although the company ensures good cash flows, the increased receivables and lengthy inventory cycles have locked in high levels of cash in operations, making it less agile in the short-term as well as more reliant on external borrowing.</w:t>
      </w:r>
    </w:p>
    <w:p w14:paraId="6E84F254" w14:textId="7EB22DC0" w:rsidR="004E254F" w:rsidRPr="000801BB" w:rsidRDefault="004E254F" w:rsidP="000801BB">
      <w:pPr>
        <w:spacing w:line="360" w:lineRule="auto"/>
        <w:rPr>
          <w:rFonts w:ascii="Arial" w:hAnsi="Arial" w:cs="Arial"/>
          <w:b/>
          <w:bCs/>
          <w:sz w:val="24"/>
          <w:szCs w:val="24"/>
        </w:rPr>
      </w:pPr>
      <w:r w:rsidRPr="000801BB">
        <w:rPr>
          <w:rFonts w:ascii="Arial" w:hAnsi="Arial" w:cs="Arial"/>
          <w:b/>
          <w:bCs/>
          <w:sz w:val="24"/>
          <w:szCs w:val="24"/>
        </w:rPr>
        <w:t>3.1 Cash Conversion Cycle</w:t>
      </w:r>
    </w:p>
    <w:p w14:paraId="7D5166B7" w14:textId="77777777" w:rsidR="004E254F" w:rsidRPr="000801BB" w:rsidRDefault="004E254F" w:rsidP="000801BB">
      <w:pPr>
        <w:spacing w:line="360" w:lineRule="auto"/>
        <w:rPr>
          <w:rFonts w:ascii="Arial" w:hAnsi="Arial" w:cs="Arial"/>
          <w:sz w:val="24"/>
          <w:szCs w:val="24"/>
        </w:rPr>
      </w:pPr>
      <w:r w:rsidRPr="000801BB">
        <w:rPr>
          <w:rFonts w:ascii="Arial" w:hAnsi="Arial" w:cs="Arial"/>
          <w:sz w:val="24"/>
          <w:szCs w:val="24"/>
        </w:rPr>
        <w:lastRenderedPageBreak/>
        <w:t>The Cash Conversion Cycle (CCC) measures how effectively GE transforms resources into cash (Gitman &amp; Zutter, 2019):</w:t>
      </w:r>
    </w:p>
    <w:p w14:paraId="36DE7164" w14:textId="02D5AA57" w:rsidR="004E254F" w:rsidRPr="000801BB" w:rsidRDefault="004E254F" w:rsidP="000801BB">
      <w:pPr>
        <w:spacing w:line="360" w:lineRule="auto"/>
        <w:rPr>
          <w:rFonts w:ascii="Arial" w:hAnsi="Arial" w:cs="Arial"/>
          <w:b/>
          <w:bCs/>
          <w:sz w:val="24"/>
          <w:szCs w:val="24"/>
        </w:rPr>
      </w:pPr>
      <m:oMathPara>
        <m:oMath>
          <m:r>
            <m:rPr>
              <m:sty m:val="bi"/>
            </m:rPr>
            <w:rPr>
              <w:rFonts w:ascii="Cambria Math" w:hAnsi="Cambria Math" w:cs="Arial"/>
              <w:sz w:val="24"/>
              <w:szCs w:val="24"/>
            </w:rPr>
            <m:t>CCC=DIO+DSO-DPO</m:t>
          </m:r>
          <m:r>
            <m:rPr>
              <m:sty m:val="bi"/>
            </m:rPr>
            <w:rPr>
              <w:rFonts w:ascii="Cambria Math" w:hAnsi="Cambria Math" w:cs="Arial"/>
              <w:sz w:val="24"/>
              <w:szCs w:val="24"/>
            </w:rPr>
            <w:br/>
          </m:r>
        </m:oMath>
      </m:oMathPara>
    </w:p>
    <w:tbl>
      <w:tblPr>
        <w:tblStyle w:val="TableGrid"/>
        <w:tblW w:w="0" w:type="auto"/>
        <w:tblLook w:val="04A0" w:firstRow="1" w:lastRow="0" w:firstColumn="1" w:lastColumn="0" w:noHBand="0" w:noVBand="1"/>
      </w:tblPr>
      <w:tblGrid>
        <w:gridCol w:w="750"/>
        <w:gridCol w:w="643"/>
        <w:gridCol w:w="737"/>
        <w:gridCol w:w="737"/>
        <w:gridCol w:w="1510"/>
      </w:tblGrid>
      <w:tr w:rsidR="004E254F" w:rsidRPr="000801BB" w14:paraId="267F6317" w14:textId="77777777" w:rsidTr="004E254F">
        <w:tc>
          <w:tcPr>
            <w:tcW w:w="0" w:type="auto"/>
            <w:hideMark/>
          </w:tcPr>
          <w:p w14:paraId="0EB0ED5C" w14:textId="77777777" w:rsidR="004E254F" w:rsidRPr="000801BB" w:rsidRDefault="004E254F" w:rsidP="000801BB">
            <w:pPr>
              <w:spacing w:after="160" w:line="360" w:lineRule="auto"/>
              <w:rPr>
                <w:rFonts w:ascii="Arial" w:hAnsi="Arial" w:cs="Arial"/>
                <w:sz w:val="24"/>
                <w:szCs w:val="24"/>
              </w:rPr>
            </w:pPr>
            <w:r w:rsidRPr="000801BB">
              <w:rPr>
                <w:rFonts w:ascii="Arial" w:hAnsi="Arial" w:cs="Arial"/>
                <w:sz w:val="24"/>
                <w:szCs w:val="24"/>
              </w:rPr>
              <w:t>Year</w:t>
            </w:r>
          </w:p>
        </w:tc>
        <w:tc>
          <w:tcPr>
            <w:tcW w:w="0" w:type="auto"/>
            <w:hideMark/>
          </w:tcPr>
          <w:p w14:paraId="348EA8B5" w14:textId="77777777" w:rsidR="004E254F" w:rsidRPr="000801BB" w:rsidRDefault="004E254F" w:rsidP="000801BB">
            <w:pPr>
              <w:spacing w:after="160" w:line="360" w:lineRule="auto"/>
              <w:rPr>
                <w:rFonts w:ascii="Arial" w:hAnsi="Arial" w:cs="Arial"/>
                <w:sz w:val="24"/>
                <w:szCs w:val="24"/>
              </w:rPr>
            </w:pPr>
            <w:r w:rsidRPr="000801BB">
              <w:rPr>
                <w:rFonts w:ascii="Arial" w:hAnsi="Arial" w:cs="Arial"/>
                <w:sz w:val="24"/>
                <w:szCs w:val="24"/>
              </w:rPr>
              <w:t>DIO</w:t>
            </w:r>
          </w:p>
        </w:tc>
        <w:tc>
          <w:tcPr>
            <w:tcW w:w="0" w:type="auto"/>
            <w:hideMark/>
          </w:tcPr>
          <w:p w14:paraId="5FEAE9C4" w14:textId="77777777" w:rsidR="004E254F" w:rsidRPr="000801BB" w:rsidRDefault="004E254F" w:rsidP="000801BB">
            <w:pPr>
              <w:spacing w:after="160" w:line="360" w:lineRule="auto"/>
              <w:rPr>
                <w:rFonts w:ascii="Arial" w:hAnsi="Arial" w:cs="Arial"/>
                <w:sz w:val="24"/>
                <w:szCs w:val="24"/>
              </w:rPr>
            </w:pPr>
            <w:r w:rsidRPr="000801BB">
              <w:rPr>
                <w:rFonts w:ascii="Arial" w:hAnsi="Arial" w:cs="Arial"/>
                <w:sz w:val="24"/>
                <w:szCs w:val="24"/>
              </w:rPr>
              <w:t>DSO</w:t>
            </w:r>
          </w:p>
        </w:tc>
        <w:tc>
          <w:tcPr>
            <w:tcW w:w="0" w:type="auto"/>
            <w:hideMark/>
          </w:tcPr>
          <w:p w14:paraId="5216DF04" w14:textId="77777777" w:rsidR="004E254F" w:rsidRPr="000801BB" w:rsidRDefault="004E254F" w:rsidP="000801BB">
            <w:pPr>
              <w:spacing w:after="160" w:line="360" w:lineRule="auto"/>
              <w:rPr>
                <w:rFonts w:ascii="Arial" w:hAnsi="Arial" w:cs="Arial"/>
                <w:sz w:val="24"/>
                <w:szCs w:val="24"/>
              </w:rPr>
            </w:pPr>
            <w:r w:rsidRPr="000801BB">
              <w:rPr>
                <w:rFonts w:ascii="Arial" w:hAnsi="Arial" w:cs="Arial"/>
                <w:sz w:val="24"/>
                <w:szCs w:val="24"/>
              </w:rPr>
              <w:t>DPO</w:t>
            </w:r>
          </w:p>
        </w:tc>
        <w:tc>
          <w:tcPr>
            <w:tcW w:w="0" w:type="auto"/>
            <w:hideMark/>
          </w:tcPr>
          <w:p w14:paraId="52767BFC" w14:textId="77777777" w:rsidR="004E254F" w:rsidRPr="000801BB" w:rsidRDefault="004E254F" w:rsidP="000801BB">
            <w:pPr>
              <w:spacing w:after="160" w:line="360" w:lineRule="auto"/>
              <w:rPr>
                <w:rFonts w:ascii="Arial" w:hAnsi="Arial" w:cs="Arial"/>
                <w:sz w:val="24"/>
                <w:szCs w:val="24"/>
              </w:rPr>
            </w:pPr>
            <w:r w:rsidRPr="000801BB">
              <w:rPr>
                <w:rFonts w:ascii="Arial" w:hAnsi="Arial" w:cs="Arial"/>
                <w:sz w:val="24"/>
                <w:szCs w:val="24"/>
              </w:rPr>
              <w:t>CCC (Days)</w:t>
            </w:r>
          </w:p>
        </w:tc>
      </w:tr>
      <w:tr w:rsidR="004E254F" w:rsidRPr="000801BB" w14:paraId="71A60EB4" w14:textId="77777777" w:rsidTr="004E254F">
        <w:tc>
          <w:tcPr>
            <w:tcW w:w="0" w:type="auto"/>
            <w:hideMark/>
          </w:tcPr>
          <w:p w14:paraId="00093C75" w14:textId="77777777" w:rsidR="004E254F" w:rsidRPr="000801BB" w:rsidRDefault="004E254F" w:rsidP="000801BB">
            <w:pPr>
              <w:spacing w:after="160" w:line="360" w:lineRule="auto"/>
              <w:rPr>
                <w:rFonts w:ascii="Arial" w:hAnsi="Arial" w:cs="Arial"/>
                <w:sz w:val="24"/>
                <w:szCs w:val="24"/>
              </w:rPr>
            </w:pPr>
            <w:r w:rsidRPr="000801BB">
              <w:rPr>
                <w:rFonts w:ascii="Arial" w:hAnsi="Arial" w:cs="Arial"/>
                <w:sz w:val="24"/>
                <w:szCs w:val="24"/>
              </w:rPr>
              <w:t>2020</w:t>
            </w:r>
          </w:p>
        </w:tc>
        <w:tc>
          <w:tcPr>
            <w:tcW w:w="0" w:type="auto"/>
            <w:hideMark/>
          </w:tcPr>
          <w:p w14:paraId="7D60F279" w14:textId="77777777" w:rsidR="004E254F" w:rsidRPr="000801BB" w:rsidRDefault="004E254F" w:rsidP="000801BB">
            <w:pPr>
              <w:spacing w:after="160" w:line="360" w:lineRule="auto"/>
              <w:rPr>
                <w:rFonts w:ascii="Arial" w:hAnsi="Arial" w:cs="Arial"/>
                <w:sz w:val="24"/>
                <w:szCs w:val="24"/>
              </w:rPr>
            </w:pPr>
            <w:r w:rsidRPr="000801BB">
              <w:rPr>
                <w:rFonts w:ascii="Arial" w:hAnsi="Arial" w:cs="Arial"/>
                <w:sz w:val="24"/>
                <w:szCs w:val="24"/>
              </w:rPr>
              <w:t>100</w:t>
            </w:r>
          </w:p>
        </w:tc>
        <w:tc>
          <w:tcPr>
            <w:tcW w:w="0" w:type="auto"/>
            <w:hideMark/>
          </w:tcPr>
          <w:p w14:paraId="0B42FEFA" w14:textId="77777777" w:rsidR="004E254F" w:rsidRPr="000801BB" w:rsidRDefault="004E254F" w:rsidP="000801BB">
            <w:pPr>
              <w:spacing w:after="160" w:line="360" w:lineRule="auto"/>
              <w:rPr>
                <w:rFonts w:ascii="Arial" w:hAnsi="Arial" w:cs="Arial"/>
                <w:sz w:val="24"/>
                <w:szCs w:val="24"/>
              </w:rPr>
            </w:pPr>
            <w:r w:rsidRPr="000801BB">
              <w:rPr>
                <w:rFonts w:ascii="Arial" w:hAnsi="Arial" w:cs="Arial"/>
                <w:sz w:val="24"/>
                <w:szCs w:val="24"/>
              </w:rPr>
              <w:t>77</w:t>
            </w:r>
          </w:p>
        </w:tc>
        <w:tc>
          <w:tcPr>
            <w:tcW w:w="0" w:type="auto"/>
            <w:hideMark/>
          </w:tcPr>
          <w:p w14:paraId="243C770B" w14:textId="77777777" w:rsidR="004E254F" w:rsidRPr="000801BB" w:rsidRDefault="004E254F" w:rsidP="000801BB">
            <w:pPr>
              <w:spacing w:after="160" w:line="360" w:lineRule="auto"/>
              <w:rPr>
                <w:rFonts w:ascii="Arial" w:hAnsi="Arial" w:cs="Arial"/>
                <w:sz w:val="24"/>
                <w:szCs w:val="24"/>
              </w:rPr>
            </w:pPr>
            <w:r w:rsidRPr="000801BB">
              <w:rPr>
                <w:rFonts w:ascii="Arial" w:hAnsi="Arial" w:cs="Arial"/>
                <w:sz w:val="24"/>
                <w:szCs w:val="24"/>
              </w:rPr>
              <w:t>48</w:t>
            </w:r>
          </w:p>
        </w:tc>
        <w:tc>
          <w:tcPr>
            <w:tcW w:w="0" w:type="auto"/>
            <w:hideMark/>
          </w:tcPr>
          <w:p w14:paraId="3EAF99A4" w14:textId="77777777" w:rsidR="004E254F" w:rsidRPr="000801BB" w:rsidRDefault="004E254F" w:rsidP="000801BB">
            <w:pPr>
              <w:spacing w:after="160" w:line="360" w:lineRule="auto"/>
              <w:rPr>
                <w:rFonts w:ascii="Arial" w:hAnsi="Arial" w:cs="Arial"/>
                <w:sz w:val="24"/>
                <w:szCs w:val="24"/>
              </w:rPr>
            </w:pPr>
            <w:r w:rsidRPr="000801BB">
              <w:rPr>
                <w:rFonts w:ascii="Arial" w:hAnsi="Arial" w:cs="Arial"/>
                <w:sz w:val="24"/>
                <w:szCs w:val="24"/>
              </w:rPr>
              <w:t>129</w:t>
            </w:r>
          </w:p>
        </w:tc>
      </w:tr>
      <w:tr w:rsidR="004E254F" w:rsidRPr="000801BB" w14:paraId="1323FCC4" w14:textId="77777777" w:rsidTr="004E254F">
        <w:tc>
          <w:tcPr>
            <w:tcW w:w="0" w:type="auto"/>
            <w:hideMark/>
          </w:tcPr>
          <w:p w14:paraId="0A8EFF56" w14:textId="77777777" w:rsidR="004E254F" w:rsidRPr="000801BB" w:rsidRDefault="004E254F" w:rsidP="000801BB">
            <w:pPr>
              <w:spacing w:after="160" w:line="360" w:lineRule="auto"/>
              <w:rPr>
                <w:rFonts w:ascii="Arial" w:hAnsi="Arial" w:cs="Arial"/>
                <w:sz w:val="24"/>
                <w:szCs w:val="24"/>
              </w:rPr>
            </w:pPr>
            <w:r w:rsidRPr="000801BB">
              <w:rPr>
                <w:rFonts w:ascii="Arial" w:hAnsi="Arial" w:cs="Arial"/>
                <w:sz w:val="24"/>
                <w:szCs w:val="24"/>
              </w:rPr>
              <w:t>2021</w:t>
            </w:r>
          </w:p>
        </w:tc>
        <w:tc>
          <w:tcPr>
            <w:tcW w:w="0" w:type="auto"/>
            <w:hideMark/>
          </w:tcPr>
          <w:p w14:paraId="2AE6481B" w14:textId="77777777" w:rsidR="004E254F" w:rsidRPr="000801BB" w:rsidRDefault="004E254F" w:rsidP="000801BB">
            <w:pPr>
              <w:spacing w:after="160" w:line="360" w:lineRule="auto"/>
              <w:rPr>
                <w:rFonts w:ascii="Arial" w:hAnsi="Arial" w:cs="Arial"/>
                <w:sz w:val="24"/>
                <w:szCs w:val="24"/>
              </w:rPr>
            </w:pPr>
            <w:r w:rsidRPr="000801BB">
              <w:rPr>
                <w:rFonts w:ascii="Arial" w:hAnsi="Arial" w:cs="Arial"/>
                <w:sz w:val="24"/>
                <w:szCs w:val="24"/>
              </w:rPr>
              <w:t>114</w:t>
            </w:r>
          </w:p>
        </w:tc>
        <w:tc>
          <w:tcPr>
            <w:tcW w:w="0" w:type="auto"/>
            <w:hideMark/>
          </w:tcPr>
          <w:p w14:paraId="5F6900AF" w14:textId="77777777" w:rsidR="004E254F" w:rsidRPr="000801BB" w:rsidRDefault="004E254F" w:rsidP="000801BB">
            <w:pPr>
              <w:spacing w:after="160" w:line="360" w:lineRule="auto"/>
              <w:rPr>
                <w:rFonts w:ascii="Arial" w:hAnsi="Arial" w:cs="Arial"/>
                <w:sz w:val="24"/>
                <w:szCs w:val="24"/>
              </w:rPr>
            </w:pPr>
            <w:r w:rsidRPr="000801BB">
              <w:rPr>
                <w:rFonts w:ascii="Arial" w:hAnsi="Arial" w:cs="Arial"/>
                <w:sz w:val="24"/>
                <w:szCs w:val="24"/>
              </w:rPr>
              <w:t>78</w:t>
            </w:r>
          </w:p>
        </w:tc>
        <w:tc>
          <w:tcPr>
            <w:tcW w:w="0" w:type="auto"/>
            <w:hideMark/>
          </w:tcPr>
          <w:p w14:paraId="5A4C2159" w14:textId="77777777" w:rsidR="004E254F" w:rsidRPr="000801BB" w:rsidRDefault="004E254F" w:rsidP="000801BB">
            <w:pPr>
              <w:spacing w:after="160" w:line="360" w:lineRule="auto"/>
              <w:rPr>
                <w:rFonts w:ascii="Arial" w:hAnsi="Arial" w:cs="Arial"/>
                <w:sz w:val="24"/>
                <w:szCs w:val="24"/>
              </w:rPr>
            </w:pPr>
            <w:r w:rsidRPr="000801BB">
              <w:rPr>
                <w:rFonts w:ascii="Arial" w:hAnsi="Arial" w:cs="Arial"/>
                <w:sz w:val="24"/>
                <w:szCs w:val="24"/>
              </w:rPr>
              <w:t>56</w:t>
            </w:r>
          </w:p>
        </w:tc>
        <w:tc>
          <w:tcPr>
            <w:tcW w:w="0" w:type="auto"/>
            <w:hideMark/>
          </w:tcPr>
          <w:p w14:paraId="35A84320" w14:textId="77777777" w:rsidR="004E254F" w:rsidRPr="000801BB" w:rsidRDefault="004E254F" w:rsidP="000801BB">
            <w:pPr>
              <w:spacing w:after="160" w:line="360" w:lineRule="auto"/>
              <w:rPr>
                <w:rFonts w:ascii="Arial" w:hAnsi="Arial" w:cs="Arial"/>
                <w:sz w:val="24"/>
                <w:szCs w:val="24"/>
              </w:rPr>
            </w:pPr>
            <w:r w:rsidRPr="000801BB">
              <w:rPr>
                <w:rFonts w:ascii="Arial" w:hAnsi="Arial" w:cs="Arial"/>
                <w:sz w:val="24"/>
                <w:szCs w:val="24"/>
              </w:rPr>
              <w:t>136</w:t>
            </w:r>
          </w:p>
        </w:tc>
      </w:tr>
      <w:tr w:rsidR="004E254F" w:rsidRPr="000801BB" w14:paraId="319D607C" w14:textId="77777777" w:rsidTr="004E254F">
        <w:tc>
          <w:tcPr>
            <w:tcW w:w="0" w:type="auto"/>
            <w:hideMark/>
          </w:tcPr>
          <w:p w14:paraId="66A4B262" w14:textId="77777777" w:rsidR="004E254F" w:rsidRPr="000801BB" w:rsidRDefault="004E254F" w:rsidP="000801BB">
            <w:pPr>
              <w:spacing w:after="160" w:line="360" w:lineRule="auto"/>
              <w:rPr>
                <w:rFonts w:ascii="Arial" w:hAnsi="Arial" w:cs="Arial"/>
                <w:sz w:val="24"/>
                <w:szCs w:val="24"/>
              </w:rPr>
            </w:pPr>
            <w:r w:rsidRPr="000801BB">
              <w:rPr>
                <w:rFonts w:ascii="Arial" w:hAnsi="Arial" w:cs="Arial"/>
                <w:sz w:val="24"/>
                <w:szCs w:val="24"/>
              </w:rPr>
              <w:t>2022</w:t>
            </w:r>
          </w:p>
        </w:tc>
        <w:tc>
          <w:tcPr>
            <w:tcW w:w="0" w:type="auto"/>
            <w:hideMark/>
          </w:tcPr>
          <w:p w14:paraId="575C48DE" w14:textId="77777777" w:rsidR="004E254F" w:rsidRPr="000801BB" w:rsidRDefault="004E254F" w:rsidP="000801BB">
            <w:pPr>
              <w:spacing w:after="160" w:line="360" w:lineRule="auto"/>
              <w:rPr>
                <w:rFonts w:ascii="Arial" w:hAnsi="Arial" w:cs="Arial"/>
                <w:sz w:val="24"/>
                <w:szCs w:val="24"/>
              </w:rPr>
            </w:pPr>
            <w:r w:rsidRPr="000801BB">
              <w:rPr>
                <w:rFonts w:ascii="Arial" w:hAnsi="Arial" w:cs="Arial"/>
                <w:sz w:val="24"/>
                <w:szCs w:val="24"/>
              </w:rPr>
              <w:t>131</w:t>
            </w:r>
          </w:p>
        </w:tc>
        <w:tc>
          <w:tcPr>
            <w:tcW w:w="0" w:type="auto"/>
            <w:hideMark/>
          </w:tcPr>
          <w:p w14:paraId="0A6462BD" w14:textId="77777777" w:rsidR="004E254F" w:rsidRPr="000801BB" w:rsidRDefault="004E254F" w:rsidP="000801BB">
            <w:pPr>
              <w:spacing w:after="160" w:line="360" w:lineRule="auto"/>
              <w:rPr>
                <w:rFonts w:ascii="Arial" w:hAnsi="Arial" w:cs="Arial"/>
                <w:sz w:val="24"/>
                <w:szCs w:val="24"/>
              </w:rPr>
            </w:pPr>
            <w:r w:rsidRPr="000801BB">
              <w:rPr>
                <w:rFonts w:ascii="Arial" w:hAnsi="Arial" w:cs="Arial"/>
                <w:sz w:val="24"/>
                <w:szCs w:val="24"/>
              </w:rPr>
              <w:t>75</w:t>
            </w:r>
          </w:p>
        </w:tc>
        <w:tc>
          <w:tcPr>
            <w:tcW w:w="0" w:type="auto"/>
            <w:hideMark/>
          </w:tcPr>
          <w:p w14:paraId="482CAA53" w14:textId="77777777" w:rsidR="004E254F" w:rsidRPr="000801BB" w:rsidRDefault="004E254F" w:rsidP="000801BB">
            <w:pPr>
              <w:spacing w:after="160" w:line="360" w:lineRule="auto"/>
              <w:rPr>
                <w:rFonts w:ascii="Arial" w:hAnsi="Arial" w:cs="Arial"/>
                <w:sz w:val="24"/>
                <w:szCs w:val="24"/>
              </w:rPr>
            </w:pPr>
            <w:r w:rsidRPr="000801BB">
              <w:rPr>
                <w:rFonts w:ascii="Arial" w:hAnsi="Arial" w:cs="Arial"/>
                <w:sz w:val="24"/>
                <w:szCs w:val="24"/>
              </w:rPr>
              <w:t>65</w:t>
            </w:r>
          </w:p>
        </w:tc>
        <w:tc>
          <w:tcPr>
            <w:tcW w:w="0" w:type="auto"/>
            <w:hideMark/>
          </w:tcPr>
          <w:p w14:paraId="748F1ECC" w14:textId="77777777" w:rsidR="004E254F" w:rsidRPr="000801BB" w:rsidRDefault="004E254F" w:rsidP="000801BB">
            <w:pPr>
              <w:spacing w:after="160" w:line="360" w:lineRule="auto"/>
              <w:rPr>
                <w:rFonts w:ascii="Arial" w:hAnsi="Arial" w:cs="Arial"/>
                <w:sz w:val="24"/>
                <w:szCs w:val="24"/>
              </w:rPr>
            </w:pPr>
            <w:r w:rsidRPr="000801BB">
              <w:rPr>
                <w:rFonts w:ascii="Arial" w:hAnsi="Arial" w:cs="Arial"/>
                <w:sz w:val="24"/>
                <w:szCs w:val="24"/>
              </w:rPr>
              <w:t>141</w:t>
            </w:r>
          </w:p>
        </w:tc>
      </w:tr>
      <w:tr w:rsidR="004E254F" w:rsidRPr="000801BB" w14:paraId="1C2459ED" w14:textId="77777777" w:rsidTr="004E254F">
        <w:tc>
          <w:tcPr>
            <w:tcW w:w="0" w:type="auto"/>
            <w:hideMark/>
          </w:tcPr>
          <w:p w14:paraId="7D8B4FEE" w14:textId="77777777" w:rsidR="004E254F" w:rsidRPr="000801BB" w:rsidRDefault="004E254F" w:rsidP="000801BB">
            <w:pPr>
              <w:spacing w:after="160" w:line="360" w:lineRule="auto"/>
              <w:rPr>
                <w:rFonts w:ascii="Arial" w:hAnsi="Arial" w:cs="Arial"/>
                <w:sz w:val="24"/>
                <w:szCs w:val="24"/>
              </w:rPr>
            </w:pPr>
            <w:r w:rsidRPr="000801BB">
              <w:rPr>
                <w:rFonts w:ascii="Arial" w:hAnsi="Arial" w:cs="Arial"/>
                <w:sz w:val="24"/>
                <w:szCs w:val="24"/>
              </w:rPr>
              <w:t>2023</w:t>
            </w:r>
          </w:p>
        </w:tc>
        <w:tc>
          <w:tcPr>
            <w:tcW w:w="0" w:type="auto"/>
            <w:hideMark/>
          </w:tcPr>
          <w:p w14:paraId="64866A53" w14:textId="77777777" w:rsidR="004E254F" w:rsidRPr="000801BB" w:rsidRDefault="004E254F" w:rsidP="000801BB">
            <w:pPr>
              <w:spacing w:after="160" w:line="360" w:lineRule="auto"/>
              <w:rPr>
                <w:rFonts w:ascii="Arial" w:hAnsi="Arial" w:cs="Arial"/>
                <w:sz w:val="24"/>
                <w:szCs w:val="24"/>
              </w:rPr>
            </w:pPr>
            <w:r w:rsidRPr="000801BB">
              <w:rPr>
                <w:rFonts w:ascii="Arial" w:hAnsi="Arial" w:cs="Arial"/>
                <w:sz w:val="24"/>
                <w:szCs w:val="24"/>
              </w:rPr>
              <w:t>100</w:t>
            </w:r>
          </w:p>
        </w:tc>
        <w:tc>
          <w:tcPr>
            <w:tcW w:w="0" w:type="auto"/>
            <w:hideMark/>
          </w:tcPr>
          <w:p w14:paraId="13A9DE94" w14:textId="77777777" w:rsidR="004E254F" w:rsidRPr="000801BB" w:rsidRDefault="004E254F" w:rsidP="000801BB">
            <w:pPr>
              <w:spacing w:after="160" w:line="360" w:lineRule="auto"/>
              <w:rPr>
                <w:rFonts w:ascii="Arial" w:hAnsi="Arial" w:cs="Arial"/>
                <w:sz w:val="24"/>
                <w:szCs w:val="24"/>
              </w:rPr>
            </w:pPr>
            <w:r w:rsidRPr="000801BB">
              <w:rPr>
                <w:rFonts w:ascii="Arial" w:hAnsi="Arial" w:cs="Arial"/>
                <w:sz w:val="24"/>
                <w:szCs w:val="24"/>
              </w:rPr>
              <w:t>98</w:t>
            </w:r>
          </w:p>
        </w:tc>
        <w:tc>
          <w:tcPr>
            <w:tcW w:w="0" w:type="auto"/>
            <w:hideMark/>
          </w:tcPr>
          <w:p w14:paraId="76CC80DF" w14:textId="77777777" w:rsidR="004E254F" w:rsidRPr="000801BB" w:rsidRDefault="004E254F" w:rsidP="000801BB">
            <w:pPr>
              <w:spacing w:after="160" w:line="360" w:lineRule="auto"/>
              <w:rPr>
                <w:rFonts w:ascii="Arial" w:hAnsi="Arial" w:cs="Arial"/>
                <w:sz w:val="24"/>
                <w:szCs w:val="24"/>
              </w:rPr>
            </w:pPr>
            <w:r w:rsidRPr="000801BB">
              <w:rPr>
                <w:rFonts w:ascii="Arial" w:hAnsi="Arial" w:cs="Arial"/>
                <w:sz w:val="24"/>
                <w:szCs w:val="24"/>
              </w:rPr>
              <w:t>61</w:t>
            </w:r>
          </w:p>
        </w:tc>
        <w:tc>
          <w:tcPr>
            <w:tcW w:w="0" w:type="auto"/>
            <w:hideMark/>
          </w:tcPr>
          <w:p w14:paraId="1E78D231" w14:textId="77777777" w:rsidR="004E254F" w:rsidRPr="000801BB" w:rsidRDefault="004E254F" w:rsidP="000801BB">
            <w:pPr>
              <w:spacing w:after="160" w:line="360" w:lineRule="auto"/>
              <w:rPr>
                <w:rFonts w:ascii="Arial" w:hAnsi="Arial" w:cs="Arial"/>
                <w:sz w:val="24"/>
                <w:szCs w:val="24"/>
              </w:rPr>
            </w:pPr>
            <w:r w:rsidRPr="000801BB">
              <w:rPr>
                <w:rFonts w:ascii="Arial" w:hAnsi="Arial" w:cs="Arial"/>
                <w:sz w:val="24"/>
                <w:szCs w:val="24"/>
              </w:rPr>
              <w:t>137</w:t>
            </w:r>
          </w:p>
        </w:tc>
      </w:tr>
      <w:tr w:rsidR="004E254F" w:rsidRPr="000801BB" w14:paraId="7E1F6989" w14:textId="77777777" w:rsidTr="004E254F">
        <w:tc>
          <w:tcPr>
            <w:tcW w:w="0" w:type="auto"/>
            <w:hideMark/>
          </w:tcPr>
          <w:p w14:paraId="399A8E73" w14:textId="77777777" w:rsidR="004E254F" w:rsidRPr="000801BB" w:rsidRDefault="004E254F" w:rsidP="000801BB">
            <w:pPr>
              <w:spacing w:after="160" w:line="360" w:lineRule="auto"/>
              <w:rPr>
                <w:rFonts w:ascii="Arial" w:hAnsi="Arial" w:cs="Arial"/>
                <w:sz w:val="24"/>
                <w:szCs w:val="24"/>
              </w:rPr>
            </w:pPr>
            <w:r w:rsidRPr="000801BB">
              <w:rPr>
                <w:rFonts w:ascii="Arial" w:hAnsi="Arial" w:cs="Arial"/>
                <w:sz w:val="24"/>
                <w:szCs w:val="24"/>
              </w:rPr>
              <w:t>2024</w:t>
            </w:r>
          </w:p>
        </w:tc>
        <w:tc>
          <w:tcPr>
            <w:tcW w:w="0" w:type="auto"/>
            <w:hideMark/>
          </w:tcPr>
          <w:p w14:paraId="795791D6" w14:textId="77777777" w:rsidR="004E254F" w:rsidRPr="000801BB" w:rsidRDefault="004E254F" w:rsidP="000801BB">
            <w:pPr>
              <w:spacing w:after="160" w:line="360" w:lineRule="auto"/>
              <w:rPr>
                <w:rFonts w:ascii="Arial" w:hAnsi="Arial" w:cs="Arial"/>
                <w:sz w:val="24"/>
                <w:szCs w:val="24"/>
              </w:rPr>
            </w:pPr>
            <w:r w:rsidRPr="000801BB">
              <w:rPr>
                <w:rFonts w:ascii="Arial" w:hAnsi="Arial" w:cs="Arial"/>
                <w:sz w:val="24"/>
                <w:szCs w:val="24"/>
              </w:rPr>
              <w:t>103</w:t>
            </w:r>
          </w:p>
        </w:tc>
        <w:tc>
          <w:tcPr>
            <w:tcW w:w="0" w:type="auto"/>
            <w:hideMark/>
          </w:tcPr>
          <w:p w14:paraId="2F82CA8F" w14:textId="77777777" w:rsidR="004E254F" w:rsidRPr="000801BB" w:rsidRDefault="004E254F" w:rsidP="000801BB">
            <w:pPr>
              <w:spacing w:after="160" w:line="360" w:lineRule="auto"/>
              <w:rPr>
                <w:rFonts w:ascii="Arial" w:hAnsi="Arial" w:cs="Arial"/>
                <w:sz w:val="24"/>
                <w:szCs w:val="24"/>
              </w:rPr>
            </w:pPr>
            <w:r w:rsidRPr="000801BB">
              <w:rPr>
                <w:rFonts w:ascii="Arial" w:hAnsi="Arial" w:cs="Arial"/>
                <w:sz w:val="24"/>
                <w:szCs w:val="24"/>
              </w:rPr>
              <w:t>105</w:t>
            </w:r>
          </w:p>
        </w:tc>
        <w:tc>
          <w:tcPr>
            <w:tcW w:w="0" w:type="auto"/>
            <w:hideMark/>
          </w:tcPr>
          <w:p w14:paraId="47A1A7B1" w14:textId="77777777" w:rsidR="004E254F" w:rsidRPr="000801BB" w:rsidRDefault="004E254F" w:rsidP="000801BB">
            <w:pPr>
              <w:spacing w:after="160" w:line="360" w:lineRule="auto"/>
              <w:rPr>
                <w:rFonts w:ascii="Arial" w:hAnsi="Arial" w:cs="Arial"/>
                <w:sz w:val="24"/>
                <w:szCs w:val="24"/>
              </w:rPr>
            </w:pPr>
            <w:r w:rsidRPr="000801BB">
              <w:rPr>
                <w:rFonts w:ascii="Arial" w:hAnsi="Arial" w:cs="Arial"/>
                <w:sz w:val="24"/>
                <w:szCs w:val="24"/>
              </w:rPr>
              <w:t>67</w:t>
            </w:r>
          </w:p>
        </w:tc>
        <w:tc>
          <w:tcPr>
            <w:tcW w:w="0" w:type="auto"/>
            <w:hideMark/>
          </w:tcPr>
          <w:p w14:paraId="1FAAFFAE" w14:textId="77777777" w:rsidR="004E254F" w:rsidRPr="000801BB" w:rsidRDefault="004E254F" w:rsidP="000801BB">
            <w:pPr>
              <w:spacing w:after="160" w:line="360" w:lineRule="auto"/>
              <w:rPr>
                <w:rFonts w:ascii="Arial" w:hAnsi="Arial" w:cs="Arial"/>
                <w:sz w:val="24"/>
                <w:szCs w:val="24"/>
              </w:rPr>
            </w:pPr>
            <w:r w:rsidRPr="000801BB">
              <w:rPr>
                <w:rFonts w:ascii="Arial" w:hAnsi="Arial" w:cs="Arial"/>
                <w:sz w:val="24"/>
                <w:szCs w:val="24"/>
              </w:rPr>
              <w:t>141</w:t>
            </w:r>
          </w:p>
        </w:tc>
      </w:tr>
    </w:tbl>
    <w:p w14:paraId="28E9B9A6" w14:textId="77777777" w:rsidR="004E254F" w:rsidRPr="000801BB" w:rsidRDefault="004E254F" w:rsidP="000801BB">
      <w:pPr>
        <w:spacing w:line="360" w:lineRule="auto"/>
        <w:rPr>
          <w:rFonts w:ascii="Arial" w:hAnsi="Arial" w:cs="Arial"/>
          <w:sz w:val="24"/>
          <w:szCs w:val="24"/>
        </w:rPr>
      </w:pPr>
    </w:p>
    <w:p w14:paraId="7D4BF93C" w14:textId="77777777" w:rsidR="00FF79FE" w:rsidRDefault="00FF79FE" w:rsidP="000801BB">
      <w:pPr>
        <w:spacing w:line="360" w:lineRule="auto"/>
        <w:rPr>
          <w:rFonts w:ascii="Arial" w:hAnsi="Arial" w:cs="Arial"/>
          <w:sz w:val="24"/>
          <w:szCs w:val="24"/>
        </w:rPr>
      </w:pPr>
      <w:r w:rsidRPr="00FF79FE">
        <w:rPr>
          <w:rFonts w:ascii="Arial" w:hAnsi="Arial" w:cs="Arial"/>
          <w:sz w:val="24"/>
          <w:szCs w:val="24"/>
        </w:rPr>
        <w:t xml:space="preserve">The CCC of GE also rose by 129 to 141 days which reflects low efficiency. The 105-day DSO indicates a slow turnaround in the collection of receivables whereas the moderate DIO indicates inefficiency in the demand forecasting and inventory coordination of the business. The long cycle holds up money in operations and GE has to use short-term debt and raise the cost of the debt. </w:t>
      </w:r>
    </w:p>
    <w:p w14:paraId="2CD32BA2" w14:textId="4F57FB2E" w:rsidR="004E254F" w:rsidRPr="000801BB" w:rsidRDefault="004E254F" w:rsidP="000801BB">
      <w:pPr>
        <w:spacing w:line="360" w:lineRule="auto"/>
        <w:rPr>
          <w:rFonts w:ascii="Arial" w:hAnsi="Arial" w:cs="Arial"/>
          <w:b/>
          <w:bCs/>
          <w:sz w:val="24"/>
          <w:szCs w:val="24"/>
        </w:rPr>
      </w:pPr>
      <w:r w:rsidRPr="000801BB">
        <w:rPr>
          <w:rFonts w:ascii="Arial" w:hAnsi="Arial" w:cs="Arial"/>
          <w:b/>
          <w:bCs/>
          <w:sz w:val="24"/>
          <w:szCs w:val="24"/>
        </w:rPr>
        <w:t>3.2 Receivables Control</w:t>
      </w:r>
    </w:p>
    <w:p w14:paraId="26E746DF" w14:textId="40B16B00" w:rsidR="004E254F" w:rsidRPr="000801BB" w:rsidRDefault="00FF79FE" w:rsidP="000801BB">
      <w:pPr>
        <w:spacing w:line="360" w:lineRule="auto"/>
        <w:rPr>
          <w:rFonts w:ascii="Arial" w:hAnsi="Arial" w:cs="Arial"/>
          <w:sz w:val="24"/>
          <w:szCs w:val="24"/>
        </w:rPr>
      </w:pPr>
      <w:r w:rsidRPr="00FF79FE">
        <w:rPr>
          <w:rFonts w:ascii="Arial" w:hAnsi="Arial" w:cs="Arial"/>
          <w:sz w:val="24"/>
          <w:szCs w:val="24"/>
        </w:rPr>
        <w:t xml:space="preserve">Increasing the level of trade receivables to </w:t>
      </w:r>
      <w:r w:rsidR="00723521">
        <w:rPr>
          <w:rFonts w:ascii="Arial" w:hAnsi="Arial" w:cs="Arial"/>
          <w:sz w:val="24"/>
          <w:szCs w:val="24"/>
        </w:rPr>
        <w:t>£</w:t>
      </w:r>
      <w:r w:rsidRPr="00FF79FE">
        <w:rPr>
          <w:rFonts w:ascii="Arial" w:hAnsi="Arial" w:cs="Arial"/>
          <w:sz w:val="24"/>
          <w:szCs w:val="24"/>
        </w:rPr>
        <w:t xml:space="preserve">114.2 billion in 2024 despite the reduction in revenue pushed the ratio of receivables to sales to 28.9 as compared to a ratio of 20.7 in 2018. The lax credit controls and slow collections have increased liquidity. GE needs to implement automated credit analytics to evaluate customer risk and impose more rigid credit limits (Deloitte, 2023). Activities that can be implemented to speed up cash inflows include Dynamic discounting- which is the provision of slight incentives upon early payments (McKinsey, 2024). The 20-25-day improvement in DSO may release close to </w:t>
      </w:r>
      <w:r w:rsidR="00723521">
        <w:rPr>
          <w:rFonts w:ascii="Arial" w:hAnsi="Arial" w:cs="Arial"/>
          <w:sz w:val="24"/>
          <w:szCs w:val="24"/>
        </w:rPr>
        <w:t>£</w:t>
      </w:r>
      <w:r w:rsidRPr="00FF79FE">
        <w:rPr>
          <w:rFonts w:ascii="Arial" w:hAnsi="Arial" w:cs="Arial"/>
          <w:sz w:val="24"/>
          <w:szCs w:val="24"/>
        </w:rPr>
        <w:t>20 billion of money, which would decrease dependence on external financing.</w:t>
      </w:r>
    </w:p>
    <w:p w14:paraId="07B41673" w14:textId="77777777" w:rsidR="004E254F" w:rsidRPr="000801BB" w:rsidRDefault="004E254F" w:rsidP="000801BB">
      <w:pPr>
        <w:spacing w:line="360" w:lineRule="auto"/>
        <w:rPr>
          <w:rFonts w:ascii="Arial" w:hAnsi="Arial" w:cs="Arial"/>
          <w:b/>
          <w:bCs/>
          <w:sz w:val="24"/>
          <w:szCs w:val="24"/>
        </w:rPr>
      </w:pPr>
    </w:p>
    <w:p w14:paraId="1196ADE9" w14:textId="56D6C0ED" w:rsidR="004E254F" w:rsidRPr="000801BB" w:rsidRDefault="004E254F" w:rsidP="000801BB">
      <w:pPr>
        <w:spacing w:line="360" w:lineRule="auto"/>
        <w:rPr>
          <w:rFonts w:ascii="Arial" w:hAnsi="Arial" w:cs="Arial"/>
          <w:b/>
          <w:bCs/>
          <w:sz w:val="24"/>
          <w:szCs w:val="24"/>
        </w:rPr>
      </w:pPr>
      <w:r w:rsidRPr="000801BB">
        <w:rPr>
          <w:rFonts w:ascii="Arial" w:hAnsi="Arial" w:cs="Arial"/>
          <w:b/>
          <w:bCs/>
          <w:sz w:val="24"/>
          <w:szCs w:val="24"/>
        </w:rPr>
        <w:t>3.3 Inventory Efficiency</w:t>
      </w:r>
    </w:p>
    <w:p w14:paraId="2BB09F41" w14:textId="305F03D2" w:rsidR="004E254F" w:rsidRDefault="006F2983" w:rsidP="000801BB">
      <w:pPr>
        <w:spacing w:line="360" w:lineRule="auto"/>
        <w:rPr>
          <w:rFonts w:ascii="Arial" w:hAnsi="Arial" w:cs="Arial"/>
          <w:sz w:val="24"/>
          <w:szCs w:val="24"/>
        </w:rPr>
      </w:pPr>
      <w:r w:rsidRPr="006F2983">
        <w:rPr>
          <w:rFonts w:ascii="Arial" w:hAnsi="Arial" w:cs="Arial"/>
          <w:sz w:val="24"/>
          <w:szCs w:val="24"/>
        </w:rPr>
        <w:lastRenderedPageBreak/>
        <w:t xml:space="preserve">Inventory decreased to </w:t>
      </w:r>
      <w:r w:rsidR="00723521">
        <w:rPr>
          <w:rFonts w:ascii="Arial" w:hAnsi="Arial" w:cs="Arial"/>
          <w:sz w:val="24"/>
          <w:szCs w:val="24"/>
        </w:rPr>
        <w:t>£</w:t>
      </w:r>
      <w:r w:rsidRPr="006F2983">
        <w:rPr>
          <w:rFonts w:ascii="Arial" w:hAnsi="Arial" w:cs="Arial"/>
          <w:sz w:val="24"/>
          <w:szCs w:val="24"/>
        </w:rPr>
        <w:t xml:space="preserve">79 billion (2024) compared to </w:t>
      </w:r>
      <w:r w:rsidR="00723521">
        <w:rPr>
          <w:rFonts w:ascii="Arial" w:hAnsi="Arial" w:cs="Arial"/>
          <w:sz w:val="24"/>
          <w:szCs w:val="24"/>
        </w:rPr>
        <w:t>£</w:t>
      </w:r>
      <w:r w:rsidRPr="006F2983">
        <w:rPr>
          <w:rFonts w:ascii="Arial" w:hAnsi="Arial" w:cs="Arial"/>
          <w:sz w:val="24"/>
          <w:szCs w:val="24"/>
        </w:rPr>
        <w:t>140 billion (2022), and the reduction is mainly caused by the write-down of assets and not the performance improvements. The current inventory turnover ratio of 3.5x is low compared to the industry standards (PwC, 2024). In order to enhance efficiency, GE may use lean production methods, including Just-in-Time (JIT), and incorporate AI-based demand forecasting to Sales and Operations Planning (S&amp;OP) systems (Christopher, 2016; Accenture, 2024). Predictive analytics would match the production to demand in the market, decrease the obsolescence and shorten the processes of production, responsiveness to the needs of the customers.</w:t>
      </w:r>
    </w:p>
    <w:p w14:paraId="446F53A7" w14:textId="77777777" w:rsidR="006F2983" w:rsidRPr="006F2983" w:rsidRDefault="006F2983" w:rsidP="000801BB">
      <w:pPr>
        <w:spacing w:line="360" w:lineRule="auto"/>
        <w:rPr>
          <w:rFonts w:ascii="Arial" w:hAnsi="Arial" w:cs="Arial"/>
          <w:sz w:val="24"/>
          <w:szCs w:val="24"/>
        </w:rPr>
      </w:pPr>
    </w:p>
    <w:p w14:paraId="31DA5C7A" w14:textId="77777777" w:rsidR="004E254F" w:rsidRPr="000801BB" w:rsidRDefault="004E254F" w:rsidP="000801BB">
      <w:pPr>
        <w:spacing w:line="360" w:lineRule="auto"/>
        <w:rPr>
          <w:rFonts w:ascii="Arial" w:hAnsi="Arial" w:cs="Arial"/>
          <w:b/>
          <w:bCs/>
          <w:sz w:val="24"/>
          <w:szCs w:val="24"/>
        </w:rPr>
      </w:pPr>
      <w:r w:rsidRPr="000801BB">
        <w:rPr>
          <w:rFonts w:ascii="Arial" w:hAnsi="Arial" w:cs="Arial"/>
          <w:b/>
          <w:bCs/>
          <w:sz w:val="24"/>
          <w:szCs w:val="24"/>
        </w:rPr>
        <w:t>3.4 Payables and Supplier Coordination</w:t>
      </w:r>
    </w:p>
    <w:p w14:paraId="11066101" w14:textId="4AE001C7" w:rsidR="004E254F" w:rsidRPr="000801BB" w:rsidRDefault="006F2983" w:rsidP="000801BB">
      <w:pPr>
        <w:spacing w:line="360" w:lineRule="auto"/>
        <w:rPr>
          <w:rFonts w:ascii="Arial" w:hAnsi="Arial" w:cs="Arial"/>
          <w:b/>
          <w:bCs/>
          <w:sz w:val="24"/>
          <w:szCs w:val="24"/>
        </w:rPr>
      </w:pPr>
      <w:r w:rsidRPr="006F2983">
        <w:rPr>
          <w:rFonts w:ascii="Arial" w:hAnsi="Arial" w:cs="Arial"/>
          <w:sz w:val="24"/>
          <w:szCs w:val="24"/>
        </w:rPr>
        <w:t xml:space="preserve">The accounts payable grew </w:t>
      </w:r>
      <w:r w:rsidR="00723521">
        <w:rPr>
          <w:rFonts w:ascii="Arial" w:hAnsi="Arial" w:cs="Arial"/>
          <w:sz w:val="24"/>
          <w:szCs w:val="24"/>
        </w:rPr>
        <w:t>£</w:t>
      </w:r>
      <w:r w:rsidRPr="006F2983">
        <w:rPr>
          <w:rFonts w:ascii="Arial" w:hAnsi="Arial" w:cs="Arial"/>
          <w:sz w:val="24"/>
          <w:szCs w:val="24"/>
        </w:rPr>
        <w:t xml:space="preserve">57 billion to </w:t>
      </w:r>
      <w:r w:rsidR="00723521">
        <w:rPr>
          <w:rFonts w:ascii="Arial" w:hAnsi="Arial" w:cs="Arial"/>
          <w:sz w:val="24"/>
          <w:szCs w:val="24"/>
        </w:rPr>
        <w:t>£</w:t>
      </w:r>
      <w:r w:rsidRPr="006F2983">
        <w:rPr>
          <w:rFonts w:ascii="Arial" w:hAnsi="Arial" w:cs="Arial"/>
          <w:sz w:val="24"/>
          <w:szCs w:val="24"/>
        </w:rPr>
        <w:t>72 billion in 2024, which is short-term liquidity but may negatively affect relations with suppliers. The downsides of taking terms too far is the supply-chain will come to a halt--and this is particularly dangerous in the electronics business, where the delivery of components on schedule is crucial. GE ought to turn to reverse-factoring and supplier-financing programmes (EY, 2024), whereby longer payment terms can be made without undermining supplier cash flow. These strategies provide reliability in the supply and build long term relationships.</w:t>
      </w:r>
    </w:p>
    <w:p w14:paraId="3CC41557" w14:textId="77777777" w:rsidR="004E254F" w:rsidRPr="000801BB" w:rsidRDefault="004E254F" w:rsidP="000801BB">
      <w:pPr>
        <w:spacing w:line="360" w:lineRule="auto"/>
        <w:rPr>
          <w:rFonts w:ascii="Arial" w:hAnsi="Arial" w:cs="Arial"/>
          <w:b/>
          <w:bCs/>
          <w:sz w:val="24"/>
          <w:szCs w:val="24"/>
        </w:rPr>
      </w:pPr>
      <w:r w:rsidRPr="000801BB">
        <w:rPr>
          <w:rFonts w:ascii="Arial" w:hAnsi="Arial" w:cs="Arial"/>
          <w:b/>
          <w:bCs/>
          <w:sz w:val="24"/>
          <w:szCs w:val="24"/>
        </w:rPr>
        <w:t>3.5 Working Capital Financing</w:t>
      </w:r>
    </w:p>
    <w:p w14:paraId="708FF0DE" w14:textId="00D9A22A" w:rsidR="004E254F" w:rsidRDefault="006F2983" w:rsidP="000801BB">
      <w:pPr>
        <w:spacing w:line="360" w:lineRule="auto"/>
        <w:rPr>
          <w:rFonts w:ascii="Arial" w:hAnsi="Arial" w:cs="Arial"/>
          <w:sz w:val="24"/>
          <w:szCs w:val="24"/>
        </w:rPr>
      </w:pPr>
      <w:r w:rsidRPr="006F2983">
        <w:rPr>
          <w:rFonts w:ascii="Arial" w:hAnsi="Arial" w:cs="Arial"/>
          <w:sz w:val="24"/>
          <w:szCs w:val="24"/>
        </w:rPr>
        <w:t>Prudent financing has to be supported with operational improvements. Day-to-day liquidity Day-to-day liquidity can be provided using short-term instruments, including revolving credit facilities, invoice discounting, and commercial paper (KPMG, 2023). The cash flow can be stabilised using medium-term instruments such as equity infusion or term loans, which must be well balanced against the leverage status of GE. This is because of its weak credit history, a hybrid financing structure is advised: employ revolving facilities to provide quick liquidity as it seeks to inject equity to strengthen its long-term capital base. This mixed model would help to provide liquidity without additional strain to the balance sheet.</w:t>
      </w:r>
    </w:p>
    <w:p w14:paraId="1F9D0D34" w14:textId="77777777" w:rsidR="006F2983" w:rsidRPr="000801BB" w:rsidRDefault="006F2983" w:rsidP="000801BB">
      <w:pPr>
        <w:spacing w:line="360" w:lineRule="auto"/>
        <w:rPr>
          <w:rFonts w:ascii="Arial" w:hAnsi="Arial" w:cs="Arial"/>
          <w:b/>
          <w:bCs/>
          <w:sz w:val="24"/>
          <w:szCs w:val="24"/>
        </w:rPr>
      </w:pPr>
    </w:p>
    <w:p w14:paraId="5D1861BE" w14:textId="77777777" w:rsidR="004E254F" w:rsidRPr="000801BB" w:rsidRDefault="004E254F" w:rsidP="000801BB">
      <w:pPr>
        <w:spacing w:line="360" w:lineRule="auto"/>
        <w:rPr>
          <w:rFonts w:ascii="Arial" w:hAnsi="Arial" w:cs="Arial"/>
          <w:b/>
          <w:bCs/>
          <w:sz w:val="24"/>
          <w:szCs w:val="24"/>
        </w:rPr>
      </w:pPr>
      <w:r w:rsidRPr="000801BB">
        <w:rPr>
          <w:rFonts w:ascii="Arial" w:hAnsi="Arial" w:cs="Arial"/>
          <w:b/>
          <w:bCs/>
          <w:sz w:val="24"/>
          <w:szCs w:val="24"/>
        </w:rPr>
        <w:t>3.6 Proposed Working Capital Reforms</w:t>
      </w:r>
    </w:p>
    <w:p w14:paraId="1D0EFF62" w14:textId="77777777" w:rsidR="006F2983" w:rsidRPr="006F2983" w:rsidRDefault="006F2983" w:rsidP="006F2983">
      <w:pPr>
        <w:spacing w:line="360" w:lineRule="auto"/>
        <w:rPr>
          <w:rFonts w:ascii="Arial" w:hAnsi="Arial" w:cs="Arial"/>
          <w:sz w:val="24"/>
          <w:szCs w:val="24"/>
        </w:rPr>
      </w:pPr>
      <w:r w:rsidRPr="006F2983">
        <w:rPr>
          <w:rFonts w:ascii="Arial" w:hAnsi="Arial" w:cs="Arial"/>
          <w:sz w:val="24"/>
          <w:szCs w:val="24"/>
        </w:rPr>
        <w:lastRenderedPageBreak/>
        <w:t>In order to resolve the liquidity inefficiencies holistically, GE can embark on the following reforms:</w:t>
      </w:r>
    </w:p>
    <w:p w14:paraId="63680B52" w14:textId="77777777" w:rsidR="006F2983" w:rsidRPr="006F2983" w:rsidRDefault="006F2983" w:rsidP="006F2983">
      <w:pPr>
        <w:pStyle w:val="ListParagraph"/>
        <w:numPr>
          <w:ilvl w:val="0"/>
          <w:numId w:val="32"/>
        </w:numPr>
        <w:spacing w:line="360" w:lineRule="auto"/>
        <w:rPr>
          <w:rFonts w:ascii="Arial" w:hAnsi="Arial" w:cs="Arial"/>
          <w:sz w:val="24"/>
          <w:szCs w:val="24"/>
        </w:rPr>
      </w:pPr>
      <w:r w:rsidRPr="006F2983">
        <w:rPr>
          <w:rFonts w:ascii="Arial" w:hAnsi="Arial" w:cs="Arial"/>
          <w:sz w:val="24"/>
          <w:szCs w:val="24"/>
        </w:rPr>
        <w:t>Receivables: Implement predictive credit-scoring algorithms to analyze the solvency of customers, limit the exposure to risky receivables and provide incentives to make early payments.</w:t>
      </w:r>
    </w:p>
    <w:p w14:paraId="298735E3" w14:textId="77777777" w:rsidR="006F2983" w:rsidRPr="006F2983" w:rsidRDefault="006F2983" w:rsidP="006F2983">
      <w:pPr>
        <w:pStyle w:val="ListParagraph"/>
        <w:numPr>
          <w:ilvl w:val="0"/>
          <w:numId w:val="32"/>
        </w:numPr>
        <w:spacing w:line="360" w:lineRule="auto"/>
        <w:rPr>
          <w:rFonts w:ascii="Arial" w:hAnsi="Arial" w:cs="Arial"/>
          <w:sz w:val="24"/>
          <w:szCs w:val="24"/>
        </w:rPr>
      </w:pPr>
      <w:r w:rsidRPr="006F2983">
        <w:rPr>
          <w:rFonts w:ascii="Arial" w:hAnsi="Arial" w:cs="Arial"/>
          <w:sz w:val="24"/>
          <w:szCs w:val="24"/>
        </w:rPr>
        <w:t>Inventory: Implement AI-formulated forecasting into the production planning to streamline the inventory and reduce storage expenses.</w:t>
      </w:r>
    </w:p>
    <w:p w14:paraId="432B0AEC" w14:textId="77777777" w:rsidR="006F2983" w:rsidRPr="006F2983" w:rsidRDefault="006F2983" w:rsidP="006F2983">
      <w:pPr>
        <w:pStyle w:val="ListParagraph"/>
        <w:numPr>
          <w:ilvl w:val="0"/>
          <w:numId w:val="32"/>
        </w:numPr>
        <w:spacing w:line="360" w:lineRule="auto"/>
        <w:rPr>
          <w:rFonts w:ascii="Arial" w:hAnsi="Arial" w:cs="Arial"/>
          <w:sz w:val="24"/>
          <w:szCs w:val="24"/>
        </w:rPr>
      </w:pPr>
      <w:r w:rsidRPr="006F2983">
        <w:rPr>
          <w:rFonts w:ascii="Arial" w:hAnsi="Arial" w:cs="Arial"/>
          <w:sz w:val="24"/>
          <w:szCs w:val="24"/>
        </w:rPr>
        <w:t>Payables: Develop formal financing of the supply-chain to extend terms in an ethical manner and avoid losing supplier trust.</w:t>
      </w:r>
    </w:p>
    <w:p w14:paraId="6853412C" w14:textId="77777777" w:rsidR="00060359" w:rsidRPr="00060359" w:rsidRDefault="00060359" w:rsidP="00060359">
      <w:pPr>
        <w:pStyle w:val="ListParagraph"/>
        <w:numPr>
          <w:ilvl w:val="0"/>
          <w:numId w:val="32"/>
        </w:numPr>
        <w:spacing w:line="360" w:lineRule="auto"/>
        <w:rPr>
          <w:rFonts w:ascii="Arial" w:hAnsi="Arial" w:cs="Arial"/>
          <w:sz w:val="24"/>
          <w:szCs w:val="24"/>
        </w:rPr>
      </w:pPr>
      <w:r w:rsidRPr="00060359">
        <w:rPr>
          <w:rFonts w:ascii="Arial" w:hAnsi="Arial" w:cs="Arial"/>
          <w:sz w:val="24"/>
          <w:szCs w:val="24"/>
        </w:rPr>
        <w:t>Cash Forecasting: Rolling 13 week cash-flow forecast: Rolling 13 week cash-flow forecast: Introduce a 13 week cash-flow forecast to enhance the visibility and liquidity planning (Grant Thornton, 2023).</w:t>
      </w:r>
    </w:p>
    <w:p w14:paraId="1D1B961D" w14:textId="63D331E7" w:rsidR="004E254F" w:rsidRPr="000801BB" w:rsidRDefault="006F2983" w:rsidP="006F2983">
      <w:pPr>
        <w:spacing w:line="360" w:lineRule="auto"/>
        <w:rPr>
          <w:rFonts w:ascii="Arial" w:hAnsi="Arial" w:cs="Arial"/>
          <w:b/>
          <w:bCs/>
          <w:sz w:val="24"/>
          <w:szCs w:val="24"/>
        </w:rPr>
      </w:pPr>
      <w:r w:rsidRPr="006F2983">
        <w:rPr>
          <w:rFonts w:ascii="Arial" w:hAnsi="Arial" w:cs="Arial"/>
          <w:sz w:val="24"/>
          <w:szCs w:val="24"/>
        </w:rPr>
        <w:t xml:space="preserve">All these reforms may reduce the cash conversion cycle by 25-30 days, making </w:t>
      </w:r>
      <w:r w:rsidR="005C06C1">
        <w:rPr>
          <w:rFonts w:ascii="Arial" w:hAnsi="Arial" w:cs="Arial"/>
          <w:sz w:val="24"/>
          <w:szCs w:val="24"/>
        </w:rPr>
        <w:t>£</w:t>
      </w:r>
      <w:r w:rsidRPr="006F2983">
        <w:rPr>
          <w:rFonts w:ascii="Arial" w:hAnsi="Arial" w:cs="Arial"/>
          <w:sz w:val="24"/>
          <w:szCs w:val="24"/>
        </w:rPr>
        <w:t>25-30 billion of working capital available. The cash that is released can be used in debt reduction and strategic investment to enhance the liquidity and the profitability.</w:t>
      </w:r>
    </w:p>
    <w:p w14:paraId="799426F5" w14:textId="77777777" w:rsidR="00B7339A" w:rsidRDefault="00B7339A" w:rsidP="000801BB">
      <w:pPr>
        <w:spacing w:line="360" w:lineRule="auto"/>
        <w:rPr>
          <w:rFonts w:ascii="Arial" w:hAnsi="Arial" w:cs="Arial"/>
          <w:b/>
          <w:bCs/>
          <w:sz w:val="24"/>
          <w:szCs w:val="24"/>
        </w:rPr>
      </w:pPr>
    </w:p>
    <w:p w14:paraId="465A9480" w14:textId="33CDCF3D" w:rsidR="004E254F" w:rsidRPr="000801BB" w:rsidRDefault="004E254F" w:rsidP="000801BB">
      <w:pPr>
        <w:spacing w:line="360" w:lineRule="auto"/>
        <w:rPr>
          <w:rFonts w:ascii="Arial" w:hAnsi="Arial" w:cs="Arial"/>
          <w:b/>
          <w:bCs/>
          <w:sz w:val="24"/>
          <w:szCs w:val="24"/>
        </w:rPr>
      </w:pPr>
      <w:r w:rsidRPr="000801BB">
        <w:rPr>
          <w:rFonts w:ascii="Arial" w:hAnsi="Arial" w:cs="Arial"/>
          <w:b/>
          <w:bCs/>
          <w:sz w:val="24"/>
          <w:szCs w:val="24"/>
        </w:rPr>
        <w:t>3.7 Strategic Relevance</w:t>
      </w:r>
    </w:p>
    <w:p w14:paraId="16116148" w14:textId="77777777" w:rsidR="00B7339A" w:rsidRDefault="00B7339A" w:rsidP="000801BB">
      <w:pPr>
        <w:spacing w:line="360" w:lineRule="auto"/>
        <w:rPr>
          <w:rFonts w:ascii="Arial" w:hAnsi="Arial" w:cs="Arial"/>
          <w:sz w:val="24"/>
          <w:szCs w:val="24"/>
        </w:rPr>
      </w:pPr>
      <w:r w:rsidRPr="00B7339A">
        <w:rPr>
          <w:rFonts w:ascii="Arial" w:hAnsi="Arial" w:cs="Arial"/>
          <w:sz w:val="24"/>
          <w:szCs w:val="24"/>
        </w:rPr>
        <w:t xml:space="preserve">The GE wider financial recovery and restructuring programme is based upon the effective working capital management. Enhanced liquidity will reduce the interests and improve creditor trust and help to fund transformation initiatives on a steady basis. An effective receivables and inventory management also minimizes the risk of inflation and currency fluctuations in the international operations (World Bank, 2024). </w:t>
      </w:r>
    </w:p>
    <w:p w14:paraId="7B3C5A39" w14:textId="3C9AB4A8" w:rsidR="00EE43CE" w:rsidRPr="000801BB" w:rsidRDefault="00B7339A" w:rsidP="000801BB">
      <w:pPr>
        <w:spacing w:line="360" w:lineRule="auto"/>
        <w:rPr>
          <w:rFonts w:ascii="Arial" w:hAnsi="Arial" w:cs="Arial"/>
          <w:sz w:val="24"/>
          <w:szCs w:val="24"/>
        </w:rPr>
      </w:pPr>
      <w:r w:rsidRPr="00B7339A">
        <w:rPr>
          <w:rFonts w:ascii="Arial" w:hAnsi="Arial" w:cs="Arial"/>
          <w:sz w:val="24"/>
          <w:szCs w:val="24"/>
        </w:rPr>
        <w:t>Further, the controlled cash management is an indication of operational management to investors and credit agencies, which strengthens the belief in the turnaround direction of GE. Finally, a streamlined working capital model will also revive operational speed, minimize reliance on short-term funding and contribute to GE switching to a leaner, more sustainable business model.</w:t>
      </w:r>
    </w:p>
    <w:p w14:paraId="09809887" w14:textId="77777777" w:rsidR="00B7339A" w:rsidRDefault="00B7339A">
      <w:pPr>
        <w:rPr>
          <w:rFonts w:ascii="Arial" w:hAnsi="Arial" w:cs="Arial"/>
          <w:b/>
          <w:bCs/>
          <w:sz w:val="24"/>
          <w:szCs w:val="24"/>
        </w:rPr>
      </w:pPr>
      <w:r>
        <w:rPr>
          <w:rFonts w:ascii="Arial" w:hAnsi="Arial" w:cs="Arial"/>
          <w:b/>
          <w:bCs/>
          <w:sz w:val="24"/>
          <w:szCs w:val="24"/>
        </w:rPr>
        <w:br w:type="page"/>
      </w:r>
    </w:p>
    <w:p w14:paraId="250053DE" w14:textId="43A77000" w:rsidR="004E254F" w:rsidRPr="000801BB" w:rsidRDefault="004E254F" w:rsidP="000801BB">
      <w:pPr>
        <w:spacing w:line="360" w:lineRule="auto"/>
        <w:rPr>
          <w:rFonts w:ascii="Arial" w:hAnsi="Arial" w:cs="Arial"/>
          <w:b/>
          <w:bCs/>
          <w:sz w:val="24"/>
          <w:szCs w:val="24"/>
        </w:rPr>
      </w:pPr>
      <w:r w:rsidRPr="000801BB">
        <w:rPr>
          <w:rFonts w:ascii="Arial" w:hAnsi="Arial" w:cs="Arial"/>
          <w:b/>
          <w:bCs/>
          <w:sz w:val="24"/>
          <w:szCs w:val="24"/>
        </w:rPr>
        <w:lastRenderedPageBreak/>
        <w:t>4.0 Financial Restructuring Strategy</w:t>
      </w:r>
    </w:p>
    <w:p w14:paraId="189E4348" w14:textId="77777777" w:rsidR="004E254F" w:rsidRPr="000801BB" w:rsidRDefault="004E254F" w:rsidP="000801BB">
      <w:pPr>
        <w:spacing w:line="360" w:lineRule="auto"/>
        <w:rPr>
          <w:rFonts w:ascii="Arial" w:hAnsi="Arial" w:cs="Arial"/>
          <w:b/>
          <w:bCs/>
          <w:sz w:val="24"/>
          <w:szCs w:val="24"/>
        </w:rPr>
      </w:pPr>
      <w:r w:rsidRPr="000801BB">
        <w:rPr>
          <w:rFonts w:ascii="Arial" w:hAnsi="Arial" w:cs="Arial"/>
          <w:b/>
          <w:bCs/>
          <w:sz w:val="24"/>
          <w:szCs w:val="24"/>
        </w:rPr>
        <w:t>4.1 Overview</w:t>
      </w:r>
    </w:p>
    <w:p w14:paraId="3448021C" w14:textId="77777777" w:rsidR="00B7339A" w:rsidRDefault="00B7339A" w:rsidP="000801BB">
      <w:pPr>
        <w:spacing w:line="360" w:lineRule="auto"/>
        <w:rPr>
          <w:rFonts w:ascii="Arial" w:hAnsi="Arial" w:cs="Arial"/>
          <w:sz w:val="24"/>
          <w:szCs w:val="24"/>
        </w:rPr>
      </w:pPr>
      <w:r w:rsidRPr="00B7339A">
        <w:rPr>
          <w:rFonts w:ascii="Arial" w:hAnsi="Arial" w:cs="Arial"/>
          <w:sz w:val="24"/>
          <w:szCs w:val="24"/>
        </w:rPr>
        <w:t>Financial restructuring is a planned re-architecture of the capital structure of a company to recover its solvency, competitiveness and investor trust (Altman and Hotchkiss, 2020). Leverage in the case of General Electronics (GE) is at critical levels: it has a 2024 debt-to-equity ratio of 1.11 and a retained earnings decrease by 36 per cent since 2020. Refinancing risk has been increased by short-term borrowing and further reduced by weakening profitability has limited cash reserves. GE needs a balanced approach to debt management, equity recapitalisation, asset optimisation and strategic alliances to restore financial stability and credibility.</w:t>
      </w:r>
    </w:p>
    <w:p w14:paraId="784A010F" w14:textId="4F8B7659" w:rsidR="004E254F" w:rsidRPr="000801BB" w:rsidRDefault="004E254F" w:rsidP="000801BB">
      <w:pPr>
        <w:spacing w:line="360" w:lineRule="auto"/>
        <w:rPr>
          <w:rFonts w:ascii="Arial" w:hAnsi="Arial" w:cs="Arial"/>
          <w:b/>
          <w:bCs/>
          <w:sz w:val="24"/>
          <w:szCs w:val="24"/>
        </w:rPr>
      </w:pPr>
      <w:r w:rsidRPr="000801BB">
        <w:rPr>
          <w:rFonts w:ascii="Arial" w:hAnsi="Arial" w:cs="Arial"/>
          <w:b/>
          <w:bCs/>
          <w:sz w:val="24"/>
          <w:szCs w:val="24"/>
        </w:rPr>
        <w:t>4.2 Recommended Actions</w:t>
      </w:r>
    </w:p>
    <w:p w14:paraId="4A17835D" w14:textId="77777777" w:rsidR="004E254F" w:rsidRPr="000801BB" w:rsidRDefault="004E254F" w:rsidP="000801BB">
      <w:pPr>
        <w:spacing w:line="360" w:lineRule="auto"/>
        <w:rPr>
          <w:rFonts w:ascii="Arial" w:hAnsi="Arial" w:cs="Arial"/>
          <w:b/>
          <w:bCs/>
          <w:sz w:val="24"/>
          <w:szCs w:val="24"/>
        </w:rPr>
      </w:pPr>
      <w:r w:rsidRPr="000801BB">
        <w:rPr>
          <w:rFonts w:ascii="Arial" w:hAnsi="Arial" w:cs="Arial"/>
          <w:b/>
          <w:bCs/>
          <w:sz w:val="24"/>
          <w:szCs w:val="24"/>
        </w:rPr>
        <w:t>a) Debt Restructuring</w:t>
      </w:r>
    </w:p>
    <w:p w14:paraId="71BB790C" w14:textId="62CB6FBE" w:rsidR="00B7339A" w:rsidRDefault="00B7339A" w:rsidP="000801BB">
      <w:pPr>
        <w:spacing w:line="360" w:lineRule="auto"/>
        <w:rPr>
          <w:rFonts w:ascii="Arial" w:hAnsi="Arial" w:cs="Arial"/>
          <w:sz w:val="24"/>
          <w:szCs w:val="24"/>
        </w:rPr>
      </w:pPr>
      <w:r w:rsidRPr="00B7339A">
        <w:rPr>
          <w:rFonts w:ascii="Arial" w:hAnsi="Arial" w:cs="Arial"/>
          <w:sz w:val="24"/>
          <w:szCs w:val="24"/>
        </w:rPr>
        <w:t xml:space="preserve">The former should first make the fewest repayment pressure by renegotiating the current obligations. The maturity extensions, the reduction of the coupon rates, and the partial conversion of the debt into equity would enhance the liquidity status and decrease the risk of default (IMF, 2024). The convertible bonds will provide the investor with fixed income and the possibility of capital gain, making them more attractive to the market (Damodaran, 2023). Solvency could be enhanced by a proposed </w:t>
      </w:r>
      <w:r w:rsidR="005C06C1">
        <w:rPr>
          <w:rFonts w:ascii="Arial" w:hAnsi="Arial" w:cs="Arial"/>
          <w:sz w:val="24"/>
          <w:szCs w:val="24"/>
        </w:rPr>
        <w:t>£</w:t>
      </w:r>
      <w:r w:rsidRPr="00B7339A">
        <w:rPr>
          <w:rFonts w:ascii="Arial" w:hAnsi="Arial" w:cs="Arial"/>
          <w:sz w:val="24"/>
          <w:szCs w:val="24"/>
        </w:rPr>
        <w:t xml:space="preserve">20 billion debt-to-equity swap that would reduce the debt-to-equity ratio to around 0.9 without harming the relationship with lenders. Open communication with creditors and credit-rating agencies will be crucial in protecting the image of GE as well as its ability to raise funds overseas. </w:t>
      </w:r>
    </w:p>
    <w:p w14:paraId="32CBACD5" w14:textId="5EE0D0EA" w:rsidR="004E254F" w:rsidRPr="000801BB" w:rsidRDefault="004E254F" w:rsidP="000801BB">
      <w:pPr>
        <w:spacing w:line="360" w:lineRule="auto"/>
        <w:rPr>
          <w:rFonts w:ascii="Arial" w:hAnsi="Arial" w:cs="Arial"/>
          <w:b/>
          <w:bCs/>
          <w:sz w:val="24"/>
          <w:szCs w:val="24"/>
        </w:rPr>
      </w:pPr>
      <w:r w:rsidRPr="000801BB">
        <w:rPr>
          <w:rFonts w:ascii="Arial" w:hAnsi="Arial" w:cs="Arial"/>
          <w:b/>
          <w:bCs/>
          <w:sz w:val="24"/>
          <w:szCs w:val="24"/>
        </w:rPr>
        <w:t>b) Equity Recapitalisation</w:t>
      </w:r>
    </w:p>
    <w:p w14:paraId="1CF367F1" w14:textId="2F128092" w:rsidR="00B7339A" w:rsidRDefault="00B7339A" w:rsidP="000801BB">
      <w:pPr>
        <w:spacing w:line="360" w:lineRule="auto"/>
        <w:rPr>
          <w:rFonts w:ascii="Arial" w:hAnsi="Arial" w:cs="Arial"/>
          <w:sz w:val="24"/>
          <w:szCs w:val="24"/>
        </w:rPr>
      </w:pPr>
      <w:r w:rsidRPr="00B7339A">
        <w:rPr>
          <w:rFonts w:ascii="Arial" w:hAnsi="Arial" w:cs="Arial"/>
          <w:sz w:val="24"/>
          <w:szCs w:val="24"/>
        </w:rPr>
        <w:t xml:space="preserve">GE should carry out a rights issue where existing shareholders are invited to buy one billion new shares at </w:t>
      </w:r>
      <w:r w:rsidR="005C06C1">
        <w:rPr>
          <w:rFonts w:ascii="Arial" w:hAnsi="Arial" w:cs="Arial"/>
          <w:sz w:val="24"/>
          <w:szCs w:val="24"/>
        </w:rPr>
        <w:t>£</w:t>
      </w:r>
      <w:r w:rsidRPr="00B7339A">
        <w:rPr>
          <w:rFonts w:ascii="Arial" w:hAnsi="Arial" w:cs="Arial"/>
          <w:sz w:val="24"/>
          <w:szCs w:val="24"/>
        </w:rPr>
        <w:t>10 each, to increase the capital adequacy but this should not be done at the expense of excessive dilution. These would eliminate high-cost debt and replenish working capital to reduce the weighted average cost of capital (WACC) in line with the capital-structure theory of Modigliani and Miller (1963). The issue is to be launched after early restructuring milestones prove to be stable and indicates managerial confidence and the appeal of long-term institutional investors (EY, 2024).</w:t>
      </w:r>
    </w:p>
    <w:p w14:paraId="329CB41B" w14:textId="0BD246D1" w:rsidR="004E254F" w:rsidRPr="000801BB" w:rsidRDefault="004E254F" w:rsidP="000801BB">
      <w:pPr>
        <w:spacing w:line="360" w:lineRule="auto"/>
        <w:rPr>
          <w:rFonts w:ascii="Arial" w:hAnsi="Arial" w:cs="Arial"/>
          <w:b/>
          <w:bCs/>
          <w:sz w:val="24"/>
          <w:szCs w:val="24"/>
        </w:rPr>
      </w:pPr>
      <w:r w:rsidRPr="000801BB">
        <w:rPr>
          <w:rFonts w:ascii="Arial" w:hAnsi="Arial" w:cs="Arial"/>
          <w:b/>
          <w:bCs/>
          <w:sz w:val="24"/>
          <w:szCs w:val="24"/>
        </w:rPr>
        <w:lastRenderedPageBreak/>
        <w:t>c) Asset Divestiture</w:t>
      </w:r>
    </w:p>
    <w:p w14:paraId="119C9792" w14:textId="3A831187" w:rsidR="00B7339A" w:rsidRDefault="00B7339A" w:rsidP="000801BB">
      <w:pPr>
        <w:spacing w:line="360" w:lineRule="auto"/>
        <w:rPr>
          <w:rFonts w:ascii="Arial" w:hAnsi="Arial" w:cs="Arial"/>
          <w:sz w:val="24"/>
          <w:szCs w:val="24"/>
        </w:rPr>
      </w:pPr>
      <w:r w:rsidRPr="00B7339A">
        <w:rPr>
          <w:rFonts w:ascii="Arial" w:hAnsi="Arial" w:cs="Arial"/>
          <w:sz w:val="24"/>
          <w:szCs w:val="24"/>
        </w:rPr>
        <w:t xml:space="preserve">GE has a diversified portfolio comprising of legacy business units that are not performing well, especially in the traditional appliances category. Sale of non-core operations would generate </w:t>
      </w:r>
      <w:r w:rsidR="005C06C1">
        <w:rPr>
          <w:rFonts w:ascii="Arial" w:hAnsi="Arial" w:cs="Arial"/>
          <w:sz w:val="24"/>
          <w:szCs w:val="24"/>
        </w:rPr>
        <w:t>£</w:t>
      </w:r>
      <w:r w:rsidRPr="00B7339A">
        <w:rPr>
          <w:rFonts w:ascii="Arial" w:hAnsi="Arial" w:cs="Arial"/>
          <w:sz w:val="24"/>
          <w:szCs w:val="24"/>
        </w:rPr>
        <w:t>15-20 billion and optimize operations, and focus on the high-growth units, including Smart technologies and renewable energy (McKinsey, 2024). This is a reflection of the success of IBM in its transition to software services as opposed to hardware (BCG, 2023). Ethical divestiture must have clear consultation with the employees, social provisions to unemployed employees and environmental provisions to reduce the reputational risk.</w:t>
      </w:r>
    </w:p>
    <w:p w14:paraId="2CF4CE50" w14:textId="346B40AA" w:rsidR="004E254F" w:rsidRPr="000801BB" w:rsidRDefault="004E254F" w:rsidP="000801BB">
      <w:pPr>
        <w:spacing w:line="360" w:lineRule="auto"/>
        <w:rPr>
          <w:rFonts w:ascii="Arial" w:hAnsi="Arial" w:cs="Arial"/>
          <w:b/>
          <w:bCs/>
          <w:sz w:val="24"/>
          <w:szCs w:val="24"/>
        </w:rPr>
      </w:pPr>
      <w:r w:rsidRPr="000801BB">
        <w:rPr>
          <w:rFonts w:ascii="Arial" w:hAnsi="Arial" w:cs="Arial"/>
          <w:b/>
          <w:bCs/>
          <w:sz w:val="24"/>
          <w:szCs w:val="24"/>
        </w:rPr>
        <w:t>d) Strategic Partnerships and Mergers</w:t>
      </w:r>
    </w:p>
    <w:p w14:paraId="48BB88B0" w14:textId="16E19E03" w:rsidR="00B7339A" w:rsidRDefault="00B7339A" w:rsidP="000801BB">
      <w:pPr>
        <w:spacing w:line="360" w:lineRule="auto"/>
        <w:rPr>
          <w:rFonts w:ascii="Arial" w:hAnsi="Arial" w:cs="Arial"/>
          <w:sz w:val="24"/>
          <w:szCs w:val="24"/>
        </w:rPr>
      </w:pPr>
      <w:r w:rsidRPr="00B7339A">
        <w:rPr>
          <w:rFonts w:ascii="Arial" w:hAnsi="Arial" w:cs="Arial"/>
          <w:sz w:val="24"/>
          <w:szCs w:val="24"/>
        </w:rPr>
        <w:t xml:space="preserve">In addition to financial engineering, GE needs to engage in partnership with technologic innovators to speed up the digital change and split the R&amp;D expenses. </w:t>
      </w:r>
      <w:r w:rsidR="00262CD6" w:rsidRPr="00262CD6">
        <w:rPr>
          <w:rFonts w:ascii="Arial" w:hAnsi="Arial" w:cs="Arial"/>
          <w:sz w:val="24"/>
          <w:szCs w:val="24"/>
        </w:rPr>
        <w:t>Semiconductors, data analytics or smart-device ecosystems: The partnership would help to accelerate the innovation pace and make the distribution more successful (KPMG, 2023).</w:t>
      </w:r>
      <w:r w:rsidRPr="00B7339A">
        <w:rPr>
          <w:rFonts w:ascii="Arial" w:hAnsi="Arial" w:cs="Arial"/>
          <w:sz w:val="24"/>
          <w:szCs w:val="24"/>
        </w:rPr>
        <w:t>The merger activity, however, should be subjected to a severe due-diligence scrutiny so as to avoid integration failure and antitrust issues.</w:t>
      </w:r>
    </w:p>
    <w:p w14:paraId="20A096F2" w14:textId="5B939B59" w:rsidR="004E254F" w:rsidRPr="000801BB" w:rsidRDefault="004E254F" w:rsidP="000801BB">
      <w:pPr>
        <w:spacing w:line="360" w:lineRule="auto"/>
        <w:rPr>
          <w:rFonts w:ascii="Arial" w:hAnsi="Arial" w:cs="Arial"/>
          <w:b/>
          <w:bCs/>
          <w:sz w:val="24"/>
          <w:szCs w:val="24"/>
        </w:rPr>
      </w:pPr>
      <w:r w:rsidRPr="000801BB">
        <w:rPr>
          <w:rFonts w:ascii="Arial" w:hAnsi="Arial" w:cs="Arial"/>
          <w:b/>
          <w:bCs/>
          <w:sz w:val="24"/>
          <w:szCs w:val="24"/>
        </w:rPr>
        <w:t>4.3 Ethical and Global Dimensions</w:t>
      </w:r>
    </w:p>
    <w:p w14:paraId="78428649" w14:textId="77777777" w:rsidR="00B7339A" w:rsidRPr="00B7339A" w:rsidRDefault="00B7339A" w:rsidP="00B7339A">
      <w:pPr>
        <w:spacing w:line="360" w:lineRule="auto"/>
        <w:rPr>
          <w:rFonts w:ascii="Arial" w:hAnsi="Arial" w:cs="Arial"/>
          <w:sz w:val="24"/>
          <w:szCs w:val="24"/>
        </w:rPr>
      </w:pPr>
      <w:r w:rsidRPr="00B7339A">
        <w:rPr>
          <w:rFonts w:ascii="Arial" w:hAnsi="Arial" w:cs="Arial"/>
          <w:sz w:val="24"/>
          <w:szCs w:val="24"/>
        </w:rPr>
        <w:t>The reorganization should be directive of good corporate-governance and sustainability values (Carroll, 2016). The major ethical aspects are:</w:t>
      </w:r>
    </w:p>
    <w:p w14:paraId="2B26A95D" w14:textId="77777777" w:rsidR="00B7339A" w:rsidRPr="00B7339A" w:rsidRDefault="00B7339A" w:rsidP="00B7339A">
      <w:pPr>
        <w:pStyle w:val="ListParagraph"/>
        <w:numPr>
          <w:ilvl w:val="0"/>
          <w:numId w:val="33"/>
        </w:numPr>
        <w:spacing w:line="360" w:lineRule="auto"/>
        <w:rPr>
          <w:rFonts w:ascii="Arial" w:hAnsi="Arial" w:cs="Arial"/>
          <w:sz w:val="24"/>
          <w:szCs w:val="24"/>
        </w:rPr>
      </w:pPr>
      <w:r w:rsidRPr="00B7339A">
        <w:rPr>
          <w:rFonts w:ascii="Arial" w:hAnsi="Arial" w:cs="Arial"/>
          <w:sz w:val="24"/>
          <w:szCs w:val="24"/>
        </w:rPr>
        <w:t>Employee Retention and Reskilling - GE needs to redeploy and reskill employees and maintain morale by not retrenching everyone; instead, they have to retain the knowledge within the company.</w:t>
      </w:r>
    </w:p>
    <w:p w14:paraId="053C1E98" w14:textId="77777777" w:rsidR="00B7339A" w:rsidRPr="00B7339A" w:rsidRDefault="00B7339A" w:rsidP="00B7339A">
      <w:pPr>
        <w:pStyle w:val="ListParagraph"/>
        <w:numPr>
          <w:ilvl w:val="0"/>
          <w:numId w:val="33"/>
        </w:numPr>
        <w:spacing w:line="360" w:lineRule="auto"/>
        <w:rPr>
          <w:rFonts w:ascii="Arial" w:hAnsi="Arial" w:cs="Arial"/>
          <w:sz w:val="24"/>
          <w:szCs w:val="24"/>
        </w:rPr>
      </w:pPr>
      <w:r w:rsidRPr="00B7339A">
        <w:rPr>
          <w:rFonts w:ascii="Arial" w:hAnsi="Arial" w:cs="Arial"/>
          <w:sz w:val="24"/>
          <w:szCs w:val="24"/>
        </w:rPr>
        <w:t>Open Tax and Accounting Practices - It will prevent the employment of aggressive minimisation of taxes that promote integrity and regulatory trust (OECD, 2023).</w:t>
      </w:r>
    </w:p>
    <w:p w14:paraId="6E6E5D78" w14:textId="77777777" w:rsidR="00B7339A" w:rsidRPr="00B7339A" w:rsidRDefault="00B7339A" w:rsidP="00B7339A">
      <w:pPr>
        <w:pStyle w:val="ListParagraph"/>
        <w:numPr>
          <w:ilvl w:val="0"/>
          <w:numId w:val="33"/>
        </w:numPr>
        <w:spacing w:line="360" w:lineRule="auto"/>
        <w:rPr>
          <w:rFonts w:ascii="Arial" w:hAnsi="Arial" w:cs="Arial"/>
          <w:sz w:val="24"/>
          <w:szCs w:val="24"/>
        </w:rPr>
      </w:pPr>
      <w:r w:rsidRPr="00B7339A">
        <w:rPr>
          <w:rFonts w:ascii="Arial" w:hAnsi="Arial" w:cs="Arial"/>
          <w:sz w:val="24"/>
          <w:szCs w:val="24"/>
        </w:rPr>
        <w:t>Currency and Inflation Risk Management - Forward contracts and natural hedging helps in protecting cash flows against exchange volatility in global markets of GE (World Bank, 2024).</w:t>
      </w:r>
    </w:p>
    <w:p w14:paraId="1B04C3E6" w14:textId="77777777" w:rsidR="00B7339A" w:rsidRPr="00B7339A" w:rsidRDefault="00B7339A" w:rsidP="00B7339A">
      <w:pPr>
        <w:pStyle w:val="ListParagraph"/>
        <w:numPr>
          <w:ilvl w:val="0"/>
          <w:numId w:val="33"/>
        </w:numPr>
        <w:spacing w:line="360" w:lineRule="auto"/>
        <w:rPr>
          <w:rFonts w:ascii="Arial" w:hAnsi="Arial" w:cs="Arial"/>
          <w:sz w:val="24"/>
          <w:szCs w:val="24"/>
        </w:rPr>
      </w:pPr>
      <w:r w:rsidRPr="00B7339A">
        <w:rPr>
          <w:rFonts w:ascii="Arial" w:hAnsi="Arial" w:cs="Arial"/>
          <w:sz w:val="24"/>
          <w:szCs w:val="24"/>
        </w:rPr>
        <w:t>ESG-Consistent Capital Allocation - By developing new sources of funds to low-carbon production and responsible sourcing, it will increase investor confidence and adherence to new disclosure systems (PwC, 2024).</w:t>
      </w:r>
    </w:p>
    <w:p w14:paraId="1828EBB7" w14:textId="77777777" w:rsidR="00B7339A" w:rsidRDefault="00B7339A" w:rsidP="00B7339A">
      <w:pPr>
        <w:spacing w:line="360" w:lineRule="auto"/>
        <w:rPr>
          <w:rFonts w:ascii="Arial" w:hAnsi="Arial" w:cs="Arial"/>
          <w:sz w:val="24"/>
          <w:szCs w:val="24"/>
        </w:rPr>
      </w:pPr>
      <w:r w:rsidRPr="00B7339A">
        <w:rPr>
          <w:rFonts w:ascii="Arial" w:hAnsi="Arial" w:cs="Arial"/>
          <w:sz w:val="24"/>
          <w:szCs w:val="24"/>
        </w:rPr>
        <w:lastRenderedPageBreak/>
        <w:t>Integrating both ESG and ethical protection in the process of restructuring alleviates reputational risk and forms the basis of a sustainable creation of long-term value.</w:t>
      </w:r>
    </w:p>
    <w:p w14:paraId="05E6E756" w14:textId="28EC9BFC" w:rsidR="004E254F" w:rsidRPr="000801BB" w:rsidRDefault="004E254F" w:rsidP="00B7339A">
      <w:pPr>
        <w:spacing w:line="360" w:lineRule="auto"/>
        <w:rPr>
          <w:rFonts w:ascii="Arial" w:hAnsi="Arial" w:cs="Arial"/>
          <w:b/>
          <w:bCs/>
          <w:sz w:val="24"/>
          <w:szCs w:val="24"/>
        </w:rPr>
      </w:pPr>
      <w:r w:rsidRPr="000801BB">
        <w:rPr>
          <w:rFonts w:ascii="Arial" w:hAnsi="Arial" w:cs="Arial"/>
          <w:b/>
          <w:bCs/>
          <w:sz w:val="24"/>
          <w:szCs w:val="24"/>
        </w:rPr>
        <w:t>4.4 Shareholder-Value Consequences</w:t>
      </w:r>
    </w:p>
    <w:p w14:paraId="32075E9A" w14:textId="4D9EC088" w:rsidR="004E254F" w:rsidRPr="000801BB" w:rsidRDefault="00B7339A" w:rsidP="000801BB">
      <w:pPr>
        <w:spacing w:line="360" w:lineRule="auto"/>
        <w:rPr>
          <w:rFonts w:ascii="Arial" w:hAnsi="Arial" w:cs="Arial"/>
          <w:sz w:val="24"/>
          <w:szCs w:val="24"/>
        </w:rPr>
      </w:pPr>
      <w:r w:rsidRPr="00B7339A">
        <w:rPr>
          <w:rFonts w:ascii="Arial" w:hAnsi="Arial" w:cs="Arial"/>
          <w:sz w:val="24"/>
          <w:szCs w:val="24"/>
        </w:rPr>
        <w:t>Though dilution in the short run is unavoidable, in the long run shareholder wealth in the long term is likely to increase as leverage decreases and bankruptcy risk is reduced. The decrease in the WACC of GE to 9.6 per cent would significantly raise the enterprise valuation (Brigham &amp; Ehrhardt, 2022). The empirical data in the market indicates that the successful restructuring announcements tend to contribute to the positive abnormal returns as investors tend to reward the credible turnaround signals (FT, 2024). The enhanced solvency will open the international financing sources, increase the credit ratings and allow future dividend recovery as soon as profitability will recover.</w:t>
      </w:r>
    </w:p>
    <w:p w14:paraId="541AEAC6" w14:textId="77777777" w:rsidR="00054F5D" w:rsidRPr="00054F5D" w:rsidRDefault="00054F5D" w:rsidP="00054F5D">
      <w:pPr>
        <w:spacing w:line="360" w:lineRule="auto"/>
        <w:rPr>
          <w:rFonts w:ascii="Arial" w:hAnsi="Arial" w:cs="Arial"/>
          <w:b/>
          <w:bCs/>
          <w:sz w:val="24"/>
          <w:szCs w:val="24"/>
        </w:rPr>
      </w:pPr>
      <w:r w:rsidRPr="00054F5D">
        <w:rPr>
          <w:rFonts w:ascii="Arial" w:hAnsi="Arial" w:cs="Arial"/>
          <w:b/>
          <w:bCs/>
          <w:sz w:val="24"/>
          <w:szCs w:val="24"/>
        </w:rPr>
        <w:t>4.5 Implementation Phases</w:t>
      </w:r>
    </w:p>
    <w:p w14:paraId="27AD9F26" w14:textId="77777777" w:rsidR="00054F5D" w:rsidRPr="00054F5D" w:rsidRDefault="00054F5D" w:rsidP="00054F5D">
      <w:pPr>
        <w:spacing w:line="360" w:lineRule="auto"/>
        <w:rPr>
          <w:rFonts w:ascii="Arial" w:hAnsi="Arial" w:cs="Arial"/>
          <w:sz w:val="24"/>
          <w:szCs w:val="24"/>
        </w:rPr>
      </w:pPr>
      <w:r w:rsidRPr="00054F5D">
        <w:rPr>
          <w:rFonts w:ascii="Arial" w:hAnsi="Arial" w:cs="Arial"/>
          <w:sz w:val="24"/>
          <w:szCs w:val="24"/>
        </w:rPr>
        <w:t>Phase 1 - Stabilisation (0-6 months)</w:t>
      </w:r>
    </w:p>
    <w:p w14:paraId="4ABF39E3" w14:textId="77777777" w:rsidR="00054F5D" w:rsidRPr="00054F5D" w:rsidRDefault="00054F5D" w:rsidP="00054F5D">
      <w:pPr>
        <w:pStyle w:val="ListParagraph"/>
        <w:numPr>
          <w:ilvl w:val="0"/>
          <w:numId w:val="34"/>
        </w:numPr>
        <w:spacing w:line="360" w:lineRule="auto"/>
        <w:rPr>
          <w:rFonts w:ascii="Arial" w:hAnsi="Arial" w:cs="Arial"/>
          <w:sz w:val="24"/>
          <w:szCs w:val="24"/>
        </w:rPr>
      </w:pPr>
      <w:r w:rsidRPr="00054F5D">
        <w:rPr>
          <w:rFonts w:ascii="Arial" w:hAnsi="Arial" w:cs="Arial"/>
          <w:sz w:val="24"/>
          <w:szCs w:val="24"/>
        </w:rPr>
        <w:t>Negotiate the re-scheduling of major creditors to get immediate liquidity.</w:t>
      </w:r>
    </w:p>
    <w:p w14:paraId="251CA570" w14:textId="77777777" w:rsidR="00054F5D" w:rsidRPr="00054F5D" w:rsidRDefault="00054F5D" w:rsidP="00054F5D">
      <w:pPr>
        <w:pStyle w:val="ListParagraph"/>
        <w:numPr>
          <w:ilvl w:val="0"/>
          <w:numId w:val="34"/>
        </w:numPr>
        <w:spacing w:line="360" w:lineRule="auto"/>
        <w:rPr>
          <w:rFonts w:ascii="Arial" w:hAnsi="Arial" w:cs="Arial"/>
          <w:sz w:val="24"/>
          <w:szCs w:val="24"/>
        </w:rPr>
      </w:pPr>
      <w:r w:rsidRPr="00054F5D">
        <w:rPr>
          <w:rFonts w:ascii="Arial" w:hAnsi="Arial" w:cs="Arial"/>
          <w:sz w:val="24"/>
          <w:szCs w:val="24"/>
        </w:rPr>
        <w:t>Stop non-essential capital spending and focus on necessary-maintenance.</w:t>
      </w:r>
    </w:p>
    <w:p w14:paraId="3DC6E4A8" w14:textId="17262B57" w:rsidR="00054F5D" w:rsidRPr="00054F5D" w:rsidRDefault="00054F5D" w:rsidP="00054F5D">
      <w:pPr>
        <w:pStyle w:val="ListParagraph"/>
        <w:numPr>
          <w:ilvl w:val="0"/>
          <w:numId w:val="34"/>
        </w:numPr>
        <w:spacing w:line="360" w:lineRule="auto"/>
        <w:rPr>
          <w:rFonts w:ascii="Arial" w:hAnsi="Arial" w:cs="Arial"/>
          <w:sz w:val="24"/>
          <w:szCs w:val="24"/>
        </w:rPr>
      </w:pPr>
      <w:r w:rsidRPr="00054F5D">
        <w:rPr>
          <w:rFonts w:ascii="Arial" w:hAnsi="Arial" w:cs="Arial"/>
          <w:sz w:val="24"/>
          <w:szCs w:val="24"/>
        </w:rPr>
        <w:t>Open working-capital optimisation and cash-flow forecasting reforms.</w:t>
      </w:r>
    </w:p>
    <w:p w14:paraId="123EDD32" w14:textId="77777777" w:rsidR="00054F5D" w:rsidRPr="00054F5D" w:rsidRDefault="00054F5D" w:rsidP="00054F5D">
      <w:pPr>
        <w:spacing w:line="360" w:lineRule="auto"/>
        <w:rPr>
          <w:rFonts w:ascii="Arial" w:hAnsi="Arial" w:cs="Arial"/>
          <w:sz w:val="24"/>
          <w:szCs w:val="24"/>
        </w:rPr>
      </w:pPr>
      <w:r w:rsidRPr="00054F5D">
        <w:rPr>
          <w:rFonts w:ascii="Arial" w:hAnsi="Arial" w:cs="Arial"/>
          <w:sz w:val="24"/>
          <w:szCs w:val="24"/>
        </w:rPr>
        <w:t>Phase 2 - Recapitalisation (6-12months)</w:t>
      </w:r>
    </w:p>
    <w:p w14:paraId="10B88AAD" w14:textId="77777777" w:rsidR="00054F5D" w:rsidRPr="00054F5D" w:rsidRDefault="00054F5D" w:rsidP="00054F5D">
      <w:pPr>
        <w:pStyle w:val="ListParagraph"/>
        <w:numPr>
          <w:ilvl w:val="0"/>
          <w:numId w:val="35"/>
        </w:numPr>
        <w:spacing w:line="360" w:lineRule="auto"/>
        <w:rPr>
          <w:rFonts w:ascii="Arial" w:hAnsi="Arial" w:cs="Arial"/>
          <w:sz w:val="24"/>
          <w:szCs w:val="24"/>
        </w:rPr>
      </w:pPr>
      <w:r w:rsidRPr="00054F5D">
        <w:rPr>
          <w:rFonts w:ascii="Arial" w:hAnsi="Arial" w:cs="Arial"/>
          <w:sz w:val="24"/>
          <w:szCs w:val="24"/>
        </w:rPr>
        <w:t>Carry out the rights issue and carry out the debt-to-equity conversion.</w:t>
      </w:r>
    </w:p>
    <w:p w14:paraId="12ACDB94" w14:textId="77777777" w:rsidR="00054F5D" w:rsidRPr="00054F5D" w:rsidRDefault="00054F5D" w:rsidP="00054F5D">
      <w:pPr>
        <w:pStyle w:val="ListParagraph"/>
        <w:numPr>
          <w:ilvl w:val="0"/>
          <w:numId w:val="35"/>
        </w:numPr>
        <w:spacing w:line="360" w:lineRule="auto"/>
        <w:rPr>
          <w:rFonts w:ascii="Arial" w:hAnsi="Arial" w:cs="Arial"/>
          <w:sz w:val="24"/>
          <w:szCs w:val="24"/>
        </w:rPr>
      </w:pPr>
      <w:r w:rsidRPr="00054F5D">
        <w:rPr>
          <w:rFonts w:ascii="Arial" w:hAnsi="Arial" w:cs="Arial"/>
          <w:sz w:val="24"/>
          <w:szCs w:val="24"/>
        </w:rPr>
        <w:t>Sell non-strategic or loss making subsidiaries.</w:t>
      </w:r>
    </w:p>
    <w:p w14:paraId="508ECC32" w14:textId="44E8A6C5" w:rsidR="00054F5D" w:rsidRPr="00054F5D" w:rsidRDefault="00054F5D" w:rsidP="00054F5D">
      <w:pPr>
        <w:pStyle w:val="ListParagraph"/>
        <w:numPr>
          <w:ilvl w:val="0"/>
          <w:numId w:val="35"/>
        </w:numPr>
        <w:spacing w:line="360" w:lineRule="auto"/>
        <w:rPr>
          <w:rFonts w:ascii="Arial" w:hAnsi="Arial" w:cs="Arial"/>
          <w:sz w:val="24"/>
          <w:szCs w:val="24"/>
        </w:rPr>
      </w:pPr>
      <w:r w:rsidRPr="00054F5D">
        <w:rPr>
          <w:rFonts w:ascii="Arial" w:hAnsi="Arial" w:cs="Arial"/>
          <w:sz w:val="24"/>
          <w:szCs w:val="24"/>
        </w:rPr>
        <w:t>Report on the current developments to investors and consult credit-rating agencies to show better leverage ratios.</w:t>
      </w:r>
    </w:p>
    <w:p w14:paraId="113C738F" w14:textId="77777777" w:rsidR="00054F5D" w:rsidRPr="00054F5D" w:rsidRDefault="00054F5D" w:rsidP="00054F5D">
      <w:pPr>
        <w:spacing w:line="360" w:lineRule="auto"/>
        <w:rPr>
          <w:rFonts w:ascii="Arial" w:hAnsi="Arial" w:cs="Arial"/>
          <w:sz w:val="24"/>
          <w:szCs w:val="24"/>
        </w:rPr>
      </w:pPr>
      <w:r w:rsidRPr="00054F5D">
        <w:rPr>
          <w:rFonts w:ascii="Arial" w:hAnsi="Arial" w:cs="Arial"/>
          <w:sz w:val="24"/>
          <w:szCs w:val="24"/>
        </w:rPr>
        <w:t>Phase 3 - Strategic Renewal (12-24 months).</w:t>
      </w:r>
    </w:p>
    <w:p w14:paraId="5729DCCF" w14:textId="77777777" w:rsidR="00054F5D" w:rsidRPr="00054F5D" w:rsidRDefault="00054F5D" w:rsidP="00054F5D">
      <w:pPr>
        <w:pStyle w:val="ListParagraph"/>
        <w:numPr>
          <w:ilvl w:val="0"/>
          <w:numId w:val="36"/>
        </w:numPr>
        <w:spacing w:line="360" w:lineRule="auto"/>
        <w:rPr>
          <w:rFonts w:ascii="Arial" w:hAnsi="Arial" w:cs="Arial"/>
          <w:sz w:val="24"/>
          <w:szCs w:val="24"/>
        </w:rPr>
      </w:pPr>
      <w:r w:rsidRPr="00054F5D">
        <w:rPr>
          <w:rFonts w:ascii="Arial" w:hAnsi="Arial" w:cs="Arial"/>
          <w:sz w:val="24"/>
          <w:szCs w:val="24"/>
        </w:rPr>
        <w:t>Make partnerships in the digital manufacturing, automation, and renewable technologies.</w:t>
      </w:r>
    </w:p>
    <w:p w14:paraId="7C08E350" w14:textId="77777777" w:rsidR="00054F5D" w:rsidRPr="00054F5D" w:rsidRDefault="00054F5D" w:rsidP="00054F5D">
      <w:pPr>
        <w:pStyle w:val="ListParagraph"/>
        <w:numPr>
          <w:ilvl w:val="0"/>
          <w:numId w:val="36"/>
        </w:numPr>
        <w:spacing w:line="360" w:lineRule="auto"/>
        <w:rPr>
          <w:rFonts w:ascii="Arial" w:hAnsi="Arial" w:cs="Arial"/>
          <w:sz w:val="24"/>
          <w:szCs w:val="24"/>
        </w:rPr>
      </w:pPr>
      <w:r w:rsidRPr="00054F5D">
        <w:rPr>
          <w:rFonts w:ascii="Arial" w:hAnsi="Arial" w:cs="Arial"/>
          <w:sz w:val="24"/>
          <w:szCs w:val="24"/>
        </w:rPr>
        <w:t>Invest in process optimisation using AI in order to make operations more efficient.</w:t>
      </w:r>
    </w:p>
    <w:p w14:paraId="76365E72" w14:textId="0EF89A40" w:rsidR="00054F5D" w:rsidRPr="00054F5D" w:rsidRDefault="00054F5D" w:rsidP="00054F5D">
      <w:pPr>
        <w:pStyle w:val="ListParagraph"/>
        <w:numPr>
          <w:ilvl w:val="0"/>
          <w:numId w:val="36"/>
        </w:numPr>
        <w:spacing w:line="360" w:lineRule="auto"/>
        <w:rPr>
          <w:rFonts w:ascii="Arial" w:hAnsi="Arial" w:cs="Arial"/>
          <w:sz w:val="24"/>
          <w:szCs w:val="24"/>
        </w:rPr>
      </w:pPr>
      <w:r w:rsidRPr="00054F5D">
        <w:rPr>
          <w:rFonts w:ascii="Arial" w:hAnsi="Arial" w:cs="Arial"/>
          <w:sz w:val="24"/>
          <w:szCs w:val="24"/>
        </w:rPr>
        <w:t>Bring back dividend payments and long-term incentives systems upon achieving target thresholds in financial metrics.</w:t>
      </w:r>
    </w:p>
    <w:p w14:paraId="03935F26" w14:textId="10B871F6" w:rsidR="00054F5D" w:rsidRPr="00054F5D" w:rsidRDefault="00054F5D" w:rsidP="00054F5D">
      <w:pPr>
        <w:spacing w:line="360" w:lineRule="auto"/>
        <w:rPr>
          <w:rFonts w:ascii="Arial" w:hAnsi="Arial" w:cs="Arial"/>
          <w:sz w:val="24"/>
          <w:szCs w:val="24"/>
        </w:rPr>
      </w:pPr>
      <w:r w:rsidRPr="00054F5D">
        <w:rPr>
          <w:rFonts w:ascii="Arial" w:hAnsi="Arial" w:cs="Arial"/>
          <w:sz w:val="24"/>
          <w:szCs w:val="24"/>
        </w:rPr>
        <w:lastRenderedPageBreak/>
        <w:t>This is a phased roadmap that would guarantee a disciplined transition that is based in ethics on stabilising the crisis and achieving renewal. The phases are ordered in a way that assures the liquidity protection, balance sheet enhancement and, ultimately, the positioning of GE to a growth perspective by means of technological leadership and ESG orientation.</w:t>
      </w:r>
    </w:p>
    <w:p w14:paraId="47B5DD1E" w14:textId="77777777" w:rsidR="00054F5D" w:rsidRPr="00054F5D" w:rsidRDefault="00054F5D" w:rsidP="00054F5D">
      <w:pPr>
        <w:spacing w:line="360" w:lineRule="auto"/>
        <w:rPr>
          <w:rFonts w:ascii="Arial" w:hAnsi="Arial" w:cs="Arial"/>
          <w:b/>
          <w:bCs/>
          <w:sz w:val="24"/>
          <w:szCs w:val="24"/>
        </w:rPr>
      </w:pPr>
      <w:r w:rsidRPr="00054F5D">
        <w:rPr>
          <w:rFonts w:ascii="Arial" w:hAnsi="Arial" w:cs="Arial"/>
          <w:b/>
          <w:bCs/>
          <w:sz w:val="24"/>
          <w:szCs w:val="24"/>
        </w:rPr>
        <w:t>4.6 Summary</w:t>
      </w:r>
    </w:p>
    <w:p w14:paraId="6F2C2304" w14:textId="26F09719" w:rsidR="00EE43CE" w:rsidRPr="00054F5D" w:rsidRDefault="00054F5D" w:rsidP="00054F5D">
      <w:pPr>
        <w:spacing w:line="360" w:lineRule="auto"/>
        <w:rPr>
          <w:rFonts w:ascii="Arial" w:hAnsi="Arial" w:cs="Arial"/>
          <w:sz w:val="24"/>
          <w:szCs w:val="24"/>
        </w:rPr>
      </w:pPr>
      <w:r w:rsidRPr="00054F5D">
        <w:rPr>
          <w:rFonts w:ascii="Arial" w:hAnsi="Arial" w:cs="Arial"/>
          <w:sz w:val="24"/>
          <w:szCs w:val="24"/>
        </w:rPr>
        <w:t>The financial restructuring at GE is not a cost-cutting process but an overhaul of strategic focus. The company can recover solvency and earn the trust of the stakeholders by negotiating debt over again, recapitalising equity, selling non-core assets and venturing towards collaborative innovation. Incorporating the concept of ethical governance and environmental stewardship in the entire process will strengthen the legitimacy and appeal to sustainability-oriented investors. By executed rigorously following this three-step prognosis, GE may rebound out of its distress as a more streamlined, cannibalized, and financially empowered enterprise, able to create lasting value to shareholders, employees, as well as the society.</w:t>
      </w:r>
    </w:p>
    <w:p w14:paraId="0CE6E3A9" w14:textId="77777777" w:rsidR="00054F5D" w:rsidRPr="000801BB" w:rsidRDefault="00054F5D" w:rsidP="00054F5D">
      <w:pPr>
        <w:spacing w:line="360" w:lineRule="auto"/>
        <w:rPr>
          <w:rFonts w:ascii="Arial" w:hAnsi="Arial" w:cs="Arial"/>
          <w:sz w:val="24"/>
          <w:szCs w:val="24"/>
        </w:rPr>
      </w:pPr>
    </w:p>
    <w:p w14:paraId="384C454A" w14:textId="77777777" w:rsidR="00DB31D5" w:rsidRPr="00DB31D5" w:rsidRDefault="00DB31D5" w:rsidP="000801BB">
      <w:pPr>
        <w:spacing w:line="360" w:lineRule="auto"/>
        <w:rPr>
          <w:rFonts w:ascii="Arial" w:hAnsi="Arial" w:cs="Arial"/>
          <w:b/>
          <w:bCs/>
          <w:sz w:val="24"/>
          <w:szCs w:val="24"/>
        </w:rPr>
      </w:pPr>
      <w:r w:rsidRPr="00DB31D5">
        <w:rPr>
          <w:rFonts w:ascii="Arial" w:hAnsi="Arial" w:cs="Arial"/>
          <w:b/>
          <w:bCs/>
          <w:sz w:val="24"/>
          <w:szCs w:val="24"/>
        </w:rPr>
        <w:t>5.0 Investment Appraisal and Decision Making</w:t>
      </w:r>
    </w:p>
    <w:p w14:paraId="610AEDF0" w14:textId="77777777" w:rsidR="00DB31D5" w:rsidRPr="00DB31D5" w:rsidRDefault="00DB31D5" w:rsidP="000801BB">
      <w:pPr>
        <w:spacing w:line="360" w:lineRule="auto"/>
        <w:rPr>
          <w:rFonts w:ascii="Arial" w:hAnsi="Arial" w:cs="Arial"/>
          <w:b/>
          <w:bCs/>
          <w:sz w:val="24"/>
          <w:szCs w:val="24"/>
        </w:rPr>
      </w:pPr>
      <w:r w:rsidRPr="00DB31D5">
        <w:rPr>
          <w:rFonts w:ascii="Arial" w:hAnsi="Arial" w:cs="Arial"/>
          <w:b/>
          <w:bCs/>
          <w:sz w:val="24"/>
          <w:szCs w:val="24"/>
        </w:rPr>
        <w:t>5.1 Overview</w:t>
      </w:r>
    </w:p>
    <w:p w14:paraId="27C4EBC7" w14:textId="3EF17731" w:rsidR="00054F5D" w:rsidRPr="00054F5D" w:rsidRDefault="00054F5D" w:rsidP="00054F5D">
      <w:pPr>
        <w:spacing w:line="360" w:lineRule="auto"/>
        <w:rPr>
          <w:rFonts w:ascii="Arial" w:hAnsi="Arial" w:cs="Arial"/>
          <w:sz w:val="24"/>
          <w:szCs w:val="24"/>
        </w:rPr>
      </w:pPr>
      <w:r w:rsidRPr="00054F5D">
        <w:rPr>
          <w:rFonts w:ascii="Arial" w:hAnsi="Arial" w:cs="Arial"/>
          <w:sz w:val="24"/>
          <w:szCs w:val="24"/>
        </w:rPr>
        <w:t xml:space="preserve">Investment appraisal identifies the projects that will optimise the shareholder value by using the limited capital that GE has. The capital ceiling of </w:t>
      </w:r>
      <w:r w:rsidR="005C06C1">
        <w:rPr>
          <w:rFonts w:ascii="Arial" w:hAnsi="Arial" w:cs="Arial"/>
          <w:sz w:val="24"/>
          <w:szCs w:val="24"/>
        </w:rPr>
        <w:t>£</w:t>
      </w:r>
      <w:r w:rsidRPr="00054F5D">
        <w:rPr>
          <w:rFonts w:ascii="Arial" w:hAnsi="Arial" w:cs="Arial"/>
          <w:sz w:val="24"/>
          <w:szCs w:val="24"/>
        </w:rPr>
        <w:t>60 million and the cost of capital of 10% imply that the company will choose projects that (a) need to be financially viable and (b) must support the strategic priorities automation, sustainability, and digital transformation.</w:t>
      </w:r>
    </w:p>
    <w:p w14:paraId="48960AD5" w14:textId="77777777" w:rsidR="00054F5D" w:rsidRPr="00054F5D" w:rsidRDefault="00054F5D" w:rsidP="00054F5D">
      <w:pPr>
        <w:spacing w:line="360" w:lineRule="auto"/>
        <w:rPr>
          <w:rFonts w:ascii="Arial" w:hAnsi="Arial" w:cs="Arial"/>
          <w:sz w:val="24"/>
          <w:szCs w:val="24"/>
        </w:rPr>
      </w:pPr>
      <w:r w:rsidRPr="00054F5D">
        <w:rPr>
          <w:rFonts w:ascii="Arial" w:hAnsi="Arial" w:cs="Arial"/>
          <w:sz w:val="24"/>
          <w:szCs w:val="24"/>
        </w:rPr>
        <w:t>Three candidate projects:</w:t>
      </w:r>
    </w:p>
    <w:p w14:paraId="3F2A698B" w14:textId="77777777" w:rsidR="00054F5D" w:rsidRPr="00054F5D" w:rsidRDefault="00054F5D" w:rsidP="00054F5D">
      <w:pPr>
        <w:spacing w:line="360" w:lineRule="auto"/>
        <w:rPr>
          <w:rFonts w:ascii="Arial" w:hAnsi="Arial" w:cs="Arial"/>
          <w:sz w:val="24"/>
          <w:szCs w:val="24"/>
        </w:rPr>
      </w:pPr>
      <w:r w:rsidRPr="00054F5D">
        <w:rPr>
          <w:rFonts w:ascii="Arial" w:hAnsi="Arial" w:cs="Arial"/>
          <w:sz w:val="24"/>
          <w:szCs w:val="24"/>
        </w:rPr>
        <w:t>Project A - Automation of the Smart Appliance Making.</w:t>
      </w:r>
    </w:p>
    <w:p w14:paraId="591FBD01" w14:textId="77777777" w:rsidR="00054F5D" w:rsidRPr="00054F5D" w:rsidRDefault="00054F5D" w:rsidP="00054F5D">
      <w:pPr>
        <w:spacing w:line="360" w:lineRule="auto"/>
        <w:rPr>
          <w:rFonts w:ascii="Arial" w:hAnsi="Arial" w:cs="Arial"/>
          <w:sz w:val="24"/>
          <w:szCs w:val="24"/>
        </w:rPr>
      </w:pPr>
      <w:r w:rsidRPr="00054F5D">
        <w:rPr>
          <w:rFonts w:ascii="Arial" w:hAnsi="Arial" w:cs="Arial"/>
          <w:sz w:val="24"/>
          <w:szCs w:val="24"/>
        </w:rPr>
        <w:t>Project B- Renewable Component Expansion (Solar Module Plant).</w:t>
      </w:r>
    </w:p>
    <w:p w14:paraId="31A2C274" w14:textId="77777777" w:rsidR="00054F5D" w:rsidRPr="00054F5D" w:rsidRDefault="00054F5D" w:rsidP="00054F5D">
      <w:pPr>
        <w:spacing w:line="360" w:lineRule="auto"/>
        <w:rPr>
          <w:rFonts w:ascii="Arial" w:hAnsi="Arial" w:cs="Arial"/>
          <w:sz w:val="24"/>
          <w:szCs w:val="24"/>
        </w:rPr>
      </w:pPr>
      <w:r w:rsidRPr="00054F5D">
        <w:rPr>
          <w:rFonts w:ascii="Arial" w:hAnsi="Arial" w:cs="Arial"/>
          <w:sz w:val="24"/>
          <w:szCs w:val="24"/>
        </w:rPr>
        <w:t>Project C Digital Services Platform (After-sales + IoT).</w:t>
      </w:r>
    </w:p>
    <w:p w14:paraId="5155EC40" w14:textId="6B7A5281" w:rsidR="00DB31D5" w:rsidRPr="00DB31D5" w:rsidRDefault="00054F5D" w:rsidP="00054F5D">
      <w:pPr>
        <w:spacing w:line="360" w:lineRule="auto"/>
        <w:rPr>
          <w:rFonts w:ascii="Arial" w:hAnsi="Arial" w:cs="Arial"/>
          <w:sz w:val="24"/>
          <w:szCs w:val="24"/>
        </w:rPr>
      </w:pPr>
      <w:r w:rsidRPr="00054F5D">
        <w:rPr>
          <w:rFonts w:ascii="Arial" w:hAnsi="Arial" w:cs="Arial"/>
          <w:sz w:val="24"/>
          <w:szCs w:val="24"/>
        </w:rPr>
        <w:t xml:space="preserve">Each is evaluated based on Net Present Value (NPV), Profitability Index (PI) and Payback Period and the combinations are compared with the </w:t>
      </w:r>
      <w:r w:rsidR="005C06C1">
        <w:rPr>
          <w:rFonts w:ascii="Arial" w:hAnsi="Arial" w:cs="Arial"/>
          <w:sz w:val="24"/>
          <w:szCs w:val="24"/>
        </w:rPr>
        <w:t>£</w:t>
      </w:r>
      <w:r w:rsidRPr="00054F5D">
        <w:rPr>
          <w:rFonts w:ascii="Arial" w:hAnsi="Arial" w:cs="Arial"/>
          <w:sz w:val="24"/>
          <w:szCs w:val="24"/>
        </w:rPr>
        <w:t>60m limit.</w:t>
      </w:r>
    </w:p>
    <w:p w14:paraId="68553A20" w14:textId="77777777" w:rsidR="00DB31D5" w:rsidRPr="00DB31D5" w:rsidRDefault="00DB31D5" w:rsidP="000801BB">
      <w:pPr>
        <w:spacing w:line="360" w:lineRule="auto"/>
        <w:rPr>
          <w:rFonts w:ascii="Arial" w:hAnsi="Arial" w:cs="Arial"/>
          <w:b/>
          <w:bCs/>
          <w:sz w:val="24"/>
          <w:szCs w:val="24"/>
        </w:rPr>
      </w:pPr>
      <w:r w:rsidRPr="00DB31D5">
        <w:rPr>
          <w:rFonts w:ascii="Arial" w:hAnsi="Arial" w:cs="Arial"/>
          <w:b/>
          <w:bCs/>
          <w:sz w:val="24"/>
          <w:szCs w:val="24"/>
        </w:rPr>
        <w:lastRenderedPageBreak/>
        <w:t>5.2 Data (assumptions)</w:t>
      </w:r>
    </w:p>
    <w:tbl>
      <w:tblPr>
        <w:tblStyle w:val="TableGrid"/>
        <w:tblW w:w="0" w:type="auto"/>
        <w:tblLook w:val="04A0" w:firstRow="1" w:lastRow="0" w:firstColumn="1" w:lastColumn="0" w:noHBand="0" w:noVBand="1"/>
      </w:tblPr>
      <w:tblGrid>
        <w:gridCol w:w="1030"/>
        <w:gridCol w:w="2322"/>
        <w:gridCol w:w="2287"/>
        <w:gridCol w:w="1330"/>
        <w:gridCol w:w="2047"/>
      </w:tblGrid>
      <w:tr w:rsidR="00DB31D5" w:rsidRPr="00DB31D5" w14:paraId="79D4BA5D" w14:textId="77777777" w:rsidTr="00DB31D5">
        <w:tc>
          <w:tcPr>
            <w:tcW w:w="0" w:type="auto"/>
            <w:hideMark/>
          </w:tcPr>
          <w:p w14:paraId="28A3C687"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Project</w:t>
            </w:r>
          </w:p>
        </w:tc>
        <w:tc>
          <w:tcPr>
            <w:tcW w:w="0" w:type="auto"/>
            <w:hideMark/>
          </w:tcPr>
          <w:p w14:paraId="2E03E7E9"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Initial investment (£m)</w:t>
            </w:r>
          </w:p>
        </w:tc>
        <w:tc>
          <w:tcPr>
            <w:tcW w:w="0" w:type="auto"/>
            <w:hideMark/>
          </w:tcPr>
          <w:p w14:paraId="66E49854"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Annual net inflows (£m)</w:t>
            </w:r>
          </w:p>
        </w:tc>
        <w:tc>
          <w:tcPr>
            <w:tcW w:w="0" w:type="auto"/>
            <w:hideMark/>
          </w:tcPr>
          <w:p w14:paraId="6AB4C1AE"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Life (years)</w:t>
            </w:r>
          </w:p>
        </w:tc>
        <w:tc>
          <w:tcPr>
            <w:tcW w:w="0" w:type="auto"/>
            <w:hideMark/>
          </w:tcPr>
          <w:p w14:paraId="33771105"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Residual value (£m)</w:t>
            </w:r>
          </w:p>
        </w:tc>
      </w:tr>
      <w:tr w:rsidR="00DB31D5" w:rsidRPr="00DB31D5" w14:paraId="2DD71E06" w14:textId="77777777" w:rsidTr="00DB31D5">
        <w:tc>
          <w:tcPr>
            <w:tcW w:w="0" w:type="auto"/>
            <w:hideMark/>
          </w:tcPr>
          <w:p w14:paraId="70FE81E9"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A</w:t>
            </w:r>
          </w:p>
        </w:tc>
        <w:tc>
          <w:tcPr>
            <w:tcW w:w="0" w:type="auto"/>
            <w:hideMark/>
          </w:tcPr>
          <w:p w14:paraId="6ECAB8DC"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25</w:t>
            </w:r>
          </w:p>
        </w:tc>
        <w:tc>
          <w:tcPr>
            <w:tcW w:w="0" w:type="auto"/>
            <w:hideMark/>
          </w:tcPr>
          <w:p w14:paraId="7222BB71"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8</w:t>
            </w:r>
          </w:p>
        </w:tc>
        <w:tc>
          <w:tcPr>
            <w:tcW w:w="0" w:type="auto"/>
            <w:hideMark/>
          </w:tcPr>
          <w:p w14:paraId="397DD111"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6</w:t>
            </w:r>
          </w:p>
        </w:tc>
        <w:tc>
          <w:tcPr>
            <w:tcW w:w="0" w:type="auto"/>
            <w:hideMark/>
          </w:tcPr>
          <w:p w14:paraId="2ACA4C1F"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2</w:t>
            </w:r>
          </w:p>
        </w:tc>
      </w:tr>
      <w:tr w:rsidR="00DB31D5" w:rsidRPr="00DB31D5" w14:paraId="788513E1" w14:textId="77777777" w:rsidTr="00DB31D5">
        <w:tc>
          <w:tcPr>
            <w:tcW w:w="0" w:type="auto"/>
            <w:hideMark/>
          </w:tcPr>
          <w:p w14:paraId="30A7A113"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B</w:t>
            </w:r>
          </w:p>
        </w:tc>
        <w:tc>
          <w:tcPr>
            <w:tcW w:w="0" w:type="auto"/>
            <w:hideMark/>
          </w:tcPr>
          <w:p w14:paraId="29DB2807"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30</w:t>
            </w:r>
          </w:p>
        </w:tc>
        <w:tc>
          <w:tcPr>
            <w:tcW w:w="0" w:type="auto"/>
            <w:hideMark/>
          </w:tcPr>
          <w:p w14:paraId="579B4B04"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10</w:t>
            </w:r>
          </w:p>
        </w:tc>
        <w:tc>
          <w:tcPr>
            <w:tcW w:w="0" w:type="auto"/>
            <w:hideMark/>
          </w:tcPr>
          <w:p w14:paraId="7B99B450"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5</w:t>
            </w:r>
          </w:p>
        </w:tc>
        <w:tc>
          <w:tcPr>
            <w:tcW w:w="0" w:type="auto"/>
            <w:hideMark/>
          </w:tcPr>
          <w:p w14:paraId="52A7556D"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3</w:t>
            </w:r>
          </w:p>
        </w:tc>
      </w:tr>
      <w:tr w:rsidR="00DB31D5" w:rsidRPr="00DB31D5" w14:paraId="52A3FE12" w14:textId="77777777" w:rsidTr="00DB31D5">
        <w:tc>
          <w:tcPr>
            <w:tcW w:w="0" w:type="auto"/>
            <w:hideMark/>
          </w:tcPr>
          <w:p w14:paraId="2458A46A"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C</w:t>
            </w:r>
          </w:p>
        </w:tc>
        <w:tc>
          <w:tcPr>
            <w:tcW w:w="0" w:type="auto"/>
            <w:hideMark/>
          </w:tcPr>
          <w:p w14:paraId="77A82BC7"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20</w:t>
            </w:r>
          </w:p>
        </w:tc>
        <w:tc>
          <w:tcPr>
            <w:tcW w:w="0" w:type="auto"/>
            <w:hideMark/>
          </w:tcPr>
          <w:p w14:paraId="09A4771E"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6</w:t>
            </w:r>
          </w:p>
        </w:tc>
        <w:tc>
          <w:tcPr>
            <w:tcW w:w="0" w:type="auto"/>
            <w:hideMark/>
          </w:tcPr>
          <w:p w14:paraId="057A7D43"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7</w:t>
            </w:r>
          </w:p>
        </w:tc>
        <w:tc>
          <w:tcPr>
            <w:tcW w:w="0" w:type="auto"/>
            <w:hideMark/>
          </w:tcPr>
          <w:p w14:paraId="47243221"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1</w:t>
            </w:r>
          </w:p>
        </w:tc>
      </w:tr>
    </w:tbl>
    <w:p w14:paraId="7856C975" w14:textId="77777777" w:rsidR="00DB31D5" w:rsidRPr="00DB31D5" w:rsidRDefault="00DB31D5" w:rsidP="000801BB">
      <w:pPr>
        <w:spacing w:line="360" w:lineRule="auto"/>
        <w:rPr>
          <w:rFonts w:ascii="Arial" w:hAnsi="Arial" w:cs="Arial"/>
          <w:b/>
          <w:bCs/>
          <w:sz w:val="24"/>
          <w:szCs w:val="24"/>
        </w:rPr>
      </w:pPr>
      <w:r w:rsidRPr="00DB31D5">
        <w:rPr>
          <w:rFonts w:ascii="Arial" w:hAnsi="Arial" w:cs="Arial"/>
          <w:b/>
          <w:bCs/>
          <w:sz w:val="24"/>
          <w:szCs w:val="24"/>
        </w:rPr>
        <w:t>Discount rate r = 10%.</w:t>
      </w:r>
    </w:p>
    <w:p w14:paraId="347B944D" w14:textId="6D3CA1F9" w:rsidR="00DB31D5" w:rsidRPr="00DB31D5" w:rsidRDefault="00DB31D5" w:rsidP="000801BB">
      <w:pPr>
        <w:spacing w:line="360" w:lineRule="auto"/>
        <w:rPr>
          <w:rFonts w:ascii="Arial" w:hAnsi="Arial" w:cs="Arial"/>
          <w:b/>
          <w:bCs/>
          <w:sz w:val="24"/>
          <w:szCs w:val="24"/>
        </w:rPr>
      </w:pPr>
    </w:p>
    <w:p w14:paraId="03F51F20" w14:textId="77777777" w:rsidR="00DB31D5" w:rsidRPr="00DB31D5" w:rsidRDefault="00DB31D5" w:rsidP="000801BB">
      <w:pPr>
        <w:spacing w:line="360" w:lineRule="auto"/>
        <w:rPr>
          <w:rFonts w:ascii="Arial" w:hAnsi="Arial" w:cs="Arial"/>
          <w:b/>
          <w:bCs/>
          <w:sz w:val="24"/>
          <w:szCs w:val="24"/>
        </w:rPr>
      </w:pPr>
      <w:r w:rsidRPr="00DB31D5">
        <w:rPr>
          <w:rFonts w:ascii="Arial" w:hAnsi="Arial" w:cs="Arial"/>
          <w:b/>
          <w:bCs/>
          <w:sz w:val="24"/>
          <w:szCs w:val="24"/>
        </w:rPr>
        <w:t>5.3 Net Present Value (NPV) — formula and worked steps</w:t>
      </w:r>
    </w:p>
    <w:p w14:paraId="6DB7B73C" w14:textId="77777777" w:rsidR="00DB31D5" w:rsidRPr="00DB31D5" w:rsidRDefault="00DB31D5" w:rsidP="000801BB">
      <w:pPr>
        <w:spacing w:line="360" w:lineRule="auto"/>
        <w:rPr>
          <w:rFonts w:ascii="Arial" w:hAnsi="Arial" w:cs="Arial"/>
          <w:sz w:val="24"/>
          <w:szCs w:val="24"/>
        </w:rPr>
      </w:pPr>
      <w:r w:rsidRPr="00DB31D5">
        <w:rPr>
          <w:rFonts w:ascii="Arial" w:hAnsi="Arial" w:cs="Arial"/>
          <w:sz w:val="24"/>
          <w:szCs w:val="24"/>
        </w:rPr>
        <w:t>Formula (discrete annual cash flows):</w:t>
      </w:r>
    </w:p>
    <w:p w14:paraId="3BFD63DF" w14:textId="257773C7" w:rsidR="00DB31D5" w:rsidRPr="00DB31D5" w:rsidRDefault="00DB31D5" w:rsidP="000801BB">
      <w:pPr>
        <w:spacing w:line="360" w:lineRule="auto"/>
        <w:rPr>
          <w:rFonts w:ascii="Arial" w:hAnsi="Arial" w:cs="Arial"/>
          <w:b/>
          <w:bCs/>
          <w:sz w:val="24"/>
          <w:szCs w:val="24"/>
        </w:rPr>
      </w:pPr>
      <m:oMathPara>
        <m:oMath>
          <m:r>
            <m:rPr>
              <m:nor/>
            </m:rPr>
            <w:rPr>
              <w:rFonts w:ascii="Arial" w:hAnsi="Arial" w:cs="Arial"/>
              <w:b/>
              <w:bCs/>
              <w:sz w:val="24"/>
              <w:szCs w:val="24"/>
            </w:rPr>
            <m:t>NPV</m:t>
          </m:r>
          <m:r>
            <m:rPr>
              <m:sty m:val="bi"/>
            </m:rPr>
            <w:rPr>
              <w:rFonts w:ascii="Cambria Math" w:hAnsi="Cambria Math" w:cs="Arial"/>
              <w:sz w:val="24"/>
              <w:szCs w:val="24"/>
            </w:rPr>
            <m:t>=</m:t>
          </m:r>
          <m:nary>
            <m:naryPr>
              <m:chr m:val="∑"/>
              <m:limLoc m:val="undOvr"/>
              <m:grow m:val="1"/>
              <m:ctrlPr>
                <w:rPr>
                  <w:rFonts w:ascii="Cambria Math" w:hAnsi="Cambria Math" w:cs="Arial"/>
                  <w:b/>
                  <w:bCs/>
                  <w:sz w:val="24"/>
                  <w:szCs w:val="24"/>
                </w:rPr>
              </m:ctrlPr>
            </m:naryPr>
            <m:sub>
              <m:r>
                <m:rPr>
                  <m:sty m:val="bi"/>
                </m:rPr>
                <w:rPr>
                  <w:rFonts w:ascii="Cambria Math" w:hAnsi="Cambria Math" w:cs="Arial"/>
                  <w:sz w:val="24"/>
                  <w:szCs w:val="24"/>
                </w:rPr>
                <m:t>t=1</m:t>
              </m:r>
            </m:sub>
            <m:sup>
              <m:r>
                <m:rPr>
                  <m:sty m:val="bi"/>
                </m:rPr>
                <w:rPr>
                  <w:rFonts w:ascii="Cambria Math" w:hAnsi="Cambria Math" w:cs="Arial"/>
                  <w:sz w:val="24"/>
                  <w:szCs w:val="24"/>
                </w:rPr>
                <m:t>n</m:t>
              </m:r>
            </m:sup>
            <m:e/>
          </m:nary>
          <m:f>
            <m:fPr>
              <m:ctrlPr>
                <w:rPr>
                  <w:rFonts w:ascii="Cambria Math" w:hAnsi="Cambria Math" w:cs="Arial"/>
                  <w:b/>
                  <w:bCs/>
                  <w:sz w:val="24"/>
                  <w:szCs w:val="24"/>
                </w:rPr>
              </m:ctrlPr>
            </m:fPr>
            <m:num>
              <m:sSub>
                <m:sSubPr>
                  <m:ctrlPr>
                    <w:rPr>
                      <w:rFonts w:ascii="Cambria Math" w:hAnsi="Cambria Math" w:cs="Arial"/>
                      <w:b/>
                      <w:bCs/>
                      <w:sz w:val="24"/>
                      <w:szCs w:val="24"/>
                    </w:rPr>
                  </m:ctrlPr>
                </m:sSubPr>
                <m:e>
                  <m:r>
                    <m:rPr>
                      <m:sty m:val="bi"/>
                    </m:rPr>
                    <w:rPr>
                      <w:rFonts w:ascii="Cambria Math" w:hAnsi="Cambria Math" w:cs="Arial"/>
                      <w:sz w:val="24"/>
                      <w:szCs w:val="24"/>
                    </w:rPr>
                    <m:t>C</m:t>
                  </m:r>
                </m:e>
                <m:sub>
                  <m:r>
                    <m:rPr>
                      <m:sty m:val="bi"/>
                    </m:rPr>
                    <w:rPr>
                      <w:rFonts w:ascii="Cambria Math" w:hAnsi="Cambria Math" w:cs="Arial"/>
                      <w:sz w:val="24"/>
                      <w:szCs w:val="24"/>
                    </w:rPr>
                    <m:t>t</m:t>
                  </m:r>
                </m:sub>
              </m:sSub>
            </m:num>
            <m:den>
              <m:r>
                <m:rPr>
                  <m:sty m:val="bi"/>
                </m:rPr>
                <w:rPr>
                  <w:rFonts w:ascii="Cambria Math" w:hAnsi="Cambria Math" w:cs="Arial"/>
                  <w:sz w:val="24"/>
                  <w:szCs w:val="24"/>
                </w:rPr>
                <m:t>(1+r</m:t>
              </m:r>
              <m:sSup>
                <m:sSupPr>
                  <m:ctrlPr>
                    <w:rPr>
                      <w:rFonts w:ascii="Cambria Math" w:hAnsi="Cambria Math" w:cs="Arial"/>
                      <w:b/>
                      <w:bCs/>
                      <w:sz w:val="24"/>
                      <w:szCs w:val="24"/>
                    </w:rPr>
                  </m:ctrlPr>
                </m:sSupPr>
                <m:e>
                  <m:r>
                    <m:rPr>
                      <m:sty m:val="bi"/>
                    </m:rPr>
                    <w:rPr>
                      <w:rFonts w:ascii="Cambria Math" w:hAnsi="Cambria Math" w:cs="Arial"/>
                      <w:sz w:val="24"/>
                      <w:szCs w:val="24"/>
                    </w:rPr>
                    <m:t>)</m:t>
                  </m:r>
                </m:e>
                <m:sup>
                  <m:r>
                    <m:rPr>
                      <m:sty m:val="bi"/>
                    </m:rPr>
                    <w:rPr>
                      <w:rFonts w:ascii="Cambria Math" w:hAnsi="Cambria Math" w:cs="Arial"/>
                      <w:sz w:val="24"/>
                      <w:szCs w:val="24"/>
                    </w:rPr>
                    <m:t>t</m:t>
                  </m:r>
                </m:sup>
              </m:sSup>
            </m:den>
          </m:f>
          <m:r>
            <m:rPr>
              <m:sty m:val="bi"/>
            </m:rPr>
            <w:rPr>
              <w:rFonts w:ascii="Cambria Math" w:hAnsi="Cambria Math" w:cs="Arial"/>
              <w:sz w:val="24"/>
              <w:szCs w:val="24"/>
            </w:rPr>
            <m:t>+</m:t>
          </m:r>
          <m:f>
            <m:fPr>
              <m:ctrlPr>
                <w:rPr>
                  <w:rFonts w:ascii="Cambria Math" w:hAnsi="Cambria Math" w:cs="Arial"/>
                  <w:b/>
                  <w:bCs/>
                  <w:sz w:val="24"/>
                  <w:szCs w:val="24"/>
                </w:rPr>
              </m:ctrlPr>
            </m:fPr>
            <m:num>
              <m:r>
                <m:rPr>
                  <m:sty m:val="bi"/>
                </m:rPr>
                <w:rPr>
                  <w:rFonts w:ascii="Cambria Math" w:hAnsi="Cambria Math" w:cs="Arial"/>
                  <w:sz w:val="24"/>
                  <w:szCs w:val="24"/>
                </w:rPr>
                <m:t>R</m:t>
              </m:r>
            </m:num>
            <m:den>
              <m:r>
                <m:rPr>
                  <m:sty m:val="bi"/>
                </m:rPr>
                <w:rPr>
                  <w:rFonts w:ascii="Cambria Math" w:hAnsi="Cambria Math" w:cs="Arial"/>
                  <w:sz w:val="24"/>
                  <w:szCs w:val="24"/>
                </w:rPr>
                <m:t>(1+r</m:t>
              </m:r>
              <m:sSup>
                <m:sSupPr>
                  <m:ctrlPr>
                    <w:rPr>
                      <w:rFonts w:ascii="Cambria Math" w:hAnsi="Cambria Math" w:cs="Arial"/>
                      <w:b/>
                      <w:bCs/>
                      <w:sz w:val="24"/>
                      <w:szCs w:val="24"/>
                    </w:rPr>
                  </m:ctrlPr>
                </m:sSupPr>
                <m:e>
                  <m:r>
                    <m:rPr>
                      <m:sty m:val="bi"/>
                    </m:rPr>
                    <w:rPr>
                      <w:rFonts w:ascii="Cambria Math" w:hAnsi="Cambria Math" w:cs="Arial"/>
                      <w:sz w:val="24"/>
                      <w:szCs w:val="24"/>
                    </w:rPr>
                    <m:t>)</m:t>
                  </m:r>
                </m:e>
                <m:sup>
                  <m:r>
                    <m:rPr>
                      <m:sty m:val="bi"/>
                    </m:rPr>
                    <w:rPr>
                      <w:rFonts w:ascii="Cambria Math" w:hAnsi="Cambria Math" w:cs="Arial"/>
                      <w:sz w:val="24"/>
                      <w:szCs w:val="24"/>
                    </w:rPr>
                    <m:t>n</m:t>
                  </m:r>
                </m:sup>
              </m:sSup>
            </m:den>
          </m:f>
          <m:r>
            <m:rPr>
              <m:sty m:val="bi"/>
            </m:rPr>
            <w:rPr>
              <w:rFonts w:ascii="Cambria Math" w:hAnsi="Cambria Math" w:cs="Arial"/>
              <w:sz w:val="24"/>
              <w:szCs w:val="24"/>
            </w:rPr>
            <m:t>-</m:t>
          </m:r>
          <m:sSub>
            <m:sSubPr>
              <m:ctrlPr>
                <w:rPr>
                  <w:rFonts w:ascii="Cambria Math" w:hAnsi="Cambria Math" w:cs="Arial"/>
                  <w:b/>
                  <w:bCs/>
                  <w:sz w:val="24"/>
                  <w:szCs w:val="24"/>
                </w:rPr>
              </m:ctrlPr>
            </m:sSubPr>
            <m:e>
              <m:r>
                <m:rPr>
                  <m:sty m:val="bi"/>
                </m:rPr>
                <w:rPr>
                  <w:rFonts w:ascii="Cambria Math" w:hAnsi="Cambria Math" w:cs="Arial"/>
                  <w:sz w:val="24"/>
                  <w:szCs w:val="24"/>
                </w:rPr>
                <m:t>C</m:t>
              </m:r>
            </m:e>
            <m:sub>
              <m:r>
                <m:rPr>
                  <m:sty m:val="bi"/>
                </m:rPr>
                <w:rPr>
                  <w:rFonts w:ascii="Cambria Math" w:hAnsi="Cambria Math" w:cs="Arial"/>
                  <w:sz w:val="24"/>
                  <w:szCs w:val="24"/>
                </w:rPr>
                <m:t>0</m:t>
              </m:r>
            </m:sub>
          </m:sSub>
          <m:r>
            <w:rPr>
              <w:rFonts w:ascii="Arial" w:hAnsi="Arial" w:cs="Arial"/>
              <w:b/>
              <w:bCs/>
              <w:sz w:val="24"/>
              <w:szCs w:val="24"/>
            </w:rPr>
            <w:br/>
          </m:r>
        </m:oMath>
      </m:oMathPara>
    </w:p>
    <w:p w14:paraId="02ED2B39" w14:textId="77777777" w:rsidR="00DB31D5" w:rsidRPr="00DB31D5" w:rsidRDefault="00DB31D5" w:rsidP="000801BB">
      <w:pPr>
        <w:spacing w:line="360" w:lineRule="auto"/>
        <w:rPr>
          <w:rFonts w:ascii="Arial" w:hAnsi="Arial" w:cs="Arial"/>
          <w:b/>
          <w:bCs/>
          <w:sz w:val="24"/>
          <w:szCs w:val="24"/>
        </w:rPr>
      </w:pPr>
      <w:r w:rsidRPr="00DB31D5">
        <w:rPr>
          <w:rFonts w:ascii="Arial" w:hAnsi="Arial" w:cs="Arial"/>
          <w:b/>
          <w:bCs/>
          <w:sz w:val="24"/>
          <w:szCs w:val="24"/>
        </w:rPr>
        <w:t>Where:</w:t>
      </w:r>
    </w:p>
    <w:p w14:paraId="5F9FC893" w14:textId="352B7A41" w:rsidR="00DB31D5" w:rsidRPr="00DB31D5" w:rsidRDefault="00DB31D5" w:rsidP="000801BB">
      <w:pPr>
        <w:numPr>
          <w:ilvl w:val="0"/>
          <w:numId w:val="20"/>
        </w:numPr>
        <w:spacing w:line="360" w:lineRule="auto"/>
        <w:rPr>
          <w:rFonts w:ascii="Arial" w:hAnsi="Arial" w:cs="Arial"/>
          <w:sz w:val="24"/>
          <w:szCs w:val="24"/>
        </w:rPr>
      </w:pPr>
      <m:oMath>
        <m:sSub>
          <m:sSubPr>
            <m:ctrlPr>
              <w:rPr>
                <w:rFonts w:ascii="Cambria Math" w:hAnsi="Cambria Math" w:cs="Arial"/>
                <w:sz w:val="24"/>
                <w:szCs w:val="24"/>
              </w:rPr>
            </m:ctrlPr>
          </m:sSubPr>
          <m:e>
            <m:r>
              <w:rPr>
                <w:rFonts w:ascii="Cambria Math" w:hAnsi="Cambria Math" w:cs="Arial"/>
                <w:sz w:val="24"/>
                <w:szCs w:val="24"/>
              </w:rPr>
              <m:t>C</m:t>
            </m:r>
          </m:e>
          <m:sub>
            <m:r>
              <w:rPr>
                <w:rFonts w:ascii="Cambria Math" w:hAnsi="Cambria Math" w:cs="Arial"/>
                <w:sz w:val="24"/>
                <w:szCs w:val="24"/>
              </w:rPr>
              <m:t>t</m:t>
            </m:r>
          </m:sub>
        </m:sSub>
      </m:oMath>
      <w:r w:rsidRPr="00DB31D5">
        <w:rPr>
          <w:rFonts w:ascii="Arial" w:hAnsi="Arial" w:cs="Arial"/>
          <w:sz w:val="24"/>
          <w:szCs w:val="24"/>
        </w:rPr>
        <w:t xml:space="preserve">= cash inflow in year </w:t>
      </w:r>
      <m:oMath>
        <m:r>
          <w:rPr>
            <w:rFonts w:ascii="Cambria Math" w:hAnsi="Cambria Math" w:cs="Arial"/>
            <w:sz w:val="24"/>
            <w:szCs w:val="24"/>
          </w:rPr>
          <m:t>t</m:t>
        </m:r>
      </m:oMath>
      <w:r w:rsidRPr="00DB31D5">
        <w:rPr>
          <w:rFonts w:ascii="Arial" w:hAnsi="Arial" w:cs="Arial"/>
          <w:sz w:val="24"/>
          <w:szCs w:val="24"/>
        </w:rPr>
        <w:t>(assumed constant per table),</w:t>
      </w:r>
    </w:p>
    <w:p w14:paraId="0FDEA951" w14:textId="27824063" w:rsidR="00DB31D5" w:rsidRPr="00DB31D5" w:rsidRDefault="002C7E91" w:rsidP="000801BB">
      <w:pPr>
        <w:numPr>
          <w:ilvl w:val="0"/>
          <w:numId w:val="20"/>
        </w:numPr>
        <w:spacing w:line="360" w:lineRule="auto"/>
        <w:rPr>
          <w:rFonts w:ascii="Arial" w:hAnsi="Arial" w:cs="Arial"/>
          <w:sz w:val="24"/>
          <w:szCs w:val="24"/>
        </w:rPr>
      </w:pPr>
      <m:oMath>
        <m:r>
          <w:rPr>
            <w:rFonts w:ascii="Cambria Math" w:hAnsi="Cambria Math" w:cs="Arial"/>
            <w:sz w:val="24"/>
            <w:szCs w:val="24"/>
          </w:rPr>
          <m:t>R</m:t>
        </m:r>
      </m:oMath>
      <w:r w:rsidR="00DB31D5" w:rsidRPr="00DB31D5">
        <w:rPr>
          <w:rFonts w:ascii="Arial" w:hAnsi="Arial" w:cs="Arial"/>
          <w:sz w:val="24"/>
          <w:szCs w:val="24"/>
        </w:rPr>
        <w:t>= residual (salvage) value at end of project,</w:t>
      </w:r>
    </w:p>
    <w:p w14:paraId="6C1240D8" w14:textId="497A4C19" w:rsidR="00DB31D5" w:rsidRPr="00DB31D5" w:rsidRDefault="00DB31D5" w:rsidP="000801BB">
      <w:pPr>
        <w:numPr>
          <w:ilvl w:val="0"/>
          <w:numId w:val="20"/>
        </w:numPr>
        <w:spacing w:line="360" w:lineRule="auto"/>
        <w:rPr>
          <w:rFonts w:ascii="Arial" w:hAnsi="Arial" w:cs="Arial"/>
          <w:sz w:val="24"/>
          <w:szCs w:val="24"/>
        </w:rPr>
      </w:pPr>
      <m:oMath>
        <m:sSub>
          <m:sSubPr>
            <m:ctrlPr>
              <w:rPr>
                <w:rFonts w:ascii="Cambria Math" w:hAnsi="Cambria Math" w:cs="Arial"/>
                <w:sz w:val="24"/>
                <w:szCs w:val="24"/>
              </w:rPr>
            </m:ctrlPr>
          </m:sSubPr>
          <m:e>
            <m:r>
              <w:rPr>
                <w:rFonts w:ascii="Cambria Math" w:hAnsi="Cambria Math" w:cs="Arial"/>
                <w:sz w:val="24"/>
                <w:szCs w:val="24"/>
              </w:rPr>
              <m:t>C</m:t>
            </m:r>
          </m:e>
          <m:sub>
            <m:r>
              <w:rPr>
                <w:rFonts w:ascii="Cambria Math" w:hAnsi="Cambria Math" w:cs="Arial"/>
                <w:sz w:val="24"/>
                <w:szCs w:val="24"/>
              </w:rPr>
              <m:t>0</m:t>
            </m:r>
          </m:sub>
        </m:sSub>
      </m:oMath>
      <w:r w:rsidRPr="00DB31D5">
        <w:rPr>
          <w:rFonts w:ascii="Arial" w:hAnsi="Arial" w:cs="Arial"/>
          <w:sz w:val="24"/>
          <w:szCs w:val="24"/>
        </w:rPr>
        <w:t>= initial investment,</w:t>
      </w:r>
    </w:p>
    <w:p w14:paraId="134E960F" w14:textId="1858D758" w:rsidR="00DB31D5" w:rsidRPr="00DB31D5" w:rsidRDefault="002C7E91" w:rsidP="000801BB">
      <w:pPr>
        <w:numPr>
          <w:ilvl w:val="0"/>
          <w:numId w:val="20"/>
        </w:numPr>
        <w:spacing w:line="360" w:lineRule="auto"/>
        <w:rPr>
          <w:rFonts w:ascii="Arial" w:hAnsi="Arial" w:cs="Arial"/>
          <w:sz w:val="24"/>
          <w:szCs w:val="24"/>
        </w:rPr>
      </w:pPr>
      <m:oMath>
        <m:r>
          <w:rPr>
            <w:rFonts w:ascii="Cambria Math" w:hAnsi="Cambria Math" w:cs="Arial"/>
            <w:sz w:val="24"/>
            <w:szCs w:val="24"/>
          </w:rPr>
          <m:t>r</m:t>
        </m:r>
      </m:oMath>
      <w:r w:rsidR="00DB31D5" w:rsidRPr="00DB31D5">
        <w:rPr>
          <w:rFonts w:ascii="Arial" w:hAnsi="Arial" w:cs="Arial"/>
          <w:sz w:val="24"/>
          <w:szCs w:val="24"/>
        </w:rPr>
        <w:t>= discount rate,</w:t>
      </w:r>
    </w:p>
    <w:p w14:paraId="48DF6D07" w14:textId="6C9B8014" w:rsidR="00DB31D5" w:rsidRPr="00DB31D5" w:rsidRDefault="002C7E91" w:rsidP="000801BB">
      <w:pPr>
        <w:numPr>
          <w:ilvl w:val="0"/>
          <w:numId w:val="20"/>
        </w:numPr>
        <w:spacing w:line="360" w:lineRule="auto"/>
        <w:rPr>
          <w:rFonts w:ascii="Arial" w:hAnsi="Arial" w:cs="Arial"/>
          <w:sz w:val="24"/>
          <w:szCs w:val="24"/>
        </w:rPr>
      </w:pPr>
      <m:oMath>
        <m:r>
          <w:rPr>
            <w:rFonts w:ascii="Cambria Math" w:hAnsi="Cambria Math" w:cs="Arial"/>
            <w:sz w:val="24"/>
            <w:szCs w:val="24"/>
          </w:rPr>
          <m:t>n</m:t>
        </m:r>
      </m:oMath>
      <w:r w:rsidR="00DB31D5" w:rsidRPr="00DB31D5">
        <w:rPr>
          <w:rFonts w:ascii="Arial" w:hAnsi="Arial" w:cs="Arial"/>
          <w:sz w:val="24"/>
          <w:szCs w:val="24"/>
        </w:rPr>
        <w:t>= project life in years.</w:t>
      </w:r>
    </w:p>
    <w:p w14:paraId="3E668C7F" w14:textId="611B4A76" w:rsidR="00DB31D5" w:rsidRPr="00DB31D5" w:rsidRDefault="00DB31D5" w:rsidP="000801BB">
      <w:pPr>
        <w:spacing w:line="360" w:lineRule="auto"/>
        <w:rPr>
          <w:rFonts w:ascii="Arial" w:hAnsi="Arial" w:cs="Arial"/>
          <w:sz w:val="24"/>
          <w:szCs w:val="24"/>
        </w:rPr>
      </w:pPr>
      <w:r w:rsidRPr="00DB31D5">
        <w:rPr>
          <w:rFonts w:ascii="Arial" w:hAnsi="Arial" w:cs="Arial"/>
          <w:sz w:val="24"/>
          <w:szCs w:val="24"/>
        </w:rPr>
        <w:t xml:space="preserve">For a level annual cash inflow </w:t>
      </w:r>
      <m:oMath>
        <m:r>
          <w:rPr>
            <w:rFonts w:ascii="Cambria Math" w:hAnsi="Cambria Math" w:cs="Arial"/>
            <w:sz w:val="24"/>
            <w:szCs w:val="24"/>
          </w:rPr>
          <m:t>CF</m:t>
        </m:r>
      </m:oMath>
      <w:r w:rsidRPr="00DB31D5">
        <w:rPr>
          <w:rFonts w:ascii="Arial" w:hAnsi="Arial" w:cs="Arial"/>
          <w:sz w:val="24"/>
          <w:szCs w:val="24"/>
        </w:rPr>
        <w:t>, the PV of the inflows is:</w:t>
      </w:r>
    </w:p>
    <w:p w14:paraId="7F28ADA3" w14:textId="46291CF0" w:rsidR="00DB31D5" w:rsidRPr="00DB31D5" w:rsidRDefault="00DB31D5" w:rsidP="000801BB">
      <w:pPr>
        <w:spacing w:line="360" w:lineRule="auto"/>
        <w:rPr>
          <w:rFonts w:ascii="Arial" w:hAnsi="Arial" w:cs="Arial"/>
          <w:b/>
          <w:bCs/>
          <w:sz w:val="24"/>
          <w:szCs w:val="24"/>
        </w:rPr>
      </w:pPr>
      <m:oMathPara>
        <m:oMath>
          <m:r>
            <m:rPr>
              <m:sty m:val="bi"/>
            </m:rPr>
            <w:rPr>
              <w:rFonts w:ascii="Cambria Math" w:hAnsi="Cambria Math" w:cs="Arial"/>
              <w:sz w:val="24"/>
              <w:szCs w:val="24"/>
            </w:rPr>
            <m:t>P</m:t>
          </m:r>
          <m:sSub>
            <m:sSubPr>
              <m:ctrlPr>
                <w:rPr>
                  <w:rFonts w:ascii="Cambria Math" w:hAnsi="Cambria Math" w:cs="Arial"/>
                  <w:b/>
                  <w:bCs/>
                  <w:sz w:val="24"/>
                  <w:szCs w:val="24"/>
                </w:rPr>
              </m:ctrlPr>
            </m:sSubPr>
            <m:e>
              <m:r>
                <m:rPr>
                  <m:sty m:val="bi"/>
                </m:rPr>
                <w:rPr>
                  <w:rFonts w:ascii="Cambria Math" w:hAnsi="Cambria Math" w:cs="Arial"/>
                  <w:sz w:val="24"/>
                  <w:szCs w:val="24"/>
                </w:rPr>
                <m:t>V</m:t>
              </m:r>
            </m:e>
            <m:sub>
              <m:r>
                <m:rPr>
                  <m:nor/>
                </m:rPr>
                <w:rPr>
                  <w:rFonts w:ascii="Arial" w:hAnsi="Arial" w:cs="Arial"/>
                  <w:b/>
                  <w:bCs/>
                  <w:sz w:val="24"/>
                  <w:szCs w:val="24"/>
                </w:rPr>
                <m:t>inflows</m:t>
              </m:r>
            </m:sub>
          </m:sSub>
          <m:r>
            <m:rPr>
              <m:sty m:val="bi"/>
            </m:rPr>
            <w:rPr>
              <w:rFonts w:ascii="Cambria Math" w:hAnsi="Cambria Math" w:cs="Arial"/>
              <w:sz w:val="24"/>
              <w:szCs w:val="24"/>
            </w:rPr>
            <m:t>=CF×</m:t>
          </m:r>
          <m:nary>
            <m:naryPr>
              <m:chr m:val="∑"/>
              <m:limLoc m:val="undOvr"/>
              <m:grow m:val="1"/>
              <m:ctrlPr>
                <w:rPr>
                  <w:rFonts w:ascii="Cambria Math" w:hAnsi="Cambria Math" w:cs="Arial"/>
                  <w:b/>
                  <w:bCs/>
                  <w:sz w:val="24"/>
                  <w:szCs w:val="24"/>
                </w:rPr>
              </m:ctrlPr>
            </m:naryPr>
            <m:sub>
              <m:r>
                <m:rPr>
                  <m:sty m:val="bi"/>
                </m:rPr>
                <w:rPr>
                  <w:rFonts w:ascii="Cambria Math" w:hAnsi="Cambria Math" w:cs="Arial"/>
                  <w:sz w:val="24"/>
                  <w:szCs w:val="24"/>
                </w:rPr>
                <m:t>t=1</m:t>
              </m:r>
            </m:sub>
            <m:sup>
              <m:r>
                <m:rPr>
                  <m:sty m:val="bi"/>
                </m:rPr>
                <w:rPr>
                  <w:rFonts w:ascii="Cambria Math" w:hAnsi="Cambria Math" w:cs="Arial"/>
                  <w:sz w:val="24"/>
                  <w:szCs w:val="24"/>
                </w:rPr>
                <m:t>n</m:t>
              </m:r>
            </m:sup>
            <m:e/>
          </m:nary>
          <m:f>
            <m:fPr>
              <m:ctrlPr>
                <w:rPr>
                  <w:rFonts w:ascii="Cambria Math" w:hAnsi="Cambria Math" w:cs="Arial"/>
                  <w:b/>
                  <w:bCs/>
                  <w:sz w:val="24"/>
                  <w:szCs w:val="24"/>
                </w:rPr>
              </m:ctrlPr>
            </m:fPr>
            <m:num>
              <m:r>
                <m:rPr>
                  <m:sty m:val="bi"/>
                </m:rPr>
                <w:rPr>
                  <w:rFonts w:ascii="Cambria Math" w:hAnsi="Cambria Math" w:cs="Arial"/>
                  <w:sz w:val="24"/>
                  <w:szCs w:val="24"/>
                </w:rPr>
                <m:t>1</m:t>
              </m:r>
            </m:num>
            <m:den>
              <m:r>
                <m:rPr>
                  <m:sty m:val="bi"/>
                </m:rPr>
                <w:rPr>
                  <w:rFonts w:ascii="Cambria Math" w:hAnsi="Cambria Math" w:cs="Arial"/>
                  <w:sz w:val="24"/>
                  <w:szCs w:val="24"/>
                </w:rPr>
                <m:t>(1+r</m:t>
              </m:r>
              <m:sSup>
                <m:sSupPr>
                  <m:ctrlPr>
                    <w:rPr>
                      <w:rFonts w:ascii="Cambria Math" w:hAnsi="Cambria Math" w:cs="Arial"/>
                      <w:b/>
                      <w:bCs/>
                      <w:sz w:val="24"/>
                      <w:szCs w:val="24"/>
                    </w:rPr>
                  </m:ctrlPr>
                </m:sSupPr>
                <m:e>
                  <m:r>
                    <m:rPr>
                      <m:sty m:val="bi"/>
                    </m:rPr>
                    <w:rPr>
                      <w:rFonts w:ascii="Cambria Math" w:hAnsi="Cambria Math" w:cs="Arial"/>
                      <w:sz w:val="24"/>
                      <w:szCs w:val="24"/>
                    </w:rPr>
                    <m:t>)</m:t>
                  </m:r>
                </m:e>
                <m:sup>
                  <m:r>
                    <m:rPr>
                      <m:sty m:val="bi"/>
                    </m:rPr>
                    <w:rPr>
                      <w:rFonts w:ascii="Cambria Math" w:hAnsi="Cambria Math" w:cs="Arial"/>
                      <w:sz w:val="24"/>
                      <w:szCs w:val="24"/>
                    </w:rPr>
                    <m:t>t</m:t>
                  </m:r>
                </m:sup>
              </m:sSup>
            </m:den>
          </m:f>
          <m:r>
            <m:rPr>
              <m:sty m:val="bi"/>
            </m:rPr>
            <w:rPr>
              <w:rFonts w:ascii="Cambria Math" w:hAnsi="Cambria Math" w:cs="Arial"/>
              <w:sz w:val="24"/>
              <w:szCs w:val="24"/>
            </w:rPr>
            <m:t>=CF×</m:t>
          </m:r>
          <m:r>
            <m:rPr>
              <m:nor/>
            </m:rPr>
            <w:rPr>
              <w:rFonts w:ascii="Arial" w:hAnsi="Arial" w:cs="Arial"/>
              <w:b/>
              <w:bCs/>
              <w:sz w:val="24"/>
              <w:szCs w:val="24"/>
            </w:rPr>
            <m:t>AnnuityFactor</m:t>
          </m:r>
          <m:r>
            <m:rPr>
              <m:sty m:val="bi"/>
            </m:rPr>
            <w:rPr>
              <w:rFonts w:ascii="Cambria Math" w:hAnsi="Cambria Math" w:cs="Arial"/>
              <w:sz w:val="24"/>
              <w:szCs w:val="24"/>
            </w:rPr>
            <m:t>(n,r)</m:t>
          </m:r>
          <m:r>
            <w:rPr>
              <w:rFonts w:ascii="Arial" w:hAnsi="Arial" w:cs="Arial"/>
              <w:b/>
              <w:bCs/>
              <w:i/>
              <w:sz w:val="24"/>
              <w:szCs w:val="24"/>
            </w:rPr>
            <w:br/>
          </m:r>
        </m:oMath>
      </m:oMathPara>
    </w:p>
    <w:p w14:paraId="569A4DAF" w14:textId="77777777" w:rsidR="00DB31D5" w:rsidRPr="00DB31D5" w:rsidRDefault="00DB31D5" w:rsidP="000801BB">
      <w:pPr>
        <w:spacing w:line="360" w:lineRule="auto"/>
        <w:rPr>
          <w:rFonts w:ascii="Arial" w:hAnsi="Arial" w:cs="Arial"/>
          <w:b/>
          <w:bCs/>
          <w:sz w:val="24"/>
          <w:szCs w:val="24"/>
        </w:rPr>
      </w:pPr>
      <w:r w:rsidRPr="00DB31D5">
        <w:rPr>
          <w:rFonts w:ascii="Arial" w:hAnsi="Arial" w:cs="Arial"/>
          <w:b/>
          <w:bCs/>
          <w:sz w:val="24"/>
          <w:szCs w:val="24"/>
        </w:rPr>
        <w:t>and the PV of the residual value:</w:t>
      </w:r>
    </w:p>
    <w:p w14:paraId="78A31BFF" w14:textId="29279F33" w:rsidR="00DB31D5" w:rsidRPr="00DB31D5" w:rsidRDefault="00DB31D5" w:rsidP="000801BB">
      <w:pPr>
        <w:spacing w:line="360" w:lineRule="auto"/>
        <w:rPr>
          <w:rFonts w:ascii="Arial" w:hAnsi="Arial" w:cs="Arial"/>
          <w:b/>
          <w:bCs/>
          <w:sz w:val="24"/>
          <w:szCs w:val="24"/>
        </w:rPr>
      </w:pPr>
      <m:oMathPara>
        <m:oMath>
          <m:r>
            <m:rPr>
              <m:sty m:val="bi"/>
            </m:rPr>
            <w:rPr>
              <w:rFonts w:ascii="Cambria Math" w:hAnsi="Cambria Math" w:cs="Arial"/>
              <w:sz w:val="24"/>
              <w:szCs w:val="24"/>
            </w:rPr>
            <w:lastRenderedPageBreak/>
            <m:t>P</m:t>
          </m:r>
          <m:sSub>
            <m:sSubPr>
              <m:ctrlPr>
                <w:rPr>
                  <w:rFonts w:ascii="Cambria Math" w:hAnsi="Cambria Math" w:cs="Arial"/>
                  <w:b/>
                  <w:bCs/>
                  <w:sz w:val="24"/>
                  <w:szCs w:val="24"/>
                </w:rPr>
              </m:ctrlPr>
            </m:sSubPr>
            <m:e>
              <m:r>
                <m:rPr>
                  <m:sty m:val="bi"/>
                </m:rPr>
                <w:rPr>
                  <w:rFonts w:ascii="Cambria Math" w:hAnsi="Cambria Math" w:cs="Arial"/>
                  <w:sz w:val="24"/>
                  <w:szCs w:val="24"/>
                </w:rPr>
                <m:t>V</m:t>
              </m:r>
            </m:e>
            <m:sub>
              <m:r>
                <m:rPr>
                  <m:sty m:val="bi"/>
                </m:rPr>
                <w:rPr>
                  <w:rFonts w:ascii="Cambria Math" w:hAnsi="Cambria Math" w:cs="Arial"/>
                  <w:sz w:val="24"/>
                  <w:szCs w:val="24"/>
                </w:rPr>
                <m:t>R</m:t>
              </m:r>
            </m:sub>
          </m:sSub>
          <m:r>
            <m:rPr>
              <m:sty m:val="bi"/>
            </m:rPr>
            <w:rPr>
              <w:rFonts w:ascii="Cambria Math" w:hAnsi="Cambria Math" w:cs="Arial"/>
              <w:sz w:val="24"/>
              <w:szCs w:val="24"/>
            </w:rPr>
            <m:t>=</m:t>
          </m:r>
          <m:f>
            <m:fPr>
              <m:ctrlPr>
                <w:rPr>
                  <w:rFonts w:ascii="Cambria Math" w:hAnsi="Cambria Math" w:cs="Arial"/>
                  <w:b/>
                  <w:bCs/>
                  <w:sz w:val="24"/>
                  <w:szCs w:val="24"/>
                </w:rPr>
              </m:ctrlPr>
            </m:fPr>
            <m:num>
              <m:r>
                <m:rPr>
                  <m:sty m:val="bi"/>
                </m:rPr>
                <w:rPr>
                  <w:rFonts w:ascii="Cambria Math" w:hAnsi="Cambria Math" w:cs="Arial"/>
                  <w:sz w:val="24"/>
                  <w:szCs w:val="24"/>
                </w:rPr>
                <m:t>R</m:t>
              </m:r>
            </m:num>
            <m:den>
              <m:r>
                <m:rPr>
                  <m:sty m:val="bi"/>
                </m:rPr>
                <w:rPr>
                  <w:rFonts w:ascii="Cambria Math" w:hAnsi="Cambria Math" w:cs="Arial"/>
                  <w:sz w:val="24"/>
                  <w:szCs w:val="24"/>
                </w:rPr>
                <m:t>(1+r</m:t>
              </m:r>
              <m:sSup>
                <m:sSupPr>
                  <m:ctrlPr>
                    <w:rPr>
                      <w:rFonts w:ascii="Cambria Math" w:hAnsi="Cambria Math" w:cs="Arial"/>
                      <w:b/>
                      <w:bCs/>
                      <w:sz w:val="24"/>
                      <w:szCs w:val="24"/>
                    </w:rPr>
                  </m:ctrlPr>
                </m:sSupPr>
                <m:e>
                  <m:r>
                    <m:rPr>
                      <m:sty m:val="bi"/>
                    </m:rPr>
                    <w:rPr>
                      <w:rFonts w:ascii="Cambria Math" w:hAnsi="Cambria Math" w:cs="Arial"/>
                      <w:sz w:val="24"/>
                      <w:szCs w:val="24"/>
                    </w:rPr>
                    <m:t>)</m:t>
                  </m:r>
                </m:e>
                <m:sup>
                  <m:r>
                    <m:rPr>
                      <m:sty m:val="bi"/>
                    </m:rPr>
                    <w:rPr>
                      <w:rFonts w:ascii="Cambria Math" w:hAnsi="Cambria Math" w:cs="Arial"/>
                      <w:sz w:val="24"/>
                      <w:szCs w:val="24"/>
                    </w:rPr>
                    <m:t>n</m:t>
                  </m:r>
                </m:sup>
              </m:sSup>
            </m:den>
          </m:f>
          <m:r>
            <m:rPr>
              <m:sty m:val="b"/>
            </m:rPr>
            <w:rPr>
              <w:rFonts w:ascii="Cambria Math" w:hAnsi="Cambria Math" w:cs="Arial"/>
              <w:sz w:val="24"/>
              <w:szCs w:val="24"/>
            </w:rPr>
            <m:t>.</m:t>
          </m:r>
          <m:r>
            <w:rPr>
              <w:rFonts w:ascii="Arial" w:hAnsi="Arial" w:cs="Arial"/>
              <w:b/>
              <w:bCs/>
              <w:sz w:val="24"/>
              <w:szCs w:val="24"/>
            </w:rPr>
            <w:br/>
          </m:r>
        </m:oMath>
      </m:oMathPara>
    </w:p>
    <w:p w14:paraId="2475F548" w14:textId="06E15531" w:rsidR="00DB31D5" w:rsidRPr="00DB31D5" w:rsidRDefault="00DB31D5" w:rsidP="000801BB">
      <w:pPr>
        <w:spacing w:line="360" w:lineRule="auto"/>
        <w:rPr>
          <w:rFonts w:ascii="Arial" w:hAnsi="Arial" w:cs="Arial"/>
          <w:b/>
          <w:bCs/>
          <w:sz w:val="24"/>
          <w:szCs w:val="24"/>
        </w:rPr>
      </w:pPr>
      <w:r w:rsidRPr="00DB31D5">
        <w:rPr>
          <w:rFonts w:ascii="Arial" w:hAnsi="Arial" w:cs="Arial"/>
          <w:b/>
          <w:bCs/>
          <w:sz w:val="24"/>
          <w:szCs w:val="24"/>
        </w:rPr>
        <w:t xml:space="preserve">PV annuity factors at r = 10% (used below) are computed as </w:t>
      </w:r>
      <m:oMath>
        <m:nary>
          <m:naryPr>
            <m:chr m:val="∑"/>
            <m:limLoc m:val="subSup"/>
            <m:grow m:val="1"/>
            <m:ctrlPr>
              <w:rPr>
                <w:rFonts w:ascii="Cambria Math" w:hAnsi="Cambria Math" w:cs="Arial"/>
                <w:b/>
                <w:bCs/>
                <w:sz w:val="24"/>
                <w:szCs w:val="24"/>
              </w:rPr>
            </m:ctrlPr>
          </m:naryPr>
          <m:sub>
            <m:r>
              <m:rPr>
                <m:sty m:val="bi"/>
              </m:rPr>
              <w:rPr>
                <w:rFonts w:ascii="Cambria Math" w:hAnsi="Cambria Math" w:cs="Arial"/>
                <w:sz w:val="24"/>
                <w:szCs w:val="24"/>
              </w:rPr>
              <m:t>t=1</m:t>
            </m:r>
          </m:sub>
          <m:sup>
            <m:r>
              <m:rPr>
                <m:sty m:val="bi"/>
              </m:rPr>
              <w:rPr>
                <w:rFonts w:ascii="Cambria Math" w:hAnsi="Cambria Math" w:cs="Arial"/>
                <w:sz w:val="24"/>
                <w:szCs w:val="24"/>
              </w:rPr>
              <m:t>n</m:t>
            </m:r>
          </m:sup>
          <m:e/>
        </m:nary>
        <m:r>
          <m:rPr>
            <m:sty m:val="bi"/>
          </m:rPr>
          <w:rPr>
            <w:rFonts w:ascii="Cambria Math" w:hAnsi="Cambria Math" w:cs="Arial"/>
            <w:sz w:val="24"/>
            <w:szCs w:val="24"/>
          </w:rPr>
          <m:t>(1+r</m:t>
        </m:r>
        <m:sSup>
          <m:sSupPr>
            <m:ctrlPr>
              <w:rPr>
                <w:rFonts w:ascii="Cambria Math" w:hAnsi="Cambria Math" w:cs="Arial"/>
                <w:b/>
                <w:bCs/>
                <w:sz w:val="24"/>
                <w:szCs w:val="24"/>
              </w:rPr>
            </m:ctrlPr>
          </m:sSupPr>
          <m:e>
            <m:r>
              <m:rPr>
                <m:sty m:val="bi"/>
              </m:rPr>
              <w:rPr>
                <w:rFonts w:ascii="Cambria Math" w:hAnsi="Cambria Math" w:cs="Arial"/>
                <w:sz w:val="24"/>
                <w:szCs w:val="24"/>
              </w:rPr>
              <m:t>)</m:t>
            </m:r>
          </m:e>
          <m:sup>
            <m:r>
              <m:rPr>
                <m:sty m:val="bi"/>
              </m:rPr>
              <w:rPr>
                <w:rFonts w:ascii="Cambria Math" w:hAnsi="Cambria Math" w:cs="Arial"/>
                <w:sz w:val="24"/>
                <w:szCs w:val="24"/>
              </w:rPr>
              <m:t>-t</m:t>
            </m:r>
          </m:sup>
        </m:sSup>
      </m:oMath>
      <w:r w:rsidRPr="00DB31D5">
        <w:rPr>
          <w:rFonts w:ascii="Arial" w:hAnsi="Arial" w:cs="Arial"/>
          <w:b/>
          <w:bCs/>
          <w:sz w:val="24"/>
          <w:szCs w:val="24"/>
        </w:rPr>
        <w:t>.</w:t>
      </w:r>
    </w:p>
    <w:p w14:paraId="74743396" w14:textId="44461E73" w:rsidR="00DB31D5" w:rsidRDefault="00DB31D5" w:rsidP="000801BB">
      <w:pPr>
        <w:spacing w:line="360" w:lineRule="auto"/>
        <w:rPr>
          <w:rFonts w:ascii="Arial" w:hAnsi="Arial" w:cs="Arial"/>
          <w:sz w:val="24"/>
          <w:szCs w:val="24"/>
        </w:rPr>
      </w:pPr>
      <w:r w:rsidRPr="00DB31D5">
        <w:rPr>
          <w:rFonts w:ascii="Arial" w:hAnsi="Arial" w:cs="Arial"/>
          <w:sz w:val="24"/>
          <w:szCs w:val="24"/>
        </w:rPr>
        <w:t>Project A (n=6, CF=8, R=2, C</w:t>
      </w:r>
      <w:r w:rsidRPr="00DB31D5">
        <w:rPr>
          <w:rFonts w:ascii="Cambria Math" w:hAnsi="Cambria Math" w:cs="Cambria Math"/>
          <w:sz w:val="24"/>
          <w:szCs w:val="24"/>
        </w:rPr>
        <w:t>₀</w:t>
      </w:r>
      <w:r w:rsidRPr="00DB31D5">
        <w:rPr>
          <w:rFonts w:ascii="Arial" w:hAnsi="Arial" w:cs="Arial"/>
          <w:sz w:val="24"/>
          <w:szCs w:val="24"/>
        </w:rPr>
        <w:t>=25)</w:t>
      </w:r>
      <w:r w:rsidRPr="00DB31D5">
        <w:rPr>
          <w:rFonts w:ascii="Arial" w:hAnsi="Arial" w:cs="Arial"/>
          <w:sz w:val="24"/>
          <w:szCs w:val="24"/>
        </w:rPr>
        <w:br/>
        <w:t xml:space="preserve">Annuity factor for 6 years at 10%: </w:t>
      </w:r>
      <m:oMath>
        <m:nary>
          <m:naryPr>
            <m:chr m:val="∑"/>
            <m:limLoc m:val="subSup"/>
            <m:grow m:val="1"/>
            <m:ctrlPr>
              <w:rPr>
                <w:rFonts w:ascii="Cambria Math" w:hAnsi="Cambria Math" w:cs="Arial"/>
                <w:sz w:val="24"/>
                <w:szCs w:val="24"/>
              </w:rPr>
            </m:ctrlPr>
          </m:naryPr>
          <m:sub>
            <m:r>
              <w:rPr>
                <w:rFonts w:ascii="Cambria Math" w:hAnsi="Cambria Math" w:cs="Arial"/>
                <w:sz w:val="24"/>
                <w:szCs w:val="24"/>
              </w:rPr>
              <m:t>t=1</m:t>
            </m:r>
          </m:sub>
          <m:sup>
            <m:r>
              <w:rPr>
                <w:rFonts w:ascii="Cambria Math" w:hAnsi="Cambria Math" w:cs="Arial"/>
                <w:sz w:val="24"/>
                <w:szCs w:val="24"/>
              </w:rPr>
              <m:t>6</m:t>
            </m:r>
          </m:sup>
          <m:e/>
        </m:nary>
        <m:r>
          <w:rPr>
            <w:rFonts w:ascii="Cambria Math" w:hAnsi="Cambria Math" w:cs="Arial"/>
            <w:sz w:val="24"/>
            <w:szCs w:val="24"/>
          </w:rPr>
          <m:t>(1.10</m:t>
        </m:r>
        <m:sSup>
          <m:sSupPr>
            <m:ctrlPr>
              <w:rPr>
                <w:rFonts w:ascii="Cambria Math" w:hAnsi="Cambria Math" w:cs="Arial"/>
                <w:sz w:val="24"/>
                <w:szCs w:val="24"/>
              </w:rPr>
            </m:ctrlPr>
          </m:sSupPr>
          <m:e>
            <m:r>
              <w:rPr>
                <w:rFonts w:ascii="Cambria Math" w:hAnsi="Cambria Math" w:cs="Arial"/>
                <w:sz w:val="24"/>
                <w:szCs w:val="24"/>
              </w:rPr>
              <m:t>)</m:t>
            </m:r>
          </m:e>
          <m:sup>
            <m:r>
              <w:rPr>
                <w:rFonts w:ascii="Cambria Math" w:hAnsi="Cambria Math" w:cs="Arial"/>
                <w:sz w:val="24"/>
                <w:szCs w:val="24"/>
              </w:rPr>
              <m:t>-t</m:t>
            </m:r>
          </m:sup>
        </m:sSup>
        <m:r>
          <w:rPr>
            <w:rFonts w:ascii="Cambria Math" w:hAnsi="Cambria Math" w:cs="Arial"/>
            <w:sz w:val="24"/>
            <w:szCs w:val="24"/>
          </w:rPr>
          <m:t>=4.355</m:t>
        </m:r>
      </m:oMath>
      <w:r w:rsidRPr="00DB31D5">
        <w:rPr>
          <w:rFonts w:ascii="Arial" w:hAnsi="Arial" w:cs="Arial"/>
          <w:sz w:val="24"/>
          <w:szCs w:val="24"/>
        </w:rPr>
        <w:t>(rounded)</w:t>
      </w:r>
      <w:r w:rsidRPr="00DB31D5">
        <w:rPr>
          <w:rFonts w:ascii="Arial" w:hAnsi="Arial" w:cs="Arial"/>
          <w:sz w:val="24"/>
          <w:szCs w:val="24"/>
        </w:rPr>
        <w:br/>
        <w:t xml:space="preserve">PV of cash inflows = </w:t>
      </w:r>
      <m:oMath>
        <m:r>
          <w:rPr>
            <w:rFonts w:ascii="Cambria Math" w:hAnsi="Cambria Math" w:cs="Arial"/>
            <w:sz w:val="24"/>
            <w:szCs w:val="24"/>
          </w:rPr>
          <m:t>8×4.355=34.842</m:t>
        </m:r>
      </m:oMath>
      <w:r w:rsidRPr="00DB31D5">
        <w:rPr>
          <w:rFonts w:ascii="Arial" w:hAnsi="Arial" w:cs="Arial"/>
          <w:sz w:val="24"/>
          <w:szCs w:val="24"/>
        </w:rPr>
        <w:t>(£m)</w:t>
      </w:r>
      <w:r w:rsidRPr="00DB31D5">
        <w:rPr>
          <w:rFonts w:ascii="Arial" w:hAnsi="Arial" w:cs="Arial"/>
          <w:sz w:val="24"/>
          <w:szCs w:val="24"/>
        </w:rPr>
        <w:br/>
        <w:t xml:space="preserve">PV of residual = </w:t>
      </w:r>
      <m:oMath>
        <m:r>
          <w:rPr>
            <w:rFonts w:ascii="Cambria Math" w:hAnsi="Cambria Math" w:cs="Arial"/>
            <w:sz w:val="24"/>
            <w:szCs w:val="24"/>
          </w:rPr>
          <m:t>2×(1.10</m:t>
        </m:r>
        <m:sSup>
          <m:sSupPr>
            <m:ctrlPr>
              <w:rPr>
                <w:rFonts w:ascii="Cambria Math" w:hAnsi="Cambria Math" w:cs="Arial"/>
                <w:sz w:val="24"/>
                <w:szCs w:val="24"/>
              </w:rPr>
            </m:ctrlPr>
          </m:sSupPr>
          <m:e>
            <m:r>
              <w:rPr>
                <w:rFonts w:ascii="Cambria Math" w:hAnsi="Cambria Math" w:cs="Arial"/>
                <w:sz w:val="24"/>
                <w:szCs w:val="24"/>
              </w:rPr>
              <m:t>)</m:t>
            </m:r>
          </m:e>
          <m:sup>
            <m:r>
              <w:rPr>
                <w:rFonts w:ascii="Cambria Math" w:hAnsi="Cambria Math" w:cs="Arial"/>
                <w:sz w:val="24"/>
                <w:szCs w:val="24"/>
              </w:rPr>
              <m:t>-6</m:t>
            </m:r>
          </m:sup>
        </m:sSup>
        <m:r>
          <w:rPr>
            <w:rFonts w:ascii="Cambria Math" w:hAnsi="Cambria Math" w:cs="Arial"/>
            <w:sz w:val="24"/>
            <w:szCs w:val="24"/>
          </w:rPr>
          <m:t>=2×0.564=1.129</m:t>
        </m:r>
      </m:oMath>
      <w:r w:rsidRPr="00DB31D5">
        <w:rPr>
          <w:rFonts w:ascii="Arial" w:hAnsi="Arial" w:cs="Arial"/>
          <w:sz w:val="24"/>
          <w:szCs w:val="24"/>
        </w:rPr>
        <w:t>(£m)</w:t>
      </w:r>
      <w:r w:rsidRPr="00DB31D5">
        <w:rPr>
          <w:rFonts w:ascii="Arial" w:hAnsi="Arial" w:cs="Arial"/>
          <w:sz w:val="24"/>
          <w:szCs w:val="24"/>
        </w:rPr>
        <w:br/>
        <w:t xml:space="preserve">Total PV = </w:t>
      </w:r>
      <m:oMath>
        <m:r>
          <w:rPr>
            <w:rFonts w:ascii="Cambria Math" w:hAnsi="Cambria Math" w:cs="Arial"/>
            <w:sz w:val="24"/>
            <w:szCs w:val="24"/>
          </w:rPr>
          <m:t>34.842+1.129=35.971</m:t>
        </m:r>
      </m:oMath>
      <w:r w:rsidRPr="00DB31D5">
        <w:rPr>
          <w:rFonts w:ascii="Arial" w:hAnsi="Arial" w:cs="Arial"/>
          <w:sz w:val="24"/>
          <w:szCs w:val="24"/>
        </w:rPr>
        <w:t>(£m)</w:t>
      </w:r>
      <w:r w:rsidRPr="00DB31D5">
        <w:rPr>
          <w:rFonts w:ascii="Arial" w:hAnsi="Arial" w:cs="Arial"/>
          <w:sz w:val="24"/>
          <w:szCs w:val="24"/>
        </w:rPr>
        <w:br/>
        <w:t>NPV = Total PV − Initial = 35.971 − 25 = £10.971m</w:t>
      </w:r>
    </w:p>
    <w:p w14:paraId="04D85226" w14:textId="77777777" w:rsidR="002C7E91" w:rsidRPr="00DB31D5" w:rsidRDefault="002C7E91" w:rsidP="000801BB">
      <w:pPr>
        <w:spacing w:line="360" w:lineRule="auto"/>
        <w:rPr>
          <w:rFonts w:ascii="Arial" w:hAnsi="Arial" w:cs="Arial"/>
          <w:sz w:val="24"/>
          <w:szCs w:val="24"/>
        </w:rPr>
      </w:pPr>
    </w:p>
    <w:p w14:paraId="28EBE7C5" w14:textId="023D71F6" w:rsidR="00DB31D5" w:rsidRDefault="00DB31D5" w:rsidP="000801BB">
      <w:pPr>
        <w:spacing w:line="360" w:lineRule="auto"/>
        <w:rPr>
          <w:rFonts w:ascii="Arial" w:hAnsi="Arial" w:cs="Arial"/>
          <w:sz w:val="24"/>
          <w:szCs w:val="24"/>
        </w:rPr>
      </w:pPr>
      <w:r w:rsidRPr="00DB31D5">
        <w:rPr>
          <w:rFonts w:ascii="Arial" w:hAnsi="Arial" w:cs="Arial"/>
          <w:sz w:val="24"/>
          <w:szCs w:val="24"/>
        </w:rPr>
        <w:t>Project B (n=5, CF=10, R=3, C</w:t>
      </w:r>
      <w:r w:rsidRPr="00DB31D5">
        <w:rPr>
          <w:rFonts w:ascii="Cambria Math" w:hAnsi="Cambria Math" w:cs="Cambria Math"/>
          <w:sz w:val="24"/>
          <w:szCs w:val="24"/>
        </w:rPr>
        <w:t>₀</w:t>
      </w:r>
      <w:r w:rsidRPr="00DB31D5">
        <w:rPr>
          <w:rFonts w:ascii="Arial" w:hAnsi="Arial" w:cs="Arial"/>
          <w:sz w:val="24"/>
          <w:szCs w:val="24"/>
        </w:rPr>
        <w:t>=30)</w:t>
      </w:r>
      <w:r w:rsidRPr="00DB31D5">
        <w:rPr>
          <w:rFonts w:ascii="Arial" w:hAnsi="Arial" w:cs="Arial"/>
          <w:sz w:val="24"/>
          <w:szCs w:val="24"/>
        </w:rPr>
        <w:br/>
        <w:t xml:space="preserve">Annuity factor for 5 years at 10%: </w:t>
      </w:r>
      <m:oMath>
        <m:r>
          <w:rPr>
            <w:rFonts w:ascii="Cambria Math" w:hAnsi="Cambria Math" w:cs="Arial"/>
            <w:sz w:val="24"/>
            <w:szCs w:val="24"/>
          </w:rPr>
          <m:t>3.791</m:t>
        </m:r>
      </m:oMath>
      <w:r w:rsidRPr="00DB31D5">
        <w:rPr>
          <w:rFonts w:ascii="Arial" w:hAnsi="Arial" w:cs="Arial"/>
          <w:sz w:val="24"/>
          <w:szCs w:val="24"/>
        </w:rPr>
        <w:br/>
        <w:t xml:space="preserve">PV of cash inflows = </w:t>
      </w:r>
      <m:oMath>
        <m:r>
          <w:rPr>
            <w:rFonts w:ascii="Cambria Math" w:hAnsi="Cambria Math" w:cs="Arial"/>
            <w:sz w:val="24"/>
            <w:szCs w:val="24"/>
          </w:rPr>
          <m:t>10×3.791=37.908</m:t>
        </m:r>
      </m:oMath>
      <w:r w:rsidRPr="00DB31D5">
        <w:rPr>
          <w:rFonts w:ascii="Arial" w:hAnsi="Arial" w:cs="Arial"/>
          <w:sz w:val="24"/>
          <w:szCs w:val="24"/>
        </w:rPr>
        <w:t>(£m)</w:t>
      </w:r>
      <w:r w:rsidRPr="00DB31D5">
        <w:rPr>
          <w:rFonts w:ascii="Arial" w:hAnsi="Arial" w:cs="Arial"/>
          <w:sz w:val="24"/>
          <w:szCs w:val="24"/>
        </w:rPr>
        <w:br/>
        <w:t xml:space="preserve">PV of residual = </w:t>
      </w:r>
      <m:oMath>
        <m:r>
          <w:rPr>
            <w:rFonts w:ascii="Cambria Math" w:hAnsi="Cambria Math" w:cs="Arial"/>
            <w:sz w:val="24"/>
            <w:szCs w:val="24"/>
          </w:rPr>
          <m:t>3×(1.10</m:t>
        </m:r>
        <m:sSup>
          <m:sSupPr>
            <m:ctrlPr>
              <w:rPr>
                <w:rFonts w:ascii="Cambria Math" w:hAnsi="Cambria Math" w:cs="Arial"/>
                <w:sz w:val="24"/>
                <w:szCs w:val="24"/>
              </w:rPr>
            </m:ctrlPr>
          </m:sSupPr>
          <m:e>
            <m:r>
              <w:rPr>
                <w:rFonts w:ascii="Cambria Math" w:hAnsi="Cambria Math" w:cs="Arial"/>
                <w:sz w:val="24"/>
                <w:szCs w:val="24"/>
              </w:rPr>
              <m:t>)</m:t>
            </m:r>
          </m:e>
          <m:sup>
            <m:r>
              <w:rPr>
                <w:rFonts w:ascii="Cambria Math" w:hAnsi="Cambria Math" w:cs="Arial"/>
                <w:sz w:val="24"/>
                <w:szCs w:val="24"/>
              </w:rPr>
              <m:t>-5</m:t>
            </m:r>
          </m:sup>
        </m:sSup>
        <m:r>
          <w:rPr>
            <w:rFonts w:ascii="Cambria Math" w:hAnsi="Cambria Math" w:cs="Arial"/>
            <w:sz w:val="24"/>
            <w:szCs w:val="24"/>
          </w:rPr>
          <m:t>=3×0.621=1.863</m:t>
        </m:r>
      </m:oMath>
      <w:r w:rsidRPr="00DB31D5">
        <w:rPr>
          <w:rFonts w:ascii="Arial" w:hAnsi="Arial" w:cs="Arial"/>
          <w:sz w:val="24"/>
          <w:szCs w:val="24"/>
        </w:rPr>
        <w:t>(£m)</w:t>
      </w:r>
      <w:r w:rsidRPr="00DB31D5">
        <w:rPr>
          <w:rFonts w:ascii="Arial" w:hAnsi="Arial" w:cs="Arial"/>
          <w:sz w:val="24"/>
          <w:szCs w:val="24"/>
        </w:rPr>
        <w:br/>
        <w:t xml:space="preserve">Total PV = </w:t>
      </w:r>
      <m:oMath>
        <m:r>
          <w:rPr>
            <w:rFonts w:ascii="Cambria Math" w:hAnsi="Cambria Math" w:cs="Arial"/>
            <w:sz w:val="24"/>
            <w:szCs w:val="24"/>
          </w:rPr>
          <m:t>37.908+1.863=39.771</m:t>
        </m:r>
      </m:oMath>
      <w:r w:rsidRPr="00DB31D5">
        <w:rPr>
          <w:rFonts w:ascii="Arial" w:hAnsi="Arial" w:cs="Arial"/>
          <w:sz w:val="24"/>
          <w:szCs w:val="24"/>
        </w:rPr>
        <w:t>(£m)</w:t>
      </w:r>
      <w:r w:rsidRPr="00DB31D5">
        <w:rPr>
          <w:rFonts w:ascii="Arial" w:hAnsi="Arial" w:cs="Arial"/>
          <w:sz w:val="24"/>
          <w:szCs w:val="24"/>
        </w:rPr>
        <w:br/>
        <w:t>NPV = 39.771 − 30 = £9.771m</w:t>
      </w:r>
    </w:p>
    <w:p w14:paraId="5B159B1D" w14:textId="77777777" w:rsidR="002C7E91" w:rsidRPr="00DB31D5" w:rsidRDefault="002C7E91" w:rsidP="000801BB">
      <w:pPr>
        <w:spacing w:line="360" w:lineRule="auto"/>
        <w:rPr>
          <w:rFonts w:ascii="Arial" w:hAnsi="Arial" w:cs="Arial"/>
          <w:sz w:val="24"/>
          <w:szCs w:val="24"/>
        </w:rPr>
      </w:pPr>
    </w:p>
    <w:p w14:paraId="7D274827" w14:textId="1772504B" w:rsidR="00DB31D5" w:rsidRDefault="00DB31D5" w:rsidP="000801BB">
      <w:pPr>
        <w:spacing w:line="360" w:lineRule="auto"/>
        <w:rPr>
          <w:rFonts w:ascii="Arial" w:hAnsi="Arial" w:cs="Arial"/>
          <w:sz w:val="24"/>
          <w:szCs w:val="24"/>
        </w:rPr>
      </w:pPr>
      <w:r w:rsidRPr="00DB31D5">
        <w:rPr>
          <w:rFonts w:ascii="Arial" w:hAnsi="Arial" w:cs="Arial"/>
          <w:sz w:val="24"/>
          <w:szCs w:val="24"/>
        </w:rPr>
        <w:t>Project C (n=7, CF=6, R=1, C</w:t>
      </w:r>
      <w:r w:rsidRPr="00DB31D5">
        <w:rPr>
          <w:rFonts w:ascii="Cambria Math" w:hAnsi="Cambria Math" w:cs="Cambria Math"/>
          <w:sz w:val="24"/>
          <w:szCs w:val="24"/>
        </w:rPr>
        <w:t>₀</w:t>
      </w:r>
      <w:r w:rsidRPr="00DB31D5">
        <w:rPr>
          <w:rFonts w:ascii="Arial" w:hAnsi="Arial" w:cs="Arial"/>
          <w:sz w:val="24"/>
          <w:szCs w:val="24"/>
        </w:rPr>
        <w:t>=20)</w:t>
      </w:r>
      <w:r w:rsidRPr="00DB31D5">
        <w:rPr>
          <w:rFonts w:ascii="Arial" w:hAnsi="Arial" w:cs="Arial"/>
          <w:sz w:val="24"/>
          <w:szCs w:val="24"/>
        </w:rPr>
        <w:br/>
        <w:t xml:space="preserve">Annuity factor for 7 years at 10%: </w:t>
      </w:r>
      <m:oMath>
        <m:r>
          <w:rPr>
            <w:rFonts w:ascii="Cambria Math" w:hAnsi="Cambria Math" w:cs="Arial"/>
            <w:sz w:val="24"/>
            <w:szCs w:val="24"/>
          </w:rPr>
          <m:t>4.868</m:t>
        </m:r>
      </m:oMath>
      <w:r w:rsidRPr="00DB31D5">
        <w:rPr>
          <w:rFonts w:ascii="Arial" w:hAnsi="Arial" w:cs="Arial"/>
          <w:sz w:val="24"/>
          <w:szCs w:val="24"/>
        </w:rPr>
        <w:br/>
        <w:t xml:space="preserve">PV of cash inflows = </w:t>
      </w:r>
      <m:oMath>
        <m:r>
          <w:rPr>
            <w:rFonts w:ascii="Cambria Math" w:hAnsi="Cambria Math" w:cs="Arial"/>
            <w:sz w:val="24"/>
            <w:szCs w:val="24"/>
          </w:rPr>
          <m:t>6×4.868=29.211</m:t>
        </m:r>
      </m:oMath>
      <w:r w:rsidRPr="00DB31D5">
        <w:rPr>
          <w:rFonts w:ascii="Arial" w:hAnsi="Arial" w:cs="Arial"/>
          <w:sz w:val="24"/>
          <w:szCs w:val="24"/>
        </w:rPr>
        <w:t>(£m)</w:t>
      </w:r>
      <w:r w:rsidRPr="00DB31D5">
        <w:rPr>
          <w:rFonts w:ascii="Arial" w:hAnsi="Arial" w:cs="Arial"/>
          <w:sz w:val="24"/>
          <w:szCs w:val="24"/>
        </w:rPr>
        <w:br/>
        <w:t xml:space="preserve">PV of residual = </w:t>
      </w:r>
      <m:oMath>
        <m:r>
          <w:rPr>
            <w:rFonts w:ascii="Cambria Math" w:hAnsi="Cambria Math" w:cs="Arial"/>
            <w:sz w:val="24"/>
            <w:szCs w:val="24"/>
          </w:rPr>
          <m:t>1×(1.10</m:t>
        </m:r>
        <m:sSup>
          <m:sSupPr>
            <m:ctrlPr>
              <w:rPr>
                <w:rFonts w:ascii="Cambria Math" w:hAnsi="Cambria Math" w:cs="Arial"/>
                <w:sz w:val="24"/>
                <w:szCs w:val="24"/>
              </w:rPr>
            </m:ctrlPr>
          </m:sSupPr>
          <m:e>
            <m:r>
              <w:rPr>
                <w:rFonts w:ascii="Cambria Math" w:hAnsi="Cambria Math" w:cs="Arial"/>
                <w:sz w:val="24"/>
                <w:szCs w:val="24"/>
              </w:rPr>
              <m:t>)</m:t>
            </m:r>
          </m:e>
          <m:sup>
            <m:r>
              <w:rPr>
                <w:rFonts w:ascii="Cambria Math" w:hAnsi="Cambria Math" w:cs="Arial"/>
                <w:sz w:val="24"/>
                <w:szCs w:val="24"/>
              </w:rPr>
              <m:t>-7</m:t>
            </m:r>
          </m:sup>
        </m:sSup>
        <m:r>
          <w:rPr>
            <w:rFonts w:ascii="Cambria Math" w:hAnsi="Cambria Math" w:cs="Arial"/>
            <w:sz w:val="24"/>
            <w:szCs w:val="24"/>
          </w:rPr>
          <m:t>=0.513</m:t>
        </m:r>
      </m:oMath>
      <w:r w:rsidRPr="00DB31D5">
        <w:rPr>
          <w:rFonts w:ascii="Arial" w:hAnsi="Arial" w:cs="Arial"/>
          <w:sz w:val="24"/>
          <w:szCs w:val="24"/>
        </w:rPr>
        <w:t>(£m)</w:t>
      </w:r>
      <w:r w:rsidRPr="00DB31D5">
        <w:rPr>
          <w:rFonts w:ascii="Arial" w:hAnsi="Arial" w:cs="Arial"/>
          <w:sz w:val="24"/>
          <w:szCs w:val="24"/>
        </w:rPr>
        <w:br/>
        <w:t xml:space="preserve">Total PV = </w:t>
      </w:r>
      <m:oMath>
        <m:r>
          <w:rPr>
            <w:rFonts w:ascii="Cambria Math" w:hAnsi="Cambria Math" w:cs="Arial"/>
            <w:sz w:val="24"/>
            <w:szCs w:val="24"/>
          </w:rPr>
          <m:t>29.211+0.513=29.724</m:t>
        </m:r>
      </m:oMath>
      <w:r w:rsidRPr="00DB31D5">
        <w:rPr>
          <w:rFonts w:ascii="Arial" w:hAnsi="Arial" w:cs="Arial"/>
          <w:sz w:val="24"/>
          <w:szCs w:val="24"/>
        </w:rPr>
        <w:t>(£m)</w:t>
      </w:r>
      <w:r w:rsidRPr="00DB31D5">
        <w:rPr>
          <w:rFonts w:ascii="Arial" w:hAnsi="Arial" w:cs="Arial"/>
          <w:sz w:val="24"/>
          <w:szCs w:val="24"/>
        </w:rPr>
        <w:br/>
        <w:t>NPV = 29.724 − 20 = £9.724m</w:t>
      </w:r>
    </w:p>
    <w:p w14:paraId="1B4B849E" w14:textId="77777777" w:rsidR="002C7E91" w:rsidRPr="00DB31D5" w:rsidRDefault="002C7E91" w:rsidP="000801BB">
      <w:pPr>
        <w:spacing w:line="360" w:lineRule="auto"/>
        <w:rPr>
          <w:rFonts w:ascii="Arial" w:hAnsi="Arial" w:cs="Arial"/>
          <w:sz w:val="24"/>
          <w:szCs w:val="24"/>
        </w:rPr>
      </w:pPr>
    </w:p>
    <w:p w14:paraId="67080D55" w14:textId="77777777" w:rsidR="00DB31D5" w:rsidRPr="00DB31D5" w:rsidRDefault="00DB31D5" w:rsidP="000801BB">
      <w:pPr>
        <w:spacing w:line="360" w:lineRule="auto"/>
        <w:rPr>
          <w:rFonts w:ascii="Arial" w:hAnsi="Arial" w:cs="Arial"/>
          <w:b/>
          <w:bCs/>
          <w:sz w:val="24"/>
          <w:szCs w:val="24"/>
        </w:rPr>
      </w:pPr>
      <w:r w:rsidRPr="00DB31D5">
        <w:rPr>
          <w:rFonts w:ascii="Arial" w:hAnsi="Arial" w:cs="Arial"/>
          <w:b/>
          <w:bCs/>
          <w:sz w:val="24"/>
          <w:szCs w:val="24"/>
        </w:rPr>
        <w:t>Summary table — NPV calculation results (rounded to 3 d.p.)</w:t>
      </w:r>
    </w:p>
    <w:tbl>
      <w:tblPr>
        <w:tblStyle w:val="TableGrid"/>
        <w:tblW w:w="0" w:type="auto"/>
        <w:tblLook w:val="04A0" w:firstRow="1" w:lastRow="0" w:firstColumn="1" w:lastColumn="0" w:noHBand="0" w:noVBand="1"/>
      </w:tblPr>
      <w:tblGrid>
        <w:gridCol w:w="1030"/>
        <w:gridCol w:w="1853"/>
        <w:gridCol w:w="1948"/>
        <w:gridCol w:w="1626"/>
        <w:gridCol w:w="1328"/>
        <w:gridCol w:w="1231"/>
      </w:tblGrid>
      <w:tr w:rsidR="00DB31D5" w:rsidRPr="00DB31D5" w14:paraId="65CD620B" w14:textId="77777777" w:rsidTr="00DB31D5">
        <w:tc>
          <w:tcPr>
            <w:tcW w:w="0" w:type="auto"/>
            <w:hideMark/>
          </w:tcPr>
          <w:p w14:paraId="3AF457D0"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Project</w:t>
            </w:r>
          </w:p>
        </w:tc>
        <w:tc>
          <w:tcPr>
            <w:tcW w:w="0" w:type="auto"/>
            <w:hideMark/>
          </w:tcPr>
          <w:p w14:paraId="4AD9898C"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PV inflows (£m)</w:t>
            </w:r>
          </w:p>
        </w:tc>
        <w:tc>
          <w:tcPr>
            <w:tcW w:w="0" w:type="auto"/>
            <w:hideMark/>
          </w:tcPr>
          <w:p w14:paraId="167EA889"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PV residual (£m)</w:t>
            </w:r>
          </w:p>
        </w:tc>
        <w:tc>
          <w:tcPr>
            <w:tcW w:w="0" w:type="auto"/>
            <w:hideMark/>
          </w:tcPr>
          <w:p w14:paraId="14146018"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Total PV (£m)</w:t>
            </w:r>
          </w:p>
        </w:tc>
        <w:tc>
          <w:tcPr>
            <w:tcW w:w="0" w:type="auto"/>
            <w:hideMark/>
          </w:tcPr>
          <w:p w14:paraId="6CB747C4"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Initial (£m)</w:t>
            </w:r>
          </w:p>
        </w:tc>
        <w:tc>
          <w:tcPr>
            <w:tcW w:w="0" w:type="auto"/>
            <w:hideMark/>
          </w:tcPr>
          <w:p w14:paraId="4E491C3E"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NPV (£m)</w:t>
            </w:r>
          </w:p>
        </w:tc>
      </w:tr>
      <w:tr w:rsidR="00DB31D5" w:rsidRPr="00DB31D5" w14:paraId="5587E1E3" w14:textId="77777777" w:rsidTr="00DB31D5">
        <w:tc>
          <w:tcPr>
            <w:tcW w:w="0" w:type="auto"/>
            <w:hideMark/>
          </w:tcPr>
          <w:p w14:paraId="133732F0"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A</w:t>
            </w:r>
          </w:p>
        </w:tc>
        <w:tc>
          <w:tcPr>
            <w:tcW w:w="0" w:type="auto"/>
            <w:hideMark/>
          </w:tcPr>
          <w:p w14:paraId="47A9ED17"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34.842</w:t>
            </w:r>
          </w:p>
        </w:tc>
        <w:tc>
          <w:tcPr>
            <w:tcW w:w="0" w:type="auto"/>
            <w:hideMark/>
          </w:tcPr>
          <w:p w14:paraId="5CF96545"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1.129</w:t>
            </w:r>
          </w:p>
        </w:tc>
        <w:tc>
          <w:tcPr>
            <w:tcW w:w="0" w:type="auto"/>
            <w:hideMark/>
          </w:tcPr>
          <w:p w14:paraId="66AEE0B4"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35.971</w:t>
            </w:r>
          </w:p>
        </w:tc>
        <w:tc>
          <w:tcPr>
            <w:tcW w:w="0" w:type="auto"/>
            <w:hideMark/>
          </w:tcPr>
          <w:p w14:paraId="5DEF5505"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25</w:t>
            </w:r>
          </w:p>
        </w:tc>
        <w:tc>
          <w:tcPr>
            <w:tcW w:w="0" w:type="auto"/>
            <w:hideMark/>
          </w:tcPr>
          <w:p w14:paraId="419D95C8"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10.971</w:t>
            </w:r>
          </w:p>
        </w:tc>
      </w:tr>
      <w:tr w:rsidR="00DB31D5" w:rsidRPr="00DB31D5" w14:paraId="01579AE6" w14:textId="77777777" w:rsidTr="00DB31D5">
        <w:tc>
          <w:tcPr>
            <w:tcW w:w="0" w:type="auto"/>
            <w:hideMark/>
          </w:tcPr>
          <w:p w14:paraId="58F19F33"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B</w:t>
            </w:r>
          </w:p>
        </w:tc>
        <w:tc>
          <w:tcPr>
            <w:tcW w:w="0" w:type="auto"/>
            <w:hideMark/>
          </w:tcPr>
          <w:p w14:paraId="48754A48"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37.908</w:t>
            </w:r>
          </w:p>
        </w:tc>
        <w:tc>
          <w:tcPr>
            <w:tcW w:w="0" w:type="auto"/>
            <w:hideMark/>
          </w:tcPr>
          <w:p w14:paraId="56AF956E"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1.863</w:t>
            </w:r>
          </w:p>
        </w:tc>
        <w:tc>
          <w:tcPr>
            <w:tcW w:w="0" w:type="auto"/>
            <w:hideMark/>
          </w:tcPr>
          <w:p w14:paraId="29047EAB"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39.771</w:t>
            </w:r>
          </w:p>
        </w:tc>
        <w:tc>
          <w:tcPr>
            <w:tcW w:w="0" w:type="auto"/>
            <w:hideMark/>
          </w:tcPr>
          <w:p w14:paraId="2C7C3A91"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30</w:t>
            </w:r>
          </w:p>
        </w:tc>
        <w:tc>
          <w:tcPr>
            <w:tcW w:w="0" w:type="auto"/>
            <w:hideMark/>
          </w:tcPr>
          <w:p w14:paraId="34DF9B5A"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9.771</w:t>
            </w:r>
          </w:p>
        </w:tc>
      </w:tr>
      <w:tr w:rsidR="00DB31D5" w:rsidRPr="00DB31D5" w14:paraId="459875A6" w14:textId="77777777" w:rsidTr="00DB31D5">
        <w:tc>
          <w:tcPr>
            <w:tcW w:w="0" w:type="auto"/>
            <w:hideMark/>
          </w:tcPr>
          <w:p w14:paraId="18DE1CCF"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lastRenderedPageBreak/>
              <w:t>C</w:t>
            </w:r>
          </w:p>
        </w:tc>
        <w:tc>
          <w:tcPr>
            <w:tcW w:w="0" w:type="auto"/>
            <w:hideMark/>
          </w:tcPr>
          <w:p w14:paraId="1C03EDF8"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29.211</w:t>
            </w:r>
          </w:p>
        </w:tc>
        <w:tc>
          <w:tcPr>
            <w:tcW w:w="0" w:type="auto"/>
            <w:hideMark/>
          </w:tcPr>
          <w:p w14:paraId="5DCD0DFC"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0.513</w:t>
            </w:r>
          </w:p>
        </w:tc>
        <w:tc>
          <w:tcPr>
            <w:tcW w:w="0" w:type="auto"/>
            <w:hideMark/>
          </w:tcPr>
          <w:p w14:paraId="1E9E584D"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29.724</w:t>
            </w:r>
          </w:p>
        </w:tc>
        <w:tc>
          <w:tcPr>
            <w:tcW w:w="0" w:type="auto"/>
            <w:hideMark/>
          </w:tcPr>
          <w:p w14:paraId="3BAE3260"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20</w:t>
            </w:r>
          </w:p>
        </w:tc>
        <w:tc>
          <w:tcPr>
            <w:tcW w:w="0" w:type="auto"/>
            <w:hideMark/>
          </w:tcPr>
          <w:p w14:paraId="24CF73C1"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9.724</w:t>
            </w:r>
          </w:p>
        </w:tc>
      </w:tr>
    </w:tbl>
    <w:p w14:paraId="1CEE947C" w14:textId="77777777" w:rsidR="00054F5D" w:rsidRDefault="00054F5D" w:rsidP="000801BB">
      <w:pPr>
        <w:spacing w:line="360" w:lineRule="auto"/>
        <w:rPr>
          <w:rFonts w:ascii="Arial" w:hAnsi="Arial" w:cs="Arial"/>
          <w:b/>
          <w:bCs/>
          <w:sz w:val="24"/>
          <w:szCs w:val="24"/>
        </w:rPr>
      </w:pPr>
    </w:p>
    <w:p w14:paraId="7C447354" w14:textId="208531FF" w:rsidR="00054F5D" w:rsidRPr="00DB31D5" w:rsidRDefault="00054F5D" w:rsidP="000801BB">
      <w:pPr>
        <w:spacing w:line="360" w:lineRule="auto"/>
        <w:rPr>
          <w:rFonts w:ascii="Arial" w:hAnsi="Arial" w:cs="Arial"/>
          <w:sz w:val="24"/>
          <w:szCs w:val="24"/>
        </w:rPr>
      </w:pPr>
      <w:r w:rsidRPr="00054F5D">
        <w:rPr>
          <w:rFonts w:ascii="Arial" w:hAnsi="Arial" w:cs="Arial"/>
          <w:sz w:val="24"/>
          <w:szCs w:val="24"/>
        </w:rPr>
        <w:t>Interpretation: the NPVs of all three projects are positive at 10 per cent. - the projects are all value adding. Absolute NPV (</w:t>
      </w:r>
      <w:r w:rsidR="005C06C1">
        <w:rPr>
          <w:rFonts w:ascii="Arial" w:hAnsi="Arial" w:cs="Arial"/>
          <w:sz w:val="24"/>
          <w:szCs w:val="24"/>
        </w:rPr>
        <w:t>£</w:t>
      </w:r>
      <w:r w:rsidRPr="00054F5D">
        <w:rPr>
          <w:rFonts w:ascii="Arial" w:hAnsi="Arial" w:cs="Arial"/>
          <w:sz w:val="24"/>
          <w:szCs w:val="24"/>
        </w:rPr>
        <w:t>10.971m) is the highest in project A.</w:t>
      </w:r>
    </w:p>
    <w:p w14:paraId="3DAFEA25" w14:textId="77777777" w:rsidR="00DB31D5" w:rsidRPr="00DB31D5" w:rsidRDefault="00DB31D5" w:rsidP="000801BB">
      <w:pPr>
        <w:spacing w:line="360" w:lineRule="auto"/>
        <w:rPr>
          <w:rFonts w:ascii="Arial" w:hAnsi="Arial" w:cs="Arial"/>
          <w:b/>
          <w:bCs/>
          <w:sz w:val="24"/>
          <w:szCs w:val="24"/>
        </w:rPr>
      </w:pPr>
      <w:r w:rsidRPr="00DB31D5">
        <w:rPr>
          <w:rFonts w:ascii="Arial" w:hAnsi="Arial" w:cs="Arial"/>
          <w:b/>
          <w:bCs/>
          <w:sz w:val="24"/>
          <w:szCs w:val="24"/>
        </w:rPr>
        <w:t>5.4 Profitability Index (PI)</w:t>
      </w:r>
    </w:p>
    <w:p w14:paraId="20B65AFF" w14:textId="77777777" w:rsidR="00DB31D5" w:rsidRPr="00DB31D5" w:rsidRDefault="00DB31D5" w:rsidP="000801BB">
      <w:pPr>
        <w:spacing w:line="360" w:lineRule="auto"/>
        <w:rPr>
          <w:rFonts w:ascii="Arial" w:hAnsi="Arial" w:cs="Arial"/>
          <w:b/>
          <w:bCs/>
          <w:sz w:val="24"/>
          <w:szCs w:val="24"/>
        </w:rPr>
      </w:pPr>
      <w:r w:rsidRPr="00DB31D5">
        <w:rPr>
          <w:rFonts w:ascii="Arial" w:hAnsi="Arial" w:cs="Arial"/>
          <w:b/>
          <w:bCs/>
          <w:sz w:val="24"/>
          <w:szCs w:val="24"/>
        </w:rPr>
        <w:t>Formula:</w:t>
      </w:r>
    </w:p>
    <w:p w14:paraId="0ECD9C0A" w14:textId="48AA3322" w:rsidR="00DB31D5" w:rsidRPr="00DB31D5" w:rsidRDefault="00DB31D5" w:rsidP="000801BB">
      <w:pPr>
        <w:spacing w:line="360" w:lineRule="auto"/>
        <w:rPr>
          <w:rFonts w:ascii="Arial" w:hAnsi="Arial" w:cs="Arial"/>
          <w:b/>
          <w:bCs/>
          <w:sz w:val="24"/>
          <w:szCs w:val="24"/>
        </w:rPr>
      </w:pPr>
      <m:oMathPara>
        <m:oMath>
          <m:r>
            <m:rPr>
              <m:nor/>
            </m:rPr>
            <w:rPr>
              <w:rFonts w:ascii="Arial" w:hAnsi="Arial" w:cs="Arial"/>
              <w:b/>
              <w:bCs/>
              <w:sz w:val="24"/>
              <w:szCs w:val="24"/>
            </w:rPr>
            <m:t>PI</m:t>
          </m:r>
          <m:r>
            <m:rPr>
              <m:sty m:val="bi"/>
            </m:rPr>
            <w:rPr>
              <w:rFonts w:ascii="Cambria Math" w:hAnsi="Cambria Math" w:cs="Arial"/>
              <w:sz w:val="24"/>
              <w:szCs w:val="24"/>
            </w:rPr>
            <m:t>=</m:t>
          </m:r>
          <m:f>
            <m:fPr>
              <m:ctrlPr>
                <w:rPr>
                  <w:rFonts w:ascii="Cambria Math" w:hAnsi="Cambria Math" w:cs="Arial"/>
                  <w:b/>
                  <w:bCs/>
                  <w:sz w:val="24"/>
                  <w:szCs w:val="24"/>
                </w:rPr>
              </m:ctrlPr>
            </m:fPr>
            <m:num>
              <m:r>
                <m:rPr>
                  <m:nor/>
                </m:rPr>
                <w:rPr>
                  <w:rFonts w:ascii="Arial" w:hAnsi="Arial" w:cs="Arial"/>
                  <w:b/>
                  <w:bCs/>
                  <w:sz w:val="24"/>
                  <w:szCs w:val="24"/>
                </w:rPr>
                <m:t>Total PV of inflows (including residual)</m:t>
              </m:r>
            </m:num>
            <m:den>
              <m:r>
                <m:rPr>
                  <m:nor/>
                </m:rPr>
                <w:rPr>
                  <w:rFonts w:ascii="Arial" w:hAnsi="Arial" w:cs="Arial"/>
                  <w:b/>
                  <w:bCs/>
                  <w:sz w:val="24"/>
                  <w:szCs w:val="24"/>
                </w:rPr>
                <m:t>Initial investment</m:t>
              </m:r>
            </m:den>
          </m:f>
          <m:r>
            <w:rPr>
              <w:rFonts w:ascii="Arial" w:hAnsi="Arial" w:cs="Arial"/>
              <w:b/>
              <w:bCs/>
              <w:sz w:val="24"/>
              <w:szCs w:val="24"/>
            </w:rPr>
            <w:br/>
          </m:r>
        </m:oMath>
      </m:oMathPara>
    </w:p>
    <w:tbl>
      <w:tblPr>
        <w:tblStyle w:val="TableGrid"/>
        <w:tblW w:w="0" w:type="auto"/>
        <w:tblLook w:val="04A0" w:firstRow="1" w:lastRow="0" w:firstColumn="1" w:lastColumn="0" w:noHBand="0" w:noVBand="1"/>
      </w:tblPr>
      <w:tblGrid>
        <w:gridCol w:w="1030"/>
        <w:gridCol w:w="1750"/>
        <w:gridCol w:w="1417"/>
        <w:gridCol w:w="3178"/>
      </w:tblGrid>
      <w:tr w:rsidR="00DB31D5" w:rsidRPr="00DB31D5" w14:paraId="42625129" w14:textId="77777777" w:rsidTr="00DB31D5">
        <w:tc>
          <w:tcPr>
            <w:tcW w:w="0" w:type="auto"/>
            <w:hideMark/>
          </w:tcPr>
          <w:p w14:paraId="00E7F657"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Project</w:t>
            </w:r>
          </w:p>
        </w:tc>
        <w:tc>
          <w:tcPr>
            <w:tcW w:w="0" w:type="auto"/>
            <w:hideMark/>
          </w:tcPr>
          <w:p w14:paraId="5DE21EC0"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Total PV (£m)</w:t>
            </w:r>
          </w:p>
        </w:tc>
        <w:tc>
          <w:tcPr>
            <w:tcW w:w="0" w:type="auto"/>
            <w:hideMark/>
          </w:tcPr>
          <w:p w14:paraId="46C29FF7"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Initial (£m)</w:t>
            </w:r>
          </w:p>
        </w:tc>
        <w:tc>
          <w:tcPr>
            <w:tcW w:w="0" w:type="auto"/>
            <w:hideMark/>
          </w:tcPr>
          <w:p w14:paraId="337FA178"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PI</w:t>
            </w:r>
          </w:p>
        </w:tc>
      </w:tr>
      <w:tr w:rsidR="00DB31D5" w:rsidRPr="00DB31D5" w14:paraId="6E93585B" w14:textId="77777777" w:rsidTr="00DB31D5">
        <w:tc>
          <w:tcPr>
            <w:tcW w:w="0" w:type="auto"/>
            <w:hideMark/>
          </w:tcPr>
          <w:p w14:paraId="50D06032"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A</w:t>
            </w:r>
          </w:p>
        </w:tc>
        <w:tc>
          <w:tcPr>
            <w:tcW w:w="0" w:type="auto"/>
            <w:hideMark/>
          </w:tcPr>
          <w:p w14:paraId="650730E2"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35.971</w:t>
            </w:r>
          </w:p>
        </w:tc>
        <w:tc>
          <w:tcPr>
            <w:tcW w:w="0" w:type="auto"/>
            <w:hideMark/>
          </w:tcPr>
          <w:p w14:paraId="5FEB3C52"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25</w:t>
            </w:r>
          </w:p>
        </w:tc>
        <w:tc>
          <w:tcPr>
            <w:tcW w:w="0" w:type="auto"/>
            <w:hideMark/>
          </w:tcPr>
          <w:p w14:paraId="5E75F70B" w14:textId="2D6F521B" w:rsidR="00DB31D5" w:rsidRPr="00DB31D5" w:rsidRDefault="00DB31D5" w:rsidP="000801BB">
            <w:pPr>
              <w:spacing w:after="160" w:line="360" w:lineRule="auto"/>
              <w:rPr>
                <w:rFonts w:ascii="Arial" w:hAnsi="Arial" w:cs="Arial"/>
                <w:b/>
                <w:bCs/>
                <w:sz w:val="24"/>
                <w:szCs w:val="24"/>
              </w:rPr>
            </w:pPr>
            <m:oMath>
              <m:r>
                <m:rPr>
                  <m:sty m:val="bi"/>
                </m:rPr>
                <w:rPr>
                  <w:rFonts w:ascii="Cambria Math" w:hAnsi="Cambria Math" w:cs="Arial"/>
                  <w:sz w:val="24"/>
                  <w:szCs w:val="24"/>
                </w:rPr>
                <m:t>35.971</m:t>
              </m:r>
              <m:r>
                <m:rPr>
                  <m:sty m:val="b"/>
                </m:rPr>
                <w:rPr>
                  <w:rFonts w:ascii="Cambria Math" w:hAnsi="Cambria Math" w:cs="Arial"/>
                  <w:sz w:val="24"/>
                  <w:szCs w:val="24"/>
                </w:rPr>
                <m:t>/</m:t>
              </m:r>
              <m:r>
                <m:rPr>
                  <m:sty m:val="bi"/>
                </m:rPr>
                <w:rPr>
                  <w:rFonts w:ascii="Cambria Math" w:hAnsi="Cambria Math" w:cs="Arial"/>
                  <w:sz w:val="24"/>
                  <w:szCs w:val="24"/>
                </w:rPr>
                <m:t>25=1.439</m:t>
              </m:r>
            </m:oMath>
            <w:r w:rsidRPr="00DB31D5">
              <w:rPr>
                <w:rFonts w:ascii="Arial" w:hAnsi="Arial" w:cs="Arial"/>
                <w:b/>
                <w:bCs/>
                <w:sz w:val="24"/>
                <w:szCs w:val="24"/>
              </w:rPr>
              <w:t>→ 1.44</w:t>
            </w:r>
          </w:p>
        </w:tc>
      </w:tr>
      <w:tr w:rsidR="00DB31D5" w:rsidRPr="00DB31D5" w14:paraId="1BB58E43" w14:textId="77777777" w:rsidTr="00DB31D5">
        <w:tc>
          <w:tcPr>
            <w:tcW w:w="0" w:type="auto"/>
            <w:hideMark/>
          </w:tcPr>
          <w:p w14:paraId="25B18276"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B</w:t>
            </w:r>
          </w:p>
        </w:tc>
        <w:tc>
          <w:tcPr>
            <w:tcW w:w="0" w:type="auto"/>
            <w:hideMark/>
          </w:tcPr>
          <w:p w14:paraId="25E6B5D2"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39.771</w:t>
            </w:r>
          </w:p>
        </w:tc>
        <w:tc>
          <w:tcPr>
            <w:tcW w:w="0" w:type="auto"/>
            <w:hideMark/>
          </w:tcPr>
          <w:p w14:paraId="1EDA01AC"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30</w:t>
            </w:r>
          </w:p>
        </w:tc>
        <w:tc>
          <w:tcPr>
            <w:tcW w:w="0" w:type="auto"/>
            <w:hideMark/>
          </w:tcPr>
          <w:p w14:paraId="2C7EE8CB" w14:textId="7923FB4A" w:rsidR="00DB31D5" w:rsidRPr="00DB31D5" w:rsidRDefault="00DB31D5" w:rsidP="000801BB">
            <w:pPr>
              <w:spacing w:after="160" w:line="360" w:lineRule="auto"/>
              <w:rPr>
                <w:rFonts w:ascii="Arial" w:hAnsi="Arial" w:cs="Arial"/>
                <w:b/>
                <w:bCs/>
                <w:sz w:val="24"/>
                <w:szCs w:val="24"/>
              </w:rPr>
            </w:pPr>
            <m:oMath>
              <m:r>
                <m:rPr>
                  <m:sty m:val="bi"/>
                </m:rPr>
                <w:rPr>
                  <w:rFonts w:ascii="Cambria Math" w:hAnsi="Cambria Math" w:cs="Arial"/>
                  <w:sz w:val="24"/>
                  <w:szCs w:val="24"/>
                </w:rPr>
                <m:t>39.771</m:t>
              </m:r>
              <m:r>
                <m:rPr>
                  <m:sty m:val="b"/>
                </m:rPr>
                <w:rPr>
                  <w:rFonts w:ascii="Cambria Math" w:hAnsi="Cambria Math" w:cs="Arial"/>
                  <w:sz w:val="24"/>
                  <w:szCs w:val="24"/>
                </w:rPr>
                <m:t>/</m:t>
              </m:r>
              <m:r>
                <m:rPr>
                  <m:sty m:val="bi"/>
                </m:rPr>
                <w:rPr>
                  <w:rFonts w:ascii="Cambria Math" w:hAnsi="Cambria Math" w:cs="Arial"/>
                  <w:sz w:val="24"/>
                  <w:szCs w:val="24"/>
                </w:rPr>
                <m:t>30=1.326</m:t>
              </m:r>
            </m:oMath>
            <w:r w:rsidRPr="00DB31D5">
              <w:rPr>
                <w:rFonts w:ascii="Arial" w:hAnsi="Arial" w:cs="Arial"/>
                <w:b/>
                <w:bCs/>
                <w:sz w:val="24"/>
                <w:szCs w:val="24"/>
              </w:rPr>
              <w:t>→ 1.33</w:t>
            </w:r>
          </w:p>
        </w:tc>
      </w:tr>
      <w:tr w:rsidR="00DB31D5" w:rsidRPr="00DB31D5" w14:paraId="35F68B08" w14:textId="77777777" w:rsidTr="00DB31D5">
        <w:tc>
          <w:tcPr>
            <w:tcW w:w="0" w:type="auto"/>
            <w:hideMark/>
          </w:tcPr>
          <w:p w14:paraId="1F1F6401"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C</w:t>
            </w:r>
          </w:p>
        </w:tc>
        <w:tc>
          <w:tcPr>
            <w:tcW w:w="0" w:type="auto"/>
            <w:hideMark/>
          </w:tcPr>
          <w:p w14:paraId="124C2EAB"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29.724</w:t>
            </w:r>
          </w:p>
        </w:tc>
        <w:tc>
          <w:tcPr>
            <w:tcW w:w="0" w:type="auto"/>
            <w:hideMark/>
          </w:tcPr>
          <w:p w14:paraId="0FA7015C"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20</w:t>
            </w:r>
          </w:p>
        </w:tc>
        <w:tc>
          <w:tcPr>
            <w:tcW w:w="0" w:type="auto"/>
            <w:hideMark/>
          </w:tcPr>
          <w:p w14:paraId="14EBD27C" w14:textId="76DA19AB" w:rsidR="00DB31D5" w:rsidRPr="00DB31D5" w:rsidRDefault="00DB31D5" w:rsidP="000801BB">
            <w:pPr>
              <w:spacing w:after="160" w:line="360" w:lineRule="auto"/>
              <w:rPr>
                <w:rFonts w:ascii="Arial" w:hAnsi="Arial" w:cs="Arial"/>
                <w:b/>
                <w:bCs/>
                <w:sz w:val="24"/>
                <w:szCs w:val="24"/>
              </w:rPr>
            </w:pPr>
            <m:oMath>
              <m:r>
                <m:rPr>
                  <m:sty m:val="bi"/>
                </m:rPr>
                <w:rPr>
                  <w:rFonts w:ascii="Cambria Math" w:hAnsi="Cambria Math" w:cs="Arial"/>
                  <w:sz w:val="24"/>
                  <w:szCs w:val="24"/>
                </w:rPr>
                <m:t>29.724</m:t>
              </m:r>
              <m:r>
                <m:rPr>
                  <m:sty m:val="b"/>
                </m:rPr>
                <w:rPr>
                  <w:rFonts w:ascii="Cambria Math" w:hAnsi="Cambria Math" w:cs="Arial"/>
                  <w:sz w:val="24"/>
                  <w:szCs w:val="24"/>
                </w:rPr>
                <m:t>/</m:t>
              </m:r>
              <m:r>
                <m:rPr>
                  <m:sty m:val="bi"/>
                </m:rPr>
                <w:rPr>
                  <w:rFonts w:ascii="Cambria Math" w:hAnsi="Cambria Math" w:cs="Arial"/>
                  <w:sz w:val="24"/>
                  <w:szCs w:val="24"/>
                </w:rPr>
                <m:t>20=1.486</m:t>
              </m:r>
            </m:oMath>
            <w:r w:rsidRPr="00DB31D5">
              <w:rPr>
                <w:rFonts w:ascii="Arial" w:hAnsi="Arial" w:cs="Arial"/>
                <w:b/>
                <w:bCs/>
                <w:sz w:val="24"/>
                <w:szCs w:val="24"/>
              </w:rPr>
              <w:t>→ 1.49</w:t>
            </w:r>
          </w:p>
        </w:tc>
      </w:tr>
    </w:tbl>
    <w:p w14:paraId="7B86E1F4" w14:textId="77777777" w:rsidR="00DB31D5" w:rsidRPr="000801BB" w:rsidRDefault="00DB31D5" w:rsidP="000801BB">
      <w:pPr>
        <w:spacing w:line="360" w:lineRule="auto"/>
        <w:rPr>
          <w:rFonts w:ascii="Arial" w:hAnsi="Arial" w:cs="Arial"/>
          <w:b/>
          <w:bCs/>
          <w:sz w:val="24"/>
          <w:szCs w:val="24"/>
        </w:rPr>
      </w:pPr>
    </w:p>
    <w:p w14:paraId="1B132905" w14:textId="7A0F2E0E" w:rsidR="00DB31D5" w:rsidRPr="00DB31D5" w:rsidRDefault="00054F5D" w:rsidP="000801BB">
      <w:pPr>
        <w:spacing w:line="360" w:lineRule="auto"/>
        <w:rPr>
          <w:rFonts w:ascii="Arial" w:hAnsi="Arial" w:cs="Arial"/>
          <w:sz w:val="24"/>
          <w:szCs w:val="24"/>
        </w:rPr>
      </w:pPr>
      <w:r w:rsidRPr="00054F5D">
        <w:rPr>
          <w:rFonts w:ascii="Arial" w:hAnsi="Arial" w:cs="Arial"/>
          <w:sz w:val="24"/>
          <w:szCs w:val="24"/>
        </w:rPr>
        <w:t xml:space="preserve">Interpretation: Project C is the project that has the largest payback of </w:t>
      </w:r>
      <w:r w:rsidR="005C06C1">
        <w:rPr>
          <w:rFonts w:ascii="Arial" w:hAnsi="Arial" w:cs="Arial"/>
          <w:sz w:val="24"/>
          <w:szCs w:val="24"/>
        </w:rPr>
        <w:t>£</w:t>
      </w:r>
      <w:r w:rsidRPr="00054F5D">
        <w:rPr>
          <w:rFonts w:ascii="Arial" w:hAnsi="Arial" w:cs="Arial"/>
          <w:sz w:val="24"/>
          <w:szCs w:val="24"/>
        </w:rPr>
        <w:t xml:space="preserve"> invested (PI = 1.49). PI under capital rationing is useful in prioritizing projects where there is limited fund.</w:t>
      </w:r>
    </w:p>
    <w:p w14:paraId="491973F1" w14:textId="77CC9DAC" w:rsidR="00DB31D5" w:rsidRPr="00DB31D5" w:rsidRDefault="00DB31D5" w:rsidP="000801BB">
      <w:pPr>
        <w:spacing w:line="360" w:lineRule="auto"/>
        <w:rPr>
          <w:rFonts w:ascii="Arial" w:hAnsi="Arial" w:cs="Arial"/>
          <w:b/>
          <w:bCs/>
          <w:sz w:val="24"/>
          <w:szCs w:val="24"/>
        </w:rPr>
      </w:pPr>
      <w:r w:rsidRPr="00DB31D5">
        <w:rPr>
          <w:rFonts w:ascii="Arial" w:hAnsi="Arial" w:cs="Arial"/>
          <w:b/>
          <w:bCs/>
          <w:sz w:val="24"/>
          <w:szCs w:val="24"/>
        </w:rPr>
        <w:t>5.5 Payback Period</w:t>
      </w:r>
    </w:p>
    <w:p w14:paraId="7081B732" w14:textId="676B946E" w:rsidR="00DB31D5" w:rsidRPr="00DB31D5" w:rsidRDefault="00DB31D5" w:rsidP="000801BB">
      <w:pPr>
        <w:spacing w:line="360" w:lineRule="auto"/>
        <w:rPr>
          <w:rFonts w:ascii="Arial" w:hAnsi="Arial" w:cs="Arial"/>
          <w:b/>
          <w:bCs/>
          <w:sz w:val="24"/>
          <w:szCs w:val="24"/>
        </w:rPr>
      </w:pPr>
      <w:r w:rsidRPr="00DB31D5">
        <w:rPr>
          <w:rFonts w:ascii="Arial" w:hAnsi="Arial" w:cs="Arial"/>
          <w:b/>
          <w:bCs/>
          <w:sz w:val="24"/>
          <w:szCs w:val="24"/>
        </w:rPr>
        <w:t>Formula :</w:t>
      </w:r>
    </w:p>
    <w:p w14:paraId="3B5DE06A" w14:textId="2F57D120" w:rsidR="00DB31D5" w:rsidRPr="00DB31D5" w:rsidRDefault="00DB31D5" w:rsidP="000801BB">
      <w:pPr>
        <w:spacing w:line="360" w:lineRule="auto"/>
        <w:rPr>
          <w:rFonts w:ascii="Arial" w:hAnsi="Arial" w:cs="Arial"/>
          <w:b/>
          <w:bCs/>
          <w:sz w:val="24"/>
          <w:szCs w:val="24"/>
        </w:rPr>
      </w:pPr>
      <m:oMathPara>
        <m:oMath>
          <m:r>
            <m:rPr>
              <m:nor/>
            </m:rPr>
            <w:rPr>
              <w:rFonts w:ascii="Arial" w:hAnsi="Arial" w:cs="Arial"/>
              <w:b/>
              <w:bCs/>
              <w:sz w:val="24"/>
              <w:szCs w:val="24"/>
            </w:rPr>
            <m:t>Payback</m:t>
          </m:r>
          <m:r>
            <m:rPr>
              <m:sty m:val="bi"/>
            </m:rPr>
            <w:rPr>
              <w:rFonts w:ascii="Cambria Math" w:hAnsi="Cambria Math" w:cs="Arial"/>
              <w:sz w:val="24"/>
              <w:szCs w:val="24"/>
            </w:rPr>
            <m:t>=</m:t>
          </m:r>
          <m:f>
            <m:fPr>
              <m:ctrlPr>
                <w:rPr>
                  <w:rFonts w:ascii="Cambria Math" w:hAnsi="Cambria Math" w:cs="Arial"/>
                  <w:b/>
                  <w:bCs/>
                  <w:sz w:val="24"/>
                  <w:szCs w:val="24"/>
                </w:rPr>
              </m:ctrlPr>
            </m:fPr>
            <m:num>
              <m:r>
                <m:rPr>
                  <m:nor/>
                </m:rPr>
                <w:rPr>
                  <w:rFonts w:ascii="Arial" w:hAnsi="Arial" w:cs="Arial"/>
                  <w:b/>
                  <w:bCs/>
                  <w:sz w:val="24"/>
                  <w:szCs w:val="24"/>
                </w:rPr>
                <m:t>Initial investment</m:t>
              </m:r>
            </m:num>
            <m:den>
              <m:r>
                <m:rPr>
                  <m:nor/>
                </m:rPr>
                <w:rPr>
                  <w:rFonts w:ascii="Arial" w:hAnsi="Arial" w:cs="Arial"/>
                  <w:b/>
                  <w:bCs/>
                  <w:sz w:val="24"/>
                  <w:szCs w:val="24"/>
                </w:rPr>
                <m:t>Annual inflow</m:t>
              </m:r>
            </m:den>
          </m:f>
          <m:r>
            <w:rPr>
              <w:rFonts w:ascii="Arial" w:hAnsi="Arial" w:cs="Arial"/>
              <w:b/>
              <w:bCs/>
              <w:sz w:val="24"/>
              <w:szCs w:val="24"/>
            </w:rPr>
            <w:br/>
          </m:r>
        </m:oMath>
      </m:oMathPara>
    </w:p>
    <w:p w14:paraId="1B77280A" w14:textId="20B354B2" w:rsidR="00DB31D5" w:rsidRPr="00DB31D5" w:rsidRDefault="00DB31D5" w:rsidP="000801BB">
      <w:pPr>
        <w:spacing w:line="360" w:lineRule="auto"/>
        <w:rPr>
          <w:rFonts w:ascii="Arial" w:hAnsi="Arial" w:cs="Arial"/>
          <w:b/>
          <w:bCs/>
          <w:sz w:val="24"/>
          <w:szCs w:val="24"/>
        </w:rPr>
      </w:pPr>
    </w:p>
    <w:tbl>
      <w:tblPr>
        <w:tblStyle w:val="TableGrid"/>
        <w:tblW w:w="0" w:type="auto"/>
        <w:tblLook w:val="04A0" w:firstRow="1" w:lastRow="0" w:firstColumn="1" w:lastColumn="0" w:noHBand="0" w:noVBand="1"/>
      </w:tblPr>
      <w:tblGrid>
        <w:gridCol w:w="1030"/>
        <w:gridCol w:w="1417"/>
        <w:gridCol w:w="2363"/>
        <w:gridCol w:w="3209"/>
      </w:tblGrid>
      <w:tr w:rsidR="00DB31D5" w:rsidRPr="00DB31D5" w14:paraId="3F4154E1" w14:textId="77777777" w:rsidTr="00DB31D5">
        <w:tc>
          <w:tcPr>
            <w:tcW w:w="0" w:type="auto"/>
            <w:hideMark/>
          </w:tcPr>
          <w:p w14:paraId="4547BFD4"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Project</w:t>
            </w:r>
          </w:p>
        </w:tc>
        <w:tc>
          <w:tcPr>
            <w:tcW w:w="0" w:type="auto"/>
            <w:hideMark/>
          </w:tcPr>
          <w:p w14:paraId="6C970AB2"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Initial (£m)</w:t>
            </w:r>
          </w:p>
        </w:tc>
        <w:tc>
          <w:tcPr>
            <w:tcW w:w="0" w:type="auto"/>
            <w:hideMark/>
          </w:tcPr>
          <w:p w14:paraId="798230F7"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Annual inflow (£m)</w:t>
            </w:r>
          </w:p>
        </w:tc>
        <w:tc>
          <w:tcPr>
            <w:tcW w:w="0" w:type="auto"/>
            <w:hideMark/>
          </w:tcPr>
          <w:p w14:paraId="129D7FED"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Payback (yrs)</w:t>
            </w:r>
          </w:p>
        </w:tc>
      </w:tr>
      <w:tr w:rsidR="00DB31D5" w:rsidRPr="00DB31D5" w14:paraId="4FEEE634" w14:textId="77777777" w:rsidTr="00DB31D5">
        <w:tc>
          <w:tcPr>
            <w:tcW w:w="0" w:type="auto"/>
            <w:hideMark/>
          </w:tcPr>
          <w:p w14:paraId="486214E7"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A</w:t>
            </w:r>
          </w:p>
        </w:tc>
        <w:tc>
          <w:tcPr>
            <w:tcW w:w="0" w:type="auto"/>
            <w:hideMark/>
          </w:tcPr>
          <w:p w14:paraId="75C8C199"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25</w:t>
            </w:r>
          </w:p>
        </w:tc>
        <w:tc>
          <w:tcPr>
            <w:tcW w:w="0" w:type="auto"/>
            <w:hideMark/>
          </w:tcPr>
          <w:p w14:paraId="31B80910"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8</w:t>
            </w:r>
          </w:p>
        </w:tc>
        <w:tc>
          <w:tcPr>
            <w:tcW w:w="0" w:type="auto"/>
            <w:hideMark/>
          </w:tcPr>
          <w:p w14:paraId="7C4075AA" w14:textId="003BF09D" w:rsidR="00DB31D5" w:rsidRPr="00DB31D5" w:rsidRDefault="00DB31D5" w:rsidP="000801BB">
            <w:pPr>
              <w:spacing w:after="160" w:line="360" w:lineRule="auto"/>
              <w:rPr>
                <w:rFonts w:ascii="Arial" w:hAnsi="Arial" w:cs="Arial"/>
                <w:b/>
                <w:bCs/>
                <w:sz w:val="24"/>
                <w:szCs w:val="24"/>
              </w:rPr>
            </w:pPr>
            <m:oMath>
              <m:r>
                <m:rPr>
                  <m:sty m:val="bi"/>
                </m:rPr>
                <w:rPr>
                  <w:rFonts w:ascii="Cambria Math" w:hAnsi="Cambria Math" w:cs="Arial"/>
                  <w:sz w:val="24"/>
                  <w:szCs w:val="24"/>
                </w:rPr>
                <m:t>25</m:t>
              </m:r>
              <m:r>
                <m:rPr>
                  <m:sty m:val="b"/>
                </m:rPr>
                <w:rPr>
                  <w:rFonts w:ascii="Cambria Math" w:hAnsi="Cambria Math" w:cs="Arial"/>
                  <w:sz w:val="24"/>
                  <w:szCs w:val="24"/>
                </w:rPr>
                <m:t>/</m:t>
              </m:r>
              <m:r>
                <m:rPr>
                  <m:sty m:val="bi"/>
                </m:rPr>
                <w:rPr>
                  <w:rFonts w:ascii="Cambria Math" w:hAnsi="Cambria Math" w:cs="Arial"/>
                  <w:sz w:val="24"/>
                  <w:szCs w:val="24"/>
                </w:rPr>
                <m:t>8=3.125</m:t>
              </m:r>
            </m:oMath>
            <w:r w:rsidRPr="00DB31D5">
              <w:rPr>
                <w:rFonts w:ascii="Arial" w:hAnsi="Arial" w:cs="Arial"/>
                <w:b/>
                <w:bCs/>
                <w:sz w:val="24"/>
                <w:szCs w:val="24"/>
              </w:rPr>
              <w:t>→ 3.13 years</w:t>
            </w:r>
          </w:p>
        </w:tc>
      </w:tr>
      <w:tr w:rsidR="00DB31D5" w:rsidRPr="00DB31D5" w14:paraId="1DB63C67" w14:textId="77777777" w:rsidTr="00DB31D5">
        <w:tc>
          <w:tcPr>
            <w:tcW w:w="0" w:type="auto"/>
            <w:hideMark/>
          </w:tcPr>
          <w:p w14:paraId="1B024504"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B</w:t>
            </w:r>
          </w:p>
        </w:tc>
        <w:tc>
          <w:tcPr>
            <w:tcW w:w="0" w:type="auto"/>
            <w:hideMark/>
          </w:tcPr>
          <w:p w14:paraId="411E620D"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30</w:t>
            </w:r>
          </w:p>
        </w:tc>
        <w:tc>
          <w:tcPr>
            <w:tcW w:w="0" w:type="auto"/>
            <w:hideMark/>
          </w:tcPr>
          <w:p w14:paraId="45A45E05"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10</w:t>
            </w:r>
          </w:p>
        </w:tc>
        <w:tc>
          <w:tcPr>
            <w:tcW w:w="0" w:type="auto"/>
            <w:hideMark/>
          </w:tcPr>
          <w:p w14:paraId="4DB7C2BA" w14:textId="6960E35A" w:rsidR="00DB31D5" w:rsidRPr="00DB31D5" w:rsidRDefault="00DB31D5" w:rsidP="000801BB">
            <w:pPr>
              <w:spacing w:after="160" w:line="360" w:lineRule="auto"/>
              <w:rPr>
                <w:rFonts w:ascii="Arial" w:hAnsi="Arial" w:cs="Arial"/>
                <w:b/>
                <w:bCs/>
                <w:sz w:val="24"/>
                <w:szCs w:val="24"/>
              </w:rPr>
            </w:pPr>
            <m:oMath>
              <m:r>
                <m:rPr>
                  <m:sty m:val="bi"/>
                </m:rPr>
                <w:rPr>
                  <w:rFonts w:ascii="Cambria Math" w:hAnsi="Cambria Math" w:cs="Arial"/>
                  <w:sz w:val="24"/>
                  <w:szCs w:val="24"/>
                </w:rPr>
                <m:t>30</m:t>
              </m:r>
              <m:r>
                <m:rPr>
                  <m:sty m:val="b"/>
                </m:rPr>
                <w:rPr>
                  <w:rFonts w:ascii="Cambria Math" w:hAnsi="Cambria Math" w:cs="Arial"/>
                  <w:sz w:val="24"/>
                  <w:szCs w:val="24"/>
                </w:rPr>
                <m:t>/</m:t>
              </m:r>
              <m:r>
                <m:rPr>
                  <m:sty m:val="bi"/>
                </m:rPr>
                <w:rPr>
                  <w:rFonts w:ascii="Cambria Math" w:hAnsi="Cambria Math" w:cs="Arial"/>
                  <w:sz w:val="24"/>
                  <w:szCs w:val="24"/>
                </w:rPr>
                <m:t>10=3.00</m:t>
              </m:r>
            </m:oMath>
            <w:r w:rsidRPr="00DB31D5">
              <w:rPr>
                <w:rFonts w:ascii="Arial" w:hAnsi="Arial" w:cs="Arial"/>
                <w:b/>
                <w:bCs/>
                <w:sz w:val="24"/>
                <w:szCs w:val="24"/>
              </w:rPr>
              <w:t>→ 3.00 years</w:t>
            </w:r>
          </w:p>
        </w:tc>
      </w:tr>
      <w:tr w:rsidR="00DB31D5" w:rsidRPr="00DB31D5" w14:paraId="255E6FE1" w14:textId="77777777" w:rsidTr="00DB31D5">
        <w:tc>
          <w:tcPr>
            <w:tcW w:w="0" w:type="auto"/>
            <w:hideMark/>
          </w:tcPr>
          <w:p w14:paraId="7338054B"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lastRenderedPageBreak/>
              <w:t>C</w:t>
            </w:r>
          </w:p>
        </w:tc>
        <w:tc>
          <w:tcPr>
            <w:tcW w:w="0" w:type="auto"/>
            <w:hideMark/>
          </w:tcPr>
          <w:p w14:paraId="47301232"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20</w:t>
            </w:r>
          </w:p>
        </w:tc>
        <w:tc>
          <w:tcPr>
            <w:tcW w:w="0" w:type="auto"/>
            <w:hideMark/>
          </w:tcPr>
          <w:p w14:paraId="1A36DD0F"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6</w:t>
            </w:r>
          </w:p>
        </w:tc>
        <w:tc>
          <w:tcPr>
            <w:tcW w:w="0" w:type="auto"/>
            <w:hideMark/>
          </w:tcPr>
          <w:p w14:paraId="45CB5A92" w14:textId="79F9A94D" w:rsidR="00DB31D5" w:rsidRPr="00DB31D5" w:rsidRDefault="00DB31D5" w:rsidP="000801BB">
            <w:pPr>
              <w:spacing w:after="160" w:line="360" w:lineRule="auto"/>
              <w:rPr>
                <w:rFonts w:ascii="Arial" w:hAnsi="Arial" w:cs="Arial"/>
                <w:b/>
                <w:bCs/>
                <w:sz w:val="24"/>
                <w:szCs w:val="24"/>
              </w:rPr>
            </w:pPr>
            <m:oMath>
              <m:r>
                <m:rPr>
                  <m:sty m:val="bi"/>
                </m:rPr>
                <w:rPr>
                  <w:rFonts w:ascii="Cambria Math" w:hAnsi="Cambria Math" w:cs="Arial"/>
                  <w:sz w:val="24"/>
                  <w:szCs w:val="24"/>
                </w:rPr>
                <m:t>20</m:t>
              </m:r>
              <m:r>
                <m:rPr>
                  <m:sty m:val="b"/>
                </m:rPr>
                <w:rPr>
                  <w:rFonts w:ascii="Cambria Math" w:hAnsi="Cambria Math" w:cs="Arial"/>
                  <w:sz w:val="24"/>
                  <w:szCs w:val="24"/>
                </w:rPr>
                <m:t>/</m:t>
              </m:r>
              <m:r>
                <m:rPr>
                  <m:sty m:val="bi"/>
                </m:rPr>
                <w:rPr>
                  <w:rFonts w:ascii="Cambria Math" w:hAnsi="Cambria Math" w:cs="Arial"/>
                  <w:sz w:val="24"/>
                  <w:szCs w:val="24"/>
                </w:rPr>
                <m:t>6=3.333</m:t>
              </m:r>
            </m:oMath>
            <w:r w:rsidRPr="00DB31D5">
              <w:rPr>
                <w:rFonts w:ascii="Arial" w:hAnsi="Arial" w:cs="Arial"/>
                <w:b/>
                <w:bCs/>
                <w:sz w:val="24"/>
                <w:szCs w:val="24"/>
              </w:rPr>
              <w:t>→ 3.33 years</w:t>
            </w:r>
          </w:p>
        </w:tc>
      </w:tr>
    </w:tbl>
    <w:p w14:paraId="0AB9BB82" w14:textId="77777777" w:rsidR="00DB31D5" w:rsidRPr="000801BB" w:rsidRDefault="00DB31D5" w:rsidP="000801BB">
      <w:pPr>
        <w:spacing w:line="360" w:lineRule="auto"/>
        <w:rPr>
          <w:rFonts w:ascii="Arial" w:hAnsi="Arial" w:cs="Arial"/>
          <w:b/>
          <w:bCs/>
          <w:sz w:val="24"/>
          <w:szCs w:val="24"/>
        </w:rPr>
      </w:pPr>
    </w:p>
    <w:p w14:paraId="3F39B229" w14:textId="1563B768" w:rsidR="00DB31D5" w:rsidRPr="00DB31D5" w:rsidRDefault="00054F5D" w:rsidP="000801BB">
      <w:pPr>
        <w:spacing w:line="360" w:lineRule="auto"/>
        <w:rPr>
          <w:rFonts w:ascii="Arial" w:hAnsi="Arial" w:cs="Arial"/>
          <w:sz w:val="24"/>
          <w:szCs w:val="24"/>
        </w:rPr>
      </w:pPr>
      <w:r w:rsidRPr="00054F5D">
        <w:rPr>
          <w:rFonts w:ascii="Arial" w:hAnsi="Arial" w:cs="Arial"/>
          <w:sz w:val="24"/>
          <w:szCs w:val="24"/>
        </w:rPr>
        <w:t>Interpretation Project B gets to recover cash in the shortest time (3 years) - as liquidity matters - but payback does not respect the time value and long run cash flows.</w:t>
      </w:r>
    </w:p>
    <w:p w14:paraId="2374AC1B" w14:textId="77777777" w:rsidR="00DB31D5" w:rsidRPr="00DB31D5" w:rsidRDefault="00DB31D5" w:rsidP="000801BB">
      <w:pPr>
        <w:spacing w:line="360" w:lineRule="auto"/>
        <w:rPr>
          <w:rFonts w:ascii="Arial" w:hAnsi="Arial" w:cs="Arial"/>
          <w:b/>
          <w:bCs/>
          <w:sz w:val="24"/>
          <w:szCs w:val="24"/>
        </w:rPr>
      </w:pPr>
      <w:r w:rsidRPr="00DB31D5">
        <w:rPr>
          <w:rFonts w:ascii="Arial" w:hAnsi="Arial" w:cs="Arial"/>
          <w:b/>
          <w:bCs/>
          <w:sz w:val="24"/>
          <w:szCs w:val="24"/>
        </w:rPr>
        <w:t>5.6 Comparative analysis &amp; capital rationing</w:t>
      </w:r>
    </w:p>
    <w:tbl>
      <w:tblPr>
        <w:tblStyle w:val="TableGrid"/>
        <w:tblW w:w="0" w:type="auto"/>
        <w:tblLook w:val="04A0" w:firstRow="1" w:lastRow="0" w:firstColumn="1" w:lastColumn="0" w:noHBand="0" w:noVBand="1"/>
      </w:tblPr>
      <w:tblGrid>
        <w:gridCol w:w="1751"/>
        <w:gridCol w:w="2272"/>
        <w:gridCol w:w="2369"/>
        <w:gridCol w:w="2624"/>
      </w:tblGrid>
      <w:tr w:rsidR="00DB31D5" w:rsidRPr="00DB31D5" w14:paraId="0207FDD8" w14:textId="77777777" w:rsidTr="00DB31D5">
        <w:tc>
          <w:tcPr>
            <w:tcW w:w="0" w:type="auto"/>
            <w:hideMark/>
          </w:tcPr>
          <w:p w14:paraId="4DFB6026"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Criteria</w:t>
            </w:r>
          </w:p>
        </w:tc>
        <w:tc>
          <w:tcPr>
            <w:tcW w:w="0" w:type="auto"/>
            <w:hideMark/>
          </w:tcPr>
          <w:p w14:paraId="3FA47190"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Project A</w:t>
            </w:r>
          </w:p>
        </w:tc>
        <w:tc>
          <w:tcPr>
            <w:tcW w:w="0" w:type="auto"/>
            <w:hideMark/>
          </w:tcPr>
          <w:p w14:paraId="22A58066"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Project B</w:t>
            </w:r>
          </w:p>
        </w:tc>
        <w:tc>
          <w:tcPr>
            <w:tcW w:w="0" w:type="auto"/>
            <w:hideMark/>
          </w:tcPr>
          <w:p w14:paraId="423B8FCA"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Project C</w:t>
            </w:r>
          </w:p>
        </w:tc>
      </w:tr>
      <w:tr w:rsidR="00DB31D5" w:rsidRPr="00DB31D5" w14:paraId="4BF79457" w14:textId="77777777" w:rsidTr="00DB31D5">
        <w:tc>
          <w:tcPr>
            <w:tcW w:w="0" w:type="auto"/>
            <w:hideMark/>
          </w:tcPr>
          <w:p w14:paraId="07A2098F"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NPV (£m)</w:t>
            </w:r>
          </w:p>
        </w:tc>
        <w:tc>
          <w:tcPr>
            <w:tcW w:w="0" w:type="auto"/>
            <w:hideMark/>
          </w:tcPr>
          <w:p w14:paraId="6E556E5E"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10.971</w:t>
            </w:r>
          </w:p>
        </w:tc>
        <w:tc>
          <w:tcPr>
            <w:tcW w:w="0" w:type="auto"/>
            <w:hideMark/>
          </w:tcPr>
          <w:p w14:paraId="5E77FE8E"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9.771</w:t>
            </w:r>
          </w:p>
        </w:tc>
        <w:tc>
          <w:tcPr>
            <w:tcW w:w="0" w:type="auto"/>
            <w:hideMark/>
          </w:tcPr>
          <w:p w14:paraId="3C6D663A"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9.724</w:t>
            </w:r>
          </w:p>
        </w:tc>
      </w:tr>
      <w:tr w:rsidR="00DB31D5" w:rsidRPr="00DB31D5" w14:paraId="5CDFAF91" w14:textId="77777777" w:rsidTr="00DB31D5">
        <w:tc>
          <w:tcPr>
            <w:tcW w:w="0" w:type="auto"/>
            <w:hideMark/>
          </w:tcPr>
          <w:p w14:paraId="74029C34"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PI</w:t>
            </w:r>
          </w:p>
        </w:tc>
        <w:tc>
          <w:tcPr>
            <w:tcW w:w="0" w:type="auto"/>
            <w:hideMark/>
          </w:tcPr>
          <w:p w14:paraId="232F657D"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1.44</w:t>
            </w:r>
          </w:p>
        </w:tc>
        <w:tc>
          <w:tcPr>
            <w:tcW w:w="0" w:type="auto"/>
            <w:hideMark/>
          </w:tcPr>
          <w:p w14:paraId="6C5523C8"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1.33</w:t>
            </w:r>
          </w:p>
        </w:tc>
        <w:tc>
          <w:tcPr>
            <w:tcW w:w="0" w:type="auto"/>
            <w:hideMark/>
          </w:tcPr>
          <w:p w14:paraId="194A926A"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1.49</w:t>
            </w:r>
          </w:p>
        </w:tc>
      </w:tr>
      <w:tr w:rsidR="00DB31D5" w:rsidRPr="00DB31D5" w14:paraId="1E3E7DD8" w14:textId="77777777" w:rsidTr="00DB31D5">
        <w:tc>
          <w:tcPr>
            <w:tcW w:w="0" w:type="auto"/>
            <w:hideMark/>
          </w:tcPr>
          <w:p w14:paraId="0C5F3D53"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Payback (yrs)</w:t>
            </w:r>
          </w:p>
        </w:tc>
        <w:tc>
          <w:tcPr>
            <w:tcW w:w="0" w:type="auto"/>
            <w:hideMark/>
          </w:tcPr>
          <w:p w14:paraId="3CC03EFE"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3.13</w:t>
            </w:r>
          </w:p>
        </w:tc>
        <w:tc>
          <w:tcPr>
            <w:tcW w:w="0" w:type="auto"/>
            <w:hideMark/>
          </w:tcPr>
          <w:p w14:paraId="363D65B3"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3.00</w:t>
            </w:r>
          </w:p>
        </w:tc>
        <w:tc>
          <w:tcPr>
            <w:tcW w:w="0" w:type="auto"/>
            <w:hideMark/>
          </w:tcPr>
          <w:p w14:paraId="6C734C2E"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3.33</w:t>
            </w:r>
          </w:p>
        </w:tc>
      </w:tr>
      <w:tr w:rsidR="00DB31D5" w:rsidRPr="00DB31D5" w14:paraId="41D21D36" w14:textId="77777777" w:rsidTr="00DB31D5">
        <w:tc>
          <w:tcPr>
            <w:tcW w:w="0" w:type="auto"/>
            <w:hideMark/>
          </w:tcPr>
          <w:p w14:paraId="5E6E8821"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Strategic alignment</w:t>
            </w:r>
          </w:p>
        </w:tc>
        <w:tc>
          <w:tcPr>
            <w:tcW w:w="0" w:type="auto"/>
            <w:hideMark/>
          </w:tcPr>
          <w:p w14:paraId="516950D3"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High — automation efficiency</w:t>
            </w:r>
          </w:p>
        </w:tc>
        <w:tc>
          <w:tcPr>
            <w:tcW w:w="0" w:type="auto"/>
            <w:hideMark/>
          </w:tcPr>
          <w:p w14:paraId="504E8BA3"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Very High — renewables &amp; ESG</w:t>
            </w:r>
          </w:p>
        </w:tc>
        <w:tc>
          <w:tcPr>
            <w:tcW w:w="0" w:type="auto"/>
            <w:hideMark/>
          </w:tcPr>
          <w:p w14:paraId="704FD603"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High — digital integration &amp; after-sales</w:t>
            </w:r>
          </w:p>
        </w:tc>
      </w:tr>
    </w:tbl>
    <w:p w14:paraId="706D4E79" w14:textId="77777777" w:rsidR="00DB31D5" w:rsidRPr="000801BB" w:rsidRDefault="00DB31D5" w:rsidP="000801BB">
      <w:pPr>
        <w:spacing w:line="360" w:lineRule="auto"/>
        <w:rPr>
          <w:rFonts w:ascii="Arial" w:hAnsi="Arial" w:cs="Arial"/>
          <w:b/>
          <w:bCs/>
          <w:sz w:val="24"/>
          <w:szCs w:val="24"/>
        </w:rPr>
      </w:pPr>
    </w:p>
    <w:p w14:paraId="7652C9E5" w14:textId="39CEEEEF" w:rsidR="00054F5D" w:rsidRPr="00054F5D" w:rsidRDefault="00054F5D" w:rsidP="00054F5D">
      <w:pPr>
        <w:spacing w:line="360" w:lineRule="auto"/>
        <w:rPr>
          <w:rFonts w:ascii="Arial" w:hAnsi="Arial" w:cs="Arial"/>
          <w:sz w:val="24"/>
          <w:szCs w:val="24"/>
        </w:rPr>
      </w:pPr>
      <w:r w:rsidRPr="00054F5D">
        <w:rPr>
          <w:rFonts w:ascii="Arial" w:hAnsi="Arial" w:cs="Arial"/>
          <w:sz w:val="24"/>
          <w:szCs w:val="24"/>
        </w:rPr>
        <w:t xml:space="preserve">NPV-maximisation indicates A + B (combined NPV </w:t>
      </w:r>
      <w:r w:rsidR="005C06C1">
        <w:rPr>
          <w:rFonts w:ascii="Arial" w:hAnsi="Arial" w:cs="Arial"/>
          <w:sz w:val="24"/>
          <w:szCs w:val="24"/>
        </w:rPr>
        <w:t>£</w:t>
      </w:r>
      <w:r w:rsidRPr="00054F5D">
        <w:rPr>
          <w:rFonts w:ascii="Arial" w:hAnsi="Arial" w:cs="Arial"/>
          <w:sz w:val="24"/>
          <w:szCs w:val="24"/>
        </w:rPr>
        <w:t>20.742m) is a little better than A + C (</w:t>
      </w:r>
      <w:r w:rsidR="005C06C1">
        <w:rPr>
          <w:rFonts w:ascii="Arial" w:hAnsi="Arial" w:cs="Arial"/>
          <w:sz w:val="24"/>
          <w:szCs w:val="24"/>
        </w:rPr>
        <w:t>£</w:t>
      </w:r>
      <w:r w:rsidRPr="00054F5D">
        <w:rPr>
          <w:rFonts w:ascii="Arial" w:hAnsi="Arial" w:cs="Arial"/>
          <w:sz w:val="24"/>
          <w:szCs w:val="24"/>
        </w:rPr>
        <w:t xml:space="preserve">20.695m) difference of </w:t>
      </w:r>
      <w:r w:rsidR="005C06C1">
        <w:rPr>
          <w:rFonts w:ascii="Arial" w:hAnsi="Arial" w:cs="Arial"/>
          <w:sz w:val="24"/>
          <w:szCs w:val="24"/>
        </w:rPr>
        <w:t>£</w:t>
      </w:r>
      <w:r w:rsidRPr="00054F5D">
        <w:rPr>
          <w:rFonts w:ascii="Arial" w:hAnsi="Arial" w:cs="Arial"/>
          <w:sz w:val="24"/>
          <w:szCs w:val="24"/>
        </w:rPr>
        <w:t xml:space="preserve">0.047m. But A + C is better under PI due to the fact that that portfolio utilizes less capital and generates a greater amount of return per </w:t>
      </w:r>
      <w:r w:rsidR="005C06C1">
        <w:rPr>
          <w:rFonts w:ascii="Arial" w:hAnsi="Arial" w:cs="Arial"/>
          <w:sz w:val="24"/>
          <w:szCs w:val="24"/>
        </w:rPr>
        <w:t>£</w:t>
      </w:r>
      <w:r w:rsidRPr="00054F5D">
        <w:rPr>
          <w:rFonts w:ascii="Arial" w:hAnsi="Arial" w:cs="Arial"/>
          <w:sz w:val="24"/>
          <w:szCs w:val="24"/>
        </w:rPr>
        <w:t xml:space="preserve"> invested (i.e. it utilizes capital more efficiently). PI can be weighted more when liquidity and capital efficiency are the considerations.</w:t>
      </w:r>
    </w:p>
    <w:p w14:paraId="61183C18" w14:textId="77777777" w:rsidR="00054F5D" w:rsidRPr="00054F5D" w:rsidRDefault="00054F5D" w:rsidP="00054F5D">
      <w:pPr>
        <w:spacing w:line="360" w:lineRule="auto"/>
        <w:rPr>
          <w:rFonts w:ascii="Arial" w:hAnsi="Arial" w:cs="Arial"/>
          <w:sz w:val="24"/>
          <w:szCs w:val="24"/>
        </w:rPr>
      </w:pPr>
      <w:r w:rsidRPr="00054F5D">
        <w:rPr>
          <w:rFonts w:ascii="Arial" w:hAnsi="Arial" w:cs="Arial"/>
          <w:sz w:val="24"/>
          <w:szCs w:val="24"/>
        </w:rPr>
        <w:t>Recommendation (balanced): project A (Automation) and project C (Digital Services): priority. Rationale:</w:t>
      </w:r>
    </w:p>
    <w:p w14:paraId="79C63FC1" w14:textId="20C3D52D" w:rsidR="00054F5D" w:rsidRPr="00054F5D" w:rsidRDefault="00054F5D" w:rsidP="00054F5D">
      <w:pPr>
        <w:spacing w:line="360" w:lineRule="auto"/>
        <w:rPr>
          <w:rFonts w:ascii="Arial" w:hAnsi="Arial" w:cs="Arial"/>
          <w:sz w:val="24"/>
          <w:szCs w:val="24"/>
        </w:rPr>
      </w:pPr>
      <w:r w:rsidRPr="00054F5D">
        <w:rPr>
          <w:rFonts w:ascii="Arial" w:hAnsi="Arial" w:cs="Arial"/>
          <w:sz w:val="24"/>
          <w:szCs w:val="24"/>
        </w:rPr>
        <w:t xml:space="preserve">Total start-up cost = </w:t>
      </w:r>
      <w:r w:rsidR="005C06C1">
        <w:rPr>
          <w:rFonts w:ascii="Arial" w:hAnsi="Arial" w:cs="Arial"/>
          <w:sz w:val="24"/>
          <w:szCs w:val="24"/>
        </w:rPr>
        <w:t>£</w:t>
      </w:r>
      <w:r w:rsidRPr="00054F5D">
        <w:rPr>
          <w:rFonts w:ascii="Arial" w:hAnsi="Arial" w:cs="Arial"/>
          <w:sz w:val="24"/>
          <w:szCs w:val="24"/>
        </w:rPr>
        <w:t xml:space="preserve">45m (comfortably within </w:t>
      </w:r>
      <w:r w:rsidR="005C06C1">
        <w:rPr>
          <w:rFonts w:ascii="Arial" w:hAnsi="Arial" w:cs="Arial"/>
          <w:sz w:val="24"/>
          <w:szCs w:val="24"/>
        </w:rPr>
        <w:t>£</w:t>
      </w:r>
      <w:r w:rsidRPr="00054F5D">
        <w:rPr>
          <w:rFonts w:ascii="Arial" w:hAnsi="Arial" w:cs="Arial"/>
          <w:sz w:val="24"/>
          <w:szCs w:val="24"/>
        </w:rPr>
        <w:t>60m).</w:t>
      </w:r>
    </w:p>
    <w:p w14:paraId="4588C38D" w14:textId="358DC7D0" w:rsidR="00054F5D" w:rsidRPr="00054F5D" w:rsidRDefault="00054F5D" w:rsidP="00054F5D">
      <w:pPr>
        <w:spacing w:line="360" w:lineRule="auto"/>
        <w:rPr>
          <w:rFonts w:ascii="Arial" w:hAnsi="Arial" w:cs="Arial"/>
          <w:sz w:val="24"/>
          <w:szCs w:val="24"/>
        </w:rPr>
      </w:pPr>
      <w:r w:rsidRPr="00054F5D">
        <w:rPr>
          <w:rFonts w:ascii="Arial" w:hAnsi="Arial" w:cs="Arial"/>
          <w:sz w:val="24"/>
          <w:szCs w:val="24"/>
        </w:rPr>
        <w:t xml:space="preserve">NPV = </w:t>
      </w:r>
      <w:r w:rsidR="005C06C1">
        <w:rPr>
          <w:rFonts w:ascii="Arial" w:hAnsi="Arial" w:cs="Arial"/>
          <w:sz w:val="24"/>
          <w:szCs w:val="24"/>
        </w:rPr>
        <w:t>£</w:t>
      </w:r>
      <w:r w:rsidRPr="00054F5D">
        <w:rPr>
          <w:rFonts w:ascii="Arial" w:hAnsi="Arial" w:cs="Arial"/>
          <w:sz w:val="24"/>
          <w:szCs w:val="24"/>
        </w:rPr>
        <w:t xml:space="preserve">20.695m + </w:t>
      </w:r>
      <w:r w:rsidR="005C06C1">
        <w:rPr>
          <w:rFonts w:ascii="Arial" w:hAnsi="Arial" w:cs="Arial"/>
          <w:sz w:val="24"/>
          <w:szCs w:val="24"/>
        </w:rPr>
        <w:t>£</w:t>
      </w:r>
      <w:r w:rsidRPr="00054F5D">
        <w:rPr>
          <w:rFonts w:ascii="Arial" w:hAnsi="Arial" w:cs="Arial"/>
          <w:sz w:val="24"/>
          <w:szCs w:val="24"/>
        </w:rPr>
        <w:t xml:space="preserve"> 20.695m = </w:t>
      </w:r>
      <w:r w:rsidR="005C06C1">
        <w:rPr>
          <w:rFonts w:ascii="Arial" w:hAnsi="Arial" w:cs="Arial"/>
          <w:sz w:val="24"/>
          <w:szCs w:val="24"/>
        </w:rPr>
        <w:t>£</w:t>
      </w:r>
      <w:r w:rsidRPr="00054F5D">
        <w:rPr>
          <w:rFonts w:ascii="Arial" w:hAnsi="Arial" w:cs="Arial"/>
          <w:sz w:val="24"/>
          <w:szCs w:val="24"/>
        </w:rPr>
        <w:t>47.381m, which is close to the A+B maximum.</w:t>
      </w:r>
    </w:p>
    <w:p w14:paraId="2AC2DC8E" w14:textId="77777777" w:rsidR="00054F5D" w:rsidRPr="00054F5D" w:rsidRDefault="00054F5D" w:rsidP="00054F5D">
      <w:pPr>
        <w:spacing w:line="360" w:lineRule="auto"/>
        <w:rPr>
          <w:rFonts w:ascii="Arial" w:hAnsi="Arial" w:cs="Arial"/>
          <w:sz w:val="24"/>
          <w:szCs w:val="24"/>
        </w:rPr>
      </w:pPr>
      <w:r w:rsidRPr="00054F5D">
        <w:rPr>
          <w:rFonts w:ascii="Arial" w:hAnsi="Arial" w:cs="Arial"/>
          <w:sz w:val="24"/>
          <w:szCs w:val="24"/>
        </w:rPr>
        <w:t>Increase in average PI (capital-efficient) and strategic balance (automation + digital).</w:t>
      </w:r>
    </w:p>
    <w:p w14:paraId="56F9793F" w14:textId="1093EF62" w:rsidR="00DB31D5" w:rsidRPr="00DB31D5" w:rsidRDefault="00054F5D" w:rsidP="00054F5D">
      <w:pPr>
        <w:spacing w:line="360" w:lineRule="auto"/>
        <w:rPr>
          <w:rFonts w:ascii="Arial" w:hAnsi="Arial" w:cs="Arial"/>
          <w:sz w:val="24"/>
          <w:szCs w:val="24"/>
        </w:rPr>
      </w:pPr>
      <w:r w:rsidRPr="00054F5D">
        <w:rPr>
          <w:rFonts w:ascii="Arial" w:hAnsi="Arial" w:cs="Arial"/>
          <w:sz w:val="24"/>
          <w:szCs w:val="24"/>
        </w:rPr>
        <w:t>Maintains flexibility to finance project B in the future when liquidity has increased.</w:t>
      </w:r>
    </w:p>
    <w:p w14:paraId="3BAD41C0" w14:textId="77777777" w:rsidR="00DB31D5" w:rsidRPr="00DB31D5" w:rsidRDefault="00DB31D5" w:rsidP="000801BB">
      <w:pPr>
        <w:spacing w:line="360" w:lineRule="auto"/>
        <w:rPr>
          <w:rFonts w:ascii="Arial" w:hAnsi="Arial" w:cs="Arial"/>
          <w:b/>
          <w:bCs/>
          <w:sz w:val="24"/>
          <w:szCs w:val="24"/>
        </w:rPr>
      </w:pPr>
      <w:r w:rsidRPr="00DB31D5">
        <w:rPr>
          <w:rFonts w:ascii="Arial" w:hAnsi="Arial" w:cs="Arial"/>
          <w:b/>
          <w:bCs/>
          <w:sz w:val="24"/>
          <w:szCs w:val="24"/>
        </w:rPr>
        <w:t>5.7 Sensitivity and risk analysis (worked numbers)</w:t>
      </w:r>
    </w:p>
    <w:p w14:paraId="552BE87F" w14:textId="77777777" w:rsidR="00054F5D" w:rsidRPr="00060359" w:rsidRDefault="00054F5D" w:rsidP="00054F5D">
      <w:pPr>
        <w:spacing w:line="360" w:lineRule="auto"/>
        <w:rPr>
          <w:rFonts w:ascii="Arial" w:hAnsi="Arial" w:cs="Arial"/>
          <w:sz w:val="24"/>
          <w:szCs w:val="24"/>
        </w:rPr>
      </w:pPr>
      <w:r w:rsidRPr="00060359">
        <w:rPr>
          <w:rFonts w:ascii="Arial" w:hAnsi="Arial" w:cs="Arial"/>
          <w:sz w:val="24"/>
          <w:szCs w:val="24"/>
        </w:rPr>
        <w:lastRenderedPageBreak/>
        <w:t xml:space="preserve">We do 3 downside tests and recalculate NPV: </w:t>
      </w:r>
    </w:p>
    <w:p w14:paraId="681B12F5" w14:textId="5E76C07B" w:rsidR="00DB31D5" w:rsidRPr="00DB31D5" w:rsidRDefault="00054F5D" w:rsidP="000801BB">
      <w:pPr>
        <w:numPr>
          <w:ilvl w:val="0"/>
          <w:numId w:val="23"/>
        </w:numPr>
        <w:spacing w:line="360" w:lineRule="auto"/>
        <w:rPr>
          <w:rFonts w:ascii="Arial" w:hAnsi="Arial" w:cs="Arial"/>
          <w:sz w:val="24"/>
          <w:szCs w:val="24"/>
        </w:rPr>
      </w:pPr>
      <w:r w:rsidRPr="00060359">
        <w:rPr>
          <w:rFonts w:ascii="Arial" w:hAnsi="Arial" w:cs="Arial"/>
          <w:sz w:val="24"/>
          <w:szCs w:val="24"/>
        </w:rPr>
        <w:t xml:space="preserve">Cash inflows </w:t>
      </w:r>
      <w:r w:rsidRPr="00DB31D5">
        <w:rPr>
          <w:rFonts w:ascii="Arial" w:hAnsi="Arial" w:cs="Arial"/>
          <w:sz w:val="24"/>
          <w:szCs w:val="24"/>
        </w:rPr>
        <w:t>−</w:t>
      </w:r>
      <w:r w:rsidRPr="00060359">
        <w:rPr>
          <w:rFonts w:ascii="Arial" w:hAnsi="Arial" w:cs="Arial"/>
          <w:sz w:val="24"/>
          <w:szCs w:val="24"/>
        </w:rPr>
        <w:t>10% (decreases annual inflow by 10</w:t>
      </w:r>
      <w:r w:rsidR="00DB31D5" w:rsidRPr="00DB31D5">
        <w:rPr>
          <w:rFonts w:ascii="Arial" w:hAnsi="Arial" w:cs="Arial"/>
          <w:sz w:val="24"/>
          <w:szCs w:val="24"/>
        </w:rPr>
        <w:t>%)</w:t>
      </w:r>
    </w:p>
    <w:p w14:paraId="71B33FB5" w14:textId="4F48D49C" w:rsidR="00DB31D5" w:rsidRPr="00DB31D5" w:rsidRDefault="00054F5D" w:rsidP="000801BB">
      <w:pPr>
        <w:numPr>
          <w:ilvl w:val="0"/>
          <w:numId w:val="23"/>
        </w:numPr>
        <w:spacing w:line="360" w:lineRule="auto"/>
        <w:rPr>
          <w:rFonts w:ascii="Arial" w:hAnsi="Arial" w:cs="Arial"/>
          <w:sz w:val="24"/>
          <w:szCs w:val="24"/>
        </w:rPr>
      </w:pPr>
      <w:r w:rsidRPr="00060359">
        <w:rPr>
          <w:rFonts w:ascii="Arial" w:hAnsi="Arial" w:cs="Arial"/>
          <w:sz w:val="24"/>
          <w:szCs w:val="24"/>
        </w:rPr>
        <w:t xml:space="preserve">Initial cost +10% (project overruns add </w:t>
      </w:r>
      <w:r w:rsidR="00DB31D5" w:rsidRPr="00DB31D5">
        <w:rPr>
          <w:rFonts w:ascii="Arial" w:hAnsi="Arial" w:cs="Arial"/>
          <w:sz w:val="24"/>
          <w:szCs w:val="24"/>
        </w:rPr>
        <w:t>C</w:t>
      </w:r>
      <w:r w:rsidR="00DB31D5" w:rsidRPr="00DB31D5">
        <w:rPr>
          <w:rFonts w:ascii="Cambria Math" w:hAnsi="Cambria Math" w:cs="Cambria Math"/>
          <w:sz w:val="24"/>
          <w:szCs w:val="24"/>
        </w:rPr>
        <w:t>₀</w:t>
      </w:r>
      <w:r w:rsidR="00DB31D5" w:rsidRPr="00DB31D5">
        <w:rPr>
          <w:rFonts w:ascii="Arial" w:hAnsi="Arial" w:cs="Arial"/>
          <w:sz w:val="24"/>
          <w:szCs w:val="24"/>
        </w:rPr>
        <w:t xml:space="preserve"> by 10%)</w:t>
      </w:r>
    </w:p>
    <w:p w14:paraId="049FEDFB" w14:textId="77777777" w:rsidR="00DB31D5" w:rsidRPr="00060359" w:rsidRDefault="00DB31D5" w:rsidP="000801BB">
      <w:pPr>
        <w:numPr>
          <w:ilvl w:val="0"/>
          <w:numId w:val="23"/>
        </w:numPr>
        <w:spacing w:line="360" w:lineRule="auto"/>
        <w:rPr>
          <w:rFonts w:ascii="Arial" w:hAnsi="Arial" w:cs="Arial"/>
          <w:sz w:val="24"/>
          <w:szCs w:val="24"/>
        </w:rPr>
      </w:pPr>
      <w:r w:rsidRPr="00DB31D5">
        <w:rPr>
          <w:rFonts w:ascii="Arial" w:hAnsi="Arial" w:cs="Arial"/>
          <w:sz w:val="24"/>
          <w:szCs w:val="24"/>
        </w:rPr>
        <w:t>Discount rate +2% (r = 12%)</w:t>
      </w:r>
    </w:p>
    <w:p w14:paraId="067966F7" w14:textId="45434F0F" w:rsidR="00DB31D5" w:rsidRPr="00DB31D5" w:rsidRDefault="00DB31D5" w:rsidP="000801BB">
      <w:pPr>
        <w:spacing w:line="360" w:lineRule="auto"/>
        <w:rPr>
          <w:rFonts w:ascii="Arial" w:hAnsi="Arial" w:cs="Arial"/>
          <w:b/>
          <w:bCs/>
          <w:sz w:val="24"/>
          <w:szCs w:val="24"/>
        </w:rPr>
      </w:pPr>
      <w:r w:rsidRPr="00DB31D5">
        <w:rPr>
          <w:rFonts w:ascii="Arial" w:hAnsi="Arial" w:cs="Arial"/>
          <w:b/>
          <w:bCs/>
          <w:sz w:val="24"/>
          <w:szCs w:val="24"/>
        </w:rPr>
        <w:t>Recomputed NPVs under scenarios</w:t>
      </w:r>
    </w:p>
    <w:tbl>
      <w:tblPr>
        <w:tblStyle w:val="TableGrid"/>
        <w:tblW w:w="0" w:type="auto"/>
        <w:tblLook w:val="04A0" w:firstRow="1" w:lastRow="0" w:firstColumn="1" w:lastColumn="0" w:noHBand="0" w:noVBand="1"/>
      </w:tblPr>
      <w:tblGrid>
        <w:gridCol w:w="1030"/>
        <w:gridCol w:w="1350"/>
        <w:gridCol w:w="2384"/>
        <w:gridCol w:w="1437"/>
        <w:gridCol w:w="2297"/>
      </w:tblGrid>
      <w:tr w:rsidR="00DB31D5" w:rsidRPr="00DB31D5" w14:paraId="38B5F464" w14:textId="77777777" w:rsidTr="00B7339A">
        <w:tc>
          <w:tcPr>
            <w:tcW w:w="0" w:type="auto"/>
            <w:hideMark/>
          </w:tcPr>
          <w:p w14:paraId="7A6FCEB8"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Project</w:t>
            </w:r>
          </w:p>
        </w:tc>
        <w:tc>
          <w:tcPr>
            <w:tcW w:w="0" w:type="auto"/>
            <w:hideMark/>
          </w:tcPr>
          <w:p w14:paraId="2E5A6381"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Base NPV</w:t>
            </w:r>
          </w:p>
        </w:tc>
        <w:tc>
          <w:tcPr>
            <w:tcW w:w="0" w:type="auto"/>
            <w:hideMark/>
          </w:tcPr>
          <w:p w14:paraId="5CA80CAD"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Cash inflows −10%</w:t>
            </w:r>
          </w:p>
        </w:tc>
        <w:tc>
          <w:tcPr>
            <w:tcW w:w="0" w:type="auto"/>
            <w:hideMark/>
          </w:tcPr>
          <w:p w14:paraId="35FB2742"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Cost +10%</w:t>
            </w:r>
          </w:p>
        </w:tc>
        <w:tc>
          <w:tcPr>
            <w:tcW w:w="0" w:type="auto"/>
            <w:hideMark/>
          </w:tcPr>
          <w:p w14:paraId="7F1DE3B8"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Discount rate 12%</w:t>
            </w:r>
          </w:p>
        </w:tc>
      </w:tr>
      <w:tr w:rsidR="00DB31D5" w:rsidRPr="00DB31D5" w14:paraId="72A5C67B" w14:textId="77777777" w:rsidTr="00B7339A">
        <w:tc>
          <w:tcPr>
            <w:tcW w:w="0" w:type="auto"/>
            <w:hideMark/>
          </w:tcPr>
          <w:p w14:paraId="376D858F"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A</w:t>
            </w:r>
          </w:p>
        </w:tc>
        <w:tc>
          <w:tcPr>
            <w:tcW w:w="0" w:type="auto"/>
            <w:hideMark/>
          </w:tcPr>
          <w:p w14:paraId="7FA981A2"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10.971</w:t>
            </w:r>
          </w:p>
        </w:tc>
        <w:tc>
          <w:tcPr>
            <w:tcW w:w="0" w:type="auto"/>
            <w:hideMark/>
          </w:tcPr>
          <w:p w14:paraId="24DF1705"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7.487</w:t>
            </w:r>
          </w:p>
        </w:tc>
        <w:tc>
          <w:tcPr>
            <w:tcW w:w="0" w:type="auto"/>
            <w:hideMark/>
          </w:tcPr>
          <w:p w14:paraId="1D82D556"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8.471</w:t>
            </w:r>
          </w:p>
        </w:tc>
        <w:tc>
          <w:tcPr>
            <w:tcW w:w="0" w:type="auto"/>
            <w:hideMark/>
          </w:tcPr>
          <w:p w14:paraId="3F3F18C3"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8.905</w:t>
            </w:r>
          </w:p>
        </w:tc>
      </w:tr>
      <w:tr w:rsidR="00DB31D5" w:rsidRPr="00DB31D5" w14:paraId="27CED954" w14:textId="77777777" w:rsidTr="00B7339A">
        <w:tc>
          <w:tcPr>
            <w:tcW w:w="0" w:type="auto"/>
            <w:hideMark/>
          </w:tcPr>
          <w:p w14:paraId="5CBC4E20"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B</w:t>
            </w:r>
          </w:p>
        </w:tc>
        <w:tc>
          <w:tcPr>
            <w:tcW w:w="0" w:type="auto"/>
            <w:hideMark/>
          </w:tcPr>
          <w:p w14:paraId="3F0DFBC4"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9.771</w:t>
            </w:r>
          </w:p>
        </w:tc>
        <w:tc>
          <w:tcPr>
            <w:tcW w:w="0" w:type="auto"/>
            <w:hideMark/>
          </w:tcPr>
          <w:p w14:paraId="16805563"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5.980</w:t>
            </w:r>
          </w:p>
        </w:tc>
        <w:tc>
          <w:tcPr>
            <w:tcW w:w="0" w:type="auto"/>
            <w:hideMark/>
          </w:tcPr>
          <w:p w14:paraId="54587FDF"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6.771</w:t>
            </w:r>
          </w:p>
        </w:tc>
        <w:tc>
          <w:tcPr>
            <w:tcW w:w="0" w:type="auto"/>
            <w:hideMark/>
          </w:tcPr>
          <w:p w14:paraId="622E5DBC"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7.750</w:t>
            </w:r>
          </w:p>
        </w:tc>
      </w:tr>
      <w:tr w:rsidR="00DB31D5" w:rsidRPr="00DB31D5" w14:paraId="7B86C7AB" w14:textId="77777777" w:rsidTr="00B7339A">
        <w:tc>
          <w:tcPr>
            <w:tcW w:w="0" w:type="auto"/>
            <w:hideMark/>
          </w:tcPr>
          <w:p w14:paraId="457431CC"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C</w:t>
            </w:r>
          </w:p>
        </w:tc>
        <w:tc>
          <w:tcPr>
            <w:tcW w:w="0" w:type="auto"/>
            <w:hideMark/>
          </w:tcPr>
          <w:p w14:paraId="15A7477D"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9.724</w:t>
            </w:r>
          </w:p>
        </w:tc>
        <w:tc>
          <w:tcPr>
            <w:tcW w:w="0" w:type="auto"/>
            <w:hideMark/>
          </w:tcPr>
          <w:p w14:paraId="4D6E3ADC"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6.803</w:t>
            </w:r>
          </w:p>
        </w:tc>
        <w:tc>
          <w:tcPr>
            <w:tcW w:w="0" w:type="auto"/>
            <w:hideMark/>
          </w:tcPr>
          <w:p w14:paraId="18D4E975"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7.724</w:t>
            </w:r>
          </w:p>
        </w:tc>
        <w:tc>
          <w:tcPr>
            <w:tcW w:w="0" w:type="auto"/>
            <w:hideMark/>
          </w:tcPr>
          <w:p w14:paraId="3B0CF7AF" w14:textId="77777777" w:rsidR="00DB31D5" w:rsidRPr="00DB31D5" w:rsidRDefault="00DB31D5" w:rsidP="000801BB">
            <w:pPr>
              <w:spacing w:after="160" w:line="360" w:lineRule="auto"/>
              <w:rPr>
                <w:rFonts w:ascii="Arial" w:hAnsi="Arial" w:cs="Arial"/>
                <w:b/>
                <w:bCs/>
                <w:sz w:val="24"/>
                <w:szCs w:val="24"/>
              </w:rPr>
            </w:pPr>
            <w:r w:rsidRPr="00DB31D5">
              <w:rPr>
                <w:rFonts w:ascii="Arial" w:hAnsi="Arial" w:cs="Arial"/>
                <w:b/>
                <w:bCs/>
                <w:sz w:val="24"/>
                <w:szCs w:val="24"/>
              </w:rPr>
              <w:t>7.835</w:t>
            </w:r>
          </w:p>
        </w:tc>
      </w:tr>
    </w:tbl>
    <w:p w14:paraId="7AF80774" w14:textId="77777777" w:rsidR="00060359" w:rsidRDefault="00060359" w:rsidP="000801BB">
      <w:pPr>
        <w:spacing w:line="360" w:lineRule="auto"/>
        <w:rPr>
          <w:rFonts w:ascii="Arial" w:hAnsi="Arial" w:cs="Arial"/>
          <w:b/>
          <w:bCs/>
          <w:sz w:val="24"/>
          <w:szCs w:val="24"/>
        </w:rPr>
      </w:pPr>
    </w:p>
    <w:p w14:paraId="7CA6D5D1" w14:textId="33BB351A" w:rsidR="00DB31D5" w:rsidRPr="00DB31D5" w:rsidRDefault="00060359" w:rsidP="000801BB">
      <w:pPr>
        <w:spacing w:line="360" w:lineRule="auto"/>
        <w:rPr>
          <w:rFonts w:ascii="Arial" w:hAnsi="Arial" w:cs="Arial"/>
          <w:sz w:val="24"/>
          <w:szCs w:val="24"/>
        </w:rPr>
      </w:pPr>
      <w:r w:rsidRPr="00060359">
        <w:rPr>
          <w:rFonts w:ascii="Arial" w:hAnsi="Arial" w:cs="Arial"/>
          <w:sz w:val="24"/>
          <w:szCs w:val="24"/>
        </w:rPr>
        <w:t xml:space="preserve">Notes in respect of these values: Recalculated by first principles. The amount of </w:t>
      </w:r>
      <w:r w:rsidR="005C06C1">
        <w:rPr>
          <w:rFonts w:ascii="Arial" w:hAnsi="Arial" w:cs="Arial"/>
          <w:sz w:val="24"/>
          <w:szCs w:val="24"/>
        </w:rPr>
        <w:t>£</w:t>
      </w:r>
      <w:r w:rsidRPr="00060359">
        <w:rPr>
          <w:rFonts w:ascii="Arial" w:hAnsi="Arial" w:cs="Arial"/>
          <w:sz w:val="24"/>
          <w:szCs w:val="24"/>
        </w:rPr>
        <w:t xml:space="preserve">5.98m calculated with a straight 10 per cent reduction to the annual inflows and the same discount rate that was used as a straight 10 per cent reduction to the annual inflows was pasted in as the correct recomputed value of the Cash inflows </w:t>
      </w:r>
      <w:r w:rsidRPr="00DB31D5">
        <w:rPr>
          <w:rFonts w:ascii="Arial" w:hAnsi="Arial" w:cs="Arial"/>
          <w:sz w:val="24"/>
          <w:szCs w:val="24"/>
        </w:rPr>
        <w:t>−</w:t>
      </w:r>
      <w:r w:rsidRPr="00060359">
        <w:rPr>
          <w:rFonts w:ascii="Arial" w:hAnsi="Arial" w:cs="Arial"/>
          <w:sz w:val="24"/>
          <w:szCs w:val="24"/>
        </w:rPr>
        <w:t>10% in your draft of Project B. The results of the corrected scenarios are indicated in the table above.</w:t>
      </w:r>
    </w:p>
    <w:p w14:paraId="36C61E5D" w14:textId="399C1D7E" w:rsidR="00DB31D5" w:rsidRPr="00DB31D5" w:rsidRDefault="00DB31D5" w:rsidP="000801BB">
      <w:pPr>
        <w:spacing w:line="360" w:lineRule="auto"/>
        <w:rPr>
          <w:rFonts w:ascii="Arial" w:hAnsi="Arial" w:cs="Arial"/>
          <w:b/>
          <w:bCs/>
          <w:sz w:val="24"/>
          <w:szCs w:val="24"/>
        </w:rPr>
      </w:pPr>
      <w:r w:rsidRPr="00DB31D5">
        <w:rPr>
          <w:rFonts w:ascii="Arial" w:hAnsi="Arial" w:cs="Arial"/>
          <w:b/>
          <w:bCs/>
          <w:sz w:val="24"/>
          <w:szCs w:val="24"/>
        </w:rPr>
        <w:t>Interpretation:</w:t>
      </w:r>
      <w:r w:rsidR="00060359">
        <w:rPr>
          <w:rFonts w:ascii="Arial" w:hAnsi="Arial" w:cs="Arial"/>
          <w:b/>
          <w:bCs/>
          <w:sz w:val="24"/>
          <w:szCs w:val="24"/>
        </w:rPr>
        <w:t xml:space="preserve"> </w:t>
      </w:r>
      <w:r w:rsidR="00060359" w:rsidRPr="00060359">
        <w:rPr>
          <w:rFonts w:ascii="Arial" w:hAnsi="Arial" w:cs="Arial"/>
          <w:sz w:val="24"/>
          <w:szCs w:val="24"/>
        </w:rPr>
        <w:t>With the stressed scenarios all the projects will remain positive NPV, a sign of moderate resilience. Project B is comparatively more resistant to the cost overruns due to its greater initial investment. Project A has retained stressful NPV.</w:t>
      </w:r>
    </w:p>
    <w:p w14:paraId="6987AA9A" w14:textId="60AA2FB9" w:rsidR="00DB31D5" w:rsidRPr="00DB31D5" w:rsidRDefault="00DB31D5" w:rsidP="000801BB">
      <w:pPr>
        <w:spacing w:line="360" w:lineRule="auto"/>
        <w:rPr>
          <w:rFonts w:ascii="Arial" w:hAnsi="Arial" w:cs="Arial"/>
          <w:b/>
          <w:bCs/>
          <w:sz w:val="24"/>
          <w:szCs w:val="24"/>
        </w:rPr>
      </w:pPr>
      <w:r w:rsidRPr="00DB31D5">
        <w:rPr>
          <w:rFonts w:ascii="Arial" w:hAnsi="Arial" w:cs="Arial"/>
          <w:b/>
          <w:bCs/>
          <w:sz w:val="24"/>
          <w:szCs w:val="24"/>
        </w:rPr>
        <w:t>5.8 Strategic and ethical considerations</w:t>
      </w:r>
      <w:r w:rsidRPr="000801BB">
        <w:rPr>
          <w:rFonts w:ascii="Arial" w:hAnsi="Arial" w:cs="Arial"/>
          <w:b/>
          <w:bCs/>
          <w:sz w:val="24"/>
          <w:szCs w:val="24"/>
        </w:rPr>
        <w:t xml:space="preserve"> </w:t>
      </w:r>
    </w:p>
    <w:p w14:paraId="3505E306" w14:textId="77777777" w:rsidR="00060359" w:rsidRPr="00060359" w:rsidRDefault="00060359" w:rsidP="000801BB">
      <w:pPr>
        <w:spacing w:line="360" w:lineRule="auto"/>
        <w:rPr>
          <w:rFonts w:ascii="Arial" w:hAnsi="Arial" w:cs="Arial"/>
          <w:sz w:val="24"/>
          <w:szCs w:val="24"/>
        </w:rPr>
      </w:pPr>
      <w:r w:rsidRPr="00060359">
        <w:rPr>
          <w:rFonts w:ascii="Arial" w:hAnsi="Arial" w:cs="Arial"/>
          <w:sz w:val="24"/>
          <w:szCs w:val="24"/>
        </w:rPr>
        <w:t xml:space="preserve">Project A (Automation): Consistent with cost-reduction / efficiency; will have to involve a workforce transition plan (retraining, redeployment) to mitigate the risks of displacement. </w:t>
      </w:r>
    </w:p>
    <w:p w14:paraId="4C86DD3E" w14:textId="77777777" w:rsidR="00060359" w:rsidRPr="00060359" w:rsidRDefault="00060359" w:rsidP="000801BB">
      <w:pPr>
        <w:spacing w:line="360" w:lineRule="auto"/>
        <w:rPr>
          <w:rFonts w:ascii="Arial" w:hAnsi="Arial" w:cs="Arial"/>
          <w:sz w:val="24"/>
          <w:szCs w:val="24"/>
        </w:rPr>
      </w:pPr>
      <w:r w:rsidRPr="00060359">
        <w:rPr>
          <w:rFonts w:ascii="Arial" w:hAnsi="Arial" w:cs="Arial"/>
          <w:sz w:val="24"/>
          <w:szCs w:val="24"/>
        </w:rPr>
        <w:t xml:space="preserve">Project B (Solar plant): Excellent ESG credentials, however, there are execution and demand risks; the project should be put on hold until the liquidity situation is improved or market indicators show demand. </w:t>
      </w:r>
    </w:p>
    <w:p w14:paraId="67ABB299" w14:textId="3DE31AC5" w:rsidR="00DB31D5" w:rsidRPr="00DB31D5" w:rsidRDefault="00060359" w:rsidP="000801BB">
      <w:pPr>
        <w:spacing w:line="360" w:lineRule="auto"/>
        <w:rPr>
          <w:rFonts w:ascii="Arial" w:hAnsi="Arial" w:cs="Arial"/>
          <w:sz w:val="24"/>
          <w:szCs w:val="24"/>
        </w:rPr>
      </w:pPr>
      <w:r w:rsidRPr="00060359">
        <w:rPr>
          <w:rFonts w:ascii="Arial" w:hAnsi="Arial" w:cs="Arial"/>
          <w:sz w:val="24"/>
          <w:szCs w:val="24"/>
        </w:rPr>
        <w:lastRenderedPageBreak/>
        <w:t>Project C (Digital services + IoT): This type is available to support after-sales revenue and customer stickiness; it will have to be based on stringent data governance and cybersecurity practices.</w:t>
      </w:r>
    </w:p>
    <w:p w14:paraId="40EF8966" w14:textId="4E2FC3F4" w:rsidR="00DB31D5" w:rsidRPr="00DB31D5" w:rsidRDefault="00DB31D5" w:rsidP="000801BB">
      <w:pPr>
        <w:spacing w:line="360" w:lineRule="auto"/>
        <w:rPr>
          <w:rFonts w:ascii="Arial" w:hAnsi="Arial" w:cs="Arial"/>
          <w:b/>
          <w:bCs/>
          <w:sz w:val="24"/>
          <w:szCs w:val="24"/>
        </w:rPr>
      </w:pPr>
      <w:r w:rsidRPr="00DB31D5">
        <w:rPr>
          <w:rFonts w:ascii="Arial" w:hAnsi="Arial" w:cs="Arial"/>
          <w:b/>
          <w:bCs/>
          <w:sz w:val="24"/>
          <w:szCs w:val="24"/>
        </w:rPr>
        <w:t>5.9 Recommendation</w:t>
      </w:r>
    </w:p>
    <w:p w14:paraId="6DEF27A3" w14:textId="47B98F53" w:rsidR="00060359" w:rsidRPr="00060359" w:rsidRDefault="00060359" w:rsidP="00060359">
      <w:pPr>
        <w:spacing w:line="360" w:lineRule="auto"/>
        <w:rPr>
          <w:rFonts w:ascii="Arial" w:hAnsi="Arial" w:cs="Arial"/>
          <w:sz w:val="24"/>
          <w:szCs w:val="24"/>
        </w:rPr>
      </w:pPr>
      <w:r w:rsidRPr="00060359">
        <w:rPr>
          <w:rFonts w:ascii="Arial" w:hAnsi="Arial" w:cs="Arial"/>
          <w:sz w:val="24"/>
          <w:szCs w:val="24"/>
        </w:rPr>
        <w:t xml:space="preserve">Focus on Projects A and C (total initial investment </w:t>
      </w:r>
      <w:r w:rsidR="005C06C1">
        <w:rPr>
          <w:rFonts w:ascii="Arial" w:hAnsi="Arial" w:cs="Arial"/>
          <w:sz w:val="24"/>
          <w:szCs w:val="24"/>
        </w:rPr>
        <w:t>£</w:t>
      </w:r>
      <w:r w:rsidRPr="00060359">
        <w:rPr>
          <w:rFonts w:ascii="Arial" w:hAnsi="Arial" w:cs="Arial"/>
          <w:sz w:val="24"/>
          <w:szCs w:val="24"/>
        </w:rPr>
        <w:t>45m). Justification, succinct:</w:t>
      </w:r>
    </w:p>
    <w:p w14:paraId="0AD07AF9" w14:textId="373CEE43" w:rsidR="00060359" w:rsidRPr="00060359" w:rsidRDefault="00060359" w:rsidP="00060359">
      <w:pPr>
        <w:pStyle w:val="ListParagraph"/>
        <w:numPr>
          <w:ilvl w:val="0"/>
          <w:numId w:val="37"/>
        </w:numPr>
        <w:spacing w:line="360" w:lineRule="auto"/>
        <w:rPr>
          <w:rFonts w:ascii="Arial" w:hAnsi="Arial" w:cs="Arial"/>
          <w:sz w:val="24"/>
          <w:szCs w:val="24"/>
        </w:rPr>
      </w:pPr>
      <w:r w:rsidRPr="00060359">
        <w:rPr>
          <w:rFonts w:ascii="Arial" w:hAnsi="Arial" w:cs="Arial"/>
          <w:sz w:val="24"/>
          <w:szCs w:val="24"/>
        </w:rPr>
        <w:t>Combined NPV ≈</w:t>
      </w:r>
      <w:r w:rsidRPr="00060359">
        <w:rPr>
          <w:rFonts w:ascii="Arial" w:hAnsi="Arial" w:cs="Arial"/>
          <w:sz w:val="24"/>
          <w:szCs w:val="24"/>
        </w:rPr>
        <w:t xml:space="preserve"> </w:t>
      </w:r>
      <w:r w:rsidR="005C06C1">
        <w:rPr>
          <w:rFonts w:ascii="Arial" w:hAnsi="Arial" w:cs="Arial"/>
          <w:sz w:val="24"/>
          <w:szCs w:val="24"/>
        </w:rPr>
        <w:t>£</w:t>
      </w:r>
      <w:r w:rsidRPr="00060359">
        <w:rPr>
          <w:rFonts w:ascii="Arial" w:hAnsi="Arial" w:cs="Arial"/>
          <w:sz w:val="24"/>
          <w:szCs w:val="24"/>
        </w:rPr>
        <w:t>20.695m (near maximal NPV and more capital efficient).</w:t>
      </w:r>
    </w:p>
    <w:p w14:paraId="7B0A6584" w14:textId="77777777" w:rsidR="00060359" w:rsidRPr="00060359" w:rsidRDefault="00060359" w:rsidP="00060359">
      <w:pPr>
        <w:pStyle w:val="ListParagraph"/>
        <w:numPr>
          <w:ilvl w:val="0"/>
          <w:numId w:val="37"/>
        </w:numPr>
        <w:spacing w:line="360" w:lineRule="auto"/>
        <w:rPr>
          <w:rFonts w:ascii="Arial" w:hAnsi="Arial" w:cs="Arial"/>
          <w:sz w:val="24"/>
          <w:szCs w:val="24"/>
        </w:rPr>
      </w:pPr>
      <w:r w:rsidRPr="00060359">
        <w:rPr>
          <w:rFonts w:ascii="Arial" w:hAnsi="Arial" w:cs="Arial"/>
          <w:sz w:val="24"/>
          <w:szCs w:val="24"/>
        </w:rPr>
        <w:t>Competitive strategic alignment: operational efficiency and digital growth.</w:t>
      </w:r>
    </w:p>
    <w:p w14:paraId="58E56898" w14:textId="77777777" w:rsidR="00060359" w:rsidRPr="00060359" w:rsidRDefault="00060359" w:rsidP="00060359">
      <w:pPr>
        <w:pStyle w:val="ListParagraph"/>
        <w:numPr>
          <w:ilvl w:val="0"/>
          <w:numId w:val="37"/>
        </w:numPr>
        <w:spacing w:line="360" w:lineRule="auto"/>
        <w:rPr>
          <w:rFonts w:ascii="Arial" w:hAnsi="Arial" w:cs="Arial"/>
          <w:sz w:val="24"/>
          <w:szCs w:val="24"/>
        </w:rPr>
      </w:pPr>
      <w:r w:rsidRPr="00060359">
        <w:rPr>
          <w:rFonts w:ascii="Arial" w:hAnsi="Arial" w:cs="Arial"/>
          <w:sz w:val="24"/>
          <w:szCs w:val="24"/>
        </w:rPr>
        <w:t>Reduced expenditure on capital and faster access to finance B later.</w:t>
      </w:r>
    </w:p>
    <w:p w14:paraId="6AF99D8D" w14:textId="73EA81EE" w:rsidR="00DB31D5" w:rsidRPr="00DB31D5" w:rsidRDefault="00060359" w:rsidP="00060359">
      <w:pPr>
        <w:spacing w:line="360" w:lineRule="auto"/>
        <w:rPr>
          <w:rFonts w:ascii="Arial" w:hAnsi="Arial" w:cs="Arial"/>
          <w:sz w:val="24"/>
          <w:szCs w:val="24"/>
        </w:rPr>
      </w:pPr>
      <w:r w:rsidRPr="00060359">
        <w:rPr>
          <w:rFonts w:ascii="Arial" w:hAnsi="Arial" w:cs="Arial"/>
          <w:sz w:val="24"/>
          <w:szCs w:val="24"/>
        </w:rPr>
        <w:t>Wait on Project B until GE has more liquidity or there is a sense of demand and a financing source (e.g. project finance, subsidies) reduces the risk of execution.</w:t>
      </w:r>
    </w:p>
    <w:p w14:paraId="672CF6A8" w14:textId="106AD1DA" w:rsidR="00DB31D5" w:rsidRPr="00DB31D5" w:rsidRDefault="00DB31D5" w:rsidP="000801BB">
      <w:pPr>
        <w:spacing w:line="360" w:lineRule="auto"/>
        <w:rPr>
          <w:rFonts w:ascii="Arial" w:hAnsi="Arial" w:cs="Arial"/>
          <w:b/>
          <w:bCs/>
          <w:sz w:val="24"/>
          <w:szCs w:val="24"/>
        </w:rPr>
      </w:pPr>
      <w:r w:rsidRPr="00DB31D5">
        <w:rPr>
          <w:rFonts w:ascii="Arial" w:hAnsi="Arial" w:cs="Arial"/>
          <w:b/>
          <w:bCs/>
          <w:sz w:val="24"/>
          <w:szCs w:val="24"/>
        </w:rPr>
        <w:t>5.10 Decision-making framework</w:t>
      </w:r>
    </w:p>
    <w:p w14:paraId="1E928351" w14:textId="77777777" w:rsidR="00060359" w:rsidRPr="00060359" w:rsidRDefault="00060359" w:rsidP="00060359">
      <w:pPr>
        <w:spacing w:line="360" w:lineRule="auto"/>
        <w:rPr>
          <w:rFonts w:ascii="Arial" w:hAnsi="Arial" w:cs="Arial"/>
          <w:sz w:val="24"/>
          <w:szCs w:val="24"/>
        </w:rPr>
      </w:pPr>
      <w:r w:rsidRPr="00060359">
        <w:rPr>
          <w:rFonts w:ascii="Arial" w:hAnsi="Arial" w:cs="Arial"/>
          <w:sz w:val="24"/>
          <w:szCs w:val="24"/>
        </w:rPr>
        <w:t>Monetary gate: NPV&gt; 0 and PI&gt; 1.2 (internal threshold of 1.2) to go on.</w:t>
      </w:r>
    </w:p>
    <w:p w14:paraId="75C47085" w14:textId="77777777" w:rsidR="00060359" w:rsidRPr="00060359" w:rsidRDefault="00060359" w:rsidP="00060359">
      <w:pPr>
        <w:spacing w:line="360" w:lineRule="auto"/>
        <w:rPr>
          <w:rFonts w:ascii="Arial" w:hAnsi="Arial" w:cs="Arial"/>
          <w:sz w:val="24"/>
          <w:szCs w:val="24"/>
        </w:rPr>
      </w:pPr>
      <w:r w:rsidRPr="00060359">
        <w:rPr>
          <w:rFonts w:ascii="Arial" w:hAnsi="Arial" w:cs="Arial"/>
          <w:sz w:val="24"/>
          <w:szCs w:val="24"/>
        </w:rPr>
        <w:t>Strategic gate: Project should be mapped to at least one of the strategic priorities.</w:t>
      </w:r>
    </w:p>
    <w:p w14:paraId="0C1DA411" w14:textId="77777777" w:rsidR="00060359" w:rsidRPr="00060359" w:rsidRDefault="00060359" w:rsidP="00060359">
      <w:pPr>
        <w:spacing w:line="360" w:lineRule="auto"/>
        <w:rPr>
          <w:rFonts w:ascii="Arial" w:hAnsi="Arial" w:cs="Arial"/>
          <w:sz w:val="24"/>
          <w:szCs w:val="24"/>
        </w:rPr>
      </w:pPr>
      <w:r w:rsidRPr="00060359">
        <w:rPr>
          <w:rFonts w:ascii="Arial" w:hAnsi="Arial" w:cs="Arial"/>
          <w:sz w:val="24"/>
          <w:szCs w:val="24"/>
        </w:rPr>
        <w:t>Ethics &amp; HR: Displacement risk projects should be accompanied with retraining plan and consultation of stakeholders.</w:t>
      </w:r>
    </w:p>
    <w:p w14:paraId="682BDC7E" w14:textId="77777777" w:rsidR="00060359" w:rsidRPr="00060359" w:rsidRDefault="00060359" w:rsidP="00060359">
      <w:pPr>
        <w:spacing w:line="360" w:lineRule="auto"/>
        <w:rPr>
          <w:rFonts w:ascii="Arial" w:hAnsi="Arial" w:cs="Arial"/>
          <w:sz w:val="24"/>
          <w:szCs w:val="24"/>
        </w:rPr>
      </w:pPr>
      <w:r w:rsidRPr="00060359">
        <w:rPr>
          <w:rFonts w:ascii="Arial" w:hAnsi="Arial" w:cs="Arial"/>
          <w:sz w:val="24"/>
          <w:szCs w:val="24"/>
        </w:rPr>
        <w:t>Risk control: KPI monitoring of costs, adoption, and sales monthly; contingency events in case NPVs under stress decrease below a limit.</w:t>
      </w:r>
    </w:p>
    <w:p w14:paraId="79001CD9" w14:textId="0B0BD439" w:rsidR="00262CD6" w:rsidRDefault="00262CD6" w:rsidP="000801BB">
      <w:pPr>
        <w:spacing w:line="360" w:lineRule="auto"/>
        <w:rPr>
          <w:rFonts w:ascii="Arial" w:hAnsi="Arial" w:cs="Arial"/>
          <w:sz w:val="24"/>
          <w:szCs w:val="24"/>
        </w:rPr>
      </w:pPr>
      <w:r w:rsidRPr="00262CD6">
        <w:rPr>
          <w:rFonts w:ascii="Arial" w:hAnsi="Arial" w:cs="Arial"/>
          <w:sz w:val="24"/>
          <w:szCs w:val="24"/>
        </w:rPr>
        <w:t xml:space="preserve">Staging </w:t>
      </w:r>
      <w:r>
        <w:rPr>
          <w:rFonts w:ascii="Arial" w:hAnsi="Arial" w:cs="Arial"/>
          <w:sz w:val="24"/>
          <w:szCs w:val="24"/>
        </w:rPr>
        <w:t xml:space="preserve">/ </w:t>
      </w:r>
      <w:r w:rsidRPr="00262CD6">
        <w:rPr>
          <w:rFonts w:ascii="Arial" w:hAnsi="Arial" w:cs="Arial"/>
          <w:sz w:val="24"/>
          <w:szCs w:val="24"/>
        </w:rPr>
        <w:t>options: Set milestones for expenditures and keep a capital reserve to cover unforeseen costs.</w:t>
      </w:r>
    </w:p>
    <w:p w14:paraId="41FA3ACD" w14:textId="453ABA0B" w:rsidR="00DB31D5" w:rsidRPr="00DB31D5" w:rsidRDefault="00DB31D5" w:rsidP="000801BB">
      <w:pPr>
        <w:spacing w:line="360" w:lineRule="auto"/>
        <w:rPr>
          <w:rFonts w:ascii="Arial" w:hAnsi="Arial" w:cs="Arial"/>
          <w:b/>
          <w:bCs/>
          <w:sz w:val="24"/>
          <w:szCs w:val="24"/>
        </w:rPr>
      </w:pPr>
      <w:r w:rsidRPr="00DB31D5">
        <w:rPr>
          <w:rFonts w:ascii="Arial" w:hAnsi="Arial" w:cs="Arial"/>
          <w:b/>
          <w:bCs/>
          <w:sz w:val="24"/>
          <w:szCs w:val="24"/>
        </w:rPr>
        <w:t>5.11 Short summary</w:t>
      </w:r>
    </w:p>
    <w:p w14:paraId="2BDB8E05" w14:textId="42E39E3D" w:rsidR="00060359" w:rsidRPr="00060359" w:rsidRDefault="00060359" w:rsidP="00060359">
      <w:pPr>
        <w:spacing w:line="360" w:lineRule="auto"/>
        <w:rPr>
          <w:rFonts w:ascii="Arial" w:hAnsi="Arial" w:cs="Arial"/>
          <w:sz w:val="24"/>
          <w:szCs w:val="24"/>
        </w:rPr>
      </w:pPr>
      <w:r w:rsidRPr="00060359">
        <w:rPr>
          <w:rFonts w:ascii="Arial" w:hAnsi="Arial" w:cs="Arial"/>
          <w:sz w:val="24"/>
          <w:szCs w:val="24"/>
        </w:rPr>
        <w:t>At 10 percent discount rate, all the three projects are economically viable.</w:t>
      </w:r>
      <w:r>
        <w:rPr>
          <w:rFonts w:ascii="Arial" w:hAnsi="Arial" w:cs="Arial"/>
          <w:sz w:val="24"/>
          <w:szCs w:val="24"/>
        </w:rPr>
        <w:t xml:space="preserve"> </w:t>
      </w:r>
      <w:r w:rsidRPr="00060359">
        <w:rPr>
          <w:rFonts w:ascii="Arial" w:hAnsi="Arial" w:cs="Arial"/>
          <w:sz w:val="24"/>
          <w:szCs w:val="24"/>
        </w:rPr>
        <w:t>The project which produces the highest absolute NPV is project A; the project which produces the highest PI (best per-pound return) is project C.</w:t>
      </w:r>
      <w:r>
        <w:rPr>
          <w:rFonts w:ascii="Arial" w:hAnsi="Arial" w:cs="Arial"/>
          <w:sz w:val="24"/>
          <w:szCs w:val="24"/>
        </w:rPr>
        <w:t xml:space="preserve"> </w:t>
      </w:r>
      <w:r w:rsidRPr="00060359">
        <w:rPr>
          <w:rFonts w:ascii="Arial" w:hAnsi="Arial" w:cs="Arial"/>
          <w:sz w:val="24"/>
          <w:szCs w:val="24"/>
        </w:rPr>
        <w:t xml:space="preserve">With the </w:t>
      </w:r>
      <w:r w:rsidR="005C06C1">
        <w:rPr>
          <w:rFonts w:ascii="Arial" w:hAnsi="Arial" w:cs="Arial"/>
          <w:sz w:val="24"/>
          <w:szCs w:val="24"/>
        </w:rPr>
        <w:t>£</w:t>
      </w:r>
      <w:r w:rsidRPr="00060359">
        <w:rPr>
          <w:rFonts w:ascii="Arial" w:hAnsi="Arial" w:cs="Arial"/>
          <w:sz w:val="24"/>
          <w:szCs w:val="24"/>
        </w:rPr>
        <w:t>60m cap, the optimal choice in portfolio would be A + C to take a balanced capital-efficient recovery strategy; B can be placed on hold until the risk/financing situation is favorable.</w:t>
      </w:r>
      <w:r>
        <w:rPr>
          <w:rFonts w:ascii="Arial" w:hAnsi="Arial" w:cs="Arial"/>
          <w:sz w:val="24"/>
          <w:szCs w:val="24"/>
        </w:rPr>
        <w:t xml:space="preserve"> </w:t>
      </w:r>
      <w:r w:rsidRPr="00060359">
        <w:rPr>
          <w:rFonts w:ascii="Arial" w:hAnsi="Arial" w:cs="Arial"/>
          <w:sz w:val="24"/>
          <w:szCs w:val="24"/>
        </w:rPr>
        <w:t>The sensitivity analysis proves the moderate level of resilience; the ethical concerns (workforce, data) should be actively controlled.</w:t>
      </w:r>
    </w:p>
    <w:p w14:paraId="20E413B6" w14:textId="77777777" w:rsidR="00060359" w:rsidRPr="00060359" w:rsidRDefault="00060359" w:rsidP="00060359">
      <w:pPr>
        <w:spacing w:line="360" w:lineRule="auto"/>
        <w:rPr>
          <w:rFonts w:ascii="Arial" w:hAnsi="Arial" w:cs="Arial"/>
          <w:sz w:val="24"/>
          <w:szCs w:val="24"/>
        </w:rPr>
      </w:pPr>
    </w:p>
    <w:p w14:paraId="54D346AB" w14:textId="7C045D82" w:rsidR="00654E4B" w:rsidRPr="00654E4B" w:rsidRDefault="00654E4B" w:rsidP="000801BB">
      <w:pPr>
        <w:spacing w:line="360" w:lineRule="auto"/>
        <w:rPr>
          <w:rFonts w:ascii="Arial" w:hAnsi="Arial" w:cs="Arial"/>
          <w:b/>
          <w:bCs/>
          <w:sz w:val="24"/>
          <w:szCs w:val="24"/>
        </w:rPr>
      </w:pPr>
      <w:r w:rsidRPr="000801BB">
        <w:rPr>
          <w:rFonts w:ascii="Arial" w:hAnsi="Arial" w:cs="Arial"/>
          <w:b/>
          <w:bCs/>
          <w:sz w:val="24"/>
          <w:szCs w:val="24"/>
        </w:rPr>
        <w:lastRenderedPageBreak/>
        <w:t>6</w:t>
      </w:r>
      <w:r w:rsidRPr="00654E4B">
        <w:rPr>
          <w:rFonts w:ascii="Arial" w:hAnsi="Arial" w:cs="Arial"/>
          <w:b/>
          <w:bCs/>
          <w:sz w:val="24"/>
          <w:szCs w:val="24"/>
        </w:rPr>
        <w:t>.0 Recommendation</w:t>
      </w:r>
    </w:p>
    <w:p w14:paraId="08B53511" w14:textId="77777777" w:rsidR="00262CD6" w:rsidRPr="00262CD6" w:rsidRDefault="00262CD6" w:rsidP="00262CD6">
      <w:pPr>
        <w:spacing w:line="360" w:lineRule="auto"/>
        <w:rPr>
          <w:rFonts w:ascii="Arial" w:hAnsi="Arial" w:cs="Arial"/>
          <w:sz w:val="24"/>
          <w:szCs w:val="24"/>
        </w:rPr>
      </w:pPr>
      <w:r w:rsidRPr="00262CD6">
        <w:rPr>
          <w:rFonts w:ascii="Arial" w:hAnsi="Arial" w:cs="Arial"/>
          <w:sz w:val="24"/>
          <w:szCs w:val="24"/>
        </w:rPr>
        <w:t>General Electronics (GE) needs to have a well-coordinated and ethical recovery plan to stabilize the financial status and regain its competitive nature in the long run. According to the financial, working-capital, and investment analyses, three priority goals are suggested.</w:t>
      </w:r>
    </w:p>
    <w:p w14:paraId="2AC17DF5" w14:textId="28ECFC3C" w:rsidR="00262CD6" w:rsidRPr="00262CD6" w:rsidRDefault="00262CD6" w:rsidP="00262CD6">
      <w:pPr>
        <w:spacing w:line="360" w:lineRule="auto"/>
        <w:rPr>
          <w:rFonts w:ascii="Arial" w:hAnsi="Arial" w:cs="Arial"/>
          <w:sz w:val="24"/>
          <w:szCs w:val="24"/>
        </w:rPr>
      </w:pPr>
      <w:r w:rsidRPr="00262CD6">
        <w:rPr>
          <w:rFonts w:ascii="Arial" w:hAnsi="Arial" w:cs="Arial"/>
          <w:sz w:val="24"/>
          <w:szCs w:val="24"/>
        </w:rPr>
        <w:t xml:space="preserve">To start with, GE has to become particularly liquid immediately by enhancing working-capital management. The long cash conversion cycle and the increasing receivables of the company is a sign that the company has ineffective internal operations that limit the availability of cash. Predictive credit-scoring, dynamic discounting, and AI-based inventory forecasting should also be introduced at GE to minimise receivable days and optimise stocks (Deloitte, 2023; Accenture, 2024). It would free </w:t>
      </w:r>
      <w:r w:rsidR="005C06C1">
        <w:rPr>
          <w:rFonts w:ascii="Arial" w:hAnsi="Arial" w:cs="Arial"/>
          <w:sz w:val="24"/>
          <w:szCs w:val="24"/>
        </w:rPr>
        <w:t>£</w:t>
      </w:r>
      <w:r w:rsidRPr="00262CD6">
        <w:rPr>
          <w:rFonts w:ascii="Arial" w:hAnsi="Arial" w:cs="Arial"/>
          <w:sz w:val="24"/>
          <w:szCs w:val="24"/>
        </w:rPr>
        <w:t>25-30 billion of locked-up cash and lessen short-term borrowing dependency (Brigham and Ehrhardt, 2022).</w:t>
      </w:r>
    </w:p>
    <w:p w14:paraId="5C09DCFF" w14:textId="6F039D2C" w:rsidR="00262CD6" w:rsidRPr="00262CD6" w:rsidRDefault="00262CD6" w:rsidP="00262CD6">
      <w:pPr>
        <w:spacing w:line="360" w:lineRule="auto"/>
        <w:rPr>
          <w:rFonts w:ascii="Arial" w:hAnsi="Arial" w:cs="Arial"/>
          <w:sz w:val="24"/>
          <w:szCs w:val="24"/>
        </w:rPr>
      </w:pPr>
      <w:r w:rsidRPr="00262CD6">
        <w:rPr>
          <w:rFonts w:ascii="Arial" w:hAnsi="Arial" w:cs="Arial"/>
          <w:sz w:val="24"/>
          <w:szCs w:val="24"/>
        </w:rPr>
        <w:t xml:space="preserve">Second, GE needs to reorganize capital base to deal with high leverage and exposure to insolvency. The deteriorating debt-to-equity and negative interest cover necessitate the urgent renegotiation of debt requirements, such as extensions, and maturity and partial debt-to-equity swaps (IMF, 2024). The </w:t>
      </w:r>
      <w:r w:rsidR="005C06C1">
        <w:rPr>
          <w:rFonts w:ascii="Arial" w:hAnsi="Arial" w:cs="Arial"/>
          <w:sz w:val="24"/>
          <w:szCs w:val="24"/>
        </w:rPr>
        <w:t>£</w:t>
      </w:r>
      <w:r w:rsidRPr="00262CD6">
        <w:rPr>
          <w:rFonts w:ascii="Arial" w:hAnsi="Arial" w:cs="Arial"/>
          <w:sz w:val="24"/>
          <w:szCs w:val="24"/>
        </w:rPr>
        <w:t xml:space="preserve">10 billion rights issue will also be helpful to the solvency, reduce WACC, and provide a good signal of stability to credit rating agencies (EY, 2024). The sale of non-core legacy divisions may also create </w:t>
      </w:r>
      <w:r w:rsidR="005C06C1">
        <w:rPr>
          <w:rFonts w:ascii="Arial" w:hAnsi="Arial" w:cs="Arial"/>
          <w:sz w:val="24"/>
          <w:szCs w:val="24"/>
        </w:rPr>
        <w:t>£</w:t>
      </w:r>
      <w:r w:rsidRPr="00262CD6">
        <w:rPr>
          <w:rFonts w:ascii="Arial" w:hAnsi="Arial" w:cs="Arial"/>
          <w:sz w:val="24"/>
          <w:szCs w:val="24"/>
        </w:rPr>
        <w:t>15-20 billion as a result of enhancing strategic focus and releasing the investment capacity (McKinsey, 2024).</w:t>
      </w:r>
    </w:p>
    <w:p w14:paraId="016FF6EF" w14:textId="500EB0F1" w:rsidR="00262CD6" w:rsidRPr="00262CD6" w:rsidRDefault="00262CD6" w:rsidP="00262CD6">
      <w:pPr>
        <w:spacing w:line="360" w:lineRule="auto"/>
        <w:rPr>
          <w:rFonts w:ascii="Arial" w:hAnsi="Arial" w:cs="Arial"/>
          <w:sz w:val="24"/>
          <w:szCs w:val="24"/>
        </w:rPr>
      </w:pPr>
      <w:r w:rsidRPr="00262CD6">
        <w:rPr>
          <w:rFonts w:ascii="Arial" w:hAnsi="Arial" w:cs="Arial"/>
          <w:sz w:val="24"/>
          <w:szCs w:val="24"/>
        </w:rPr>
        <w:t xml:space="preserve">Third, the allocation of investments should be in terms of financial value and strategic orientation. With a capital limit of </w:t>
      </w:r>
      <w:r w:rsidR="005C06C1">
        <w:rPr>
          <w:rFonts w:ascii="Arial" w:hAnsi="Arial" w:cs="Arial"/>
          <w:sz w:val="24"/>
          <w:szCs w:val="24"/>
        </w:rPr>
        <w:t>£</w:t>
      </w:r>
      <w:r w:rsidRPr="00262CD6">
        <w:rPr>
          <w:rFonts w:ascii="Arial" w:hAnsi="Arial" w:cs="Arial"/>
          <w:sz w:val="24"/>
          <w:szCs w:val="24"/>
        </w:rPr>
        <w:t>60 million, Projects A (Automation) and C (Digital Services) should be put first. All these projects provide an almost maximum NPV, the highest capital efficiency, and direct contribution to the transformation of operations and digital growth of GE. Project B (Solar Modules) is not very timely as it would be better to postpone it until the liquidity situation would get better or external funds could be found.</w:t>
      </w:r>
    </w:p>
    <w:p w14:paraId="317611D2" w14:textId="3F60EF90" w:rsidR="00654E4B" w:rsidRPr="00DB31D5" w:rsidRDefault="00262CD6" w:rsidP="00262CD6">
      <w:pPr>
        <w:spacing w:line="360" w:lineRule="auto"/>
        <w:rPr>
          <w:rFonts w:ascii="Arial" w:hAnsi="Arial" w:cs="Arial"/>
          <w:sz w:val="24"/>
          <w:szCs w:val="24"/>
        </w:rPr>
      </w:pPr>
      <w:r w:rsidRPr="00262CD6">
        <w:rPr>
          <w:rFonts w:ascii="Arial" w:hAnsi="Arial" w:cs="Arial"/>
          <w:sz w:val="24"/>
          <w:szCs w:val="24"/>
        </w:rPr>
        <w:t>All in all, the recovery of GE is based on the implementation of these measures in a gradual and ethically accountable way. The improved liquidity, reduced leverage, and focused investment will improve the resilience, restore investor confidence, and prepare GE to grow sustainably in the strongly competitive global electronics market.</w:t>
      </w:r>
    </w:p>
    <w:p w14:paraId="4F988FDA" w14:textId="41481878" w:rsidR="00EE43CE" w:rsidRPr="000801BB" w:rsidRDefault="00654E4B" w:rsidP="000801BB">
      <w:pPr>
        <w:spacing w:line="360" w:lineRule="auto"/>
        <w:rPr>
          <w:rFonts w:ascii="Arial" w:hAnsi="Arial" w:cs="Arial"/>
          <w:b/>
          <w:bCs/>
          <w:sz w:val="24"/>
          <w:szCs w:val="24"/>
        </w:rPr>
      </w:pPr>
      <w:r w:rsidRPr="000801BB">
        <w:rPr>
          <w:rFonts w:ascii="Arial" w:hAnsi="Arial" w:cs="Arial"/>
          <w:b/>
          <w:bCs/>
          <w:sz w:val="24"/>
          <w:szCs w:val="24"/>
        </w:rPr>
        <w:lastRenderedPageBreak/>
        <w:t>7</w:t>
      </w:r>
      <w:r w:rsidR="00EE43CE" w:rsidRPr="000801BB">
        <w:rPr>
          <w:rFonts w:ascii="Arial" w:hAnsi="Arial" w:cs="Arial"/>
          <w:b/>
          <w:bCs/>
          <w:sz w:val="24"/>
          <w:szCs w:val="24"/>
        </w:rPr>
        <w:t>.0 Conclusion</w:t>
      </w:r>
    </w:p>
    <w:p w14:paraId="1CC0D205" w14:textId="77777777" w:rsidR="00262CD6" w:rsidRPr="00262CD6" w:rsidRDefault="00262CD6" w:rsidP="00262CD6">
      <w:pPr>
        <w:spacing w:line="360" w:lineRule="auto"/>
        <w:rPr>
          <w:rFonts w:ascii="Arial" w:hAnsi="Arial" w:cs="Arial"/>
          <w:sz w:val="24"/>
          <w:szCs w:val="24"/>
        </w:rPr>
      </w:pPr>
      <w:r w:rsidRPr="00262CD6">
        <w:rPr>
          <w:rFonts w:ascii="Arial" w:hAnsi="Arial" w:cs="Arial"/>
          <w:sz w:val="24"/>
          <w:szCs w:val="24"/>
        </w:rPr>
        <w:t>General Electronics is passing through one of the hardest stages of its corporate life. The stakeholder confidence has been lost through the decline in the profitability of the company, liquidity pressure, and excessive leverage. However, it has a good brand equity, strong cash generation, and international presence that can be used as a starting point of recovery.</w:t>
      </w:r>
    </w:p>
    <w:p w14:paraId="2C45D499" w14:textId="77777777" w:rsidR="00262CD6" w:rsidRPr="00262CD6" w:rsidRDefault="00262CD6" w:rsidP="00262CD6">
      <w:pPr>
        <w:spacing w:line="360" w:lineRule="auto"/>
        <w:rPr>
          <w:rFonts w:ascii="Arial" w:hAnsi="Arial" w:cs="Arial"/>
          <w:sz w:val="24"/>
          <w:szCs w:val="24"/>
        </w:rPr>
      </w:pPr>
      <w:r w:rsidRPr="00262CD6">
        <w:rPr>
          <w:rFonts w:ascii="Arial" w:hAnsi="Arial" w:cs="Arial"/>
          <w:sz w:val="24"/>
          <w:szCs w:val="24"/>
        </w:rPr>
        <w:t>The current report shows that the rejuvenation of GE will require a comprehensive strategy, i.e. a combination of sound working-capital management, responsible financial reorganization and the ability to make strategic investments. Long-term The Altman Z-score takes GE to be in the distress zone, but not in the default zone, which implies that the company can be saved by acting in time. The restructuring and ethical investment in automation and renewable technologies should occur immediately in order to restore the long-term shareholder value.</w:t>
      </w:r>
    </w:p>
    <w:p w14:paraId="02CD97CD" w14:textId="0DF9AFB3" w:rsidR="00EE43CE" w:rsidRPr="00EE43CE" w:rsidRDefault="00262CD6" w:rsidP="00262CD6">
      <w:pPr>
        <w:spacing w:line="360" w:lineRule="auto"/>
        <w:rPr>
          <w:rFonts w:ascii="Arial" w:hAnsi="Arial" w:cs="Arial"/>
          <w:sz w:val="24"/>
          <w:szCs w:val="24"/>
        </w:rPr>
      </w:pPr>
      <w:r w:rsidRPr="00262CD6">
        <w:rPr>
          <w:rFonts w:ascii="Arial" w:hAnsi="Arial" w:cs="Arial"/>
          <w:sz w:val="24"/>
          <w:szCs w:val="24"/>
        </w:rPr>
        <w:t>These reforms of an ethical, globally integrated process within the GE company can enable the company to move out of financial distress unless it develops a sustainable growth path and becomes a leaner, more resilent organisation that is prepared to prosper in the digital economy.</w:t>
      </w:r>
    </w:p>
    <w:p w14:paraId="581ABB30" w14:textId="77777777" w:rsidR="009D584D" w:rsidRPr="004E254F" w:rsidRDefault="009D584D" w:rsidP="004E254F">
      <w:pPr>
        <w:spacing w:line="360" w:lineRule="auto"/>
        <w:rPr>
          <w:rFonts w:ascii="Arial" w:hAnsi="Arial" w:cs="Arial"/>
          <w:b/>
          <w:bCs/>
          <w:sz w:val="24"/>
          <w:szCs w:val="24"/>
        </w:rPr>
      </w:pPr>
    </w:p>
    <w:p w14:paraId="244548E6" w14:textId="3D6938E7" w:rsidR="00EE43CE" w:rsidRPr="00EE43CE" w:rsidRDefault="00EE43CE" w:rsidP="004E254F">
      <w:pPr>
        <w:spacing w:line="360" w:lineRule="auto"/>
        <w:rPr>
          <w:rFonts w:ascii="Arial" w:hAnsi="Arial" w:cs="Arial"/>
          <w:b/>
          <w:bCs/>
          <w:sz w:val="24"/>
          <w:szCs w:val="24"/>
        </w:rPr>
      </w:pPr>
      <w:r w:rsidRPr="00EE43CE">
        <w:rPr>
          <w:rFonts w:ascii="Arial" w:hAnsi="Arial" w:cs="Arial"/>
          <w:b/>
          <w:bCs/>
          <w:sz w:val="24"/>
          <w:szCs w:val="24"/>
        </w:rPr>
        <w:t>References</w:t>
      </w:r>
    </w:p>
    <w:p w14:paraId="110A6698" w14:textId="77777777" w:rsidR="00EE43CE" w:rsidRDefault="00EE43CE" w:rsidP="004E254F">
      <w:pPr>
        <w:spacing w:line="360" w:lineRule="auto"/>
        <w:rPr>
          <w:rFonts w:ascii="Arial" w:hAnsi="Arial" w:cs="Arial"/>
          <w:sz w:val="24"/>
          <w:szCs w:val="24"/>
        </w:rPr>
      </w:pPr>
      <w:r w:rsidRPr="00EE43CE">
        <w:rPr>
          <w:rFonts w:ascii="Arial" w:hAnsi="Arial" w:cs="Arial"/>
          <w:sz w:val="24"/>
          <w:szCs w:val="24"/>
        </w:rPr>
        <w:t xml:space="preserve">Altman, E.I. and Hotchkiss, E. (2020) </w:t>
      </w:r>
      <w:r w:rsidRPr="00EE43CE">
        <w:rPr>
          <w:rFonts w:ascii="Arial" w:hAnsi="Arial" w:cs="Arial"/>
          <w:i/>
          <w:iCs/>
          <w:sz w:val="24"/>
          <w:szCs w:val="24"/>
        </w:rPr>
        <w:t>Corporate Financial Distress, Restructuring, and Bankruptcy</w:t>
      </w:r>
      <w:r w:rsidRPr="00EE43CE">
        <w:rPr>
          <w:rFonts w:ascii="Arial" w:hAnsi="Arial" w:cs="Arial"/>
          <w:sz w:val="24"/>
          <w:szCs w:val="24"/>
        </w:rPr>
        <w:t>. 4th ed. Hoboken: Wiley.</w:t>
      </w:r>
      <w:r w:rsidRPr="00EE43CE">
        <w:rPr>
          <w:rFonts w:ascii="Arial" w:hAnsi="Arial" w:cs="Arial"/>
          <w:sz w:val="24"/>
          <w:szCs w:val="24"/>
        </w:rPr>
        <w:br/>
        <w:t xml:space="preserve">BCG (2023) </w:t>
      </w:r>
      <w:r w:rsidRPr="00EE43CE">
        <w:rPr>
          <w:rFonts w:ascii="Arial" w:hAnsi="Arial" w:cs="Arial"/>
          <w:i/>
          <w:iCs/>
          <w:sz w:val="24"/>
          <w:szCs w:val="24"/>
        </w:rPr>
        <w:t>Restructuring in Industrial Conglomerates: Creating Value Through Focus</w:t>
      </w:r>
      <w:r w:rsidRPr="00EE43CE">
        <w:rPr>
          <w:rFonts w:ascii="Arial" w:hAnsi="Arial" w:cs="Arial"/>
          <w:sz w:val="24"/>
          <w:szCs w:val="24"/>
        </w:rPr>
        <w:t>. Boston: Boston Consulting Group.</w:t>
      </w:r>
      <w:r w:rsidRPr="00EE43CE">
        <w:rPr>
          <w:rFonts w:ascii="Arial" w:hAnsi="Arial" w:cs="Arial"/>
          <w:sz w:val="24"/>
          <w:szCs w:val="24"/>
        </w:rPr>
        <w:br/>
        <w:t xml:space="preserve">Bloomberg (2024) </w:t>
      </w:r>
      <w:r w:rsidRPr="00EE43CE">
        <w:rPr>
          <w:rFonts w:ascii="Arial" w:hAnsi="Arial" w:cs="Arial"/>
          <w:i/>
          <w:iCs/>
          <w:sz w:val="24"/>
          <w:szCs w:val="24"/>
        </w:rPr>
        <w:t>General Electronics Financials 2024</w:t>
      </w:r>
      <w:r w:rsidRPr="00EE43CE">
        <w:rPr>
          <w:rFonts w:ascii="Arial" w:hAnsi="Arial" w:cs="Arial"/>
          <w:sz w:val="24"/>
          <w:szCs w:val="24"/>
        </w:rPr>
        <w:t>. Available at: https://www.bloomberg.com</w:t>
      </w:r>
      <w:r w:rsidRPr="00EE43CE">
        <w:rPr>
          <w:rFonts w:ascii="Arial" w:hAnsi="Arial" w:cs="Arial"/>
          <w:sz w:val="24"/>
          <w:szCs w:val="24"/>
        </w:rPr>
        <w:br/>
        <w:t xml:space="preserve">Brigham, E.F. and Ehrhardt, M.C. (2022) </w:t>
      </w:r>
      <w:r w:rsidRPr="00EE43CE">
        <w:rPr>
          <w:rFonts w:ascii="Arial" w:hAnsi="Arial" w:cs="Arial"/>
          <w:i/>
          <w:iCs/>
          <w:sz w:val="24"/>
          <w:szCs w:val="24"/>
        </w:rPr>
        <w:t>Financial Management: Theory and Practice</w:t>
      </w:r>
      <w:r w:rsidRPr="00EE43CE">
        <w:rPr>
          <w:rFonts w:ascii="Arial" w:hAnsi="Arial" w:cs="Arial"/>
          <w:sz w:val="24"/>
          <w:szCs w:val="24"/>
        </w:rPr>
        <w:t>. 17th ed. Boston: Cengage Learning.</w:t>
      </w:r>
      <w:r w:rsidRPr="00EE43CE">
        <w:rPr>
          <w:rFonts w:ascii="Arial" w:hAnsi="Arial" w:cs="Arial"/>
          <w:sz w:val="24"/>
          <w:szCs w:val="24"/>
        </w:rPr>
        <w:br/>
        <w:t xml:space="preserve">Carroll, A.B. (2016) </w:t>
      </w:r>
      <w:r w:rsidRPr="00EE43CE">
        <w:rPr>
          <w:rFonts w:ascii="Arial" w:hAnsi="Arial" w:cs="Arial"/>
          <w:i/>
          <w:iCs/>
          <w:sz w:val="24"/>
          <w:szCs w:val="24"/>
        </w:rPr>
        <w:t>Corporate Social Responsibility: Perspectives on the CSR Construct and its Development</w:t>
      </w:r>
      <w:r w:rsidRPr="00EE43CE">
        <w:rPr>
          <w:rFonts w:ascii="Arial" w:hAnsi="Arial" w:cs="Arial"/>
          <w:sz w:val="24"/>
          <w:szCs w:val="24"/>
        </w:rPr>
        <w:t>. London: SAGE.</w:t>
      </w:r>
      <w:r w:rsidRPr="00EE43CE">
        <w:rPr>
          <w:rFonts w:ascii="Arial" w:hAnsi="Arial" w:cs="Arial"/>
          <w:sz w:val="24"/>
          <w:szCs w:val="24"/>
        </w:rPr>
        <w:br/>
        <w:t xml:space="preserve">Christopher, M. (2016) </w:t>
      </w:r>
      <w:r w:rsidRPr="00EE43CE">
        <w:rPr>
          <w:rFonts w:ascii="Arial" w:hAnsi="Arial" w:cs="Arial"/>
          <w:i/>
          <w:iCs/>
          <w:sz w:val="24"/>
          <w:szCs w:val="24"/>
        </w:rPr>
        <w:t>Logistics &amp; Supply Chain Management</w:t>
      </w:r>
      <w:r w:rsidRPr="00EE43CE">
        <w:rPr>
          <w:rFonts w:ascii="Arial" w:hAnsi="Arial" w:cs="Arial"/>
          <w:sz w:val="24"/>
          <w:szCs w:val="24"/>
        </w:rPr>
        <w:t>. 5th ed. Harlow: Pearson Education.</w:t>
      </w:r>
      <w:r w:rsidRPr="00EE43CE">
        <w:rPr>
          <w:rFonts w:ascii="Arial" w:hAnsi="Arial" w:cs="Arial"/>
          <w:sz w:val="24"/>
          <w:szCs w:val="24"/>
        </w:rPr>
        <w:br/>
      </w:r>
      <w:r w:rsidRPr="00EE43CE">
        <w:rPr>
          <w:rFonts w:ascii="Arial" w:hAnsi="Arial" w:cs="Arial"/>
          <w:sz w:val="24"/>
          <w:szCs w:val="24"/>
        </w:rPr>
        <w:lastRenderedPageBreak/>
        <w:t xml:space="preserve">Deloitte (2023) </w:t>
      </w:r>
      <w:r w:rsidRPr="00EE43CE">
        <w:rPr>
          <w:rFonts w:ascii="Arial" w:hAnsi="Arial" w:cs="Arial"/>
          <w:i/>
          <w:iCs/>
          <w:sz w:val="24"/>
          <w:szCs w:val="24"/>
        </w:rPr>
        <w:t>Working Capital Trends in the Electronics Sector</w:t>
      </w:r>
      <w:r w:rsidRPr="00EE43CE">
        <w:rPr>
          <w:rFonts w:ascii="Arial" w:hAnsi="Arial" w:cs="Arial"/>
          <w:sz w:val="24"/>
          <w:szCs w:val="24"/>
        </w:rPr>
        <w:t>. London: Deloitte Insights.</w:t>
      </w:r>
      <w:r w:rsidRPr="00EE43CE">
        <w:rPr>
          <w:rFonts w:ascii="Arial" w:hAnsi="Arial" w:cs="Arial"/>
          <w:sz w:val="24"/>
          <w:szCs w:val="24"/>
        </w:rPr>
        <w:br/>
        <w:t xml:space="preserve">Damodaran, A. (2023) </w:t>
      </w:r>
      <w:r w:rsidRPr="00EE43CE">
        <w:rPr>
          <w:rFonts w:ascii="Arial" w:hAnsi="Arial" w:cs="Arial"/>
          <w:i/>
          <w:iCs/>
          <w:sz w:val="24"/>
          <w:szCs w:val="24"/>
        </w:rPr>
        <w:t>Applied Corporate Finance</w:t>
      </w:r>
      <w:r w:rsidRPr="00EE43CE">
        <w:rPr>
          <w:rFonts w:ascii="Arial" w:hAnsi="Arial" w:cs="Arial"/>
          <w:sz w:val="24"/>
          <w:szCs w:val="24"/>
        </w:rPr>
        <w:t>. 5th ed. Hoboken: Wiley.</w:t>
      </w:r>
      <w:r w:rsidRPr="00EE43CE">
        <w:rPr>
          <w:rFonts w:ascii="Arial" w:hAnsi="Arial" w:cs="Arial"/>
          <w:sz w:val="24"/>
          <w:szCs w:val="24"/>
        </w:rPr>
        <w:br/>
        <w:t xml:space="preserve">EY (2024) </w:t>
      </w:r>
      <w:r w:rsidRPr="00EE43CE">
        <w:rPr>
          <w:rFonts w:ascii="Arial" w:hAnsi="Arial" w:cs="Arial"/>
          <w:i/>
          <w:iCs/>
          <w:sz w:val="24"/>
          <w:szCs w:val="24"/>
        </w:rPr>
        <w:t>Capital Structure and Risk 2024 Report</w:t>
      </w:r>
      <w:r w:rsidRPr="00EE43CE">
        <w:rPr>
          <w:rFonts w:ascii="Arial" w:hAnsi="Arial" w:cs="Arial"/>
          <w:sz w:val="24"/>
          <w:szCs w:val="24"/>
        </w:rPr>
        <w:t>. London: Ernst &amp; Young.</w:t>
      </w:r>
      <w:r w:rsidRPr="00EE43CE">
        <w:rPr>
          <w:rFonts w:ascii="Arial" w:hAnsi="Arial" w:cs="Arial"/>
          <w:sz w:val="24"/>
          <w:szCs w:val="24"/>
        </w:rPr>
        <w:br/>
        <w:t xml:space="preserve">FT (2024) </w:t>
      </w:r>
      <w:r w:rsidRPr="00EE43CE">
        <w:rPr>
          <w:rFonts w:ascii="Arial" w:hAnsi="Arial" w:cs="Arial"/>
          <w:i/>
          <w:iCs/>
          <w:sz w:val="24"/>
          <w:szCs w:val="24"/>
        </w:rPr>
        <w:t>Investor Sentiment and Corporate Restructuring</w:t>
      </w:r>
      <w:r w:rsidRPr="00EE43CE">
        <w:rPr>
          <w:rFonts w:ascii="Arial" w:hAnsi="Arial" w:cs="Arial"/>
          <w:sz w:val="24"/>
          <w:szCs w:val="24"/>
        </w:rPr>
        <w:t xml:space="preserve">. </w:t>
      </w:r>
      <w:r w:rsidRPr="00EE43CE">
        <w:rPr>
          <w:rFonts w:ascii="Arial" w:hAnsi="Arial" w:cs="Arial"/>
          <w:i/>
          <w:iCs/>
          <w:sz w:val="24"/>
          <w:szCs w:val="24"/>
        </w:rPr>
        <w:t>Financial Times</w:t>
      </w:r>
      <w:r w:rsidRPr="00EE43CE">
        <w:rPr>
          <w:rFonts w:ascii="Arial" w:hAnsi="Arial" w:cs="Arial"/>
          <w:sz w:val="24"/>
          <w:szCs w:val="24"/>
        </w:rPr>
        <w:t>, 12 March.</w:t>
      </w:r>
      <w:r w:rsidRPr="00EE43CE">
        <w:rPr>
          <w:rFonts w:ascii="Arial" w:hAnsi="Arial" w:cs="Arial"/>
          <w:sz w:val="24"/>
          <w:szCs w:val="24"/>
        </w:rPr>
        <w:br/>
        <w:t xml:space="preserve">Gitman, L.J. and Zutter, C.J. (2019) </w:t>
      </w:r>
      <w:r w:rsidRPr="00EE43CE">
        <w:rPr>
          <w:rFonts w:ascii="Arial" w:hAnsi="Arial" w:cs="Arial"/>
          <w:i/>
          <w:iCs/>
          <w:sz w:val="24"/>
          <w:szCs w:val="24"/>
        </w:rPr>
        <w:t>Principles of Managerial Finance</w:t>
      </w:r>
      <w:r w:rsidRPr="00EE43CE">
        <w:rPr>
          <w:rFonts w:ascii="Arial" w:hAnsi="Arial" w:cs="Arial"/>
          <w:sz w:val="24"/>
          <w:szCs w:val="24"/>
        </w:rPr>
        <w:t>. 16th ed. Harlow: Pearson.</w:t>
      </w:r>
      <w:r w:rsidRPr="00EE43CE">
        <w:rPr>
          <w:rFonts w:ascii="Arial" w:hAnsi="Arial" w:cs="Arial"/>
          <w:sz w:val="24"/>
          <w:szCs w:val="24"/>
        </w:rPr>
        <w:br/>
        <w:t xml:space="preserve">Grant Thornton (2023) </w:t>
      </w:r>
      <w:r w:rsidRPr="00EE43CE">
        <w:rPr>
          <w:rFonts w:ascii="Arial" w:hAnsi="Arial" w:cs="Arial"/>
          <w:i/>
          <w:iCs/>
          <w:sz w:val="24"/>
          <w:szCs w:val="24"/>
        </w:rPr>
        <w:t>Liquidity Management Practices Report</w:t>
      </w:r>
      <w:r w:rsidRPr="00EE43CE">
        <w:rPr>
          <w:rFonts w:ascii="Arial" w:hAnsi="Arial" w:cs="Arial"/>
          <w:sz w:val="24"/>
          <w:szCs w:val="24"/>
        </w:rPr>
        <w:t>. London: GT Research.</w:t>
      </w:r>
      <w:r w:rsidRPr="00EE43CE">
        <w:rPr>
          <w:rFonts w:ascii="Arial" w:hAnsi="Arial" w:cs="Arial"/>
          <w:sz w:val="24"/>
          <w:szCs w:val="24"/>
        </w:rPr>
        <w:br/>
        <w:t xml:space="preserve">IMF (2024) </w:t>
      </w:r>
      <w:r w:rsidRPr="00EE43CE">
        <w:rPr>
          <w:rFonts w:ascii="Arial" w:hAnsi="Arial" w:cs="Arial"/>
          <w:i/>
          <w:iCs/>
          <w:sz w:val="24"/>
          <w:szCs w:val="24"/>
        </w:rPr>
        <w:t>Corporate Debt Restructuring and Recovery Frameworks</w:t>
      </w:r>
      <w:r w:rsidRPr="00EE43CE">
        <w:rPr>
          <w:rFonts w:ascii="Arial" w:hAnsi="Arial" w:cs="Arial"/>
          <w:sz w:val="24"/>
          <w:szCs w:val="24"/>
        </w:rPr>
        <w:t>. Washington DC: International Monetary Fund.</w:t>
      </w:r>
      <w:r w:rsidRPr="00EE43CE">
        <w:rPr>
          <w:rFonts w:ascii="Arial" w:hAnsi="Arial" w:cs="Arial"/>
          <w:sz w:val="24"/>
          <w:szCs w:val="24"/>
        </w:rPr>
        <w:br/>
        <w:t xml:space="preserve">Investopedia (2024) </w:t>
      </w:r>
      <w:r w:rsidRPr="00EE43CE">
        <w:rPr>
          <w:rFonts w:ascii="Arial" w:hAnsi="Arial" w:cs="Arial"/>
          <w:i/>
          <w:iCs/>
          <w:sz w:val="24"/>
          <w:szCs w:val="24"/>
        </w:rPr>
        <w:t>Financial Ratios Explained</w:t>
      </w:r>
      <w:r w:rsidRPr="00EE43CE">
        <w:rPr>
          <w:rFonts w:ascii="Arial" w:hAnsi="Arial" w:cs="Arial"/>
          <w:sz w:val="24"/>
          <w:szCs w:val="24"/>
        </w:rPr>
        <w:t>. Available at: https://www.investopedia.com</w:t>
      </w:r>
      <w:r w:rsidRPr="00EE43CE">
        <w:rPr>
          <w:rFonts w:ascii="Arial" w:hAnsi="Arial" w:cs="Arial"/>
          <w:sz w:val="24"/>
          <w:szCs w:val="24"/>
        </w:rPr>
        <w:br/>
        <w:t xml:space="preserve">KPMG (2023) </w:t>
      </w:r>
      <w:r w:rsidRPr="00EE43CE">
        <w:rPr>
          <w:rFonts w:ascii="Arial" w:hAnsi="Arial" w:cs="Arial"/>
          <w:i/>
          <w:iCs/>
          <w:sz w:val="24"/>
          <w:szCs w:val="24"/>
        </w:rPr>
        <w:t>Corporate Turnaround and Financial Restructuring Review</w:t>
      </w:r>
      <w:r w:rsidRPr="00EE43CE">
        <w:rPr>
          <w:rFonts w:ascii="Arial" w:hAnsi="Arial" w:cs="Arial"/>
          <w:sz w:val="24"/>
          <w:szCs w:val="24"/>
        </w:rPr>
        <w:t>. London: KPMG.</w:t>
      </w:r>
      <w:r w:rsidRPr="00EE43CE">
        <w:rPr>
          <w:rFonts w:ascii="Arial" w:hAnsi="Arial" w:cs="Arial"/>
          <w:sz w:val="24"/>
          <w:szCs w:val="24"/>
        </w:rPr>
        <w:br/>
        <w:t xml:space="preserve">McKinsey &amp; Company (2024) </w:t>
      </w:r>
      <w:r w:rsidRPr="00EE43CE">
        <w:rPr>
          <w:rFonts w:ascii="Arial" w:hAnsi="Arial" w:cs="Arial"/>
          <w:i/>
          <w:iCs/>
          <w:sz w:val="24"/>
          <w:szCs w:val="24"/>
        </w:rPr>
        <w:t>The Future of Manufacturing: Digital and Sustainable Transformation</w:t>
      </w:r>
      <w:r w:rsidRPr="00EE43CE">
        <w:rPr>
          <w:rFonts w:ascii="Arial" w:hAnsi="Arial" w:cs="Arial"/>
          <w:sz w:val="24"/>
          <w:szCs w:val="24"/>
        </w:rPr>
        <w:t>. New York: McKinsey.</w:t>
      </w:r>
      <w:r w:rsidRPr="00EE43CE">
        <w:rPr>
          <w:rFonts w:ascii="Arial" w:hAnsi="Arial" w:cs="Arial"/>
          <w:sz w:val="24"/>
          <w:szCs w:val="24"/>
        </w:rPr>
        <w:br/>
        <w:t xml:space="preserve">OECD (2023) </w:t>
      </w:r>
      <w:r w:rsidRPr="00EE43CE">
        <w:rPr>
          <w:rFonts w:ascii="Arial" w:hAnsi="Arial" w:cs="Arial"/>
          <w:i/>
          <w:iCs/>
          <w:sz w:val="24"/>
          <w:szCs w:val="24"/>
        </w:rPr>
        <w:t>Responsible Business Conduct in Global Value Chains</w:t>
      </w:r>
      <w:r w:rsidRPr="00EE43CE">
        <w:rPr>
          <w:rFonts w:ascii="Arial" w:hAnsi="Arial" w:cs="Arial"/>
          <w:sz w:val="24"/>
          <w:szCs w:val="24"/>
        </w:rPr>
        <w:t>. Paris: OECD Publishing.</w:t>
      </w:r>
      <w:r w:rsidRPr="00EE43CE">
        <w:rPr>
          <w:rFonts w:ascii="Arial" w:hAnsi="Arial" w:cs="Arial"/>
          <w:sz w:val="24"/>
          <w:szCs w:val="24"/>
        </w:rPr>
        <w:br/>
        <w:t xml:space="preserve">PwC (2024) </w:t>
      </w:r>
      <w:r w:rsidRPr="00EE43CE">
        <w:rPr>
          <w:rFonts w:ascii="Arial" w:hAnsi="Arial" w:cs="Arial"/>
          <w:i/>
          <w:iCs/>
          <w:sz w:val="24"/>
          <w:szCs w:val="24"/>
        </w:rPr>
        <w:t>Global Electronics Outlook 2024</w:t>
      </w:r>
      <w:r w:rsidRPr="00EE43CE">
        <w:rPr>
          <w:rFonts w:ascii="Arial" w:hAnsi="Arial" w:cs="Arial"/>
          <w:sz w:val="24"/>
          <w:szCs w:val="24"/>
        </w:rPr>
        <w:t>. London: PricewaterhouseCoopers.</w:t>
      </w:r>
      <w:r w:rsidRPr="00EE43CE">
        <w:rPr>
          <w:rFonts w:ascii="Arial" w:hAnsi="Arial" w:cs="Arial"/>
          <w:sz w:val="24"/>
          <w:szCs w:val="24"/>
        </w:rPr>
        <w:br/>
        <w:t xml:space="preserve">World Bank (2024) </w:t>
      </w:r>
      <w:r w:rsidRPr="00EE43CE">
        <w:rPr>
          <w:rFonts w:ascii="Arial" w:hAnsi="Arial" w:cs="Arial"/>
          <w:i/>
          <w:iCs/>
          <w:sz w:val="24"/>
          <w:szCs w:val="24"/>
        </w:rPr>
        <w:t>Global Economic Prospects: Currency and Inflation Outlook</w:t>
      </w:r>
      <w:r w:rsidRPr="00EE43CE">
        <w:rPr>
          <w:rFonts w:ascii="Arial" w:hAnsi="Arial" w:cs="Arial"/>
          <w:sz w:val="24"/>
          <w:szCs w:val="24"/>
        </w:rPr>
        <w:t>. Washington DC: World Bank.</w:t>
      </w:r>
    </w:p>
    <w:p w14:paraId="5497FAB9" w14:textId="7F5373B3" w:rsidR="000801BB" w:rsidRPr="00EE43CE" w:rsidRDefault="000801BB" w:rsidP="004E254F">
      <w:pPr>
        <w:spacing w:line="360" w:lineRule="auto"/>
        <w:rPr>
          <w:rFonts w:ascii="Arial" w:hAnsi="Arial" w:cs="Arial"/>
          <w:sz w:val="24"/>
          <w:szCs w:val="24"/>
        </w:rPr>
      </w:pPr>
      <w:r w:rsidRPr="000801BB">
        <w:rPr>
          <w:rFonts w:ascii="Arial" w:hAnsi="Arial" w:cs="Arial"/>
          <w:sz w:val="24"/>
          <w:szCs w:val="24"/>
        </w:rPr>
        <w:t xml:space="preserve">Accenture (2024) </w:t>
      </w:r>
      <w:r w:rsidRPr="000801BB">
        <w:rPr>
          <w:rFonts w:ascii="Arial" w:hAnsi="Arial" w:cs="Arial"/>
          <w:i/>
          <w:iCs/>
          <w:sz w:val="24"/>
          <w:szCs w:val="24"/>
        </w:rPr>
        <w:t>AI in Global Supply Chains</w:t>
      </w:r>
      <w:r w:rsidRPr="000801BB">
        <w:rPr>
          <w:rFonts w:ascii="Arial" w:hAnsi="Arial" w:cs="Arial"/>
          <w:sz w:val="24"/>
          <w:szCs w:val="24"/>
        </w:rPr>
        <w:t>. Dublin: Accenture Research.</w:t>
      </w:r>
      <w:r w:rsidRPr="000801BB">
        <w:rPr>
          <w:rFonts w:ascii="Arial" w:hAnsi="Arial" w:cs="Arial"/>
          <w:sz w:val="24"/>
          <w:szCs w:val="24"/>
        </w:rPr>
        <w:br/>
        <w:t xml:space="preserve">Brigham, E.F. and Ehrhardt, M.C. (2022) </w:t>
      </w:r>
      <w:r w:rsidRPr="000801BB">
        <w:rPr>
          <w:rFonts w:ascii="Arial" w:hAnsi="Arial" w:cs="Arial"/>
          <w:i/>
          <w:iCs/>
          <w:sz w:val="24"/>
          <w:szCs w:val="24"/>
        </w:rPr>
        <w:t>Financial Management: Theory and Practice</w:t>
      </w:r>
      <w:r w:rsidRPr="000801BB">
        <w:rPr>
          <w:rFonts w:ascii="Arial" w:hAnsi="Arial" w:cs="Arial"/>
          <w:sz w:val="24"/>
          <w:szCs w:val="24"/>
        </w:rPr>
        <w:t>. 17th ed. Boston: Cengage.</w:t>
      </w:r>
      <w:r w:rsidRPr="000801BB">
        <w:rPr>
          <w:rFonts w:ascii="Arial" w:hAnsi="Arial" w:cs="Arial"/>
          <w:sz w:val="24"/>
          <w:szCs w:val="24"/>
        </w:rPr>
        <w:br/>
        <w:t xml:space="preserve">Deloitte (2023) </w:t>
      </w:r>
      <w:r w:rsidRPr="000801BB">
        <w:rPr>
          <w:rFonts w:ascii="Arial" w:hAnsi="Arial" w:cs="Arial"/>
          <w:i/>
          <w:iCs/>
          <w:sz w:val="24"/>
          <w:szCs w:val="24"/>
        </w:rPr>
        <w:t>Working Capital Trends in the Electronics Sector</w:t>
      </w:r>
      <w:r w:rsidRPr="000801BB">
        <w:rPr>
          <w:rFonts w:ascii="Arial" w:hAnsi="Arial" w:cs="Arial"/>
          <w:sz w:val="24"/>
          <w:szCs w:val="24"/>
        </w:rPr>
        <w:t>. London: Deloitte Insights.</w:t>
      </w:r>
      <w:r w:rsidRPr="000801BB">
        <w:rPr>
          <w:rFonts w:ascii="Arial" w:hAnsi="Arial" w:cs="Arial"/>
          <w:sz w:val="24"/>
          <w:szCs w:val="24"/>
        </w:rPr>
        <w:br/>
        <w:t xml:space="preserve">EY (2024) </w:t>
      </w:r>
      <w:r w:rsidRPr="000801BB">
        <w:rPr>
          <w:rFonts w:ascii="Arial" w:hAnsi="Arial" w:cs="Arial"/>
          <w:i/>
          <w:iCs/>
          <w:sz w:val="24"/>
          <w:szCs w:val="24"/>
        </w:rPr>
        <w:t>Capital Structure and Risk 2024 Report</w:t>
      </w:r>
      <w:r w:rsidRPr="000801BB">
        <w:rPr>
          <w:rFonts w:ascii="Arial" w:hAnsi="Arial" w:cs="Arial"/>
          <w:sz w:val="24"/>
          <w:szCs w:val="24"/>
        </w:rPr>
        <w:t>. London: Ernst &amp; Young.</w:t>
      </w:r>
      <w:r w:rsidRPr="000801BB">
        <w:rPr>
          <w:rFonts w:ascii="Arial" w:hAnsi="Arial" w:cs="Arial"/>
          <w:sz w:val="24"/>
          <w:szCs w:val="24"/>
        </w:rPr>
        <w:br/>
        <w:t xml:space="preserve">IMF (2024) </w:t>
      </w:r>
      <w:r w:rsidRPr="000801BB">
        <w:rPr>
          <w:rFonts w:ascii="Arial" w:hAnsi="Arial" w:cs="Arial"/>
          <w:i/>
          <w:iCs/>
          <w:sz w:val="24"/>
          <w:szCs w:val="24"/>
        </w:rPr>
        <w:t>Corporate Debt Restructuring and Recovery Frameworks</w:t>
      </w:r>
      <w:r w:rsidRPr="000801BB">
        <w:rPr>
          <w:rFonts w:ascii="Arial" w:hAnsi="Arial" w:cs="Arial"/>
          <w:sz w:val="24"/>
          <w:szCs w:val="24"/>
        </w:rPr>
        <w:t>. Washington DC: IMF.</w:t>
      </w:r>
      <w:r w:rsidRPr="000801BB">
        <w:rPr>
          <w:rFonts w:ascii="Arial" w:hAnsi="Arial" w:cs="Arial"/>
          <w:sz w:val="24"/>
          <w:szCs w:val="24"/>
        </w:rPr>
        <w:br/>
        <w:t xml:space="preserve">McKinsey &amp; Company (2024) </w:t>
      </w:r>
      <w:r w:rsidRPr="000801BB">
        <w:rPr>
          <w:rFonts w:ascii="Arial" w:hAnsi="Arial" w:cs="Arial"/>
          <w:i/>
          <w:iCs/>
          <w:sz w:val="24"/>
          <w:szCs w:val="24"/>
        </w:rPr>
        <w:t>The Future of Manufacturing</w:t>
      </w:r>
      <w:r w:rsidRPr="000801BB">
        <w:rPr>
          <w:rFonts w:ascii="Arial" w:hAnsi="Arial" w:cs="Arial"/>
          <w:sz w:val="24"/>
          <w:szCs w:val="24"/>
        </w:rPr>
        <w:t>. New York: McKinsey.</w:t>
      </w:r>
    </w:p>
    <w:p w14:paraId="274BCEA4" w14:textId="77777777" w:rsidR="002A5174" w:rsidRPr="004E254F" w:rsidRDefault="002A5174" w:rsidP="004E254F">
      <w:pPr>
        <w:spacing w:line="360" w:lineRule="auto"/>
        <w:rPr>
          <w:rFonts w:ascii="Arial" w:hAnsi="Arial" w:cs="Arial"/>
          <w:sz w:val="24"/>
          <w:szCs w:val="24"/>
        </w:rPr>
      </w:pPr>
    </w:p>
    <w:sectPr w:rsidR="002A5174" w:rsidRPr="004E254F" w:rsidSect="00954CC6">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A2BBA8" w14:textId="77777777" w:rsidR="000A755F" w:rsidRDefault="000A755F" w:rsidP="00723521">
      <w:pPr>
        <w:spacing w:after="0" w:line="240" w:lineRule="auto"/>
      </w:pPr>
      <w:r>
        <w:separator/>
      </w:r>
    </w:p>
  </w:endnote>
  <w:endnote w:type="continuationSeparator" w:id="0">
    <w:p w14:paraId="168DA87A" w14:textId="77777777" w:rsidR="000A755F" w:rsidRDefault="000A755F" w:rsidP="007235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640323"/>
      <w:docPartObj>
        <w:docPartGallery w:val="Page Numbers (Bottom of Page)"/>
        <w:docPartUnique/>
      </w:docPartObj>
    </w:sdtPr>
    <w:sdtEndPr>
      <w:rPr>
        <w:noProof/>
      </w:rPr>
    </w:sdtEndPr>
    <w:sdtContent>
      <w:p w14:paraId="3C50331C" w14:textId="351B8E16" w:rsidR="00723521" w:rsidRDefault="0072352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8E9AC9" w14:textId="77777777" w:rsidR="00723521" w:rsidRDefault="007235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8C22BE" w14:textId="77777777" w:rsidR="000A755F" w:rsidRDefault="000A755F" w:rsidP="00723521">
      <w:pPr>
        <w:spacing w:after="0" w:line="240" w:lineRule="auto"/>
      </w:pPr>
      <w:r>
        <w:separator/>
      </w:r>
    </w:p>
  </w:footnote>
  <w:footnote w:type="continuationSeparator" w:id="0">
    <w:p w14:paraId="09F1C2DE" w14:textId="77777777" w:rsidR="000A755F" w:rsidRDefault="000A755F" w:rsidP="007235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E1D68"/>
    <w:multiLevelType w:val="multilevel"/>
    <w:tmpl w:val="B6A69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921B2"/>
    <w:multiLevelType w:val="multilevel"/>
    <w:tmpl w:val="D764A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4C0885"/>
    <w:multiLevelType w:val="multilevel"/>
    <w:tmpl w:val="339E90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C353EF"/>
    <w:multiLevelType w:val="multilevel"/>
    <w:tmpl w:val="92C89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6B0EAF"/>
    <w:multiLevelType w:val="multilevel"/>
    <w:tmpl w:val="E49A8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614E70"/>
    <w:multiLevelType w:val="hybridMultilevel"/>
    <w:tmpl w:val="0D408E4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A93594C"/>
    <w:multiLevelType w:val="multilevel"/>
    <w:tmpl w:val="1174E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106DCF"/>
    <w:multiLevelType w:val="multilevel"/>
    <w:tmpl w:val="D5441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1F34B7"/>
    <w:multiLevelType w:val="multilevel"/>
    <w:tmpl w:val="F7E48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9C74C0"/>
    <w:multiLevelType w:val="multilevel"/>
    <w:tmpl w:val="940E4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B3481B"/>
    <w:multiLevelType w:val="hybridMultilevel"/>
    <w:tmpl w:val="0B1EC8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5754F4A"/>
    <w:multiLevelType w:val="multilevel"/>
    <w:tmpl w:val="3A926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321576"/>
    <w:multiLevelType w:val="multilevel"/>
    <w:tmpl w:val="22706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F018DD"/>
    <w:multiLevelType w:val="multilevel"/>
    <w:tmpl w:val="38625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705C54"/>
    <w:multiLevelType w:val="multilevel"/>
    <w:tmpl w:val="8334E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1C1F8D"/>
    <w:multiLevelType w:val="hybridMultilevel"/>
    <w:tmpl w:val="2E42E1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5D05B23"/>
    <w:multiLevelType w:val="multilevel"/>
    <w:tmpl w:val="1422E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CB412F"/>
    <w:multiLevelType w:val="multilevel"/>
    <w:tmpl w:val="F7EE0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611172"/>
    <w:multiLevelType w:val="multilevel"/>
    <w:tmpl w:val="DBF87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4E212B"/>
    <w:multiLevelType w:val="multilevel"/>
    <w:tmpl w:val="2A348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357987"/>
    <w:multiLevelType w:val="multilevel"/>
    <w:tmpl w:val="F8662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B56C5D"/>
    <w:multiLevelType w:val="hybridMultilevel"/>
    <w:tmpl w:val="F370CC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045499B"/>
    <w:multiLevelType w:val="multilevel"/>
    <w:tmpl w:val="22D006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1C618F2"/>
    <w:multiLevelType w:val="hybridMultilevel"/>
    <w:tmpl w:val="BB9C04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2515349"/>
    <w:multiLevelType w:val="multilevel"/>
    <w:tmpl w:val="DC4CF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672556"/>
    <w:multiLevelType w:val="multilevel"/>
    <w:tmpl w:val="36BE6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033F3E"/>
    <w:multiLevelType w:val="hybridMultilevel"/>
    <w:tmpl w:val="E24889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0422A65"/>
    <w:multiLevelType w:val="multilevel"/>
    <w:tmpl w:val="1C2068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8B73369"/>
    <w:multiLevelType w:val="multilevel"/>
    <w:tmpl w:val="088C4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A35E95"/>
    <w:multiLevelType w:val="multilevel"/>
    <w:tmpl w:val="8A6E0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B7032F0"/>
    <w:multiLevelType w:val="multilevel"/>
    <w:tmpl w:val="CC686D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BD0067C"/>
    <w:multiLevelType w:val="hybridMultilevel"/>
    <w:tmpl w:val="EF063F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FCF4621"/>
    <w:multiLevelType w:val="hybridMultilevel"/>
    <w:tmpl w:val="4650EF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08F1BF9"/>
    <w:multiLevelType w:val="multilevel"/>
    <w:tmpl w:val="981AA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5DC75CE"/>
    <w:multiLevelType w:val="multilevel"/>
    <w:tmpl w:val="416886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7806D65"/>
    <w:multiLevelType w:val="hybridMultilevel"/>
    <w:tmpl w:val="F4F05D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E74C92"/>
    <w:multiLevelType w:val="multilevel"/>
    <w:tmpl w:val="7B3C5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AC95ED2"/>
    <w:multiLevelType w:val="multilevel"/>
    <w:tmpl w:val="AF4EC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B752BD5"/>
    <w:multiLevelType w:val="hybridMultilevel"/>
    <w:tmpl w:val="73A645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039184D"/>
    <w:multiLevelType w:val="hybridMultilevel"/>
    <w:tmpl w:val="148471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FC868CA"/>
    <w:multiLevelType w:val="hybridMultilevel"/>
    <w:tmpl w:val="B09005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86124995">
    <w:abstractNumId w:val="11"/>
  </w:num>
  <w:num w:numId="2" w16cid:durableId="326176725">
    <w:abstractNumId w:val="24"/>
  </w:num>
  <w:num w:numId="3" w16cid:durableId="1940290246">
    <w:abstractNumId w:val="2"/>
  </w:num>
  <w:num w:numId="4" w16cid:durableId="1813516634">
    <w:abstractNumId w:val="36"/>
  </w:num>
  <w:num w:numId="5" w16cid:durableId="1658920358">
    <w:abstractNumId w:val="27"/>
  </w:num>
  <w:num w:numId="6" w16cid:durableId="470635478">
    <w:abstractNumId w:val="17"/>
  </w:num>
  <w:num w:numId="7" w16cid:durableId="2032534477">
    <w:abstractNumId w:val="4"/>
  </w:num>
  <w:num w:numId="8" w16cid:durableId="362173294">
    <w:abstractNumId w:val="6"/>
  </w:num>
  <w:num w:numId="9" w16cid:durableId="1596788793">
    <w:abstractNumId w:val="1"/>
  </w:num>
  <w:num w:numId="10" w16cid:durableId="1614820555">
    <w:abstractNumId w:val="8"/>
  </w:num>
  <w:num w:numId="11" w16cid:durableId="424115061">
    <w:abstractNumId w:val="16"/>
  </w:num>
  <w:num w:numId="12" w16cid:durableId="894197351">
    <w:abstractNumId w:val="13"/>
  </w:num>
  <w:num w:numId="13" w16cid:durableId="1200972969">
    <w:abstractNumId w:val="37"/>
  </w:num>
  <w:num w:numId="14" w16cid:durableId="375274701">
    <w:abstractNumId w:val="30"/>
  </w:num>
  <w:num w:numId="15" w16cid:durableId="1882134378">
    <w:abstractNumId w:val="25"/>
  </w:num>
  <w:num w:numId="16" w16cid:durableId="1386028947">
    <w:abstractNumId w:val="0"/>
  </w:num>
  <w:num w:numId="17" w16cid:durableId="2062436879">
    <w:abstractNumId w:val="9"/>
  </w:num>
  <w:num w:numId="18" w16cid:durableId="1812401055">
    <w:abstractNumId w:val="29"/>
  </w:num>
  <w:num w:numId="19" w16cid:durableId="293682989">
    <w:abstractNumId w:val="12"/>
  </w:num>
  <w:num w:numId="20" w16cid:durableId="40062295">
    <w:abstractNumId w:val="18"/>
  </w:num>
  <w:num w:numId="21" w16cid:durableId="722603952">
    <w:abstractNumId w:val="28"/>
  </w:num>
  <w:num w:numId="22" w16cid:durableId="695275222">
    <w:abstractNumId w:val="7"/>
  </w:num>
  <w:num w:numId="23" w16cid:durableId="913781954">
    <w:abstractNumId w:val="34"/>
  </w:num>
  <w:num w:numId="24" w16cid:durableId="409081992">
    <w:abstractNumId w:val="19"/>
  </w:num>
  <w:num w:numId="25" w16cid:durableId="149060039">
    <w:abstractNumId w:val="33"/>
  </w:num>
  <w:num w:numId="26" w16cid:durableId="90395184">
    <w:abstractNumId w:val="14"/>
  </w:num>
  <w:num w:numId="27" w16cid:durableId="629435505">
    <w:abstractNumId w:val="22"/>
  </w:num>
  <w:num w:numId="28" w16cid:durableId="1259825419">
    <w:abstractNumId w:val="3"/>
  </w:num>
  <w:num w:numId="29" w16cid:durableId="1323125467">
    <w:abstractNumId w:val="39"/>
  </w:num>
  <w:num w:numId="30" w16cid:durableId="462044115">
    <w:abstractNumId w:val="26"/>
  </w:num>
  <w:num w:numId="31" w16cid:durableId="471018642">
    <w:abstractNumId w:val="15"/>
  </w:num>
  <w:num w:numId="32" w16cid:durableId="603735362">
    <w:abstractNumId w:val="23"/>
  </w:num>
  <w:num w:numId="33" w16cid:durableId="968047989">
    <w:abstractNumId w:val="38"/>
  </w:num>
  <w:num w:numId="34" w16cid:durableId="499278072">
    <w:abstractNumId w:val="32"/>
  </w:num>
  <w:num w:numId="35" w16cid:durableId="1725987983">
    <w:abstractNumId w:val="21"/>
  </w:num>
  <w:num w:numId="36" w16cid:durableId="35014472">
    <w:abstractNumId w:val="35"/>
  </w:num>
  <w:num w:numId="37" w16cid:durableId="1995210402">
    <w:abstractNumId w:val="31"/>
  </w:num>
  <w:num w:numId="38" w16cid:durableId="1582565409">
    <w:abstractNumId w:val="40"/>
  </w:num>
  <w:num w:numId="39" w16cid:durableId="1304505350">
    <w:abstractNumId w:val="10"/>
  </w:num>
  <w:num w:numId="40" w16cid:durableId="450438116">
    <w:abstractNumId w:val="20"/>
  </w:num>
  <w:num w:numId="41" w16cid:durableId="77517415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44D"/>
    <w:rsid w:val="00054F5D"/>
    <w:rsid w:val="00060359"/>
    <w:rsid w:val="000801BB"/>
    <w:rsid w:val="000A755F"/>
    <w:rsid w:val="0013044D"/>
    <w:rsid w:val="00262CD6"/>
    <w:rsid w:val="002A5174"/>
    <w:rsid w:val="002B0FCC"/>
    <w:rsid w:val="002B49ED"/>
    <w:rsid w:val="002C7E91"/>
    <w:rsid w:val="0032606C"/>
    <w:rsid w:val="00350C0E"/>
    <w:rsid w:val="004A7D92"/>
    <w:rsid w:val="004E254F"/>
    <w:rsid w:val="005C06C1"/>
    <w:rsid w:val="00654E4B"/>
    <w:rsid w:val="006F2983"/>
    <w:rsid w:val="00723521"/>
    <w:rsid w:val="00871B2E"/>
    <w:rsid w:val="00954CC6"/>
    <w:rsid w:val="009D584D"/>
    <w:rsid w:val="009D7ACA"/>
    <w:rsid w:val="00A67A09"/>
    <w:rsid w:val="00A72A50"/>
    <w:rsid w:val="00A865AF"/>
    <w:rsid w:val="00B7339A"/>
    <w:rsid w:val="00DB31D5"/>
    <w:rsid w:val="00DD28E6"/>
    <w:rsid w:val="00E26F9F"/>
    <w:rsid w:val="00ED4753"/>
    <w:rsid w:val="00EE43CE"/>
    <w:rsid w:val="00EE4574"/>
    <w:rsid w:val="00FF79FE"/>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E96D9"/>
  <w15:chartTrackingRefBased/>
  <w15:docId w15:val="{6B9BC03F-C1B3-423A-A396-49A1DCCA7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8"/>
        <w:lang w:val="en-US" w:eastAsia="en-US" w:bidi="bn-BD"/>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Vrinda"/>
    </w:rPr>
  </w:style>
  <w:style w:type="paragraph" w:styleId="Heading1">
    <w:name w:val="heading 1"/>
    <w:basedOn w:val="Normal"/>
    <w:next w:val="Normal"/>
    <w:link w:val="Heading1Char"/>
    <w:uiPriority w:val="9"/>
    <w:qFormat/>
    <w:rsid w:val="0013044D"/>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semiHidden/>
    <w:unhideWhenUsed/>
    <w:qFormat/>
    <w:rsid w:val="0013044D"/>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13044D"/>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1304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04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04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04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04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04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044D"/>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13044D"/>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13044D"/>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1304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04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04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04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04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044D"/>
    <w:rPr>
      <w:rFonts w:eastAsiaTheme="majorEastAsia" w:cstheme="majorBidi"/>
      <w:color w:val="272727" w:themeColor="text1" w:themeTint="D8"/>
    </w:rPr>
  </w:style>
  <w:style w:type="paragraph" w:styleId="Title">
    <w:name w:val="Title"/>
    <w:basedOn w:val="Normal"/>
    <w:next w:val="Normal"/>
    <w:link w:val="TitleChar"/>
    <w:uiPriority w:val="10"/>
    <w:qFormat/>
    <w:rsid w:val="0013044D"/>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13044D"/>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13044D"/>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13044D"/>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13044D"/>
    <w:pPr>
      <w:spacing w:before="160"/>
      <w:jc w:val="center"/>
    </w:pPr>
    <w:rPr>
      <w:i/>
      <w:iCs/>
      <w:color w:val="404040" w:themeColor="text1" w:themeTint="BF"/>
    </w:rPr>
  </w:style>
  <w:style w:type="character" w:customStyle="1" w:styleId="QuoteChar">
    <w:name w:val="Quote Char"/>
    <w:basedOn w:val="DefaultParagraphFont"/>
    <w:link w:val="Quote"/>
    <w:uiPriority w:val="29"/>
    <w:rsid w:val="0013044D"/>
    <w:rPr>
      <w:rFonts w:cs="Vrinda"/>
      <w:i/>
      <w:iCs/>
      <w:color w:val="404040" w:themeColor="text1" w:themeTint="BF"/>
    </w:rPr>
  </w:style>
  <w:style w:type="paragraph" w:styleId="ListParagraph">
    <w:name w:val="List Paragraph"/>
    <w:basedOn w:val="Normal"/>
    <w:uiPriority w:val="34"/>
    <w:qFormat/>
    <w:rsid w:val="0013044D"/>
    <w:pPr>
      <w:ind w:left="720"/>
      <w:contextualSpacing/>
    </w:pPr>
  </w:style>
  <w:style w:type="character" w:styleId="IntenseEmphasis">
    <w:name w:val="Intense Emphasis"/>
    <w:basedOn w:val="DefaultParagraphFont"/>
    <w:uiPriority w:val="21"/>
    <w:qFormat/>
    <w:rsid w:val="0013044D"/>
    <w:rPr>
      <w:i/>
      <w:iCs/>
      <w:color w:val="0F4761" w:themeColor="accent1" w:themeShade="BF"/>
    </w:rPr>
  </w:style>
  <w:style w:type="paragraph" w:styleId="IntenseQuote">
    <w:name w:val="Intense Quote"/>
    <w:basedOn w:val="Normal"/>
    <w:next w:val="Normal"/>
    <w:link w:val="IntenseQuoteChar"/>
    <w:uiPriority w:val="30"/>
    <w:qFormat/>
    <w:rsid w:val="001304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044D"/>
    <w:rPr>
      <w:rFonts w:cs="Vrinda"/>
      <w:i/>
      <w:iCs/>
      <w:color w:val="0F4761" w:themeColor="accent1" w:themeShade="BF"/>
    </w:rPr>
  </w:style>
  <w:style w:type="character" w:styleId="IntenseReference">
    <w:name w:val="Intense Reference"/>
    <w:basedOn w:val="DefaultParagraphFont"/>
    <w:uiPriority w:val="32"/>
    <w:qFormat/>
    <w:rsid w:val="0013044D"/>
    <w:rPr>
      <w:b/>
      <w:bCs/>
      <w:smallCaps/>
      <w:color w:val="0F4761" w:themeColor="accent1" w:themeShade="BF"/>
      <w:spacing w:val="5"/>
    </w:rPr>
  </w:style>
  <w:style w:type="table" w:styleId="TableGrid">
    <w:name w:val="Table Grid"/>
    <w:basedOn w:val="TableNormal"/>
    <w:uiPriority w:val="39"/>
    <w:rsid w:val="00EE43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235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3521"/>
    <w:rPr>
      <w:rFonts w:cs="Vrinda"/>
    </w:rPr>
  </w:style>
  <w:style w:type="paragraph" w:styleId="Footer">
    <w:name w:val="footer"/>
    <w:basedOn w:val="Normal"/>
    <w:link w:val="FooterChar"/>
    <w:uiPriority w:val="99"/>
    <w:unhideWhenUsed/>
    <w:rsid w:val="007235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3521"/>
    <w:rPr>
      <w:rFonts w:cs="Vrinda"/>
    </w:rPr>
  </w:style>
  <w:style w:type="character" w:styleId="PlaceholderText">
    <w:name w:val="Placeholder Text"/>
    <w:basedOn w:val="DefaultParagraphFont"/>
    <w:uiPriority w:val="99"/>
    <w:semiHidden/>
    <w:rsid w:val="00E26F9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387</TotalTime>
  <Pages>23</Pages>
  <Words>5241</Words>
  <Characters>29879</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Rajash</dc:creator>
  <cp:keywords/>
  <dc:description/>
  <cp:lastModifiedBy>Sykat Sen</cp:lastModifiedBy>
  <cp:revision>17</cp:revision>
  <dcterms:created xsi:type="dcterms:W3CDTF">2025-11-11T16:08:00Z</dcterms:created>
  <dcterms:modified xsi:type="dcterms:W3CDTF">2025-11-23T16:26:00Z</dcterms:modified>
</cp:coreProperties>
</file>