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C51F71" w14:textId="176B451F" w:rsidR="00D931E2" w:rsidRPr="00BD57CE" w:rsidRDefault="00D931E2" w:rsidP="00E749B2">
      <w:pPr>
        <w:spacing w:after="0" w:line="240" w:lineRule="auto"/>
        <w:jc w:val="center"/>
        <w:rPr>
          <w:rFonts w:ascii="Bradley Hand ITC" w:hAnsi="Bradley Hand ITC"/>
          <w:b/>
          <w:bCs/>
          <w:sz w:val="56"/>
          <w:szCs w:val="56"/>
          <w:u w:val="single"/>
        </w:rPr>
      </w:pPr>
      <w:r w:rsidRPr="00BD57CE">
        <w:rPr>
          <w:rFonts w:ascii="Bradley Hand ITC" w:hAnsi="Bradley Hand ITC"/>
          <w:b/>
          <w:bCs/>
          <w:sz w:val="56"/>
          <w:szCs w:val="56"/>
          <w:u w:val="single"/>
        </w:rPr>
        <w:t xml:space="preserve">Y </w:t>
      </w:r>
      <w:proofErr w:type="spellStart"/>
      <w:r w:rsidRPr="00BD57CE">
        <w:rPr>
          <w:rFonts w:ascii="Bradley Hand ITC" w:hAnsi="Bradley Hand ITC"/>
          <w:b/>
          <w:bCs/>
          <w:sz w:val="56"/>
          <w:szCs w:val="56"/>
          <w:u w:val="single"/>
        </w:rPr>
        <w:t>Tylwyth</w:t>
      </w:r>
      <w:proofErr w:type="spellEnd"/>
      <w:r w:rsidRPr="00BD57CE">
        <w:rPr>
          <w:rFonts w:ascii="Bradley Hand ITC" w:hAnsi="Bradley Hand ITC"/>
          <w:b/>
          <w:bCs/>
          <w:sz w:val="56"/>
          <w:szCs w:val="56"/>
          <w:u w:val="single"/>
        </w:rPr>
        <w:t xml:space="preserve"> Teg:</w:t>
      </w:r>
    </w:p>
    <w:p w14:paraId="4EB2C4BA" w14:textId="4B42200F" w:rsidR="00D931E2" w:rsidRPr="00BD57CE" w:rsidRDefault="00AF4614" w:rsidP="00BD57CE">
      <w:pPr>
        <w:spacing w:after="0" w:line="240" w:lineRule="auto"/>
        <w:jc w:val="center"/>
        <w:rPr>
          <w:rFonts w:ascii="Bradley Hand ITC" w:hAnsi="Bradley Hand ITC"/>
          <w:b/>
          <w:bCs/>
          <w:sz w:val="56"/>
          <w:szCs w:val="56"/>
          <w:u w:val="single"/>
        </w:rPr>
      </w:pPr>
      <w:r w:rsidRPr="00BD57CE">
        <w:rPr>
          <w:rFonts w:ascii="Bradley Hand ITC" w:hAnsi="Bradley Hand ITC"/>
          <w:noProof/>
        </w:rPr>
        <mc:AlternateContent>
          <mc:Choice Requires="wps">
            <w:drawing>
              <wp:anchor distT="0" distB="0" distL="114300" distR="114300" simplePos="0" relativeHeight="251660288" behindDoc="1" locked="0" layoutInCell="1" allowOverlap="1" wp14:anchorId="4A2B53BF" wp14:editId="4082EA43">
                <wp:simplePos x="0" y="0"/>
                <wp:positionH relativeFrom="margin">
                  <wp:posOffset>1129030</wp:posOffset>
                </wp:positionH>
                <wp:positionV relativeFrom="paragraph">
                  <wp:posOffset>4955540</wp:posOffset>
                </wp:positionV>
                <wp:extent cx="3322320" cy="320040"/>
                <wp:effectExtent l="0" t="0" r="0" b="3810"/>
                <wp:wrapNone/>
                <wp:docPr id="1161697208" name="Text Box 1"/>
                <wp:cNvGraphicFramePr/>
                <a:graphic xmlns:a="http://schemas.openxmlformats.org/drawingml/2006/main">
                  <a:graphicData uri="http://schemas.microsoft.com/office/word/2010/wordprocessingShape">
                    <wps:wsp>
                      <wps:cNvSpPr txBox="1"/>
                      <wps:spPr>
                        <a:xfrm>
                          <a:off x="0" y="0"/>
                          <a:ext cx="3322320" cy="320040"/>
                        </a:xfrm>
                        <a:prstGeom prst="rect">
                          <a:avLst/>
                        </a:prstGeom>
                        <a:solidFill>
                          <a:prstClr val="white"/>
                        </a:solidFill>
                        <a:ln>
                          <a:noFill/>
                        </a:ln>
                      </wps:spPr>
                      <wps:txbx>
                        <w:txbxContent>
                          <w:p w14:paraId="00C71BD2" w14:textId="60983677" w:rsidR="00E749B2" w:rsidRPr="00BD57CE" w:rsidRDefault="00E749B2" w:rsidP="00AF4614">
                            <w:pPr>
                              <w:pStyle w:val="Caption"/>
                              <w:jc w:val="center"/>
                              <w:rPr>
                                <w:rFonts w:ascii="Bradley Hand ITC" w:hAnsi="Bradley Hand ITC"/>
                                <w:noProof/>
                                <w:sz w:val="24"/>
                                <w:szCs w:val="24"/>
                              </w:rPr>
                            </w:pPr>
                            <w:r w:rsidRPr="00BD57CE">
                              <w:rPr>
                                <w:rFonts w:ascii="Bradley Hand ITC" w:hAnsi="Bradley Hand ITC"/>
                                <w:sz w:val="20"/>
                                <w:szCs w:val="20"/>
                              </w:rPr>
                              <w:t xml:space="preserve">Wirt Sike, British Goblins: Welsh Folklore, Fairy Mythology, Legends and Traditions, 1881, First </w:t>
                            </w:r>
                            <w:r w:rsidR="00BD57CE">
                              <w:rPr>
                                <w:rFonts w:ascii="Bradley Hand ITC" w:hAnsi="Bradley Hand ITC"/>
                                <w:sz w:val="20"/>
                                <w:szCs w:val="20"/>
                              </w:rPr>
                              <w:t>US</w:t>
                            </w:r>
                            <w:r w:rsidRPr="00BD57CE">
                              <w:rPr>
                                <w:rFonts w:ascii="Bradley Hand ITC" w:hAnsi="Bradley Hand ITC"/>
                                <w:sz w:val="20"/>
                                <w:szCs w:val="20"/>
                              </w:rPr>
                              <w:t xml:space="preserve"> Edition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2B53BF" id="_x0000_t202" coordsize="21600,21600" o:spt="202" path="m,l,21600r21600,l21600,xe">
                <v:stroke joinstyle="miter"/>
                <v:path gradientshapeok="t" o:connecttype="rect"/>
              </v:shapetype>
              <v:shape id="Text Box 1" o:spid="_x0000_s1026" type="#_x0000_t202" style="position:absolute;left:0;text-align:left;margin-left:88.9pt;margin-top:390.2pt;width:261.6pt;height:25.2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" stroked="f">
                <v:textbox inset="0,0,0,0">
                  <w:txbxContent>
                    <w:p w14:paraId="00C71BD2" w14:textId="60983677" w:rsidR="00E749B2" w:rsidRPr="00BD57CE" w:rsidRDefault="00E749B2" w:rsidP="00AF4614">
                      <w:pPr>
                        <w:pStyle w:val="Caption"/>
                        <w:jc w:val="center"/>
                        <w:rPr>
                          <w:rFonts w:ascii="Bradley Hand ITC" w:hAnsi="Bradley Hand ITC"/>
                          <w:noProof/>
                          <w:sz w:val="24"/>
                          <w:szCs w:val="24"/>
                        </w:rPr>
                      </w:pPr>
                      <w:r w:rsidRPr="00BD57CE">
                        <w:rPr>
                          <w:rFonts w:ascii="Bradley Hand ITC" w:hAnsi="Bradley Hand ITC"/>
                          <w:sz w:val="20"/>
                          <w:szCs w:val="20"/>
                        </w:rPr>
                        <w:t xml:space="preserve">Wirt Sike, British Goblins: Welsh Folklore, Fairy Mythology, Legends and Traditions, 1881, First </w:t>
                      </w:r>
                      <w:r w:rsidR="00BD57CE">
                        <w:rPr>
                          <w:rFonts w:ascii="Bradley Hand ITC" w:hAnsi="Bradley Hand ITC"/>
                          <w:sz w:val="20"/>
                          <w:szCs w:val="20"/>
                        </w:rPr>
                        <w:t>US</w:t>
                      </w:r>
                      <w:r w:rsidRPr="00BD57CE">
                        <w:rPr>
                          <w:rFonts w:ascii="Bradley Hand ITC" w:hAnsi="Bradley Hand ITC"/>
                          <w:sz w:val="20"/>
                          <w:szCs w:val="20"/>
                        </w:rPr>
                        <w:t xml:space="preserve"> Edition</w:t>
                      </w:r>
                    </w:p>
                  </w:txbxContent>
                </v:textbox>
                <w10:wrap anchorx="margin"/>
              </v:shape>
            </w:pict>
          </mc:Fallback>
        </mc:AlternateContent>
      </w:r>
      <w:r w:rsidRPr="00BD57CE">
        <w:rPr>
          <w:rFonts w:ascii="Bradley Hand ITC" w:hAnsi="Bradley Hand ITC"/>
          <w:noProof/>
        </w:rPr>
        <w:drawing>
          <wp:anchor distT="0" distB="0" distL="114300" distR="114300" simplePos="0" relativeHeight="251658240" behindDoc="1" locked="0" layoutInCell="1" allowOverlap="1" wp14:anchorId="1A22611B" wp14:editId="1B847BA4">
            <wp:simplePos x="0" y="0"/>
            <wp:positionH relativeFrom="margin">
              <wp:posOffset>1130300</wp:posOffset>
            </wp:positionH>
            <wp:positionV relativeFrom="paragraph">
              <wp:posOffset>893445</wp:posOffset>
            </wp:positionV>
            <wp:extent cx="3319145" cy="4015105"/>
            <wp:effectExtent l="0" t="0" r="0" b="4445"/>
            <wp:wrapNone/>
            <wp:docPr id="662878511" name="Picture 6" descr="British Goblins: Welsh Folk-lore, Fairy Mythology, Legends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ritish Goblins: Welsh Folk-lore, Fairy Mythology, Legends and ..."/>
                    <pic:cNvPicPr>
                      <a:picLocks noChangeAspect="1" noChangeArrowheads="1"/>
                    </pic:cNvPicPr>
                  </pic:nvPicPr>
                  <pic:blipFill rotWithShape="1">
                    <a:blip r:embed="rId8">
                      <a:extLst>
                        <a:ext uri="{BEBA8EAE-BF5A-486C-A8C5-ECC9F3942E4B}">
                          <a14:imgProps xmlns:a14="http://schemas.microsoft.com/office/drawing/2010/main">
                            <a14:imgLayer r:embed="rId9">
                              <a14:imgEffect>
                                <a14:brightnessContrast bright="20000"/>
                              </a14:imgEffect>
                            </a14:imgLayer>
                          </a14:imgProps>
                        </a:ext>
                        <a:ext uri="{28A0092B-C50C-407E-A947-70E740481C1C}">
                          <a14:useLocalDpi xmlns:a14="http://schemas.microsoft.com/office/drawing/2010/main" val="0"/>
                        </a:ext>
                      </a:extLst>
                    </a:blip>
                    <a:srcRect b="5985"/>
                    <a:stretch/>
                  </pic:blipFill>
                  <pic:spPr bwMode="auto">
                    <a:xfrm>
                      <a:off x="0" y="0"/>
                      <a:ext cx="3319145" cy="40151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931E2" w:rsidRPr="00BD57CE">
        <w:rPr>
          <w:rFonts w:ascii="Bradley Hand ITC" w:hAnsi="Bradley Hand ITC"/>
          <w:b/>
          <w:bCs/>
          <w:sz w:val="56"/>
          <w:szCs w:val="56"/>
          <w:u w:val="single"/>
        </w:rPr>
        <w:t>Their</w:t>
      </w:r>
      <w:r w:rsidR="00156505">
        <w:rPr>
          <w:rFonts w:ascii="Bradley Hand ITC" w:hAnsi="Bradley Hand ITC"/>
          <w:b/>
          <w:bCs/>
          <w:sz w:val="56"/>
          <w:szCs w:val="56"/>
          <w:u w:val="single"/>
        </w:rPr>
        <w:t xml:space="preserve"> </w:t>
      </w:r>
      <w:r w:rsidR="00D931E2" w:rsidRPr="00BD57CE">
        <w:rPr>
          <w:rFonts w:ascii="Bradley Hand ITC" w:hAnsi="Bradley Hand ITC"/>
          <w:b/>
          <w:bCs/>
          <w:sz w:val="56"/>
          <w:szCs w:val="56"/>
          <w:u w:val="single"/>
        </w:rPr>
        <w:t>Representation in Folklore</w:t>
      </w:r>
      <w:r w:rsidR="00BD57CE">
        <w:rPr>
          <w:rFonts w:ascii="Bradley Hand ITC" w:hAnsi="Bradley Hand ITC"/>
          <w:b/>
          <w:bCs/>
          <w:sz w:val="56"/>
          <w:szCs w:val="56"/>
          <w:u w:val="single"/>
        </w:rPr>
        <w:t xml:space="preserve"> </w:t>
      </w:r>
      <w:r>
        <w:rPr>
          <w:rFonts w:ascii="Bradley Hand ITC" w:hAnsi="Bradley Hand ITC"/>
          <w:b/>
          <w:bCs/>
          <w:sz w:val="56"/>
          <w:szCs w:val="56"/>
          <w:u w:val="single"/>
        </w:rPr>
        <w:t>&amp;</w:t>
      </w:r>
      <w:r w:rsidR="002B3752">
        <w:rPr>
          <w:rFonts w:ascii="Bradley Hand ITC" w:hAnsi="Bradley Hand ITC"/>
          <w:b/>
          <w:bCs/>
          <w:sz w:val="56"/>
          <w:szCs w:val="56"/>
          <w:u w:val="single"/>
        </w:rPr>
        <w:t xml:space="preserve"> </w:t>
      </w:r>
      <w:r w:rsidR="00DE5DF0" w:rsidRPr="00BD57CE">
        <w:rPr>
          <w:rFonts w:ascii="Bradley Hand ITC" w:hAnsi="Bradley Hand ITC"/>
          <w:b/>
          <w:bCs/>
          <w:sz w:val="56"/>
          <w:szCs w:val="56"/>
          <w:u w:val="single"/>
        </w:rPr>
        <w:t>Welsh Culture</w:t>
      </w:r>
      <w:r w:rsidR="00D931E2" w:rsidRPr="00BD57CE">
        <w:rPr>
          <w:rFonts w:ascii="Bradley Hand ITC" w:hAnsi="Bradley Hand ITC"/>
          <w:b/>
          <w:bCs/>
          <w:sz w:val="56"/>
          <w:szCs w:val="56"/>
          <w:u w:val="single"/>
        </w:rPr>
        <w:br w:type="page"/>
      </w:r>
    </w:p>
    <w:p w14:paraId="25AECF50" w14:textId="1AE487A6" w:rsidR="0097400A" w:rsidRPr="00BD57CE" w:rsidRDefault="0097400A" w:rsidP="00CC7F77">
      <w:pPr>
        <w:spacing w:after="0" w:line="240" w:lineRule="auto"/>
        <w:ind w:right="-329"/>
        <w:rPr>
          <w:rFonts w:ascii="Bradley Hand ITC" w:hAnsi="Bradley Hand ITC"/>
          <w:b/>
          <w:bCs/>
          <w:sz w:val="56"/>
          <w:szCs w:val="56"/>
          <w:u w:val="single"/>
        </w:rPr>
      </w:pPr>
      <w:r w:rsidRPr="00BD57CE">
        <w:rPr>
          <w:rFonts w:ascii="Bradley Hand ITC" w:hAnsi="Bradley Hand ITC"/>
          <w:b/>
          <w:bCs/>
          <w:sz w:val="56"/>
          <w:szCs w:val="56"/>
          <w:u w:val="single"/>
        </w:rPr>
        <w:lastRenderedPageBreak/>
        <w:t>What is folklore</w:t>
      </w:r>
      <w:r w:rsidR="00F909AE" w:rsidRPr="00BD57CE">
        <w:rPr>
          <w:rFonts w:ascii="Bradley Hand ITC" w:hAnsi="Bradley Hand ITC"/>
          <w:b/>
          <w:bCs/>
          <w:sz w:val="56"/>
          <w:szCs w:val="56"/>
          <w:u w:val="single"/>
        </w:rPr>
        <w:t>?</w:t>
      </w:r>
    </w:p>
    <w:p w14:paraId="3F9A164B" w14:textId="78B69CF8" w:rsidR="009C3F02" w:rsidRPr="00BD57CE" w:rsidRDefault="00AF4614" w:rsidP="00BD57CE">
      <w:pPr>
        <w:spacing w:after="0" w:line="240" w:lineRule="auto"/>
        <w:jc w:val="both"/>
        <w:rPr>
          <w:rFonts w:ascii="Bradley Hand ITC" w:hAnsi="Bradley Hand ITC" w:cs="Amatic SC"/>
          <w:sz w:val="24"/>
          <w:szCs w:val="24"/>
        </w:rPr>
      </w:pPr>
      <w:r w:rsidRPr="00BD57CE">
        <w:rPr>
          <w:rFonts w:ascii="Bradley Hand ITC" w:hAnsi="Bradley Hand ITC"/>
        </w:rPr>
        <w:drawing>
          <wp:anchor distT="0" distB="0" distL="114300" distR="114300" simplePos="0" relativeHeight="251663360" behindDoc="0" locked="0" layoutInCell="1" allowOverlap="1" wp14:anchorId="7A13E7C1" wp14:editId="6675EA26">
            <wp:simplePos x="0" y="0"/>
            <wp:positionH relativeFrom="margin">
              <wp:posOffset>3293745</wp:posOffset>
            </wp:positionH>
            <wp:positionV relativeFrom="paragraph">
              <wp:posOffset>63288</wp:posOffset>
            </wp:positionV>
            <wp:extent cx="2301240" cy="1558925"/>
            <wp:effectExtent l="0" t="0" r="3810" b="3175"/>
            <wp:wrapSquare wrapText="bothSides"/>
            <wp:docPr id="1231113546" name="Picture 1" descr="A drawing of a group of women danc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113546" name="Picture 1" descr="A drawing of a group of women dancing&#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301240" cy="1558925"/>
                    </a:xfrm>
                    <a:prstGeom prst="rect">
                      <a:avLst/>
                    </a:prstGeom>
                  </pic:spPr>
                </pic:pic>
              </a:graphicData>
            </a:graphic>
            <wp14:sizeRelH relativeFrom="margin">
              <wp14:pctWidth>0</wp14:pctWidth>
            </wp14:sizeRelH>
            <wp14:sizeRelV relativeFrom="margin">
              <wp14:pctHeight>0</wp14:pctHeight>
            </wp14:sizeRelV>
          </wp:anchor>
        </w:drawing>
      </w:r>
      <w:r w:rsidRPr="00BD57CE">
        <w:rPr>
          <w:rFonts w:ascii="Bradley Hand ITC" w:hAnsi="Bradley Hand ITC"/>
          <w:noProof/>
          <w:sz w:val="20"/>
          <w:szCs w:val="20"/>
        </w:rPr>
        <mc:AlternateContent>
          <mc:Choice Requires="wps">
            <w:drawing>
              <wp:anchor distT="0" distB="0" distL="114300" distR="114300" simplePos="0" relativeHeight="251666432" behindDoc="0" locked="0" layoutInCell="1" allowOverlap="1" wp14:anchorId="644769EC" wp14:editId="3A21654D">
                <wp:simplePos x="0" y="0"/>
                <wp:positionH relativeFrom="column">
                  <wp:posOffset>3299460</wp:posOffset>
                </wp:positionH>
                <wp:positionV relativeFrom="paragraph">
                  <wp:posOffset>1672378</wp:posOffset>
                </wp:positionV>
                <wp:extent cx="2301240" cy="137160"/>
                <wp:effectExtent l="0" t="0" r="3810" b="0"/>
                <wp:wrapSquare wrapText="bothSides"/>
                <wp:docPr id="1553601452" name="Text Box 1"/>
                <wp:cNvGraphicFramePr/>
                <a:graphic xmlns:a="http://schemas.openxmlformats.org/drawingml/2006/main">
                  <a:graphicData uri="http://schemas.microsoft.com/office/word/2010/wordprocessingShape">
                    <wps:wsp>
                      <wps:cNvSpPr txBox="1"/>
                      <wps:spPr>
                        <a:xfrm>
                          <a:off x="0" y="0"/>
                          <a:ext cx="2301240" cy="137160"/>
                        </a:xfrm>
                        <a:prstGeom prst="rect">
                          <a:avLst/>
                        </a:prstGeom>
                        <a:solidFill>
                          <a:prstClr val="white"/>
                        </a:solidFill>
                        <a:ln>
                          <a:noFill/>
                        </a:ln>
                      </wps:spPr>
                      <wps:txbx>
                        <w:txbxContent>
                          <w:p w14:paraId="51838C5A" w14:textId="18F4692C" w:rsidR="00101DF3" w:rsidRPr="00BD57CE" w:rsidRDefault="00101DF3" w:rsidP="00AF4614">
                            <w:pPr>
                              <w:pStyle w:val="Caption"/>
                              <w:jc w:val="center"/>
                              <w:rPr>
                                <w:rFonts w:ascii="Bradley Hand ITC" w:hAnsi="Bradley Hand ITC"/>
                                <w:sz w:val="22"/>
                                <w:szCs w:val="22"/>
                              </w:rPr>
                            </w:pPr>
                            <w:r w:rsidRPr="00BD57CE">
                              <w:rPr>
                                <w:rFonts w:ascii="Bradley Hand ITC" w:hAnsi="Bradley Hand ITC"/>
                              </w:rPr>
                              <w:t xml:space="preserve">Gan Hugh Evans, Y </w:t>
                            </w:r>
                            <w:proofErr w:type="spellStart"/>
                            <w:r w:rsidRPr="00BD57CE">
                              <w:rPr>
                                <w:rFonts w:ascii="Bradley Hand ITC" w:hAnsi="Bradley Hand ITC"/>
                              </w:rPr>
                              <w:t>Tylwyth</w:t>
                            </w:r>
                            <w:proofErr w:type="spellEnd"/>
                            <w:r w:rsidRPr="00BD57CE">
                              <w:rPr>
                                <w:rFonts w:ascii="Bradley Hand ITC" w:hAnsi="Bradley Hand ITC"/>
                              </w:rPr>
                              <w:t xml:space="preserve"> Teg, 1935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4769EC" id="_x0000_s1027" type="#_x0000_t202" style="position:absolute;left:0;text-align:left;margin-left:259.8pt;margin-top:131.7pt;width:181.2pt;height:10.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" stroked="f">
                <v:textbox inset="0,0,0,0">
                  <w:txbxContent>
                    <w:p w14:paraId="51838C5A" w14:textId="18F4692C" w:rsidR="00101DF3" w:rsidRPr="00BD57CE" w:rsidRDefault="00101DF3" w:rsidP="00AF4614">
                      <w:pPr>
                        <w:pStyle w:val="Caption"/>
                        <w:jc w:val="center"/>
                        <w:rPr>
                          <w:rFonts w:ascii="Bradley Hand ITC" w:hAnsi="Bradley Hand ITC"/>
                          <w:sz w:val="22"/>
                          <w:szCs w:val="22"/>
                        </w:rPr>
                      </w:pPr>
                      <w:r w:rsidRPr="00BD57CE">
                        <w:rPr>
                          <w:rFonts w:ascii="Bradley Hand ITC" w:hAnsi="Bradley Hand ITC"/>
                        </w:rPr>
                        <w:t xml:space="preserve">Gan Hugh Evans, Y </w:t>
                      </w:r>
                      <w:proofErr w:type="spellStart"/>
                      <w:r w:rsidRPr="00BD57CE">
                        <w:rPr>
                          <w:rFonts w:ascii="Bradley Hand ITC" w:hAnsi="Bradley Hand ITC"/>
                        </w:rPr>
                        <w:t>Tylwyth</w:t>
                      </w:r>
                      <w:proofErr w:type="spellEnd"/>
                      <w:r w:rsidRPr="00BD57CE">
                        <w:rPr>
                          <w:rFonts w:ascii="Bradley Hand ITC" w:hAnsi="Bradley Hand ITC"/>
                        </w:rPr>
                        <w:t xml:space="preserve"> Teg, 1935</w:t>
                      </w:r>
                    </w:p>
                  </w:txbxContent>
                </v:textbox>
                <w10:wrap type="square"/>
              </v:shape>
            </w:pict>
          </mc:Fallback>
        </mc:AlternateContent>
      </w:r>
      <w:r w:rsidR="00F909AE" w:rsidRPr="00BD57CE">
        <w:rPr>
          <w:rFonts w:ascii="Bradley Hand ITC" w:hAnsi="Bradley Hand ITC" w:cs="Amatic SC"/>
          <w:sz w:val="24"/>
          <w:szCs w:val="24"/>
        </w:rPr>
        <w:t xml:space="preserve">‘Folk’ is a term used most often to refer to a group of people and their everyday lives who follow a specific set of knowledge or practice, often set in rural traditions. </w:t>
      </w:r>
      <w:r w:rsidR="00490C44" w:rsidRPr="00BD57CE">
        <w:rPr>
          <w:rFonts w:ascii="Bradley Hand ITC" w:hAnsi="Bradley Hand ITC" w:cs="Amatic SC"/>
          <w:sz w:val="24"/>
          <w:szCs w:val="24"/>
        </w:rPr>
        <w:t>‘Lore’ refers to a collection of cultural histories, often expressed in the form of oral traditional storytelling, though written stories also exist. The term ‘folklore’ gained popularity in usage during the nineteenth century</w:t>
      </w:r>
      <w:r w:rsidR="00AD3756" w:rsidRPr="00BD57CE">
        <w:rPr>
          <w:rFonts w:ascii="Bradley Hand ITC" w:hAnsi="Bradley Hand ITC" w:cs="Amatic SC"/>
          <w:sz w:val="24"/>
          <w:szCs w:val="24"/>
        </w:rPr>
        <w:t xml:space="preserve">, and encompassed the history of traditions such as speech, songs, dances, and customs, that were connected by a thread </w:t>
      </w:r>
      <w:r w:rsidR="006928F4" w:rsidRPr="00BD57CE">
        <w:rPr>
          <w:rFonts w:ascii="Bradley Hand ITC" w:hAnsi="Bradley Hand ITC" w:cs="Amatic SC"/>
          <w:sz w:val="24"/>
          <w:szCs w:val="24"/>
        </w:rPr>
        <w:t xml:space="preserve">of common belief between the people in the culture they were connected to. In Medieval Anglo-Saxon manuscripts, the word to describe this was </w:t>
      </w:r>
      <w:proofErr w:type="spellStart"/>
      <w:r w:rsidR="006928F4" w:rsidRPr="00BD57CE">
        <w:rPr>
          <w:rFonts w:ascii="Bradley Hand ITC" w:hAnsi="Bradley Hand ITC" w:cs="Amatic SC"/>
          <w:i/>
          <w:iCs/>
          <w:sz w:val="24"/>
          <w:szCs w:val="24"/>
        </w:rPr>
        <w:t>folcl</w:t>
      </w:r>
      <w:r w:rsidR="008E4B92" w:rsidRPr="00BD57CE">
        <w:rPr>
          <w:rFonts w:ascii="Buxton Sketch" w:hAnsi="Buxton Sketch" w:cs="Cambria"/>
          <w:i/>
          <w:iCs/>
          <w:sz w:val="24"/>
          <w:szCs w:val="24"/>
        </w:rPr>
        <w:t>ā</w:t>
      </w:r>
      <w:r w:rsidR="008E4B92" w:rsidRPr="00BD57CE">
        <w:rPr>
          <w:rFonts w:ascii="Bradley Hand ITC" w:hAnsi="Bradley Hand ITC" w:cs="Amatic SC"/>
          <w:i/>
          <w:iCs/>
          <w:sz w:val="24"/>
          <w:szCs w:val="24"/>
        </w:rPr>
        <w:t>r</w:t>
      </w:r>
      <w:proofErr w:type="spellEnd"/>
      <w:r w:rsidR="008E4B92" w:rsidRPr="00BD57CE">
        <w:rPr>
          <w:rFonts w:ascii="Bradley Hand ITC" w:hAnsi="Bradley Hand ITC" w:cs="Amatic SC"/>
          <w:sz w:val="24"/>
          <w:szCs w:val="24"/>
        </w:rPr>
        <w:t>, wh</w:t>
      </w:r>
      <w:r w:rsidR="00B37135" w:rsidRPr="00BD57CE">
        <w:rPr>
          <w:rFonts w:ascii="Bradley Hand ITC" w:hAnsi="Bradley Hand ITC" w:cs="Amatic SC"/>
          <w:sz w:val="24"/>
          <w:szCs w:val="24"/>
        </w:rPr>
        <w:t>ich</w:t>
      </w:r>
      <w:r w:rsidR="008E4B92" w:rsidRPr="00BD57CE">
        <w:rPr>
          <w:rFonts w:ascii="Bradley Hand ITC" w:hAnsi="Bradley Hand ITC" w:cs="Amatic SC"/>
          <w:sz w:val="24"/>
          <w:szCs w:val="24"/>
        </w:rPr>
        <w:t xml:space="preserve"> literally</w:t>
      </w:r>
      <w:r w:rsidR="00B37135" w:rsidRPr="00BD57CE">
        <w:rPr>
          <w:rFonts w:ascii="Bradley Hand ITC" w:hAnsi="Bradley Hand ITC" w:cs="Amatic SC"/>
          <w:sz w:val="24"/>
          <w:szCs w:val="24"/>
        </w:rPr>
        <w:t xml:space="preserve"> means</w:t>
      </w:r>
      <w:r w:rsidR="008E4B92" w:rsidRPr="00BD57CE">
        <w:rPr>
          <w:rFonts w:ascii="Bradley Hand ITC" w:hAnsi="Bradley Hand ITC" w:cs="Amatic SC"/>
          <w:sz w:val="24"/>
          <w:szCs w:val="24"/>
        </w:rPr>
        <w:t xml:space="preserve"> ‘the knowledge held by the common’.</w:t>
      </w:r>
      <w:r w:rsidR="009C3FF6" w:rsidRPr="00BD57CE">
        <w:rPr>
          <w:rFonts w:ascii="Bradley Hand ITC" w:hAnsi="Bradley Hand ITC" w:cs="Amatic SC"/>
          <w:sz w:val="24"/>
          <w:szCs w:val="24"/>
        </w:rPr>
        <w:t xml:space="preserve"> </w:t>
      </w:r>
      <w:r w:rsidR="009C3FF6" w:rsidRPr="00BD57CE">
        <w:rPr>
          <w:rStyle w:val="FootnoteReference"/>
          <w:rFonts w:ascii="Bradley Hand ITC" w:hAnsi="Bradley Hand ITC" w:cs="Amatic SC"/>
          <w:sz w:val="24"/>
          <w:szCs w:val="24"/>
        </w:rPr>
        <w:footnoteReference w:id="1"/>
      </w:r>
    </w:p>
    <w:p w14:paraId="091B8A3B" w14:textId="551661B1" w:rsidR="00AE300C" w:rsidRPr="00BD57CE" w:rsidRDefault="00AE300C" w:rsidP="00BD57CE">
      <w:pPr>
        <w:spacing w:after="0" w:line="240" w:lineRule="auto"/>
        <w:jc w:val="both"/>
        <w:rPr>
          <w:rFonts w:ascii="Bradley Hand ITC" w:hAnsi="Bradley Hand ITC" w:cs="Amatic SC"/>
          <w:sz w:val="24"/>
          <w:szCs w:val="24"/>
        </w:rPr>
      </w:pPr>
      <w:r w:rsidRPr="00BD57CE">
        <w:rPr>
          <w:rFonts w:ascii="Bradley Hand ITC" w:hAnsi="Bradley Hand ITC" w:cs="Amatic SC"/>
          <w:sz w:val="24"/>
          <w:szCs w:val="24"/>
        </w:rPr>
        <w:t>Stories from f</w:t>
      </w:r>
      <w:r w:rsidR="009C3F02" w:rsidRPr="00BD57CE">
        <w:rPr>
          <w:rFonts w:ascii="Bradley Hand ITC" w:hAnsi="Bradley Hand ITC" w:cs="Amatic SC"/>
          <w:sz w:val="24"/>
          <w:szCs w:val="24"/>
        </w:rPr>
        <w:t xml:space="preserve">olklore are often interspersed with magic and the supernatural, and they are sometimes </w:t>
      </w:r>
      <w:r w:rsidRPr="00BD57CE">
        <w:rPr>
          <w:rFonts w:ascii="Bradley Hand ITC" w:hAnsi="Bradley Hand ITC" w:cs="Amatic SC"/>
          <w:sz w:val="24"/>
          <w:szCs w:val="24"/>
        </w:rPr>
        <w:t xml:space="preserve">used to teach a specific or general lesson </w:t>
      </w:r>
      <w:r w:rsidRPr="00BD57CE">
        <w:rPr>
          <w:rFonts w:ascii="Bradley Hand ITC" w:hAnsi="Bradley Hand ITC" w:cs="Amatic SC"/>
          <w:sz w:val="24"/>
          <w:szCs w:val="24"/>
        </w:rPr>
        <w:t xml:space="preserve">usually between right or wrong. They are also often an attempt to explain something unexplainable, like a concept, a superstition, </w:t>
      </w:r>
      <w:r w:rsidRPr="00BD57CE">
        <w:rPr>
          <w:rFonts w:ascii="Bradley Hand ITC" w:hAnsi="Bradley Hand ITC" w:cs="Amatic SC"/>
          <w:sz w:val="24"/>
          <w:szCs w:val="24"/>
        </w:rPr>
        <w:t xml:space="preserve">or </w:t>
      </w:r>
      <w:r w:rsidRPr="00BD57CE">
        <w:rPr>
          <w:rFonts w:ascii="Bradley Hand ITC" w:hAnsi="Bradley Hand ITC" w:cs="Amatic SC"/>
          <w:sz w:val="24"/>
          <w:szCs w:val="24"/>
        </w:rPr>
        <w:t>a</w:t>
      </w:r>
      <w:r w:rsidRPr="00BD57CE">
        <w:rPr>
          <w:rFonts w:ascii="Bradley Hand ITC" w:hAnsi="Bradley Hand ITC" w:cs="Amatic SC"/>
          <w:sz w:val="24"/>
          <w:szCs w:val="24"/>
        </w:rPr>
        <w:t xml:space="preserve"> geographical phenomenon</w:t>
      </w:r>
      <w:r w:rsidRPr="00BD57CE">
        <w:rPr>
          <w:rFonts w:ascii="Bradley Hand ITC" w:hAnsi="Bradley Hand ITC" w:cs="Amatic SC"/>
          <w:sz w:val="24"/>
          <w:szCs w:val="24"/>
        </w:rPr>
        <w:t>.</w:t>
      </w:r>
      <w:r w:rsidRPr="00BD57CE">
        <w:rPr>
          <w:rFonts w:ascii="Bradley Hand ITC" w:hAnsi="Bradley Hand ITC" w:cs="Amatic SC"/>
          <w:sz w:val="24"/>
          <w:szCs w:val="24"/>
        </w:rPr>
        <w:t xml:space="preserve"> These stories flourish in simple, rural environments,</w:t>
      </w:r>
      <w:r w:rsidR="0097400A" w:rsidRPr="00BD57CE">
        <w:rPr>
          <w:rFonts w:ascii="Bradley Hand ITC" w:hAnsi="Bradley Hand ITC" w:cs="Amatic SC"/>
          <w:sz w:val="24"/>
          <w:szCs w:val="24"/>
        </w:rPr>
        <w:t xml:space="preserve"> so Wales has always had an abundance of folklore associated with it for this reason.</w:t>
      </w:r>
      <w:r w:rsidR="004D75F5" w:rsidRPr="00BD57CE">
        <w:rPr>
          <w:rFonts w:ascii="Bradley Hand ITC" w:hAnsi="Bradley Hand ITC" w:cs="Amatic SC"/>
          <w:sz w:val="24"/>
          <w:szCs w:val="24"/>
        </w:rPr>
        <w:t xml:space="preserve"> </w:t>
      </w:r>
      <w:r w:rsidR="009C3FF6" w:rsidRPr="00BD57CE">
        <w:rPr>
          <w:rFonts w:ascii="Bradley Hand ITC" w:hAnsi="Bradley Hand ITC" w:cs="Amatic SC"/>
          <w:sz w:val="24"/>
          <w:szCs w:val="24"/>
        </w:rPr>
        <w:t>It is believed that Welsh folktales started to be written down by Christian monks</w:t>
      </w:r>
      <w:r w:rsidR="004D75F5" w:rsidRPr="00BD57CE">
        <w:rPr>
          <w:rFonts w:ascii="Bradley Hand ITC" w:hAnsi="Bradley Hand ITC" w:cs="Amatic SC"/>
          <w:sz w:val="24"/>
          <w:szCs w:val="24"/>
        </w:rPr>
        <w:t>, the same as</w:t>
      </w:r>
      <w:r w:rsidR="009C3FF6" w:rsidRPr="00BD57CE">
        <w:rPr>
          <w:rFonts w:ascii="Bradley Hand ITC" w:hAnsi="Bradley Hand ITC" w:cs="Amatic SC"/>
          <w:sz w:val="24"/>
          <w:szCs w:val="24"/>
        </w:rPr>
        <w:t xml:space="preserve"> Irish myths</w:t>
      </w:r>
      <w:r w:rsidR="00CB0422" w:rsidRPr="00BD57CE">
        <w:rPr>
          <w:rFonts w:ascii="Bradley Hand ITC" w:hAnsi="Bradley Hand ITC" w:cs="Amatic SC"/>
          <w:sz w:val="24"/>
          <w:szCs w:val="24"/>
        </w:rPr>
        <w:t xml:space="preserve"> which</w:t>
      </w:r>
      <w:r w:rsidR="009C3FF6" w:rsidRPr="00BD57CE">
        <w:rPr>
          <w:rFonts w:ascii="Bradley Hand ITC" w:hAnsi="Bradley Hand ITC" w:cs="Amatic SC"/>
          <w:sz w:val="24"/>
          <w:szCs w:val="24"/>
        </w:rPr>
        <w:t xml:space="preserve"> were dated to approximately the eighth century and have references to Pagan themes and entities, whereas the Welsh myths were not written down until the thirteenth or fourteenth </w:t>
      </w:r>
      <w:r w:rsidR="009C3FF6" w:rsidRPr="00BD57CE">
        <w:rPr>
          <w:rFonts w:ascii="Bradley Hand ITC" w:hAnsi="Bradley Hand ITC" w:cs="Amatic SC"/>
          <w:sz w:val="24"/>
          <w:szCs w:val="24"/>
        </w:rPr>
        <w:t>century and</w:t>
      </w:r>
      <w:r w:rsidR="009C3FF6" w:rsidRPr="00BD57CE">
        <w:rPr>
          <w:rFonts w:ascii="Bradley Hand ITC" w:hAnsi="Bradley Hand ITC" w:cs="Amatic SC"/>
          <w:sz w:val="24"/>
          <w:szCs w:val="24"/>
        </w:rPr>
        <w:t xml:space="preserve"> contain more typically Christian themes and mentions of the Christian God.</w:t>
      </w:r>
      <w:r w:rsidR="00DF78BA" w:rsidRPr="00BD57CE">
        <w:rPr>
          <w:rFonts w:ascii="Bradley Hand ITC" w:hAnsi="Bradley Hand ITC" w:cs="Amatic SC"/>
          <w:sz w:val="24"/>
          <w:szCs w:val="24"/>
        </w:rPr>
        <w:t xml:space="preserve"> </w:t>
      </w:r>
      <w:r w:rsidR="009C3FF6" w:rsidRPr="00BD57CE">
        <w:rPr>
          <w:rStyle w:val="FootnoteReference"/>
          <w:rFonts w:ascii="Bradley Hand ITC" w:hAnsi="Bradley Hand ITC" w:cs="Amatic SC"/>
          <w:sz w:val="24"/>
          <w:szCs w:val="24"/>
        </w:rPr>
        <w:footnoteReference w:id="2"/>
      </w:r>
    </w:p>
    <w:p w14:paraId="1639B5BC" w14:textId="78E72EF1" w:rsidR="00AE300C" w:rsidRPr="00BD57CE" w:rsidRDefault="003A5C33" w:rsidP="00AF4614">
      <w:pPr>
        <w:spacing w:line="240" w:lineRule="auto"/>
        <w:rPr>
          <w:rFonts w:ascii="Bradley Hand ITC" w:hAnsi="Bradley Hand ITC"/>
          <w:b/>
          <w:bCs/>
          <w:sz w:val="52"/>
          <w:szCs w:val="52"/>
          <w:u w:val="single"/>
        </w:rPr>
      </w:pPr>
      <w:r w:rsidRPr="00BD57CE">
        <w:rPr>
          <w:rFonts w:ascii="Bradley Hand ITC" w:hAnsi="Bradley Hand ITC"/>
          <w:b/>
          <w:bCs/>
          <w:sz w:val="52"/>
          <w:szCs w:val="52"/>
          <w:u w:val="single"/>
        </w:rPr>
        <w:lastRenderedPageBreak/>
        <w:t xml:space="preserve">What Are The </w:t>
      </w:r>
      <w:proofErr w:type="spellStart"/>
      <w:r w:rsidRPr="00BD57CE">
        <w:rPr>
          <w:rFonts w:ascii="Bradley Hand ITC" w:hAnsi="Bradley Hand ITC"/>
          <w:b/>
          <w:bCs/>
          <w:sz w:val="52"/>
          <w:szCs w:val="52"/>
          <w:u w:val="single"/>
        </w:rPr>
        <w:t>Tylwyth</w:t>
      </w:r>
      <w:proofErr w:type="spellEnd"/>
      <w:r w:rsidRPr="00BD57CE">
        <w:rPr>
          <w:rFonts w:ascii="Bradley Hand ITC" w:hAnsi="Bradley Hand ITC"/>
          <w:b/>
          <w:bCs/>
          <w:sz w:val="52"/>
          <w:szCs w:val="52"/>
          <w:u w:val="single"/>
        </w:rPr>
        <w:t xml:space="preserve"> Teg?</w:t>
      </w:r>
    </w:p>
    <w:p w14:paraId="1FA7AEDF" w14:textId="14487B86" w:rsidR="00AF4614" w:rsidRDefault="004405DC" w:rsidP="004405DC">
      <w:pPr>
        <w:spacing w:after="0" w:line="240" w:lineRule="auto"/>
        <w:jc w:val="both"/>
        <w:rPr>
          <w:rFonts w:ascii="Bradley Hand ITC" w:hAnsi="Bradley Hand ITC"/>
          <w:sz w:val="24"/>
          <w:szCs w:val="24"/>
        </w:rPr>
      </w:pPr>
      <w:r w:rsidRPr="00BD57CE">
        <w:rPr>
          <w:rFonts w:ascii="Bradley Hand ITC" w:hAnsi="Bradley Hand ITC"/>
          <w:noProof/>
          <w:sz w:val="24"/>
          <w:szCs w:val="24"/>
        </w:rPr>
        <w:drawing>
          <wp:anchor distT="0" distB="0" distL="114300" distR="114300" simplePos="0" relativeHeight="251662336" behindDoc="0" locked="0" layoutInCell="1" allowOverlap="1" wp14:anchorId="32A48914" wp14:editId="068674A2">
            <wp:simplePos x="0" y="0"/>
            <wp:positionH relativeFrom="margin">
              <wp:posOffset>0</wp:posOffset>
            </wp:positionH>
            <wp:positionV relativeFrom="paragraph">
              <wp:posOffset>65405</wp:posOffset>
            </wp:positionV>
            <wp:extent cx="2987675" cy="1362075"/>
            <wp:effectExtent l="0" t="0" r="3175" b="9525"/>
            <wp:wrapSquare wrapText="bothSides"/>
            <wp:docPr id="52406056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6000" b="6182"/>
                    <a:stretch/>
                  </pic:blipFill>
                  <pic:spPr bwMode="auto">
                    <a:xfrm>
                      <a:off x="0" y="0"/>
                      <a:ext cx="2987675" cy="13620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D57CE">
        <w:rPr>
          <w:rFonts w:ascii="Bradley Hand ITC" w:hAnsi="Bradley Hand ITC"/>
          <w:noProof/>
          <w:sz w:val="20"/>
          <w:szCs w:val="20"/>
        </w:rPr>
        <mc:AlternateContent>
          <mc:Choice Requires="wps">
            <w:drawing>
              <wp:anchor distT="0" distB="0" distL="114300" distR="114300" simplePos="0" relativeHeight="251668480" behindDoc="0" locked="0" layoutInCell="1" allowOverlap="1" wp14:anchorId="2D107541" wp14:editId="3BB77D86">
                <wp:simplePos x="0" y="0"/>
                <wp:positionH relativeFrom="margin">
                  <wp:posOffset>0</wp:posOffset>
                </wp:positionH>
                <wp:positionV relativeFrom="paragraph">
                  <wp:posOffset>1480820</wp:posOffset>
                </wp:positionV>
                <wp:extent cx="2987675" cy="152400"/>
                <wp:effectExtent l="0" t="0" r="3175" b="0"/>
                <wp:wrapSquare wrapText="bothSides"/>
                <wp:docPr id="1363862627" name="Text Box 1"/>
                <wp:cNvGraphicFramePr/>
                <a:graphic xmlns:a="http://schemas.openxmlformats.org/drawingml/2006/main">
                  <a:graphicData uri="http://schemas.microsoft.com/office/word/2010/wordprocessingShape">
                    <wps:wsp>
                      <wps:cNvSpPr txBox="1"/>
                      <wps:spPr>
                        <a:xfrm>
                          <a:off x="0" y="0"/>
                          <a:ext cx="2987675" cy="152400"/>
                        </a:xfrm>
                        <a:prstGeom prst="rect">
                          <a:avLst/>
                        </a:prstGeom>
                        <a:solidFill>
                          <a:prstClr val="white"/>
                        </a:solidFill>
                        <a:ln>
                          <a:noFill/>
                        </a:ln>
                      </wps:spPr>
                      <wps:txbx>
                        <w:txbxContent>
                          <w:p w14:paraId="392C707F" w14:textId="28EBC418" w:rsidR="008207B4" w:rsidRPr="00AF4614" w:rsidRDefault="008207B4" w:rsidP="00AF4614">
                            <w:pPr>
                              <w:pStyle w:val="Caption"/>
                              <w:jc w:val="center"/>
                              <w:rPr>
                                <w:rFonts w:ascii="Bradley Hand ITC" w:hAnsi="Bradley Hand ITC"/>
                                <w:noProof/>
                                <w:sz w:val="26"/>
                                <w:szCs w:val="26"/>
                              </w:rPr>
                            </w:pPr>
                            <w:r w:rsidRPr="00AF4614">
                              <w:rPr>
                                <w:rFonts w:ascii="Bradley Hand ITC" w:hAnsi="Bradley Hand ITC"/>
                              </w:rPr>
                              <w:t xml:space="preserve">Gan Hugh Evans, Y </w:t>
                            </w:r>
                            <w:proofErr w:type="spellStart"/>
                            <w:r w:rsidRPr="00AF4614">
                              <w:rPr>
                                <w:rFonts w:ascii="Bradley Hand ITC" w:hAnsi="Bradley Hand ITC"/>
                              </w:rPr>
                              <w:t>Tylwyth</w:t>
                            </w:r>
                            <w:proofErr w:type="spellEnd"/>
                            <w:r w:rsidRPr="00AF4614">
                              <w:rPr>
                                <w:rFonts w:ascii="Bradley Hand ITC" w:hAnsi="Bradley Hand ITC"/>
                              </w:rPr>
                              <w:t xml:space="preserve"> Teg, 1935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107541" id="_x0000_s1028" type="#_x0000_t202" style="position:absolute;left:0;text-align:left;margin-left:0;margin-top:116.6pt;width:235.25pt;height:12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" stroked="f">
                <v:textbox inset="0,0,0,0">
                  <w:txbxContent>
                    <w:p w14:paraId="392C707F" w14:textId="28EBC418" w:rsidR="008207B4" w:rsidRPr="00AF4614" w:rsidRDefault="008207B4" w:rsidP="00AF4614">
                      <w:pPr>
                        <w:pStyle w:val="Caption"/>
                        <w:jc w:val="center"/>
                        <w:rPr>
                          <w:rFonts w:ascii="Bradley Hand ITC" w:hAnsi="Bradley Hand ITC"/>
                          <w:noProof/>
                          <w:sz w:val="26"/>
                          <w:szCs w:val="26"/>
                        </w:rPr>
                      </w:pPr>
                      <w:r w:rsidRPr="00AF4614">
                        <w:rPr>
                          <w:rFonts w:ascii="Bradley Hand ITC" w:hAnsi="Bradley Hand ITC"/>
                        </w:rPr>
                        <w:t xml:space="preserve">Gan Hugh Evans, Y </w:t>
                      </w:r>
                      <w:proofErr w:type="spellStart"/>
                      <w:r w:rsidRPr="00AF4614">
                        <w:rPr>
                          <w:rFonts w:ascii="Bradley Hand ITC" w:hAnsi="Bradley Hand ITC"/>
                        </w:rPr>
                        <w:t>Tylwyth</w:t>
                      </w:r>
                      <w:proofErr w:type="spellEnd"/>
                      <w:r w:rsidRPr="00AF4614">
                        <w:rPr>
                          <w:rFonts w:ascii="Bradley Hand ITC" w:hAnsi="Bradley Hand ITC"/>
                        </w:rPr>
                        <w:t xml:space="preserve"> Teg, 1935</w:t>
                      </w:r>
                    </w:p>
                  </w:txbxContent>
                </v:textbox>
                <w10:wrap type="square" anchorx="margin"/>
              </v:shape>
            </w:pict>
          </mc:Fallback>
        </mc:AlternateContent>
      </w:r>
      <w:r w:rsidR="00DA3C43" w:rsidRPr="00DA3C43">
        <w:rPr>
          <w:rFonts w:ascii="Bradley Hand ITC" w:hAnsi="Bradley Hand ITC"/>
          <w:sz w:val="24"/>
          <w:szCs w:val="24"/>
        </w:rPr>
        <w:t>The Welsh fairies are known as ‘</w:t>
      </w:r>
      <w:r w:rsidR="00C07174" w:rsidRPr="00BD57CE">
        <w:rPr>
          <w:rFonts w:ascii="Bradley Hand ITC" w:hAnsi="Bradley Hand ITC"/>
          <w:sz w:val="24"/>
          <w:szCs w:val="24"/>
        </w:rPr>
        <w:t xml:space="preserve">y </w:t>
      </w:r>
      <w:proofErr w:type="spellStart"/>
      <w:r w:rsidR="00C07174" w:rsidRPr="00BD57CE">
        <w:rPr>
          <w:rFonts w:ascii="Bradley Hand ITC" w:hAnsi="Bradley Hand ITC"/>
          <w:sz w:val="24"/>
          <w:szCs w:val="24"/>
        </w:rPr>
        <w:t>tylwyth</w:t>
      </w:r>
      <w:proofErr w:type="spellEnd"/>
      <w:r w:rsidR="00C07174" w:rsidRPr="00BD57CE">
        <w:rPr>
          <w:rFonts w:ascii="Bradley Hand ITC" w:hAnsi="Bradley Hand ITC"/>
          <w:sz w:val="24"/>
          <w:szCs w:val="24"/>
        </w:rPr>
        <w:t xml:space="preserve"> teg’ which translates to ‘the fair folk’ or ‘the fair family’</w:t>
      </w:r>
      <w:r w:rsidR="00DA3C43" w:rsidRPr="00DA3C43">
        <w:rPr>
          <w:rFonts w:ascii="Bradley Hand ITC" w:hAnsi="Bradley Hand ITC"/>
          <w:sz w:val="24"/>
          <w:szCs w:val="24"/>
        </w:rPr>
        <w:t xml:space="preserve">. ‘Y </w:t>
      </w:r>
      <w:proofErr w:type="spellStart"/>
      <w:r w:rsidR="00C07174" w:rsidRPr="00BD57CE">
        <w:rPr>
          <w:rFonts w:ascii="Bradley Hand ITC" w:hAnsi="Bradley Hand ITC"/>
          <w:sz w:val="24"/>
          <w:szCs w:val="24"/>
        </w:rPr>
        <w:t>tylwyth</w:t>
      </w:r>
      <w:proofErr w:type="spellEnd"/>
      <w:r w:rsidR="00C07174" w:rsidRPr="00BD57CE">
        <w:rPr>
          <w:rFonts w:ascii="Bradley Hand ITC" w:hAnsi="Bradley Hand ITC"/>
          <w:sz w:val="24"/>
          <w:szCs w:val="24"/>
        </w:rPr>
        <w:t xml:space="preserve"> teg’ can occasionally be seen being lengthened into ‘y </w:t>
      </w:r>
      <w:proofErr w:type="spellStart"/>
      <w:r w:rsidR="00C07174" w:rsidRPr="00BD57CE">
        <w:rPr>
          <w:rFonts w:ascii="Bradley Hand ITC" w:hAnsi="Bradley Hand ITC"/>
          <w:sz w:val="24"/>
          <w:szCs w:val="24"/>
        </w:rPr>
        <w:t>tylwyth</w:t>
      </w:r>
      <w:proofErr w:type="spellEnd"/>
      <w:r w:rsidR="00C07174" w:rsidRPr="00BD57CE">
        <w:rPr>
          <w:rFonts w:ascii="Bradley Hand ITC" w:hAnsi="Bradley Hand ITC"/>
          <w:sz w:val="24"/>
          <w:szCs w:val="24"/>
        </w:rPr>
        <w:t xml:space="preserve"> teg </w:t>
      </w:r>
      <w:proofErr w:type="spellStart"/>
      <w:r w:rsidR="00C07174" w:rsidRPr="00BD57CE">
        <w:rPr>
          <w:rFonts w:ascii="Bradley Hand ITC" w:hAnsi="Bradley Hand ITC"/>
          <w:sz w:val="24"/>
          <w:szCs w:val="24"/>
        </w:rPr>
        <w:t>yn</w:t>
      </w:r>
      <w:proofErr w:type="spellEnd"/>
      <w:r w:rsidR="00C07174" w:rsidRPr="00BD57CE">
        <w:rPr>
          <w:rFonts w:ascii="Bradley Hand ITC" w:hAnsi="Bradley Hand ITC"/>
          <w:sz w:val="24"/>
          <w:szCs w:val="24"/>
        </w:rPr>
        <w:t xml:space="preserve"> y </w:t>
      </w:r>
      <w:proofErr w:type="spellStart"/>
      <w:r w:rsidR="00C07174" w:rsidRPr="00BD57CE">
        <w:rPr>
          <w:rFonts w:ascii="Bradley Hand ITC" w:hAnsi="Bradley Hand ITC"/>
          <w:sz w:val="24"/>
          <w:szCs w:val="24"/>
        </w:rPr>
        <w:t>coed</w:t>
      </w:r>
      <w:proofErr w:type="spellEnd"/>
      <w:r w:rsidR="00C07174" w:rsidRPr="00BD57CE">
        <w:rPr>
          <w:rFonts w:ascii="Bradley Hand ITC" w:hAnsi="Bradley Hand ITC"/>
          <w:sz w:val="24"/>
          <w:szCs w:val="24"/>
        </w:rPr>
        <w:t xml:space="preserve">’, which translates to ‘the fair folk in the woods’, or to ‘y </w:t>
      </w:r>
      <w:proofErr w:type="spellStart"/>
      <w:r w:rsidR="00C07174" w:rsidRPr="00BD57CE">
        <w:rPr>
          <w:rFonts w:ascii="Bradley Hand ITC" w:hAnsi="Bradley Hand ITC"/>
          <w:sz w:val="24"/>
          <w:szCs w:val="24"/>
        </w:rPr>
        <w:t>tylwyth</w:t>
      </w:r>
      <w:proofErr w:type="spellEnd"/>
      <w:r w:rsidR="00C07174" w:rsidRPr="00BD57CE">
        <w:rPr>
          <w:rFonts w:ascii="Bradley Hand ITC" w:hAnsi="Bradley Hand ITC"/>
          <w:sz w:val="24"/>
          <w:szCs w:val="24"/>
        </w:rPr>
        <w:t xml:space="preserve"> teg y </w:t>
      </w:r>
      <w:proofErr w:type="spellStart"/>
      <w:r w:rsidR="00C07174" w:rsidRPr="00BD57CE">
        <w:rPr>
          <w:rFonts w:ascii="Bradley Hand ITC" w:hAnsi="Bradley Hand ITC"/>
          <w:sz w:val="24"/>
          <w:szCs w:val="24"/>
        </w:rPr>
        <w:t>mwn</w:t>
      </w:r>
      <w:proofErr w:type="spellEnd"/>
      <w:r w:rsidR="00C07174" w:rsidRPr="00BD57CE">
        <w:rPr>
          <w:rFonts w:ascii="Bradley Hand ITC" w:hAnsi="Bradley Hand ITC"/>
          <w:sz w:val="24"/>
          <w:szCs w:val="24"/>
        </w:rPr>
        <w:t>’, which translates to ‘the fair folk of the mine’</w:t>
      </w:r>
      <w:r w:rsidR="00DA3C43" w:rsidRPr="00DA3C43">
        <w:rPr>
          <w:rFonts w:ascii="Bradley Hand ITC" w:hAnsi="Bradley Hand ITC"/>
          <w:sz w:val="24"/>
          <w:szCs w:val="24"/>
        </w:rPr>
        <w:t>.</w:t>
      </w:r>
      <w:r w:rsidR="00DA3C43" w:rsidRPr="00BD57CE">
        <w:rPr>
          <w:rFonts w:ascii="Bradley Hand ITC" w:hAnsi="Bradley Hand ITC"/>
          <w:sz w:val="24"/>
          <w:szCs w:val="24"/>
        </w:rPr>
        <w:t xml:space="preserve"> </w:t>
      </w:r>
      <w:r w:rsidR="00E72349" w:rsidRPr="00BD57CE">
        <w:rPr>
          <w:rStyle w:val="FootnoteReference"/>
          <w:rFonts w:ascii="Bradley Hand ITC" w:hAnsi="Bradley Hand ITC"/>
          <w:sz w:val="24"/>
          <w:szCs w:val="24"/>
        </w:rPr>
        <w:footnoteReference w:id="3"/>
      </w:r>
      <w:r w:rsidR="00F74033" w:rsidRPr="00BD57CE">
        <w:rPr>
          <w:rFonts w:ascii="Bradley Hand ITC" w:hAnsi="Bradley Hand ITC"/>
          <w:sz w:val="24"/>
          <w:szCs w:val="24"/>
        </w:rPr>
        <w:t xml:space="preserve"> </w:t>
      </w:r>
      <w:r w:rsidR="00C07174" w:rsidRPr="00BD57CE">
        <w:rPr>
          <w:rFonts w:ascii="Bradley Hand ITC" w:hAnsi="Bradley Hand ITC"/>
          <w:sz w:val="24"/>
          <w:szCs w:val="24"/>
        </w:rPr>
        <w:t xml:space="preserve">Other names less commonly given to them is ‘y </w:t>
      </w:r>
      <w:proofErr w:type="spellStart"/>
      <w:r w:rsidR="00C07174" w:rsidRPr="00BD57CE">
        <w:rPr>
          <w:rFonts w:ascii="Bradley Hand ITC" w:hAnsi="Bradley Hand ITC"/>
          <w:sz w:val="24"/>
          <w:szCs w:val="24"/>
        </w:rPr>
        <w:t>dynion</w:t>
      </w:r>
      <w:proofErr w:type="spellEnd"/>
      <w:r w:rsidR="00C07174" w:rsidRPr="00BD57CE">
        <w:rPr>
          <w:rFonts w:ascii="Bradley Hand ITC" w:hAnsi="Bradley Hand ITC"/>
          <w:sz w:val="24"/>
          <w:szCs w:val="24"/>
        </w:rPr>
        <w:t xml:space="preserve"> </w:t>
      </w:r>
      <w:proofErr w:type="spellStart"/>
      <w:r w:rsidR="00C07174" w:rsidRPr="00BD57CE">
        <w:rPr>
          <w:rFonts w:ascii="Bradley Hand ITC" w:hAnsi="Bradley Hand ITC"/>
          <w:sz w:val="24"/>
          <w:szCs w:val="24"/>
        </w:rPr>
        <w:t>mewn</w:t>
      </w:r>
      <w:proofErr w:type="spellEnd"/>
      <w:r w:rsidR="00C07174" w:rsidRPr="00BD57CE">
        <w:rPr>
          <w:rFonts w:ascii="Bradley Hand ITC" w:hAnsi="Bradley Hand ITC"/>
          <w:sz w:val="24"/>
          <w:szCs w:val="24"/>
        </w:rPr>
        <w:t>’ (the kind people), ‘</w:t>
      </w:r>
      <w:proofErr w:type="spellStart"/>
      <w:r w:rsidR="00C07174" w:rsidRPr="00BD57CE">
        <w:rPr>
          <w:rFonts w:ascii="Bradley Hand ITC" w:hAnsi="Bradley Hand ITC"/>
          <w:sz w:val="24"/>
          <w:szCs w:val="24"/>
        </w:rPr>
        <w:t>dynion</w:t>
      </w:r>
      <w:proofErr w:type="spellEnd"/>
      <w:r w:rsidR="00C07174" w:rsidRPr="00BD57CE">
        <w:rPr>
          <w:rFonts w:ascii="Bradley Hand ITC" w:hAnsi="Bradley Hand ITC"/>
          <w:sz w:val="24"/>
          <w:szCs w:val="24"/>
        </w:rPr>
        <w:t xml:space="preserve"> teg </w:t>
      </w:r>
      <w:proofErr w:type="spellStart"/>
      <w:r w:rsidR="00C07174" w:rsidRPr="00BD57CE">
        <w:rPr>
          <w:rFonts w:ascii="Bradley Hand ITC" w:hAnsi="Bradley Hand ITC"/>
          <w:sz w:val="24"/>
          <w:szCs w:val="24"/>
        </w:rPr>
        <w:t>bach</w:t>
      </w:r>
      <w:proofErr w:type="spellEnd"/>
      <w:r w:rsidR="00C07174" w:rsidRPr="00BD57CE">
        <w:rPr>
          <w:rFonts w:ascii="Bradley Hand ITC" w:hAnsi="Bradley Hand ITC"/>
          <w:sz w:val="24"/>
          <w:szCs w:val="24"/>
        </w:rPr>
        <w:t xml:space="preserve">’ (little fair men), and a term used in the South of Wales, ‘y </w:t>
      </w:r>
      <w:proofErr w:type="spellStart"/>
      <w:r w:rsidR="00C07174" w:rsidRPr="00BD57CE">
        <w:rPr>
          <w:rFonts w:ascii="Bradley Hand ITC" w:hAnsi="Bradley Hand ITC"/>
          <w:sz w:val="24"/>
          <w:szCs w:val="24"/>
        </w:rPr>
        <w:t>bendith</w:t>
      </w:r>
      <w:proofErr w:type="spellEnd"/>
      <w:r w:rsidR="00C07174" w:rsidRPr="00BD57CE">
        <w:rPr>
          <w:rFonts w:ascii="Bradley Hand ITC" w:hAnsi="Bradley Hand ITC"/>
          <w:sz w:val="24"/>
          <w:szCs w:val="24"/>
        </w:rPr>
        <w:t xml:space="preserve"> </w:t>
      </w:r>
      <w:proofErr w:type="spellStart"/>
      <w:r w:rsidR="00C07174" w:rsidRPr="00BD57CE">
        <w:rPr>
          <w:rFonts w:ascii="Bradley Hand ITC" w:hAnsi="Bradley Hand ITC"/>
          <w:sz w:val="24"/>
          <w:szCs w:val="24"/>
        </w:rPr>
        <w:t>mamau</w:t>
      </w:r>
      <w:proofErr w:type="spellEnd"/>
      <w:r w:rsidR="00C07174" w:rsidRPr="00BD57CE">
        <w:rPr>
          <w:rFonts w:ascii="Bradley Hand ITC" w:hAnsi="Bradley Hand ITC"/>
          <w:sz w:val="24"/>
          <w:szCs w:val="24"/>
        </w:rPr>
        <w:t>’ or ‘</w:t>
      </w:r>
      <w:proofErr w:type="spellStart"/>
      <w:r w:rsidR="00C07174" w:rsidRPr="00BD57CE">
        <w:rPr>
          <w:rFonts w:ascii="Bradley Hand ITC" w:hAnsi="Bradley Hand ITC"/>
          <w:sz w:val="24"/>
          <w:szCs w:val="24"/>
        </w:rPr>
        <w:t>bendith</w:t>
      </w:r>
      <w:proofErr w:type="spellEnd"/>
      <w:r w:rsidR="00C07174" w:rsidRPr="00BD57CE">
        <w:rPr>
          <w:rFonts w:ascii="Bradley Hand ITC" w:hAnsi="Bradley Hand ITC"/>
          <w:sz w:val="24"/>
          <w:szCs w:val="24"/>
        </w:rPr>
        <w:t xml:space="preserve"> </w:t>
      </w:r>
      <w:proofErr w:type="spellStart"/>
      <w:r w:rsidR="00C07174" w:rsidRPr="00BD57CE">
        <w:rPr>
          <w:rFonts w:ascii="Bradley Hand ITC" w:hAnsi="Bradley Hand ITC"/>
          <w:sz w:val="24"/>
          <w:szCs w:val="24"/>
        </w:rPr>
        <w:t>eu</w:t>
      </w:r>
      <w:proofErr w:type="spellEnd"/>
      <w:r w:rsidR="00C07174" w:rsidRPr="00BD57CE">
        <w:rPr>
          <w:rFonts w:ascii="Bradley Hand ITC" w:hAnsi="Bradley Hand ITC"/>
          <w:sz w:val="24"/>
          <w:szCs w:val="24"/>
        </w:rPr>
        <w:t xml:space="preserve"> </w:t>
      </w:r>
      <w:proofErr w:type="spellStart"/>
      <w:r w:rsidR="00C07174" w:rsidRPr="00BD57CE">
        <w:rPr>
          <w:rFonts w:ascii="Bradley Hand ITC" w:hAnsi="Bradley Hand ITC"/>
          <w:sz w:val="24"/>
          <w:szCs w:val="24"/>
        </w:rPr>
        <w:t>mamau</w:t>
      </w:r>
      <w:proofErr w:type="spellEnd"/>
      <w:r w:rsidR="00C07174" w:rsidRPr="00BD57CE">
        <w:rPr>
          <w:rFonts w:ascii="Bradley Hand ITC" w:hAnsi="Bradley Hand ITC"/>
          <w:sz w:val="24"/>
          <w:szCs w:val="24"/>
        </w:rPr>
        <w:t>’, which translates to ‘the mothers blessings’ or ‘the blessings of their mothers’.</w:t>
      </w:r>
      <w:r w:rsidR="00EC210A" w:rsidRPr="00BD57CE">
        <w:rPr>
          <w:rFonts w:ascii="Bradley Hand ITC" w:hAnsi="Bradley Hand ITC"/>
          <w:sz w:val="24"/>
          <w:szCs w:val="24"/>
        </w:rPr>
        <w:t xml:space="preserve"> </w:t>
      </w:r>
      <w:r w:rsidR="00EC210A" w:rsidRPr="00BD57CE">
        <w:rPr>
          <w:rStyle w:val="FootnoteReference"/>
          <w:rFonts w:ascii="Bradley Hand ITC" w:hAnsi="Bradley Hand ITC"/>
          <w:sz w:val="24"/>
          <w:szCs w:val="24"/>
        </w:rPr>
        <w:footnoteReference w:id="4"/>
      </w:r>
      <w:r w:rsidR="00C07174" w:rsidRPr="00BD57CE">
        <w:rPr>
          <w:rFonts w:ascii="Bradley Hand ITC" w:hAnsi="Bradley Hand ITC"/>
          <w:sz w:val="24"/>
          <w:szCs w:val="24"/>
        </w:rPr>
        <w:t xml:space="preserve"> </w:t>
      </w:r>
    </w:p>
    <w:p w14:paraId="71F00C60" w14:textId="323B152A" w:rsidR="00DA3C43" w:rsidRPr="00DA3C43" w:rsidRDefault="00371C7E" w:rsidP="00EF5F69">
      <w:pPr>
        <w:spacing w:line="240" w:lineRule="auto"/>
        <w:jc w:val="both"/>
        <w:rPr>
          <w:rFonts w:ascii="Bradley Hand ITC" w:hAnsi="Bradley Hand ITC"/>
          <w:sz w:val="24"/>
          <w:szCs w:val="24"/>
        </w:rPr>
      </w:pPr>
      <w:r w:rsidRPr="00BD57CE">
        <w:rPr>
          <w:rFonts w:ascii="Bradley Hand ITC" w:hAnsi="Bradley Hand ITC"/>
          <w:sz w:val="24"/>
          <w:szCs w:val="24"/>
        </w:rPr>
        <w:t xml:space="preserve">Following the classes of Scandinavian fairies suggested by Thomas Keightley in his book </w:t>
      </w:r>
      <w:r w:rsidRPr="00BD57CE">
        <w:rPr>
          <w:rFonts w:ascii="Bradley Hand ITC" w:hAnsi="Bradley Hand ITC"/>
          <w:i/>
          <w:iCs/>
          <w:sz w:val="24"/>
          <w:szCs w:val="24"/>
        </w:rPr>
        <w:t>The Fairy Mythology</w:t>
      </w:r>
      <w:r w:rsidRPr="00BD57CE">
        <w:rPr>
          <w:rFonts w:ascii="Bradley Hand ITC" w:hAnsi="Bradley Hand ITC"/>
          <w:sz w:val="24"/>
          <w:szCs w:val="24"/>
        </w:rPr>
        <w:t xml:space="preserve">, which are that of Elves, Dwarfs or Trolls, Nisses (household and domestic fairies), Mermaids and Necks (water spirits), then </w:t>
      </w:r>
      <w:r w:rsidR="00DA3C43" w:rsidRPr="00DA3C43">
        <w:rPr>
          <w:rFonts w:ascii="Bradley Hand ITC" w:hAnsi="Bradley Hand ITC"/>
          <w:sz w:val="24"/>
          <w:szCs w:val="24"/>
        </w:rPr>
        <w:t xml:space="preserve">Y </w:t>
      </w:r>
      <w:proofErr w:type="spellStart"/>
      <w:r w:rsidR="00DA3C43" w:rsidRPr="00DA3C43">
        <w:rPr>
          <w:rFonts w:ascii="Bradley Hand ITC" w:hAnsi="Bradley Hand ITC"/>
          <w:sz w:val="24"/>
          <w:szCs w:val="24"/>
        </w:rPr>
        <w:t>Tylwyth</w:t>
      </w:r>
      <w:proofErr w:type="spellEnd"/>
      <w:r w:rsidR="00DA3C43" w:rsidRPr="00DA3C43">
        <w:rPr>
          <w:rFonts w:ascii="Bradley Hand ITC" w:hAnsi="Bradley Hand ITC"/>
          <w:sz w:val="24"/>
          <w:szCs w:val="24"/>
        </w:rPr>
        <w:t xml:space="preserve"> Teg can be sorted into five classes of fairies:</w:t>
      </w:r>
      <w:r w:rsidR="00F74033" w:rsidRPr="00BD57CE">
        <w:rPr>
          <w:rFonts w:ascii="Bradley Hand ITC" w:hAnsi="Bradley Hand ITC"/>
          <w:sz w:val="24"/>
          <w:szCs w:val="24"/>
        </w:rPr>
        <w:t xml:space="preserve"> </w:t>
      </w:r>
      <w:r w:rsidR="00F74033" w:rsidRPr="00BD57CE">
        <w:rPr>
          <w:rStyle w:val="FootnoteReference"/>
          <w:rFonts w:ascii="Bradley Hand ITC" w:hAnsi="Bradley Hand ITC"/>
          <w:sz w:val="24"/>
          <w:szCs w:val="24"/>
        </w:rPr>
        <w:footnoteReference w:id="5"/>
      </w:r>
    </w:p>
    <w:p w14:paraId="2117B231" w14:textId="1E1AFA2F" w:rsidR="00DA3C43" w:rsidRPr="00BD57CE" w:rsidRDefault="00DA3C43" w:rsidP="00DA3C43">
      <w:pPr>
        <w:pStyle w:val="ListParagraph"/>
        <w:numPr>
          <w:ilvl w:val="0"/>
          <w:numId w:val="11"/>
        </w:numPr>
        <w:spacing w:after="0" w:line="240" w:lineRule="auto"/>
        <w:rPr>
          <w:rFonts w:ascii="Bradley Hand ITC" w:hAnsi="Bradley Hand ITC"/>
          <w:sz w:val="24"/>
          <w:szCs w:val="24"/>
        </w:rPr>
      </w:pPr>
      <w:r w:rsidRPr="00BD57CE">
        <w:rPr>
          <w:rFonts w:ascii="Bradley Hand ITC" w:hAnsi="Bradley Hand ITC"/>
          <w:sz w:val="24"/>
          <w:szCs w:val="24"/>
        </w:rPr>
        <w:t>The Ellyllon, or the elves</w:t>
      </w:r>
    </w:p>
    <w:p w14:paraId="251BCA42" w14:textId="668FF576" w:rsidR="00DA3C43" w:rsidRPr="00BD57CE" w:rsidRDefault="00DA3C43" w:rsidP="00DA3C43">
      <w:pPr>
        <w:pStyle w:val="ListParagraph"/>
        <w:numPr>
          <w:ilvl w:val="0"/>
          <w:numId w:val="11"/>
        </w:numPr>
        <w:spacing w:after="0" w:line="240" w:lineRule="auto"/>
        <w:rPr>
          <w:rFonts w:ascii="Bradley Hand ITC" w:hAnsi="Bradley Hand ITC"/>
          <w:sz w:val="24"/>
          <w:szCs w:val="24"/>
        </w:rPr>
      </w:pPr>
      <w:r w:rsidRPr="00BD57CE">
        <w:rPr>
          <w:rFonts w:ascii="Bradley Hand ITC" w:hAnsi="Bradley Hand ITC"/>
          <w:sz w:val="24"/>
          <w:szCs w:val="24"/>
        </w:rPr>
        <w:t xml:space="preserve">The </w:t>
      </w:r>
      <w:proofErr w:type="spellStart"/>
      <w:r w:rsidRPr="00BD57CE">
        <w:rPr>
          <w:rFonts w:ascii="Bradley Hand ITC" w:hAnsi="Bradley Hand ITC"/>
          <w:sz w:val="24"/>
          <w:szCs w:val="24"/>
        </w:rPr>
        <w:t>Coblynau</w:t>
      </w:r>
      <w:proofErr w:type="spellEnd"/>
      <w:r w:rsidRPr="00BD57CE">
        <w:rPr>
          <w:rFonts w:ascii="Bradley Hand ITC" w:hAnsi="Bradley Hand ITC"/>
          <w:sz w:val="24"/>
          <w:szCs w:val="24"/>
        </w:rPr>
        <w:t>, or the fairies of the mines</w:t>
      </w:r>
    </w:p>
    <w:p w14:paraId="362B1241" w14:textId="21CEEF1E" w:rsidR="00DA3C43" w:rsidRPr="00BD57CE" w:rsidRDefault="00DA3C43" w:rsidP="00DA3C43">
      <w:pPr>
        <w:pStyle w:val="ListParagraph"/>
        <w:numPr>
          <w:ilvl w:val="0"/>
          <w:numId w:val="11"/>
        </w:numPr>
        <w:spacing w:after="0" w:line="240" w:lineRule="auto"/>
        <w:rPr>
          <w:rFonts w:ascii="Bradley Hand ITC" w:hAnsi="Bradley Hand ITC"/>
          <w:sz w:val="24"/>
          <w:szCs w:val="24"/>
        </w:rPr>
      </w:pPr>
      <w:r w:rsidRPr="00BD57CE">
        <w:rPr>
          <w:rFonts w:ascii="Bradley Hand ITC" w:hAnsi="Bradley Hand ITC"/>
          <w:sz w:val="24"/>
          <w:szCs w:val="24"/>
        </w:rPr>
        <w:t xml:space="preserve">The </w:t>
      </w:r>
      <w:proofErr w:type="spellStart"/>
      <w:r w:rsidRPr="00BD57CE">
        <w:rPr>
          <w:rFonts w:ascii="Bradley Hand ITC" w:hAnsi="Bradley Hand ITC"/>
          <w:sz w:val="24"/>
          <w:szCs w:val="24"/>
        </w:rPr>
        <w:t>Bwbachod</w:t>
      </w:r>
      <w:proofErr w:type="spellEnd"/>
      <w:r w:rsidRPr="00BD57CE">
        <w:rPr>
          <w:rFonts w:ascii="Bradley Hand ITC" w:hAnsi="Bradley Hand ITC"/>
          <w:sz w:val="24"/>
          <w:szCs w:val="24"/>
        </w:rPr>
        <w:t>, or the household and domestic fairies</w:t>
      </w:r>
    </w:p>
    <w:p w14:paraId="2D681E02" w14:textId="438A07CE" w:rsidR="00DA3C43" w:rsidRPr="00BD57CE" w:rsidRDefault="00DA3C43" w:rsidP="00DA3C43">
      <w:pPr>
        <w:pStyle w:val="ListParagraph"/>
        <w:numPr>
          <w:ilvl w:val="0"/>
          <w:numId w:val="11"/>
        </w:numPr>
        <w:spacing w:after="0" w:line="240" w:lineRule="auto"/>
        <w:rPr>
          <w:rFonts w:ascii="Bradley Hand ITC" w:hAnsi="Bradley Hand ITC"/>
          <w:sz w:val="24"/>
          <w:szCs w:val="24"/>
        </w:rPr>
      </w:pPr>
      <w:r w:rsidRPr="00BD57CE">
        <w:rPr>
          <w:rFonts w:ascii="Bradley Hand ITC" w:hAnsi="Bradley Hand ITC"/>
          <w:sz w:val="24"/>
          <w:szCs w:val="24"/>
        </w:rPr>
        <w:t xml:space="preserve">The </w:t>
      </w:r>
      <w:proofErr w:type="spellStart"/>
      <w:r w:rsidRPr="00BD57CE">
        <w:rPr>
          <w:rFonts w:ascii="Bradley Hand ITC" w:hAnsi="Bradley Hand ITC"/>
          <w:sz w:val="24"/>
          <w:szCs w:val="24"/>
        </w:rPr>
        <w:t>Gwragedd</w:t>
      </w:r>
      <w:proofErr w:type="spellEnd"/>
      <w:r w:rsidRPr="00BD57CE">
        <w:rPr>
          <w:rFonts w:ascii="Bradley Hand ITC" w:hAnsi="Bradley Hand ITC"/>
          <w:sz w:val="24"/>
          <w:szCs w:val="24"/>
        </w:rPr>
        <w:t xml:space="preserve"> Annwn, or the fairies of the lakes and streams</w:t>
      </w:r>
    </w:p>
    <w:p w14:paraId="4AFE3535" w14:textId="1BF06FEE" w:rsidR="004F0B2B" w:rsidRPr="00BD57CE" w:rsidRDefault="00DA3C43" w:rsidP="00DA3C43">
      <w:pPr>
        <w:pStyle w:val="ListParagraph"/>
        <w:numPr>
          <w:ilvl w:val="0"/>
          <w:numId w:val="11"/>
        </w:numPr>
        <w:spacing w:after="0" w:line="240" w:lineRule="auto"/>
        <w:rPr>
          <w:rFonts w:ascii="Bradley Hand ITC" w:hAnsi="Bradley Hand ITC"/>
          <w:sz w:val="24"/>
          <w:szCs w:val="24"/>
        </w:rPr>
      </w:pPr>
      <w:r w:rsidRPr="00BD57CE">
        <w:rPr>
          <w:rFonts w:ascii="Bradley Hand ITC" w:hAnsi="Bradley Hand ITC"/>
          <w:sz w:val="24"/>
          <w:szCs w:val="24"/>
        </w:rPr>
        <w:t xml:space="preserve">The </w:t>
      </w:r>
      <w:proofErr w:type="spellStart"/>
      <w:r w:rsidRPr="00BD57CE">
        <w:rPr>
          <w:rFonts w:ascii="Bradley Hand ITC" w:hAnsi="Bradley Hand ITC"/>
          <w:sz w:val="24"/>
          <w:szCs w:val="24"/>
        </w:rPr>
        <w:t>Gwyllion</w:t>
      </w:r>
      <w:proofErr w:type="spellEnd"/>
      <w:r w:rsidRPr="00BD57CE">
        <w:rPr>
          <w:rFonts w:ascii="Bradley Hand ITC" w:hAnsi="Bradley Hand ITC"/>
          <w:sz w:val="24"/>
          <w:szCs w:val="24"/>
        </w:rPr>
        <w:t>, or the fairies of the mountains</w:t>
      </w:r>
    </w:p>
    <w:p w14:paraId="2B5D0532" w14:textId="77777777" w:rsidR="00AF4614" w:rsidRDefault="00AF4614" w:rsidP="00066972">
      <w:pPr>
        <w:spacing w:after="0" w:line="240" w:lineRule="auto"/>
        <w:rPr>
          <w:rFonts w:ascii="Bradley Hand ITC" w:hAnsi="Bradley Hand ITC"/>
          <w:sz w:val="26"/>
          <w:szCs w:val="26"/>
        </w:rPr>
      </w:pPr>
    </w:p>
    <w:p w14:paraId="75A5CC7B" w14:textId="77777777" w:rsidR="002B3752" w:rsidRPr="00A60566" w:rsidRDefault="002B3752" w:rsidP="002B3752">
      <w:pPr>
        <w:spacing w:after="0" w:line="240" w:lineRule="auto"/>
        <w:rPr>
          <w:rFonts w:ascii="Bradley Hand ITC" w:hAnsi="Bradley Hand ITC"/>
          <w:sz w:val="56"/>
          <w:szCs w:val="56"/>
          <w:u w:val="single"/>
        </w:rPr>
      </w:pPr>
      <w:r w:rsidRPr="00A60566">
        <w:rPr>
          <w:rFonts w:ascii="Bradley Hand ITC" w:hAnsi="Bradley Hand ITC"/>
          <w:sz w:val="56"/>
          <w:szCs w:val="56"/>
          <w:u w:val="single"/>
        </w:rPr>
        <w:lastRenderedPageBreak/>
        <w:t>What is Superstition?</w:t>
      </w:r>
    </w:p>
    <w:p w14:paraId="74A28CFB" w14:textId="77777777" w:rsidR="002B3752" w:rsidRDefault="002B3752" w:rsidP="002B3752">
      <w:pPr>
        <w:spacing w:line="240" w:lineRule="auto"/>
        <w:rPr>
          <w:rFonts w:ascii="Bradley Hand ITC" w:hAnsi="Bradley Hand ITC"/>
        </w:rPr>
      </w:pPr>
      <w:r>
        <w:rPr>
          <w:rFonts w:ascii="Bradley Hand ITC" w:hAnsi="Bradley Hand ITC"/>
        </w:rPr>
        <w:t xml:space="preserve">According to Torunn Selberg in </w:t>
      </w:r>
      <w:r w:rsidRPr="0095065D">
        <w:rPr>
          <w:rFonts w:ascii="Bradley Hand ITC" w:hAnsi="Bradley Hand ITC"/>
          <w:i/>
          <w:iCs/>
        </w:rPr>
        <w:t>Taking Superstition Seriously</w:t>
      </w:r>
      <w:r>
        <w:rPr>
          <w:rFonts w:ascii="Bradley Hand ITC" w:hAnsi="Bradley Hand ITC"/>
        </w:rPr>
        <w:t>:</w:t>
      </w:r>
    </w:p>
    <w:p w14:paraId="1B077498" w14:textId="77777777" w:rsidR="002B3752" w:rsidRPr="0095065D" w:rsidRDefault="002B3752" w:rsidP="002B3752">
      <w:pPr>
        <w:spacing w:after="0" w:line="240" w:lineRule="auto"/>
        <w:ind w:left="720"/>
        <w:rPr>
          <w:rFonts w:ascii="Bradley Hand ITC" w:hAnsi="Bradley Hand ITC"/>
          <w:i/>
          <w:iCs/>
        </w:rPr>
      </w:pPr>
      <w:r w:rsidRPr="0095065D">
        <w:rPr>
          <w:rFonts w:ascii="Bradley Hand ITC" w:hAnsi="Bradley Hand ITC"/>
          <w:i/>
          <w:iCs/>
        </w:rPr>
        <w:t>Because alternative religiosity constitutes no part of any institutional and canonical religion, the ideas brokered by such religiosity can be referred to as superstition, or contemporary folk belief.</w:t>
      </w:r>
    </w:p>
    <w:p w14:paraId="0810A4FE" w14:textId="77777777" w:rsidR="002B3752" w:rsidRDefault="002B3752" w:rsidP="002B3752">
      <w:pPr>
        <w:spacing w:after="0" w:line="240" w:lineRule="auto"/>
        <w:rPr>
          <w:rFonts w:ascii="Bradley Hand ITC" w:hAnsi="Bradley Hand ITC"/>
        </w:rPr>
      </w:pPr>
    </w:p>
    <w:p w14:paraId="0196597A" w14:textId="77777777" w:rsidR="002B3752" w:rsidRDefault="002B3752" w:rsidP="002B3752">
      <w:pPr>
        <w:spacing w:after="0" w:line="240" w:lineRule="auto"/>
        <w:rPr>
          <w:rFonts w:ascii="Bradley Hand ITC" w:hAnsi="Bradley Hand ITC"/>
        </w:rPr>
      </w:pPr>
      <w:r>
        <w:rPr>
          <w:rFonts w:ascii="Bradley Hand ITC" w:hAnsi="Bradley Hand ITC"/>
          <w:noProof/>
        </w:rPr>
        <w:drawing>
          <wp:anchor distT="0" distB="0" distL="114300" distR="114300" simplePos="0" relativeHeight="251695104" behindDoc="0" locked="0" layoutInCell="1" allowOverlap="1" wp14:anchorId="343BB61C" wp14:editId="3B83B85D">
            <wp:simplePos x="0" y="0"/>
            <wp:positionH relativeFrom="column">
              <wp:posOffset>4476750</wp:posOffset>
            </wp:positionH>
            <wp:positionV relativeFrom="paragraph">
              <wp:posOffset>83185</wp:posOffset>
            </wp:positionV>
            <wp:extent cx="1323340" cy="2735580"/>
            <wp:effectExtent l="0" t="0" r="0" b="7620"/>
            <wp:wrapSquare wrapText="bothSides"/>
            <wp:docPr id="1832967170" name="Picture 13" descr="A close-up of a ro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967170" name="Picture 13" descr="A close-up of a rope&#10;&#10;AI-generated content may be incorrect."/>
                    <pic:cNvPicPr>
                      <a:picLocks noChangeAspect="1" noChangeArrowheads="1"/>
                    </pic:cNvPicPr>
                  </pic:nvPicPr>
                  <pic:blipFill rotWithShape="1">
                    <a:blip r:embed="rId12">
                      <a:extLst>
                        <a:ext uri="{28A0092B-C50C-407E-A947-70E740481C1C}">
                          <a14:useLocalDpi xmlns:a14="http://schemas.microsoft.com/office/drawing/2010/main" val="0"/>
                        </a:ext>
                      </a:extLst>
                    </a:blip>
                    <a:srcRect l="2681" t="1573" r="2570"/>
                    <a:stretch/>
                  </pic:blipFill>
                  <pic:spPr bwMode="auto">
                    <a:xfrm>
                      <a:off x="0" y="0"/>
                      <a:ext cx="1323340" cy="27355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Bradley Hand ITC" w:hAnsi="Bradley Hand ITC"/>
        </w:rPr>
        <w:t xml:space="preserve">In Wales, superstition is a huge cultural aspect of life, and indeed it impacts all aspects of life. From expectant mothers avoiding killing their unborn child by not stepping over a grave, to certain birth defects determining your career (being born with a caul is thought to make you protected from drownings so a caul was something sought after in sailors), to courtship, marriage and death, every important event is shrouded in tradition and superstition. Even ordinary everyday held superstitions, like bringing the plough into the dining room and sprinkling ale on it during the winter months to remember to plough the fields come springtime, or the making of the Y </w:t>
      </w:r>
      <w:proofErr w:type="spellStart"/>
      <w:r>
        <w:rPr>
          <w:rFonts w:ascii="Bradley Hand ITC" w:hAnsi="Bradley Hand ITC"/>
        </w:rPr>
        <w:t>Gaseg</w:t>
      </w:r>
      <w:proofErr w:type="spellEnd"/>
      <w:r>
        <w:rPr>
          <w:rFonts w:ascii="Bradley Hand ITC" w:hAnsi="Bradley Hand ITC"/>
        </w:rPr>
        <w:t xml:space="preserve"> Ben Fedi, a harvest knot made from the last sheaf and hung in the kitchen to encourage the crop to continue. The importance of the role that superstition played in rural Wales cannot be undermined. Although in modern day these beliefs have become less common place, their presence in previous generations is so intimate and profound that it is an inescapable force still present in Wales. </w:t>
      </w:r>
      <w:r>
        <w:rPr>
          <w:rStyle w:val="FootnoteReference"/>
          <w:rFonts w:ascii="Bradley Hand ITC" w:hAnsi="Bradley Hand ITC"/>
        </w:rPr>
        <w:footnoteReference w:id="6"/>
      </w:r>
    </w:p>
    <w:p w14:paraId="7FF34F72" w14:textId="77777777" w:rsidR="002B3752" w:rsidRDefault="002B3752" w:rsidP="002B3752">
      <w:pPr>
        <w:spacing w:after="0" w:line="240" w:lineRule="auto"/>
        <w:rPr>
          <w:rFonts w:ascii="Bradley Hand ITC" w:hAnsi="Bradley Hand ITC"/>
        </w:rPr>
      </w:pPr>
      <w:r>
        <w:rPr>
          <w:noProof/>
        </w:rPr>
        <mc:AlternateContent>
          <mc:Choice Requires="wps">
            <w:drawing>
              <wp:anchor distT="0" distB="0" distL="114300" distR="114300" simplePos="0" relativeHeight="251696128" behindDoc="0" locked="0" layoutInCell="1" allowOverlap="1" wp14:anchorId="5B8E3804" wp14:editId="7A07E7C3">
                <wp:simplePos x="0" y="0"/>
                <wp:positionH relativeFrom="column">
                  <wp:posOffset>4474845</wp:posOffset>
                </wp:positionH>
                <wp:positionV relativeFrom="paragraph">
                  <wp:posOffset>85090</wp:posOffset>
                </wp:positionV>
                <wp:extent cx="1323340" cy="472440"/>
                <wp:effectExtent l="0" t="0" r="0" b="3810"/>
                <wp:wrapSquare wrapText="bothSides"/>
                <wp:docPr id="1717242033" name="Text Box 1"/>
                <wp:cNvGraphicFramePr/>
                <a:graphic xmlns:a="http://schemas.openxmlformats.org/drawingml/2006/main">
                  <a:graphicData uri="http://schemas.microsoft.com/office/word/2010/wordprocessingShape">
                    <wps:wsp>
                      <wps:cNvSpPr txBox="1"/>
                      <wps:spPr>
                        <a:xfrm>
                          <a:off x="0" y="0"/>
                          <a:ext cx="1323340" cy="472440"/>
                        </a:xfrm>
                        <a:prstGeom prst="rect">
                          <a:avLst/>
                        </a:prstGeom>
                        <a:solidFill>
                          <a:prstClr val="white"/>
                        </a:solidFill>
                        <a:ln>
                          <a:noFill/>
                        </a:ln>
                      </wps:spPr>
                      <wps:txbx>
                        <w:txbxContent>
                          <w:p w14:paraId="514F98CD" w14:textId="77777777" w:rsidR="002B3752" w:rsidRPr="006053FD" w:rsidRDefault="002B3752" w:rsidP="002B3752">
                            <w:pPr>
                              <w:pStyle w:val="Caption"/>
                              <w:jc w:val="center"/>
                              <w:rPr>
                                <w:rFonts w:ascii="Bradley Hand ITC" w:hAnsi="Bradley Hand ITC"/>
                                <w:noProof/>
                                <w:sz w:val="22"/>
                                <w:szCs w:val="22"/>
                              </w:rPr>
                            </w:pPr>
                            <w:r w:rsidRPr="006053FD">
                              <w:rPr>
                                <w:rFonts w:ascii="Bradley Hand ITC" w:hAnsi="Bradley Hand ITC"/>
                              </w:rPr>
                              <w:t>Harvest knot, Geraint Jenkins, Life &amp; Tradition in Rural Wales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8E3804" id="_x0000_s1029" type="#_x0000_t202" style="position:absolute;margin-left:352.35pt;margin-top:6.7pt;width:104.2pt;height:37.2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" stroked="f">
                <v:textbox inset="0,0,0,0">
                  <w:txbxContent>
                    <w:p w14:paraId="514F98CD" w14:textId="77777777" w:rsidR="002B3752" w:rsidRPr="006053FD" w:rsidRDefault="002B3752" w:rsidP="002B3752">
                      <w:pPr>
                        <w:pStyle w:val="Caption"/>
                        <w:jc w:val="center"/>
                        <w:rPr>
                          <w:rFonts w:ascii="Bradley Hand ITC" w:hAnsi="Bradley Hand ITC"/>
                          <w:noProof/>
                          <w:sz w:val="22"/>
                          <w:szCs w:val="22"/>
                        </w:rPr>
                      </w:pPr>
                      <w:r w:rsidRPr="006053FD">
                        <w:rPr>
                          <w:rFonts w:ascii="Bradley Hand ITC" w:hAnsi="Bradley Hand ITC"/>
                        </w:rPr>
                        <w:t>Harvest knot, Geraint Jenkins, Life &amp; Tradition in Rural Wales</w:t>
                      </w:r>
                    </w:p>
                  </w:txbxContent>
                </v:textbox>
                <w10:wrap type="square"/>
              </v:shape>
            </w:pict>
          </mc:Fallback>
        </mc:AlternateContent>
      </w:r>
      <w:r>
        <w:rPr>
          <w:rFonts w:ascii="Bradley Hand ITC" w:hAnsi="Bradley Hand ITC"/>
        </w:rPr>
        <w:br w:type="textWrapping" w:clear="all"/>
      </w:r>
    </w:p>
    <w:p w14:paraId="1D9AC3B0" w14:textId="4FE075A8" w:rsidR="00CC7F77" w:rsidRPr="004405DC" w:rsidRDefault="00A70024" w:rsidP="00A70024">
      <w:pPr>
        <w:spacing w:after="0" w:line="240" w:lineRule="auto"/>
        <w:rPr>
          <w:rFonts w:ascii="Bradley Hand ITC" w:hAnsi="Bradley Hand ITC"/>
          <w:sz w:val="56"/>
          <w:szCs w:val="56"/>
          <w:u w:val="single"/>
        </w:rPr>
      </w:pPr>
      <w:r w:rsidRPr="00B11D55">
        <w:rPr>
          <w:rFonts w:ascii="Bradley Hand ITC" w:hAnsi="Bradley Hand ITC"/>
        </w:rPr>
        <w:lastRenderedPageBreak/>
        <w:drawing>
          <wp:anchor distT="0" distB="0" distL="114300" distR="114300" simplePos="0" relativeHeight="251681792" behindDoc="0" locked="0" layoutInCell="1" allowOverlap="1" wp14:anchorId="7936C421" wp14:editId="7D3A9BD0">
            <wp:simplePos x="0" y="0"/>
            <wp:positionH relativeFrom="margin">
              <wp:posOffset>4068445</wp:posOffset>
            </wp:positionH>
            <wp:positionV relativeFrom="paragraph">
              <wp:posOffset>387985</wp:posOffset>
            </wp:positionV>
            <wp:extent cx="1511935" cy="2165350"/>
            <wp:effectExtent l="0" t="0" r="0" b="6350"/>
            <wp:wrapSquare wrapText="bothSides"/>
            <wp:docPr id="764870771" name="Picture 1" descr="A person reaching out to a small do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870771" name="Picture 1" descr="A person reaching out to a small doll&#10;&#10;AI-generated content may be incorrect."/>
                    <pic:cNvPicPr/>
                  </pic:nvPicPr>
                  <pic:blipFill rotWithShape="1">
                    <a:blip r:embed="rId13" cstate="print">
                      <a:extLst>
                        <a:ext uri="{BEBA8EAE-BF5A-486C-A8C5-ECC9F3942E4B}">
                          <a14:imgProps xmlns:a14="http://schemas.microsoft.com/office/drawing/2010/main">
                            <a14:imgLayer r:embed="rId14">
                              <a14:imgEffect>
                                <a14:brightnessContrast bright="20000"/>
                              </a14:imgEffect>
                            </a14:imgLayer>
                          </a14:imgProps>
                        </a:ext>
                        <a:ext uri="{28A0092B-C50C-407E-A947-70E740481C1C}">
                          <a14:useLocalDpi xmlns:a14="http://schemas.microsoft.com/office/drawing/2010/main" val="0"/>
                        </a:ext>
                      </a:extLst>
                    </a:blip>
                    <a:srcRect r="1594"/>
                    <a:stretch/>
                  </pic:blipFill>
                  <pic:spPr bwMode="auto">
                    <a:xfrm>
                      <a:off x="0" y="0"/>
                      <a:ext cx="1511935" cy="2165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405DC" w:rsidRPr="004405DC">
        <w:rPr>
          <w:rFonts w:ascii="Bradley Hand ITC" w:hAnsi="Bradley Hand ITC"/>
          <w:sz w:val="56"/>
          <w:szCs w:val="56"/>
          <w:u w:val="single"/>
        </w:rPr>
        <w:t>Ellyllon: The Elves</w:t>
      </w:r>
    </w:p>
    <w:p w14:paraId="4A397540" w14:textId="4F5B189F" w:rsidR="00B11D55" w:rsidRDefault="00A70024" w:rsidP="00066972">
      <w:pPr>
        <w:jc w:val="both"/>
        <w:rPr>
          <w:rFonts w:ascii="Bradley Hand ITC" w:hAnsi="Bradley Hand ITC"/>
        </w:rPr>
      </w:pPr>
      <w:r>
        <w:rPr>
          <w:noProof/>
        </w:rPr>
        <mc:AlternateContent>
          <mc:Choice Requires="wps">
            <w:drawing>
              <wp:anchor distT="0" distB="0" distL="114300" distR="114300" simplePos="0" relativeHeight="251683840" behindDoc="0" locked="0" layoutInCell="1" allowOverlap="1" wp14:anchorId="549A895B" wp14:editId="5F51F951">
                <wp:simplePos x="0" y="0"/>
                <wp:positionH relativeFrom="margin">
                  <wp:align>right</wp:align>
                </wp:positionH>
                <wp:positionV relativeFrom="paragraph">
                  <wp:posOffset>1979295</wp:posOffset>
                </wp:positionV>
                <wp:extent cx="1511935" cy="419100"/>
                <wp:effectExtent l="0" t="0" r="0" b="0"/>
                <wp:wrapSquare wrapText="bothSides"/>
                <wp:docPr id="1820561170" name="Text Box 1"/>
                <wp:cNvGraphicFramePr/>
                <a:graphic xmlns:a="http://schemas.openxmlformats.org/drawingml/2006/main">
                  <a:graphicData uri="http://schemas.microsoft.com/office/word/2010/wordprocessingShape">
                    <wps:wsp>
                      <wps:cNvSpPr txBox="1"/>
                      <wps:spPr>
                        <a:xfrm>
                          <a:off x="0" y="0"/>
                          <a:ext cx="1511935" cy="419100"/>
                        </a:xfrm>
                        <a:prstGeom prst="rect">
                          <a:avLst/>
                        </a:prstGeom>
                        <a:solidFill>
                          <a:prstClr val="white"/>
                        </a:solidFill>
                        <a:ln>
                          <a:noFill/>
                        </a:ln>
                      </wps:spPr>
                      <wps:txbx>
                        <w:txbxContent>
                          <w:p w14:paraId="33490F6C" w14:textId="5069B391" w:rsidR="00B11D55" w:rsidRPr="002F7C03" w:rsidRDefault="00B11D55" w:rsidP="00B11D55">
                            <w:pPr>
                              <w:pStyle w:val="Caption"/>
                              <w:jc w:val="center"/>
                              <w:rPr>
                                <w:rFonts w:ascii="Bradley Hand ITC" w:hAnsi="Bradley Hand ITC"/>
                                <w:sz w:val="20"/>
                                <w:szCs w:val="20"/>
                              </w:rPr>
                            </w:pPr>
                            <w:r w:rsidRPr="002F7C03">
                              <w:rPr>
                                <w:rFonts w:ascii="Bradley Hand ITC" w:hAnsi="Bradley Hand ITC"/>
                                <w:sz w:val="16"/>
                                <w:szCs w:val="16"/>
                              </w:rPr>
                              <w:t>Wirt Sikes, British Goblins: Welsh Folklore, Fairy Mythology, Legends and Traditions, 1880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9A895B" id="_x0000_s1030" type="#_x0000_t202" style="position:absolute;left:0;text-align:left;margin-left:67.85pt;margin-top:155.85pt;width:119.05pt;height:33pt;z-index:2516838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" stroked="f">
                <v:textbox inset="0,0,0,0">
                  <w:txbxContent>
                    <w:p w14:paraId="33490F6C" w14:textId="5069B391" w:rsidR="00B11D55" w:rsidRPr="002F7C03" w:rsidRDefault="00B11D55" w:rsidP="00B11D55">
                      <w:pPr>
                        <w:pStyle w:val="Caption"/>
                        <w:jc w:val="center"/>
                        <w:rPr>
                          <w:rFonts w:ascii="Bradley Hand ITC" w:hAnsi="Bradley Hand ITC"/>
                          <w:sz w:val="20"/>
                          <w:szCs w:val="20"/>
                        </w:rPr>
                      </w:pPr>
                      <w:r w:rsidRPr="002F7C03">
                        <w:rPr>
                          <w:rFonts w:ascii="Bradley Hand ITC" w:hAnsi="Bradley Hand ITC"/>
                          <w:sz w:val="16"/>
                          <w:szCs w:val="16"/>
                        </w:rPr>
                        <w:t>Wirt Sikes, British Goblins: Welsh Folklore, Fairy Mythology, Legends and Traditions, 1880</w:t>
                      </w:r>
                    </w:p>
                  </w:txbxContent>
                </v:textbox>
                <w10:wrap type="square" anchorx="margin"/>
              </v:shape>
            </w:pict>
          </mc:Fallback>
        </mc:AlternateContent>
      </w:r>
      <w:r w:rsidR="00357F77">
        <w:rPr>
          <w:rFonts w:ascii="Bradley Hand ITC" w:hAnsi="Bradley Hand ITC"/>
        </w:rPr>
        <w:t xml:space="preserve">The </w:t>
      </w:r>
      <w:proofErr w:type="spellStart"/>
      <w:r w:rsidR="00357F77">
        <w:rPr>
          <w:rFonts w:ascii="Bradley Hand ITC" w:hAnsi="Bradley Hand ITC"/>
        </w:rPr>
        <w:t>Ellyll</w:t>
      </w:r>
      <w:proofErr w:type="spellEnd"/>
      <w:r w:rsidR="00357F77">
        <w:rPr>
          <w:rFonts w:ascii="Bradley Hand ITC" w:hAnsi="Bradley Hand ITC"/>
        </w:rPr>
        <w:t xml:space="preserve"> (pl. Ellyllon) are Welsh pygmy elves. It</w:t>
      </w:r>
      <w:r w:rsidR="00066972">
        <w:rPr>
          <w:rFonts w:ascii="Bradley Hand ITC" w:hAnsi="Bradley Hand ITC"/>
        </w:rPr>
        <w:t>’</w:t>
      </w:r>
      <w:r w:rsidR="00357F77">
        <w:rPr>
          <w:rFonts w:ascii="Bradley Hand ITC" w:hAnsi="Bradley Hand ITC"/>
        </w:rPr>
        <w:t>s believed that the English word ‘elf’ comes from the Welsh ‘</w:t>
      </w:r>
      <w:proofErr w:type="spellStart"/>
      <w:r w:rsidR="00357F77">
        <w:rPr>
          <w:rFonts w:ascii="Bradley Hand ITC" w:hAnsi="Bradley Hand ITC"/>
        </w:rPr>
        <w:t>el</w:t>
      </w:r>
      <w:proofErr w:type="spellEnd"/>
      <w:r w:rsidR="00357F77">
        <w:rPr>
          <w:rFonts w:ascii="Bradley Hand ITC" w:hAnsi="Bradley Hand ITC"/>
        </w:rPr>
        <w:t>’ meaning ‘spirit’</w:t>
      </w:r>
      <w:r w:rsidR="00BB12C7">
        <w:rPr>
          <w:rFonts w:ascii="Bradley Hand ITC" w:hAnsi="Bradley Hand ITC"/>
        </w:rPr>
        <w:t xml:space="preserve"> and ‘</w:t>
      </w:r>
      <w:proofErr w:type="spellStart"/>
      <w:r w:rsidR="00BB12C7">
        <w:rPr>
          <w:rFonts w:ascii="Bradley Hand ITC" w:hAnsi="Bradley Hand ITC"/>
        </w:rPr>
        <w:t>elfen</w:t>
      </w:r>
      <w:proofErr w:type="spellEnd"/>
      <w:r w:rsidR="00BB12C7">
        <w:rPr>
          <w:rFonts w:ascii="Bradley Hand ITC" w:hAnsi="Bradley Hand ITC"/>
        </w:rPr>
        <w:t>’ meaning ‘element’. They live in groves and valleys</w:t>
      </w:r>
      <w:r w:rsidR="0014595C">
        <w:rPr>
          <w:rFonts w:ascii="Bradley Hand ITC" w:hAnsi="Bradley Hand ITC"/>
        </w:rPr>
        <w:t xml:space="preserve"> and eat </w:t>
      </w:r>
      <w:proofErr w:type="spellStart"/>
      <w:r w:rsidR="0014595C">
        <w:rPr>
          <w:rFonts w:ascii="Bradley Hand ITC" w:hAnsi="Bradley Hand ITC"/>
        </w:rPr>
        <w:t>ymenyn</w:t>
      </w:r>
      <w:proofErr w:type="spellEnd"/>
      <w:r w:rsidR="0014595C">
        <w:rPr>
          <w:rFonts w:ascii="Bradley Hand ITC" w:hAnsi="Bradley Hand ITC"/>
        </w:rPr>
        <w:t xml:space="preserve"> </w:t>
      </w:r>
      <w:proofErr w:type="spellStart"/>
      <w:r w:rsidR="0014595C">
        <w:rPr>
          <w:rFonts w:ascii="Bradley Hand ITC" w:hAnsi="Bradley Hand ITC"/>
        </w:rPr>
        <w:t>tylwyth</w:t>
      </w:r>
      <w:proofErr w:type="spellEnd"/>
      <w:r w:rsidR="0014595C">
        <w:rPr>
          <w:rFonts w:ascii="Bradley Hand ITC" w:hAnsi="Bradley Hand ITC"/>
        </w:rPr>
        <w:t xml:space="preserve"> teg, a </w:t>
      </w:r>
      <w:r w:rsidR="00182E1F">
        <w:rPr>
          <w:rFonts w:ascii="Bradley Hand ITC" w:hAnsi="Bradley Hand ITC"/>
        </w:rPr>
        <w:t xml:space="preserve">fungoid </w:t>
      </w:r>
      <w:r w:rsidR="0014595C">
        <w:rPr>
          <w:rFonts w:ascii="Bradley Hand ITC" w:hAnsi="Bradley Hand ITC"/>
        </w:rPr>
        <w:t>substance like butter</w:t>
      </w:r>
      <w:r w:rsidR="00182E1F">
        <w:rPr>
          <w:rFonts w:ascii="Bradley Hand ITC" w:hAnsi="Bradley Hand ITC"/>
        </w:rPr>
        <w:t xml:space="preserve"> found in the cracks of limestone rocks, and </w:t>
      </w:r>
      <w:proofErr w:type="spellStart"/>
      <w:r w:rsidR="00182E1F">
        <w:rPr>
          <w:rFonts w:ascii="Bradley Hand ITC" w:hAnsi="Bradley Hand ITC"/>
        </w:rPr>
        <w:t>bwyd</w:t>
      </w:r>
      <w:proofErr w:type="spellEnd"/>
      <w:r w:rsidR="00182E1F">
        <w:rPr>
          <w:rFonts w:ascii="Bradley Hand ITC" w:hAnsi="Bradley Hand ITC"/>
        </w:rPr>
        <w:t xml:space="preserve"> </w:t>
      </w:r>
      <w:proofErr w:type="spellStart"/>
      <w:r w:rsidR="00182E1F">
        <w:rPr>
          <w:rFonts w:ascii="Bradley Hand ITC" w:hAnsi="Bradley Hand ITC"/>
        </w:rPr>
        <w:t>ellyllon</w:t>
      </w:r>
      <w:proofErr w:type="spellEnd"/>
      <w:r w:rsidR="00182E1F">
        <w:rPr>
          <w:rFonts w:ascii="Bradley Hand ITC" w:hAnsi="Bradley Hand ITC"/>
        </w:rPr>
        <w:t xml:space="preserve">, a poisonous mushroom or toadstool. </w:t>
      </w:r>
      <w:r w:rsidR="00B11D55">
        <w:rPr>
          <w:rStyle w:val="FootnoteReference"/>
          <w:rFonts w:ascii="Bradley Hand ITC" w:hAnsi="Bradley Hand ITC"/>
        </w:rPr>
        <w:footnoteReference w:id="7"/>
      </w:r>
      <w:r w:rsidR="00B11D55">
        <w:rPr>
          <w:rFonts w:ascii="Bradley Hand ITC" w:hAnsi="Bradley Hand ITC"/>
        </w:rPr>
        <w:t xml:space="preserve"> </w:t>
      </w:r>
      <w:r w:rsidR="00C37EB4">
        <w:rPr>
          <w:rFonts w:ascii="Bradley Hand ITC" w:hAnsi="Bradley Hand ITC"/>
        </w:rPr>
        <w:t xml:space="preserve">A tale from Cardiff tells of a man with failing crops who is promised by an </w:t>
      </w:r>
      <w:proofErr w:type="spellStart"/>
      <w:r w:rsidR="00C37EB4">
        <w:rPr>
          <w:rFonts w:ascii="Bradley Hand ITC" w:hAnsi="Bradley Hand ITC"/>
        </w:rPr>
        <w:t>Ellyll</w:t>
      </w:r>
      <w:proofErr w:type="spellEnd"/>
      <w:r w:rsidR="00C37EB4">
        <w:rPr>
          <w:rFonts w:ascii="Bradley Hand ITC" w:hAnsi="Bradley Hand ITC"/>
        </w:rPr>
        <w:t xml:space="preserve"> that as long as the floor is swept, and a candle is lit at night</w:t>
      </w:r>
      <w:r w:rsidR="00066972">
        <w:rPr>
          <w:rFonts w:ascii="Bradley Hand ITC" w:hAnsi="Bradley Hand ITC"/>
        </w:rPr>
        <w:t>, his farm will flourish</w:t>
      </w:r>
      <w:r w:rsidR="00C37EB4">
        <w:rPr>
          <w:rFonts w:ascii="Bradley Hand ITC" w:hAnsi="Bradley Hand ITC"/>
        </w:rPr>
        <w:t xml:space="preserve">. He does so, and for years their home is visited by Ellyllon every night who would have merry parties, and the farm </w:t>
      </w:r>
      <w:r w:rsidR="00066972">
        <w:rPr>
          <w:rFonts w:ascii="Bradley Hand ITC" w:hAnsi="Bradley Hand ITC"/>
        </w:rPr>
        <w:t>indeed</w:t>
      </w:r>
      <w:r w:rsidR="00C37EB4">
        <w:rPr>
          <w:rFonts w:ascii="Bradley Hand ITC" w:hAnsi="Bradley Hand ITC"/>
        </w:rPr>
        <w:t xml:space="preserve"> flourished. One day, the wife got curious of these parties and snuck downstairs after her husband fell asleep. She saw the Ellyllon and their merriment was so contagious that she burst out laughing, blowing out the candle.</w:t>
      </w:r>
      <w:r w:rsidR="00BE3F80">
        <w:rPr>
          <w:rFonts w:ascii="Bradley Hand ITC" w:hAnsi="Bradley Hand ITC"/>
        </w:rPr>
        <w:t xml:space="preserve"> The Ellyllon left at once and never returned to the farm, but no more bad luck came to the husband and wife. </w:t>
      </w:r>
      <w:r w:rsidR="00BE3F80">
        <w:rPr>
          <w:rStyle w:val="FootnoteReference"/>
          <w:rFonts w:ascii="Bradley Hand ITC" w:hAnsi="Bradley Hand ITC"/>
        </w:rPr>
        <w:footnoteReference w:id="8"/>
      </w:r>
    </w:p>
    <w:p w14:paraId="06D8D886" w14:textId="6F224A51" w:rsidR="00A14D2B" w:rsidRPr="00BD57CE" w:rsidRDefault="00BE3F80" w:rsidP="00066972">
      <w:pPr>
        <w:spacing w:after="0"/>
        <w:jc w:val="both"/>
        <w:rPr>
          <w:rFonts w:ascii="Bradley Hand ITC" w:hAnsi="Bradley Hand ITC"/>
        </w:rPr>
      </w:pPr>
      <w:r>
        <w:rPr>
          <w:rFonts w:ascii="Bradley Hand ITC" w:hAnsi="Bradley Hand ITC"/>
        </w:rPr>
        <w:t xml:space="preserve">The </w:t>
      </w:r>
      <w:proofErr w:type="spellStart"/>
      <w:r>
        <w:rPr>
          <w:rFonts w:ascii="Bradley Hand ITC" w:hAnsi="Bradley Hand ITC"/>
        </w:rPr>
        <w:t>Ellylldan</w:t>
      </w:r>
      <w:proofErr w:type="spellEnd"/>
      <w:r>
        <w:rPr>
          <w:rFonts w:ascii="Bradley Hand ITC" w:hAnsi="Bradley Hand ITC"/>
        </w:rPr>
        <w:t xml:space="preserve"> are the Welsh will-of-the-wisp. Despite their associations with the </w:t>
      </w:r>
      <w:proofErr w:type="spellStart"/>
      <w:r>
        <w:rPr>
          <w:rFonts w:ascii="Bradley Hand ITC" w:hAnsi="Bradley Hand ITC"/>
        </w:rPr>
        <w:t>Pwca</w:t>
      </w:r>
      <w:proofErr w:type="spellEnd"/>
      <w:r>
        <w:rPr>
          <w:rFonts w:ascii="Bradley Hand ITC" w:hAnsi="Bradley Hand ITC"/>
        </w:rPr>
        <w:t xml:space="preserve">, they are classed as type of Welsh elf. Their name is very similar to that of the </w:t>
      </w:r>
      <w:proofErr w:type="spellStart"/>
      <w:r>
        <w:rPr>
          <w:rFonts w:ascii="Bradley Hand ITC" w:hAnsi="Bradley Hand ITC"/>
        </w:rPr>
        <w:t>Ellyll</w:t>
      </w:r>
      <w:proofErr w:type="spellEnd"/>
      <w:r>
        <w:rPr>
          <w:rFonts w:ascii="Bradley Hand ITC" w:hAnsi="Bradley Hand ITC"/>
        </w:rPr>
        <w:t>, but with the addition of ‘dan’ which in Welsh means ‘fire’ or ‘lure’, so their name translates to ‘luring elf fire’</w:t>
      </w:r>
      <w:r w:rsidR="008825A1">
        <w:rPr>
          <w:rFonts w:ascii="Bradley Hand ITC" w:hAnsi="Bradley Hand ITC"/>
        </w:rPr>
        <w:t xml:space="preserve">, which aligns them with the typical actions of will-of-the-wisp. </w:t>
      </w:r>
      <w:r w:rsidR="00204C24">
        <w:rPr>
          <w:rFonts w:ascii="Bradley Hand ITC" w:hAnsi="Bradley Hand ITC"/>
        </w:rPr>
        <w:t xml:space="preserve">The </w:t>
      </w:r>
      <w:proofErr w:type="spellStart"/>
      <w:r w:rsidR="00204C24">
        <w:rPr>
          <w:rFonts w:ascii="Bradley Hand ITC" w:hAnsi="Bradley Hand ITC"/>
        </w:rPr>
        <w:t>Ellylldan</w:t>
      </w:r>
      <w:proofErr w:type="spellEnd"/>
      <w:r w:rsidR="00204C24">
        <w:rPr>
          <w:rFonts w:ascii="Bradley Hand ITC" w:hAnsi="Bradley Hand ITC"/>
        </w:rPr>
        <w:t xml:space="preserve"> are described as hideous, five foot tall, covered in long hair, with huge mouths and goggle eyes, and they have five fiery </w:t>
      </w:r>
      <w:r w:rsidR="00497B12">
        <w:rPr>
          <w:rFonts w:ascii="Bradley Hand ITC" w:hAnsi="Bradley Hand ITC"/>
        </w:rPr>
        <w:t>lights that they hold in their hands and spin like a wheel. They live in the marshes and swamps where they dance and wait for a hapless wanderer to come across them, where the</w:t>
      </w:r>
      <w:r w:rsidR="00A70024">
        <w:rPr>
          <w:rFonts w:ascii="Bradley Hand ITC" w:hAnsi="Bradley Hand ITC"/>
        </w:rPr>
        <w:t xml:space="preserve"> </w:t>
      </w:r>
      <w:proofErr w:type="spellStart"/>
      <w:r w:rsidR="00A70024">
        <w:rPr>
          <w:rFonts w:ascii="Bradley Hand ITC" w:hAnsi="Bradley Hand ITC"/>
        </w:rPr>
        <w:t>Ellylldan</w:t>
      </w:r>
      <w:proofErr w:type="spellEnd"/>
      <w:r w:rsidR="00497B12">
        <w:rPr>
          <w:rFonts w:ascii="Bradley Hand ITC" w:hAnsi="Bradley Hand ITC"/>
        </w:rPr>
        <w:t xml:space="preserve"> then entrance the</w:t>
      </w:r>
      <w:r w:rsidR="00A70024">
        <w:rPr>
          <w:rFonts w:ascii="Bradley Hand ITC" w:hAnsi="Bradley Hand ITC"/>
        </w:rPr>
        <w:t xml:space="preserve">ir victim and compel them to follow them into the swamp, where they are left to die. </w:t>
      </w:r>
      <w:r w:rsidR="00A70024">
        <w:rPr>
          <w:rStyle w:val="FootnoteReference"/>
          <w:rFonts w:ascii="Bradley Hand ITC" w:hAnsi="Bradley Hand ITC"/>
        </w:rPr>
        <w:footnoteReference w:id="9"/>
      </w:r>
    </w:p>
    <w:p w14:paraId="5FA307A8" w14:textId="78194463" w:rsidR="00F7112B" w:rsidRPr="00F7112B" w:rsidRDefault="00F7112B" w:rsidP="00F7112B">
      <w:pPr>
        <w:spacing w:line="240" w:lineRule="auto"/>
        <w:rPr>
          <w:rFonts w:ascii="Bradley Hand ITC" w:hAnsi="Bradley Hand ITC"/>
          <w:sz w:val="56"/>
          <w:szCs w:val="56"/>
          <w:u w:val="single"/>
        </w:rPr>
      </w:pPr>
      <w:proofErr w:type="spellStart"/>
      <w:r w:rsidRPr="00F7112B">
        <w:rPr>
          <w:rFonts w:ascii="Bradley Hand ITC" w:hAnsi="Bradley Hand ITC"/>
          <w:sz w:val="56"/>
          <w:szCs w:val="56"/>
          <w:u w:val="single"/>
        </w:rPr>
        <w:lastRenderedPageBreak/>
        <w:t>Coblynau</w:t>
      </w:r>
      <w:proofErr w:type="spellEnd"/>
      <w:r w:rsidRPr="00F7112B">
        <w:rPr>
          <w:rFonts w:ascii="Bradley Hand ITC" w:hAnsi="Bradley Hand ITC"/>
          <w:sz w:val="56"/>
          <w:szCs w:val="56"/>
          <w:u w:val="single"/>
        </w:rPr>
        <w:t>: The Fairies of the Mines</w:t>
      </w:r>
    </w:p>
    <w:p w14:paraId="4CCB1E9E" w14:textId="38977A8D" w:rsidR="00F7112B" w:rsidRDefault="005A33CB" w:rsidP="0057471A">
      <w:pPr>
        <w:spacing w:line="240" w:lineRule="auto"/>
        <w:jc w:val="both"/>
        <w:rPr>
          <w:rFonts w:ascii="Bradley Hand ITC" w:hAnsi="Bradley Hand ITC"/>
        </w:rPr>
      </w:pPr>
      <w:r>
        <w:rPr>
          <w:noProof/>
        </w:rPr>
        <mc:AlternateContent>
          <mc:Choice Requires="wps">
            <w:drawing>
              <wp:anchor distT="0" distB="0" distL="114300" distR="114300" simplePos="0" relativeHeight="251686912" behindDoc="0" locked="0" layoutInCell="1" allowOverlap="1" wp14:anchorId="711D03AF" wp14:editId="579FB744">
                <wp:simplePos x="0" y="0"/>
                <wp:positionH relativeFrom="margin">
                  <wp:align>left</wp:align>
                </wp:positionH>
                <wp:positionV relativeFrom="paragraph">
                  <wp:posOffset>1065530</wp:posOffset>
                </wp:positionV>
                <wp:extent cx="3101340" cy="304800"/>
                <wp:effectExtent l="0" t="0" r="3810" b="0"/>
                <wp:wrapSquare wrapText="bothSides"/>
                <wp:docPr id="576009916" name="Text Box 1"/>
                <wp:cNvGraphicFramePr/>
                <a:graphic xmlns:a="http://schemas.openxmlformats.org/drawingml/2006/main">
                  <a:graphicData uri="http://schemas.microsoft.com/office/word/2010/wordprocessingShape">
                    <wps:wsp>
                      <wps:cNvSpPr txBox="1"/>
                      <wps:spPr>
                        <a:xfrm>
                          <a:off x="0" y="0"/>
                          <a:ext cx="3101340" cy="304800"/>
                        </a:xfrm>
                        <a:prstGeom prst="rect">
                          <a:avLst/>
                        </a:prstGeom>
                        <a:solidFill>
                          <a:prstClr val="white"/>
                        </a:solidFill>
                        <a:ln>
                          <a:noFill/>
                        </a:ln>
                      </wps:spPr>
                      <wps:txbx>
                        <w:txbxContent>
                          <w:p w14:paraId="44B556AC" w14:textId="1FEF2953" w:rsidR="002F7C03" w:rsidRPr="002F7C03" w:rsidRDefault="002F7C03" w:rsidP="002F7C03">
                            <w:pPr>
                              <w:pStyle w:val="Caption"/>
                              <w:jc w:val="center"/>
                              <w:rPr>
                                <w:rFonts w:ascii="Bradley Hand ITC" w:hAnsi="Bradley Hand ITC"/>
                                <w:sz w:val="22"/>
                                <w:szCs w:val="22"/>
                              </w:rPr>
                            </w:pPr>
                            <w:r w:rsidRPr="002F7C03">
                              <w:rPr>
                                <w:rFonts w:ascii="Bradley Hand ITC" w:hAnsi="Bradley Hand ITC"/>
                              </w:rPr>
                              <w:t>Wirt Sikes, British Goblins: Welsh Folklore, Fairy Mythology, Legends and Traditions, 1880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1D03AF" id="_x0000_s1031" type="#_x0000_t202" style="position:absolute;left:0;text-align:left;margin-left:0;margin-top:83.9pt;width:244.2pt;height:24pt;z-index:25168691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" stroked="f">
                <v:textbox inset="0,0,0,0">
                  <w:txbxContent>
                    <w:p w14:paraId="44B556AC" w14:textId="1FEF2953" w:rsidR="002F7C03" w:rsidRPr="002F7C03" w:rsidRDefault="002F7C03" w:rsidP="002F7C03">
                      <w:pPr>
                        <w:pStyle w:val="Caption"/>
                        <w:jc w:val="center"/>
                        <w:rPr>
                          <w:rFonts w:ascii="Bradley Hand ITC" w:hAnsi="Bradley Hand ITC"/>
                          <w:sz w:val="22"/>
                          <w:szCs w:val="22"/>
                        </w:rPr>
                      </w:pPr>
                      <w:r w:rsidRPr="002F7C03">
                        <w:rPr>
                          <w:rFonts w:ascii="Bradley Hand ITC" w:hAnsi="Bradley Hand ITC"/>
                        </w:rPr>
                        <w:t>Wirt Sikes, British Goblins: Welsh Folklore, Fairy Mythology, Legends and Traditions, 1880</w:t>
                      </w:r>
                    </w:p>
                  </w:txbxContent>
                </v:textbox>
                <w10:wrap type="square" anchorx="margin"/>
              </v:shape>
            </w:pict>
          </mc:Fallback>
        </mc:AlternateContent>
      </w:r>
      <w:r w:rsidR="00586F9A" w:rsidRPr="002F7C03">
        <w:rPr>
          <w:rFonts w:ascii="Bradley Hand ITC" w:hAnsi="Bradley Hand ITC"/>
        </w:rPr>
        <w:drawing>
          <wp:anchor distT="0" distB="0" distL="114300" distR="114300" simplePos="0" relativeHeight="251684864" behindDoc="0" locked="0" layoutInCell="1" allowOverlap="1" wp14:anchorId="3BBAE61C" wp14:editId="18FEA9D3">
            <wp:simplePos x="0" y="0"/>
            <wp:positionH relativeFrom="margin">
              <wp:align>left</wp:align>
            </wp:positionH>
            <wp:positionV relativeFrom="paragraph">
              <wp:posOffset>10795</wp:posOffset>
            </wp:positionV>
            <wp:extent cx="3101340" cy="1005205"/>
            <wp:effectExtent l="0" t="0" r="3810" b="4445"/>
            <wp:wrapSquare wrapText="bothSides"/>
            <wp:docPr id="1834846420" name="Picture 1" descr="A drawing of a person pulling a cart with a person in a 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846420" name="Picture 1" descr="A drawing of a person pulling a cart with a person in a hat&#10;&#10;AI-generated content may be incorrect."/>
                    <pic:cNvPicPr/>
                  </pic:nvPicPr>
                  <pic:blipFill rotWithShape="1">
                    <a:blip r:embed="rId15" cstate="print">
                      <a:extLst>
                        <a:ext uri="{BEBA8EAE-BF5A-486C-A8C5-ECC9F3942E4B}">
                          <a14:imgProps xmlns:a14="http://schemas.microsoft.com/office/drawing/2010/main">
                            <a14:imgLayer r:embed="rId16">
                              <a14:imgEffect>
                                <a14:brightnessContrast bright="20000"/>
                              </a14:imgEffect>
                            </a14:imgLayer>
                          </a14:imgProps>
                        </a:ext>
                        <a:ext uri="{28A0092B-C50C-407E-A947-70E740481C1C}">
                          <a14:useLocalDpi xmlns:a14="http://schemas.microsoft.com/office/drawing/2010/main" val="0"/>
                        </a:ext>
                      </a:extLst>
                    </a:blip>
                    <a:srcRect l="3003" t="2061" r="1411" b="4363"/>
                    <a:stretch/>
                  </pic:blipFill>
                  <pic:spPr bwMode="auto">
                    <a:xfrm>
                      <a:off x="0" y="0"/>
                      <a:ext cx="3101340" cy="10052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F7C03">
        <w:rPr>
          <w:rFonts w:ascii="Bradley Hand ITC" w:hAnsi="Bradley Hand ITC"/>
        </w:rPr>
        <w:t xml:space="preserve">The </w:t>
      </w:r>
      <w:proofErr w:type="spellStart"/>
      <w:r w:rsidR="002F7C03">
        <w:rPr>
          <w:rFonts w:ascii="Bradley Hand ITC" w:hAnsi="Bradley Hand ITC"/>
        </w:rPr>
        <w:t>Coblynau</w:t>
      </w:r>
      <w:proofErr w:type="spellEnd"/>
      <w:r w:rsidR="002F7C03">
        <w:rPr>
          <w:rFonts w:ascii="Bradley Hand ITC" w:hAnsi="Bradley Hand ITC"/>
        </w:rPr>
        <w:t xml:space="preserve"> are the fairies that haunt the mines and other underground dwellings, they can be equated to be the Welsh equivalents of gnomes, or dwarfs, or trolls. ‘</w:t>
      </w:r>
      <w:proofErr w:type="spellStart"/>
      <w:r w:rsidR="002F7C03">
        <w:rPr>
          <w:rFonts w:ascii="Bradley Hand ITC" w:hAnsi="Bradley Hand ITC"/>
        </w:rPr>
        <w:t>Coblyn</w:t>
      </w:r>
      <w:proofErr w:type="spellEnd"/>
      <w:r w:rsidR="002F7C03">
        <w:rPr>
          <w:rFonts w:ascii="Bradley Hand ITC" w:hAnsi="Bradley Hand ITC"/>
        </w:rPr>
        <w:t>’ is phonetically similar to the English Goblin, and means ‘knocker’ or ‘thumper’, so they are often associated with the Cornish Knockers</w:t>
      </w:r>
      <w:r w:rsidR="00586F9A">
        <w:rPr>
          <w:rFonts w:ascii="Bradley Hand ITC" w:hAnsi="Bradley Hand ITC"/>
        </w:rPr>
        <w:t xml:space="preserve">. The </w:t>
      </w:r>
      <w:proofErr w:type="spellStart"/>
      <w:r w:rsidR="00586F9A">
        <w:rPr>
          <w:rFonts w:ascii="Bradley Hand ITC" w:hAnsi="Bradley Hand ITC"/>
        </w:rPr>
        <w:t>Coblynau</w:t>
      </w:r>
      <w:proofErr w:type="spellEnd"/>
      <w:r w:rsidR="00586F9A">
        <w:rPr>
          <w:rFonts w:ascii="Bradley Hand ITC" w:hAnsi="Bradley Hand ITC"/>
        </w:rPr>
        <w:t xml:space="preserve"> will make knocking noises to indicate to the miners which direction to go to follow a vein of ore.</w:t>
      </w:r>
      <w:r w:rsidR="0057471A">
        <w:rPr>
          <w:rFonts w:ascii="Bradley Hand ITC" w:hAnsi="Bradley Hand ITC"/>
        </w:rPr>
        <w:t xml:space="preserve"> </w:t>
      </w:r>
      <w:r w:rsidR="00586F9A">
        <w:rPr>
          <w:rFonts w:ascii="Bradley Hand ITC" w:hAnsi="Bradley Hand ITC"/>
        </w:rPr>
        <w:t xml:space="preserve"> They are described as being half a yard (18 inches) tall, very ugly, and wear clothes imitating the miners and carry tools like hammers, picks, and lamps. They are incredibly good natured and inclined to help the miners, unless they are badmouthed, then they might throw stones at them but otherwise remain harmless. </w:t>
      </w:r>
      <w:r w:rsidR="0057471A">
        <w:rPr>
          <w:rStyle w:val="FootnoteReference"/>
          <w:rFonts w:ascii="Bradley Hand ITC" w:hAnsi="Bradley Hand ITC"/>
        </w:rPr>
        <w:footnoteReference w:id="10"/>
      </w:r>
      <w:r w:rsidR="0057471A">
        <w:rPr>
          <w:rFonts w:ascii="Bradley Hand ITC" w:hAnsi="Bradley Hand ITC"/>
        </w:rPr>
        <w:t xml:space="preserve"> </w:t>
      </w:r>
      <w:r w:rsidR="00586F9A">
        <w:rPr>
          <w:rFonts w:ascii="Bradley Hand ITC" w:hAnsi="Bradley Hand ITC"/>
        </w:rPr>
        <w:t xml:space="preserve">Their penchant to warn miners of impending danger encourages the miners to stay respectful of them. </w:t>
      </w:r>
      <w:r w:rsidR="00D3051B">
        <w:rPr>
          <w:rFonts w:ascii="Bradley Hand ITC" w:hAnsi="Bradley Hand ITC"/>
        </w:rPr>
        <w:t xml:space="preserve">The existence of </w:t>
      </w:r>
      <w:proofErr w:type="spellStart"/>
      <w:r w:rsidR="00D3051B">
        <w:rPr>
          <w:rFonts w:ascii="Bradley Hand ITC" w:hAnsi="Bradley Hand ITC"/>
        </w:rPr>
        <w:t>Coblynau</w:t>
      </w:r>
      <w:proofErr w:type="spellEnd"/>
      <w:r w:rsidR="00D3051B">
        <w:rPr>
          <w:rFonts w:ascii="Bradley Hand ITC" w:hAnsi="Bradley Hand ITC"/>
        </w:rPr>
        <w:t xml:space="preserve"> can likely be traced back to the minors hear odd banging noises yet not seeing any evidence of work being done, and equating it to little creatures who attempt to do work in the mines yet make no true impact, though these noises were probably caused by water shifting over loose stones</w:t>
      </w:r>
      <w:r>
        <w:rPr>
          <w:rFonts w:ascii="Bradley Hand ITC" w:hAnsi="Bradley Hand ITC"/>
        </w:rPr>
        <w:t xml:space="preserve"> in small fissures, which actually does indicate the presence of metals and ores.</w:t>
      </w:r>
      <w:r w:rsidR="00D3051B">
        <w:rPr>
          <w:rFonts w:ascii="Bradley Hand ITC" w:hAnsi="Bradley Hand ITC"/>
        </w:rPr>
        <w:t xml:space="preserve"> </w:t>
      </w:r>
      <w:r w:rsidR="0057471A">
        <w:rPr>
          <w:rStyle w:val="FootnoteReference"/>
          <w:rFonts w:ascii="Bradley Hand ITC" w:hAnsi="Bradley Hand ITC"/>
        </w:rPr>
        <w:footnoteReference w:id="11"/>
      </w:r>
    </w:p>
    <w:p w14:paraId="28174226" w14:textId="65A60433" w:rsidR="002F1AAF" w:rsidRPr="00F7112B" w:rsidRDefault="002F1AAF" w:rsidP="0057471A">
      <w:pPr>
        <w:spacing w:after="0" w:line="240" w:lineRule="auto"/>
        <w:jc w:val="both"/>
        <w:rPr>
          <w:rFonts w:ascii="Bradley Hand ITC" w:hAnsi="Bradley Hand ITC"/>
        </w:rPr>
      </w:pPr>
      <w:r>
        <w:rPr>
          <w:rFonts w:ascii="Bradley Hand ITC" w:hAnsi="Bradley Hand ITC"/>
        </w:rPr>
        <w:t xml:space="preserve">Sometimes the </w:t>
      </w:r>
      <w:proofErr w:type="spellStart"/>
      <w:r>
        <w:rPr>
          <w:rFonts w:ascii="Bradley Hand ITC" w:hAnsi="Bradley Hand ITC"/>
        </w:rPr>
        <w:t>Coblynau</w:t>
      </w:r>
      <w:proofErr w:type="spellEnd"/>
      <w:r>
        <w:rPr>
          <w:rFonts w:ascii="Bradley Hand ITC" w:hAnsi="Bradley Hand ITC"/>
        </w:rPr>
        <w:t xml:space="preserve"> will leave their homes in the mines and live around the mountains, which is where </w:t>
      </w:r>
      <w:r w:rsidR="0057471A">
        <w:rPr>
          <w:rFonts w:ascii="Bradley Hand ITC" w:hAnsi="Bradley Hand ITC"/>
        </w:rPr>
        <w:t>their</w:t>
      </w:r>
      <w:r>
        <w:rPr>
          <w:rFonts w:ascii="Bradley Hand ITC" w:hAnsi="Bradley Hand ITC"/>
        </w:rPr>
        <w:t xml:space="preserve"> association with dwarfs comes from. </w:t>
      </w:r>
      <w:r w:rsidR="0057471A">
        <w:rPr>
          <w:rFonts w:ascii="Bradley Hand ITC" w:hAnsi="Bradley Hand ITC"/>
        </w:rPr>
        <w:t xml:space="preserve">The connection between </w:t>
      </w:r>
      <w:proofErr w:type="spellStart"/>
      <w:r w:rsidR="0057471A">
        <w:rPr>
          <w:rFonts w:ascii="Bradley Hand ITC" w:hAnsi="Bradley Hand ITC"/>
        </w:rPr>
        <w:t>Coblynau</w:t>
      </w:r>
      <w:proofErr w:type="spellEnd"/>
      <w:r w:rsidR="0057471A">
        <w:rPr>
          <w:rFonts w:ascii="Bradley Hand ITC" w:hAnsi="Bradley Hand ITC"/>
        </w:rPr>
        <w:t xml:space="preserve"> and Dwarfs is a longstanding and profound one, as both of them possess a similar purpose, which is to harvest the untapped natural resources in the mountains or under the ground which would otherwise go to waste. </w:t>
      </w:r>
      <w:r w:rsidR="0057471A">
        <w:rPr>
          <w:rStyle w:val="FootnoteReference"/>
          <w:rFonts w:ascii="Bradley Hand ITC" w:hAnsi="Bradley Hand ITC"/>
        </w:rPr>
        <w:footnoteReference w:id="12"/>
      </w:r>
    </w:p>
    <w:p w14:paraId="50DE531F" w14:textId="04BEFDB1" w:rsidR="00A14D2B" w:rsidRPr="00BD57CE" w:rsidRDefault="00A14D2B">
      <w:pPr>
        <w:rPr>
          <w:rFonts w:ascii="Bradley Hand ITC" w:hAnsi="Bradley Hand ITC"/>
        </w:rPr>
      </w:pPr>
      <w:r w:rsidRPr="00BD57CE">
        <w:rPr>
          <w:rFonts w:ascii="Bradley Hand ITC" w:hAnsi="Bradley Hand ITC"/>
        </w:rPr>
        <w:br w:type="page"/>
      </w:r>
    </w:p>
    <w:p w14:paraId="694759E4" w14:textId="7FD2DFCC" w:rsidR="00BA5AB6" w:rsidRPr="00BD57CE" w:rsidRDefault="00BA5AB6" w:rsidP="00BA5AB6">
      <w:pPr>
        <w:spacing w:after="0" w:line="240" w:lineRule="auto"/>
        <w:rPr>
          <w:rFonts w:ascii="Bradley Hand ITC" w:hAnsi="Bradley Hand ITC"/>
          <w:b/>
          <w:bCs/>
          <w:sz w:val="52"/>
          <w:szCs w:val="52"/>
          <w:u w:val="single"/>
        </w:rPr>
      </w:pPr>
      <w:r w:rsidRPr="00BD57CE">
        <w:rPr>
          <w:rFonts w:ascii="Bradley Hand ITC" w:hAnsi="Bradley Hand ITC"/>
          <w:b/>
          <w:bCs/>
          <w:sz w:val="52"/>
          <w:szCs w:val="52"/>
          <w:u w:val="single"/>
        </w:rPr>
        <w:lastRenderedPageBreak/>
        <w:t xml:space="preserve">The </w:t>
      </w:r>
      <w:proofErr w:type="spellStart"/>
      <w:r w:rsidRPr="00BD57CE">
        <w:rPr>
          <w:rFonts w:ascii="Bradley Hand ITC" w:hAnsi="Bradley Hand ITC"/>
          <w:b/>
          <w:bCs/>
          <w:sz w:val="52"/>
          <w:szCs w:val="52"/>
          <w:u w:val="single"/>
        </w:rPr>
        <w:t>Bwbachod</w:t>
      </w:r>
      <w:proofErr w:type="spellEnd"/>
      <w:r w:rsidRPr="00BD57CE">
        <w:rPr>
          <w:rFonts w:ascii="Bradley Hand ITC" w:hAnsi="Bradley Hand ITC"/>
          <w:b/>
          <w:bCs/>
          <w:sz w:val="52"/>
          <w:szCs w:val="52"/>
          <w:u w:val="single"/>
        </w:rPr>
        <w:t>: Domestic and Household Fairies</w:t>
      </w:r>
    </w:p>
    <w:p w14:paraId="467425B3" w14:textId="3FE11AD6" w:rsidR="00FF0D94" w:rsidRPr="00BD57CE" w:rsidRDefault="00EF5F69" w:rsidP="00CC7F77">
      <w:pPr>
        <w:spacing w:line="240" w:lineRule="auto"/>
        <w:jc w:val="both"/>
        <w:rPr>
          <w:rFonts w:ascii="Bradley Hand ITC" w:hAnsi="Bradley Hand ITC"/>
          <w:sz w:val="24"/>
          <w:szCs w:val="24"/>
        </w:rPr>
      </w:pPr>
      <w:r>
        <w:rPr>
          <w:rFonts w:ascii="Bradley Hand ITC" w:hAnsi="Bradley Hand ITC"/>
          <w:noProof/>
          <w:sz w:val="24"/>
          <w:szCs w:val="24"/>
        </w:rPr>
        <w:drawing>
          <wp:anchor distT="0" distB="0" distL="114300" distR="114300" simplePos="0" relativeHeight="251669504" behindDoc="0" locked="0" layoutInCell="1" allowOverlap="1" wp14:anchorId="444C4AEB" wp14:editId="2F61C057">
            <wp:simplePos x="0" y="0"/>
            <wp:positionH relativeFrom="margin">
              <wp:posOffset>23495</wp:posOffset>
            </wp:positionH>
            <wp:positionV relativeFrom="paragraph">
              <wp:posOffset>80857</wp:posOffset>
            </wp:positionV>
            <wp:extent cx="1193800" cy="1475740"/>
            <wp:effectExtent l="0" t="0" r="6350" b="0"/>
            <wp:wrapSquare wrapText="bothSides"/>
            <wp:docPr id="69179173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7">
                      <a:extLst>
                        <a:ext uri="{28A0092B-C50C-407E-A947-70E740481C1C}">
                          <a14:useLocalDpi xmlns:a14="http://schemas.microsoft.com/office/drawing/2010/main" val="0"/>
                        </a:ext>
                      </a:extLst>
                    </a:blip>
                    <a:srcRect l="1778" t="1851" r="4000" b="1112"/>
                    <a:stretch/>
                  </pic:blipFill>
                  <pic:spPr bwMode="auto">
                    <a:xfrm>
                      <a:off x="0" y="0"/>
                      <a:ext cx="1193800" cy="14757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1552" behindDoc="0" locked="0" layoutInCell="1" allowOverlap="1" wp14:anchorId="17915FD8" wp14:editId="0821B631">
                <wp:simplePos x="0" y="0"/>
                <wp:positionH relativeFrom="column">
                  <wp:posOffset>24765</wp:posOffset>
                </wp:positionH>
                <wp:positionV relativeFrom="paragraph">
                  <wp:posOffset>1617768</wp:posOffset>
                </wp:positionV>
                <wp:extent cx="1196340" cy="611505"/>
                <wp:effectExtent l="0" t="0" r="3810" b="0"/>
                <wp:wrapSquare wrapText="bothSides"/>
                <wp:docPr id="586083077" name="Text Box 1"/>
                <wp:cNvGraphicFramePr/>
                <a:graphic xmlns:a="http://schemas.openxmlformats.org/drawingml/2006/main">
                  <a:graphicData uri="http://schemas.microsoft.com/office/word/2010/wordprocessingShape">
                    <wps:wsp>
                      <wps:cNvSpPr txBox="1"/>
                      <wps:spPr>
                        <a:xfrm>
                          <a:off x="0" y="0"/>
                          <a:ext cx="1196340" cy="611505"/>
                        </a:xfrm>
                        <a:prstGeom prst="rect">
                          <a:avLst/>
                        </a:prstGeom>
                        <a:solidFill>
                          <a:prstClr val="white"/>
                        </a:solidFill>
                        <a:ln>
                          <a:noFill/>
                        </a:ln>
                      </wps:spPr>
                      <wps:txbx>
                        <w:txbxContent>
                          <w:p w14:paraId="0308E44E" w14:textId="67B74450" w:rsidR="00051893" w:rsidRPr="00E35D4F" w:rsidRDefault="00051893" w:rsidP="00AF4614">
                            <w:pPr>
                              <w:pStyle w:val="Caption"/>
                              <w:jc w:val="center"/>
                              <w:rPr>
                                <w:rFonts w:ascii="Bradley Hand ITC" w:hAnsi="Bradley Hand ITC"/>
                                <w:noProof/>
                              </w:rPr>
                            </w:pPr>
                            <w:r w:rsidRPr="00E35D4F">
                              <w:rPr>
                                <w:rFonts w:ascii="Bradley Hand ITC" w:hAnsi="Bradley Hand ITC"/>
                              </w:rPr>
                              <w:t>Celtic Earth Spirit, &lt;https://celticearthspirit.co.uk/the-fae-folk-profile-the-bwbachod/&gt;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915FD8" id="_x0000_s1032" type="#_x0000_t202" style="position:absolute;left:0;text-align:left;margin-left:1.95pt;margin-top:127.4pt;width:94.2pt;height:48.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" stroked="f">
                <v:textbox inset="0,0,0,0">
                  <w:txbxContent>
                    <w:p w14:paraId="0308E44E" w14:textId="67B74450" w:rsidR="00051893" w:rsidRPr="00E35D4F" w:rsidRDefault="00051893" w:rsidP="00AF4614">
                      <w:pPr>
                        <w:pStyle w:val="Caption"/>
                        <w:jc w:val="center"/>
                        <w:rPr>
                          <w:rFonts w:ascii="Bradley Hand ITC" w:hAnsi="Bradley Hand ITC"/>
                          <w:noProof/>
                        </w:rPr>
                      </w:pPr>
                      <w:r w:rsidRPr="00E35D4F">
                        <w:rPr>
                          <w:rFonts w:ascii="Bradley Hand ITC" w:hAnsi="Bradley Hand ITC"/>
                        </w:rPr>
                        <w:t>Celtic Earth Spirit, &lt;https://celticearthspirit.co.uk/the-fae-folk-profile-the-bwbachod/&gt;</w:t>
                      </w:r>
                    </w:p>
                  </w:txbxContent>
                </v:textbox>
                <w10:wrap type="square"/>
              </v:shape>
            </w:pict>
          </mc:Fallback>
        </mc:AlternateContent>
      </w:r>
      <w:r w:rsidR="005C25A5">
        <w:rPr>
          <w:noProof/>
        </w:rPr>
        <mc:AlternateContent>
          <mc:Choice Requires="wps">
            <w:drawing>
              <wp:anchor distT="0" distB="0" distL="114300" distR="114300" simplePos="0" relativeHeight="251674624" behindDoc="0" locked="0" layoutInCell="1" allowOverlap="1" wp14:anchorId="2031C4B2" wp14:editId="3A18295D">
                <wp:simplePos x="0" y="0"/>
                <wp:positionH relativeFrom="margin">
                  <wp:posOffset>4399280</wp:posOffset>
                </wp:positionH>
                <wp:positionV relativeFrom="paragraph">
                  <wp:posOffset>3127163</wp:posOffset>
                </wp:positionV>
                <wp:extent cx="1173480" cy="670560"/>
                <wp:effectExtent l="0" t="0" r="7620" b="0"/>
                <wp:wrapSquare wrapText="bothSides"/>
                <wp:docPr id="1657226001" name="Text Box 1"/>
                <wp:cNvGraphicFramePr/>
                <a:graphic xmlns:a="http://schemas.openxmlformats.org/drawingml/2006/main">
                  <a:graphicData uri="http://schemas.microsoft.com/office/word/2010/wordprocessingShape">
                    <wps:wsp>
                      <wps:cNvSpPr txBox="1"/>
                      <wps:spPr>
                        <a:xfrm>
                          <a:off x="0" y="0"/>
                          <a:ext cx="1173480" cy="670560"/>
                        </a:xfrm>
                        <a:prstGeom prst="rect">
                          <a:avLst/>
                        </a:prstGeom>
                        <a:solidFill>
                          <a:prstClr val="white"/>
                        </a:solidFill>
                        <a:ln>
                          <a:noFill/>
                        </a:ln>
                      </wps:spPr>
                      <wps:txbx>
                        <w:txbxContent>
                          <w:p w14:paraId="19BF4DD3" w14:textId="74A3E5FC" w:rsidR="00E35D4F" w:rsidRPr="00E35D4F" w:rsidRDefault="00E35D4F" w:rsidP="00AF4614">
                            <w:pPr>
                              <w:pStyle w:val="Caption"/>
                              <w:jc w:val="center"/>
                              <w:rPr>
                                <w:rFonts w:ascii="Bradley Hand ITC" w:hAnsi="Bradley Hand ITC"/>
                                <w:noProof/>
                              </w:rPr>
                            </w:pPr>
                            <w:r w:rsidRPr="00E35D4F">
                              <w:rPr>
                                <w:rFonts w:ascii="Bradley Hand ITC" w:hAnsi="Bradley Hand ITC"/>
                              </w:rPr>
                              <w:t>Pre 2003 Brownie</w:t>
                            </w:r>
                            <w:r w:rsidR="00F7112B">
                              <w:rPr>
                                <w:rFonts w:ascii="Bradley Hand ITC" w:hAnsi="Bradley Hand ITC"/>
                              </w:rPr>
                              <w:t>s</w:t>
                            </w:r>
                            <w:r w:rsidRPr="00E35D4F">
                              <w:rPr>
                                <w:rFonts w:ascii="Bradley Hand ITC" w:hAnsi="Bradley Hand ITC"/>
                              </w:rPr>
                              <w:t xml:space="preserve"> </w:t>
                            </w:r>
                            <w:proofErr w:type="spellStart"/>
                            <w:r w:rsidRPr="00E35D4F">
                              <w:rPr>
                                <w:rFonts w:ascii="Bradley Hand ITC" w:hAnsi="Bradley Hand ITC"/>
                              </w:rPr>
                              <w:t>Bwbachod</w:t>
                            </w:r>
                            <w:proofErr w:type="spellEnd"/>
                            <w:r w:rsidRPr="00E35D4F">
                              <w:rPr>
                                <w:rFonts w:ascii="Bradley Hand ITC" w:hAnsi="Bradley Hand ITC"/>
                              </w:rPr>
                              <w:t xml:space="preserve"> Badge &lt;https://www.girlguidingbadges.co.uk/badge-history.html#/&gt;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31C4B2" id="_x0000_s1033" type="#_x0000_t202" style="position:absolute;left:0;text-align:left;margin-left:346.4pt;margin-top:246.25pt;width:92.4pt;height:52.8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" stroked="f">
                <v:textbox inset="0,0,0,0">
                  <w:txbxContent>
                    <w:p w14:paraId="19BF4DD3" w14:textId="74A3E5FC" w:rsidR="00E35D4F" w:rsidRPr="00E35D4F" w:rsidRDefault="00E35D4F" w:rsidP="00AF4614">
                      <w:pPr>
                        <w:pStyle w:val="Caption"/>
                        <w:jc w:val="center"/>
                        <w:rPr>
                          <w:rFonts w:ascii="Bradley Hand ITC" w:hAnsi="Bradley Hand ITC"/>
                          <w:noProof/>
                        </w:rPr>
                      </w:pPr>
                      <w:r w:rsidRPr="00E35D4F">
                        <w:rPr>
                          <w:rFonts w:ascii="Bradley Hand ITC" w:hAnsi="Bradley Hand ITC"/>
                        </w:rPr>
                        <w:t>Pre 2003 Brownie</w:t>
                      </w:r>
                      <w:r w:rsidR="00F7112B">
                        <w:rPr>
                          <w:rFonts w:ascii="Bradley Hand ITC" w:hAnsi="Bradley Hand ITC"/>
                        </w:rPr>
                        <w:t>s</w:t>
                      </w:r>
                      <w:r w:rsidRPr="00E35D4F">
                        <w:rPr>
                          <w:rFonts w:ascii="Bradley Hand ITC" w:hAnsi="Bradley Hand ITC"/>
                        </w:rPr>
                        <w:t xml:space="preserve"> </w:t>
                      </w:r>
                      <w:proofErr w:type="spellStart"/>
                      <w:r w:rsidRPr="00E35D4F">
                        <w:rPr>
                          <w:rFonts w:ascii="Bradley Hand ITC" w:hAnsi="Bradley Hand ITC"/>
                        </w:rPr>
                        <w:t>Bwbachod</w:t>
                      </w:r>
                      <w:proofErr w:type="spellEnd"/>
                      <w:r w:rsidRPr="00E35D4F">
                        <w:rPr>
                          <w:rFonts w:ascii="Bradley Hand ITC" w:hAnsi="Bradley Hand ITC"/>
                        </w:rPr>
                        <w:t xml:space="preserve"> Badge &lt;https://www.girlguidingbadges.co.uk/badge-history.html#/&gt;</w:t>
                      </w:r>
                    </w:p>
                  </w:txbxContent>
                </v:textbox>
                <w10:wrap type="square" anchorx="margin"/>
              </v:shape>
            </w:pict>
          </mc:Fallback>
        </mc:AlternateContent>
      </w:r>
      <w:r w:rsidR="005C25A5">
        <w:rPr>
          <w:rFonts w:ascii="Bradley Hand ITC" w:hAnsi="Bradley Hand ITC"/>
          <w:noProof/>
          <w:sz w:val="24"/>
          <w:szCs w:val="24"/>
        </w:rPr>
        <w:drawing>
          <wp:anchor distT="0" distB="0" distL="114300" distR="114300" simplePos="0" relativeHeight="251672576" behindDoc="0" locked="0" layoutInCell="1" allowOverlap="1" wp14:anchorId="4992D435" wp14:editId="39CF6CA4">
            <wp:simplePos x="0" y="0"/>
            <wp:positionH relativeFrom="margin">
              <wp:posOffset>4375785</wp:posOffset>
            </wp:positionH>
            <wp:positionV relativeFrom="paragraph">
              <wp:posOffset>1541357</wp:posOffset>
            </wp:positionV>
            <wp:extent cx="1203960" cy="1547495"/>
            <wp:effectExtent l="0" t="0" r="0" b="0"/>
            <wp:wrapSquare wrapText="bothSides"/>
            <wp:docPr id="151889740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8">
                      <a:extLst>
                        <a:ext uri="{28A0092B-C50C-407E-A947-70E740481C1C}">
                          <a14:useLocalDpi xmlns:a14="http://schemas.microsoft.com/office/drawing/2010/main" val="0"/>
                        </a:ext>
                      </a:extLst>
                    </a:blip>
                    <a:srcRect l="8332" t="5334" r="7667" b="8267"/>
                    <a:stretch/>
                  </pic:blipFill>
                  <pic:spPr bwMode="auto">
                    <a:xfrm>
                      <a:off x="0" y="0"/>
                      <a:ext cx="1203960" cy="15474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14D2B" w:rsidRPr="00BD57CE">
        <w:rPr>
          <w:rFonts w:ascii="Bradley Hand ITC" w:hAnsi="Bradley Hand ITC"/>
          <w:sz w:val="24"/>
          <w:szCs w:val="24"/>
        </w:rPr>
        <w:t xml:space="preserve">The </w:t>
      </w:r>
      <w:proofErr w:type="spellStart"/>
      <w:r w:rsidR="00A14D2B" w:rsidRPr="00BD57CE">
        <w:rPr>
          <w:rFonts w:ascii="Bradley Hand ITC" w:hAnsi="Bradley Hand ITC"/>
          <w:sz w:val="24"/>
          <w:szCs w:val="24"/>
        </w:rPr>
        <w:t>Bwbach</w:t>
      </w:r>
      <w:proofErr w:type="spellEnd"/>
      <w:r w:rsidR="00A14D2B" w:rsidRPr="00BD57CE">
        <w:rPr>
          <w:rFonts w:ascii="Bradley Hand ITC" w:hAnsi="Bradley Hand ITC"/>
          <w:sz w:val="24"/>
          <w:szCs w:val="24"/>
        </w:rPr>
        <w:t xml:space="preserve"> (pl. </w:t>
      </w:r>
      <w:proofErr w:type="spellStart"/>
      <w:r w:rsidR="00A14D2B" w:rsidRPr="00BD57CE">
        <w:rPr>
          <w:rFonts w:ascii="Bradley Hand ITC" w:hAnsi="Bradley Hand ITC"/>
          <w:sz w:val="24"/>
          <w:szCs w:val="24"/>
        </w:rPr>
        <w:t>bwbachod</w:t>
      </w:r>
      <w:proofErr w:type="spellEnd"/>
      <w:r w:rsidR="00A14D2B" w:rsidRPr="00BD57CE">
        <w:rPr>
          <w:rFonts w:ascii="Bradley Hand ITC" w:hAnsi="Bradley Hand ITC"/>
          <w:sz w:val="24"/>
          <w:szCs w:val="24"/>
        </w:rPr>
        <w:t xml:space="preserve">), whose name roughly translates to mean ‘little scare’, are the Welsh brownies. They are described as good-natured goblins who tidied around the home as long as the human occupants behaved a certain way. The </w:t>
      </w:r>
      <w:proofErr w:type="spellStart"/>
      <w:r w:rsidR="00A14D2B" w:rsidRPr="00BD57CE">
        <w:rPr>
          <w:rFonts w:ascii="Bradley Hand ITC" w:hAnsi="Bradley Hand ITC"/>
          <w:sz w:val="24"/>
          <w:szCs w:val="24"/>
        </w:rPr>
        <w:t>Bwbach</w:t>
      </w:r>
      <w:proofErr w:type="spellEnd"/>
      <w:r w:rsidR="00A14D2B" w:rsidRPr="00BD57CE">
        <w:rPr>
          <w:rFonts w:ascii="Bradley Hand ITC" w:hAnsi="Bradley Hand ITC"/>
          <w:sz w:val="24"/>
          <w:szCs w:val="24"/>
        </w:rPr>
        <w:t xml:space="preserve"> particularly likes being left a bowl of cream as a reward, and has a hatred for Dissenters, who were Protestants who separated from the Church of England during the 17</w:t>
      </w:r>
      <w:r w:rsidR="00A14D2B" w:rsidRPr="00BD57CE">
        <w:rPr>
          <w:rFonts w:ascii="Bradley Hand ITC" w:hAnsi="Bradley Hand ITC"/>
          <w:sz w:val="24"/>
          <w:szCs w:val="24"/>
          <w:vertAlign w:val="superscript"/>
        </w:rPr>
        <w:t>th</w:t>
      </w:r>
      <w:r w:rsidR="00A14D2B" w:rsidRPr="00BD57CE">
        <w:rPr>
          <w:rFonts w:ascii="Bradley Hand ITC" w:hAnsi="Bradley Hand ITC"/>
          <w:sz w:val="24"/>
          <w:szCs w:val="24"/>
        </w:rPr>
        <w:t xml:space="preserve"> and 18</w:t>
      </w:r>
      <w:r w:rsidR="00A14D2B" w:rsidRPr="00BD57CE">
        <w:rPr>
          <w:rFonts w:ascii="Bradley Hand ITC" w:hAnsi="Bradley Hand ITC"/>
          <w:sz w:val="24"/>
          <w:szCs w:val="24"/>
          <w:vertAlign w:val="superscript"/>
        </w:rPr>
        <w:t>th</w:t>
      </w:r>
      <w:r w:rsidR="00A14D2B" w:rsidRPr="00BD57CE">
        <w:rPr>
          <w:rFonts w:ascii="Bradley Hand ITC" w:hAnsi="Bradley Hand ITC"/>
          <w:sz w:val="24"/>
          <w:szCs w:val="24"/>
        </w:rPr>
        <w:t xml:space="preserve"> centuries, and teetotallers, who is a person who voluntarily abstains from alcohol completely. When they are annoyed or feel as thought they have been disrespected, they can become dangerous and violent pests. Wirt Sikes tells a tale of a </w:t>
      </w:r>
      <w:proofErr w:type="spellStart"/>
      <w:r w:rsidR="00A14D2B" w:rsidRPr="00BD57CE">
        <w:rPr>
          <w:rFonts w:ascii="Bradley Hand ITC" w:hAnsi="Bradley Hand ITC"/>
          <w:sz w:val="24"/>
          <w:szCs w:val="24"/>
        </w:rPr>
        <w:t>Bwbach</w:t>
      </w:r>
      <w:proofErr w:type="spellEnd"/>
      <w:r w:rsidR="00A14D2B" w:rsidRPr="00BD57CE">
        <w:rPr>
          <w:rFonts w:ascii="Bradley Hand ITC" w:hAnsi="Bradley Hand ITC"/>
          <w:sz w:val="24"/>
          <w:szCs w:val="24"/>
        </w:rPr>
        <w:t xml:space="preserve"> who lived on a Cardiganshire estate and had taken offence to a guest of the estate, a Baptist preacher who refused to drink. The </w:t>
      </w:r>
      <w:proofErr w:type="spellStart"/>
      <w:r w:rsidR="00A14D2B" w:rsidRPr="00BD57CE">
        <w:rPr>
          <w:rFonts w:ascii="Bradley Hand ITC" w:hAnsi="Bradley Hand ITC"/>
          <w:sz w:val="24"/>
          <w:szCs w:val="24"/>
        </w:rPr>
        <w:t>Bwbach</w:t>
      </w:r>
      <w:proofErr w:type="spellEnd"/>
      <w:r w:rsidR="00A14D2B" w:rsidRPr="00BD57CE">
        <w:rPr>
          <w:rFonts w:ascii="Bradley Hand ITC" w:hAnsi="Bradley Hand ITC"/>
          <w:sz w:val="24"/>
          <w:szCs w:val="24"/>
        </w:rPr>
        <w:t xml:space="preserve"> started playing cruel pranks on the preacher, until it transformed itself into his double, scaring him so much that preacher fled on horseback, and the </w:t>
      </w:r>
      <w:proofErr w:type="spellStart"/>
      <w:r w:rsidR="00A14D2B" w:rsidRPr="00BD57CE">
        <w:rPr>
          <w:rFonts w:ascii="Bradley Hand ITC" w:hAnsi="Bradley Hand ITC"/>
          <w:sz w:val="24"/>
          <w:szCs w:val="24"/>
        </w:rPr>
        <w:t>Bwbach</w:t>
      </w:r>
      <w:proofErr w:type="spellEnd"/>
      <w:r w:rsidR="00A14D2B" w:rsidRPr="00BD57CE">
        <w:rPr>
          <w:rFonts w:ascii="Bradley Hand ITC" w:hAnsi="Bradley Hand ITC"/>
          <w:sz w:val="24"/>
          <w:szCs w:val="24"/>
        </w:rPr>
        <w:t xml:space="preserve"> jumped on the horses back to follow him.</w:t>
      </w:r>
      <w:r w:rsidR="00727EBB" w:rsidRPr="00BD57CE">
        <w:rPr>
          <w:rFonts w:ascii="Bradley Hand ITC" w:hAnsi="Bradley Hand ITC"/>
          <w:sz w:val="24"/>
          <w:szCs w:val="24"/>
        </w:rPr>
        <w:t xml:space="preserve"> </w:t>
      </w:r>
      <w:r w:rsidR="00727EBB" w:rsidRPr="00BD57CE">
        <w:rPr>
          <w:rStyle w:val="FootnoteReference"/>
          <w:rFonts w:ascii="Bradley Hand ITC" w:hAnsi="Bradley Hand ITC"/>
          <w:sz w:val="24"/>
          <w:szCs w:val="24"/>
        </w:rPr>
        <w:footnoteReference w:id="13"/>
      </w:r>
      <w:r w:rsidR="00727EBB" w:rsidRPr="00BD57CE">
        <w:rPr>
          <w:rFonts w:ascii="Bradley Hand ITC" w:hAnsi="Bradley Hand ITC"/>
          <w:sz w:val="24"/>
          <w:szCs w:val="24"/>
        </w:rPr>
        <w:t xml:space="preserve"> </w:t>
      </w:r>
      <w:r w:rsidR="00727EBB" w:rsidRPr="00BD57CE">
        <w:rPr>
          <w:rFonts w:ascii="Bradley Hand ITC" w:hAnsi="Bradley Hand ITC"/>
          <w:sz w:val="24"/>
          <w:szCs w:val="24"/>
        </w:rPr>
        <w:t xml:space="preserve">The </w:t>
      </w:r>
      <w:proofErr w:type="spellStart"/>
      <w:r w:rsidR="00727EBB" w:rsidRPr="00BD57CE">
        <w:rPr>
          <w:rFonts w:ascii="Bradley Hand ITC" w:hAnsi="Bradley Hand ITC"/>
          <w:sz w:val="24"/>
          <w:szCs w:val="24"/>
        </w:rPr>
        <w:t>Bwbach</w:t>
      </w:r>
      <w:proofErr w:type="spellEnd"/>
      <w:r w:rsidR="00727EBB" w:rsidRPr="00BD57CE">
        <w:rPr>
          <w:rFonts w:ascii="Bradley Hand ITC" w:hAnsi="Bradley Hand ITC"/>
          <w:sz w:val="24"/>
          <w:szCs w:val="24"/>
        </w:rPr>
        <w:t xml:space="preserve"> were typically described as being brown and hairy, due to white being considered a colour for the rich and is only worn by higher fairies than the </w:t>
      </w:r>
      <w:proofErr w:type="spellStart"/>
      <w:r w:rsidR="00727EBB" w:rsidRPr="00BD57CE">
        <w:rPr>
          <w:rFonts w:ascii="Bradley Hand ITC" w:hAnsi="Bradley Hand ITC"/>
          <w:sz w:val="24"/>
          <w:szCs w:val="24"/>
        </w:rPr>
        <w:t>Bwbach</w:t>
      </w:r>
      <w:proofErr w:type="spellEnd"/>
      <w:r w:rsidR="00727EBB" w:rsidRPr="00BD57CE">
        <w:rPr>
          <w:rFonts w:ascii="Bradley Hand ITC" w:hAnsi="Bradley Hand ITC"/>
          <w:sz w:val="24"/>
          <w:szCs w:val="24"/>
        </w:rPr>
        <w:t xml:space="preserve"> who were considered to be only allowed peasant colours.</w:t>
      </w:r>
      <w:r w:rsidR="00727EBB" w:rsidRPr="00BD57CE">
        <w:rPr>
          <w:rFonts w:ascii="Bradley Hand ITC" w:hAnsi="Bradley Hand ITC"/>
          <w:sz w:val="24"/>
          <w:szCs w:val="24"/>
        </w:rPr>
        <w:t xml:space="preserve"> </w:t>
      </w:r>
      <w:r w:rsidR="00727EBB" w:rsidRPr="00BD57CE">
        <w:rPr>
          <w:rStyle w:val="FootnoteReference"/>
          <w:rFonts w:ascii="Bradley Hand ITC" w:hAnsi="Bradley Hand ITC"/>
          <w:sz w:val="24"/>
          <w:szCs w:val="24"/>
        </w:rPr>
        <w:footnoteReference w:id="14"/>
      </w:r>
    </w:p>
    <w:p w14:paraId="053534A2" w14:textId="5005F33C" w:rsidR="00A62DF7" w:rsidRDefault="00A62DF7" w:rsidP="004405DC">
      <w:pPr>
        <w:spacing w:after="0" w:line="240" w:lineRule="auto"/>
        <w:jc w:val="both"/>
        <w:rPr>
          <w:rFonts w:ascii="Bradley Hand ITC" w:hAnsi="Bradley Hand ITC"/>
          <w:sz w:val="24"/>
          <w:szCs w:val="24"/>
        </w:rPr>
      </w:pPr>
      <w:r>
        <w:rPr>
          <w:rFonts w:ascii="Bradley Hand ITC" w:hAnsi="Bradley Hand ITC"/>
          <w:noProof/>
        </w:rPr>
        <w:lastRenderedPageBreak/>
        <w:drawing>
          <wp:anchor distT="0" distB="0" distL="114300" distR="114300" simplePos="0" relativeHeight="251675648" behindDoc="1" locked="0" layoutInCell="1" allowOverlap="1" wp14:anchorId="3EE6848D" wp14:editId="34FD314E">
            <wp:simplePos x="0" y="0"/>
            <wp:positionH relativeFrom="margin">
              <wp:align>left</wp:align>
            </wp:positionH>
            <wp:positionV relativeFrom="paragraph">
              <wp:posOffset>6562</wp:posOffset>
            </wp:positionV>
            <wp:extent cx="2376000" cy="3041280"/>
            <wp:effectExtent l="0" t="0" r="5715" b="6985"/>
            <wp:wrapSquare wrapText="bothSides"/>
            <wp:docPr id="84994099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76000" cy="3041280"/>
                    </a:xfrm>
                    <a:prstGeom prst="rect">
                      <a:avLst/>
                    </a:prstGeom>
                    <a:noFill/>
                  </pic:spPr>
                </pic:pic>
              </a:graphicData>
            </a:graphic>
            <wp14:sizeRelH relativeFrom="margin">
              <wp14:pctWidth>0</wp14:pctWidth>
            </wp14:sizeRelH>
            <wp14:sizeRelV relativeFrom="margin">
              <wp14:pctHeight>0</wp14:pctHeight>
            </wp14:sizeRelV>
          </wp:anchor>
        </w:drawing>
      </w:r>
      <w:r w:rsidR="00727EBB" w:rsidRPr="00BD57CE">
        <w:rPr>
          <w:rFonts w:ascii="Bradley Hand ITC" w:hAnsi="Bradley Hand ITC"/>
          <w:sz w:val="24"/>
          <w:szCs w:val="24"/>
        </w:rPr>
        <w:t xml:space="preserve">The </w:t>
      </w:r>
      <w:proofErr w:type="spellStart"/>
      <w:r w:rsidR="00727EBB" w:rsidRPr="00BD57CE">
        <w:rPr>
          <w:rFonts w:ascii="Bradley Hand ITC" w:hAnsi="Bradley Hand ITC"/>
          <w:sz w:val="24"/>
          <w:szCs w:val="24"/>
        </w:rPr>
        <w:t>Pwca</w:t>
      </w:r>
      <w:proofErr w:type="spellEnd"/>
      <w:r w:rsidR="00101DF3" w:rsidRPr="00BD57CE">
        <w:rPr>
          <w:rFonts w:ascii="Bradley Hand ITC" w:hAnsi="Bradley Hand ITC"/>
          <w:sz w:val="24"/>
          <w:szCs w:val="24"/>
        </w:rPr>
        <w:t xml:space="preserve"> (also called a </w:t>
      </w:r>
      <w:proofErr w:type="spellStart"/>
      <w:r w:rsidR="00101DF3" w:rsidRPr="00BD57CE">
        <w:rPr>
          <w:rFonts w:ascii="Bradley Hand ITC" w:hAnsi="Bradley Hand ITC"/>
          <w:sz w:val="24"/>
          <w:szCs w:val="24"/>
        </w:rPr>
        <w:t>Bwca</w:t>
      </w:r>
      <w:proofErr w:type="spellEnd"/>
      <w:r w:rsidR="00101DF3" w:rsidRPr="00BD57CE">
        <w:rPr>
          <w:rFonts w:ascii="Bradley Hand ITC" w:hAnsi="Bradley Hand ITC"/>
          <w:sz w:val="24"/>
          <w:szCs w:val="24"/>
        </w:rPr>
        <w:t xml:space="preserve"> or a Booca</w:t>
      </w:r>
      <w:r w:rsidR="00691B7A">
        <w:rPr>
          <w:rFonts w:ascii="Bradley Hand ITC" w:hAnsi="Bradley Hand ITC"/>
          <w:sz w:val="24"/>
          <w:szCs w:val="24"/>
        </w:rPr>
        <w:t xml:space="preserve">, with the plural possibly being </w:t>
      </w:r>
      <w:proofErr w:type="spellStart"/>
      <w:r w:rsidR="00691B7A">
        <w:rPr>
          <w:rFonts w:ascii="Bradley Hand ITC" w:hAnsi="Bradley Hand ITC"/>
          <w:sz w:val="24"/>
          <w:szCs w:val="24"/>
        </w:rPr>
        <w:t>Pwcaod</w:t>
      </w:r>
      <w:proofErr w:type="spellEnd"/>
      <w:r w:rsidR="00101DF3" w:rsidRPr="00BD57CE">
        <w:rPr>
          <w:rFonts w:ascii="Bradley Hand ITC" w:hAnsi="Bradley Hand ITC"/>
          <w:sz w:val="24"/>
          <w:szCs w:val="24"/>
        </w:rPr>
        <w:t>)</w:t>
      </w:r>
      <w:r w:rsidR="008472D1">
        <w:rPr>
          <w:rFonts w:ascii="Bradley Hand ITC" w:hAnsi="Bradley Hand ITC"/>
          <w:sz w:val="24"/>
          <w:szCs w:val="24"/>
        </w:rPr>
        <w:t xml:space="preserve"> is also thought to be a Welsh brownie, though they are sometimes considered to be another name for the </w:t>
      </w:r>
      <w:proofErr w:type="spellStart"/>
      <w:r w:rsidR="008472D1">
        <w:rPr>
          <w:rFonts w:ascii="Bradley Hand ITC" w:hAnsi="Bradley Hand ITC"/>
          <w:sz w:val="24"/>
          <w:szCs w:val="24"/>
        </w:rPr>
        <w:t>Ellylldon</w:t>
      </w:r>
      <w:proofErr w:type="spellEnd"/>
      <w:r w:rsidR="008472D1">
        <w:rPr>
          <w:rFonts w:ascii="Bradley Hand ITC" w:hAnsi="Bradley Hand ITC"/>
          <w:sz w:val="24"/>
          <w:szCs w:val="24"/>
        </w:rPr>
        <w:t xml:space="preserve">, which are the Welsh will-of-the-wisp. </w:t>
      </w:r>
      <w:r w:rsidR="00156505">
        <w:rPr>
          <w:rFonts w:ascii="Bradley Hand ITC" w:hAnsi="Bradley Hand ITC"/>
          <w:sz w:val="24"/>
          <w:szCs w:val="24"/>
        </w:rPr>
        <w:t xml:space="preserve">There is a Welsh belief that the Puck from </w:t>
      </w:r>
      <w:r w:rsidR="00156505" w:rsidRPr="00182E1F">
        <w:rPr>
          <w:rFonts w:ascii="Bradley Hand ITC" w:hAnsi="Bradley Hand ITC"/>
          <w:i/>
          <w:iCs/>
          <w:sz w:val="24"/>
          <w:szCs w:val="24"/>
        </w:rPr>
        <w:t>A Midsummer’s Night Dream</w:t>
      </w:r>
      <w:r w:rsidR="00156505">
        <w:rPr>
          <w:rFonts w:ascii="Bradley Hand ITC" w:hAnsi="Bradley Hand ITC"/>
          <w:sz w:val="24"/>
          <w:szCs w:val="24"/>
        </w:rPr>
        <w:t xml:space="preserve"> was inspired to William Shakespear by his friend Richard Price who told him about the Cambrian Fairies, and that </w:t>
      </w:r>
      <w:r w:rsidR="00156505" w:rsidRPr="00182E1F">
        <w:rPr>
          <w:rFonts w:ascii="Bradley Hand ITC" w:hAnsi="Bradley Hand ITC"/>
          <w:i/>
          <w:iCs/>
          <w:sz w:val="24"/>
          <w:szCs w:val="24"/>
        </w:rPr>
        <w:t>A Midsummer’s Night Dream</w:t>
      </w:r>
      <w:r w:rsidR="00156505">
        <w:rPr>
          <w:rFonts w:ascii="Bradley Hand ITC" w:hAnsi="Bradley Hand ITC"/>
          <w:sz w:val="24"/>
          <w:szCs w:val="24"/>
        </w:rPr>
        <w:t xml:space="preserve"> is in fact set </w:t>
      </w:r>
      <w:r>
        <w:rPr>
          <w:rFonts w:ascii="Bradley Hand ITC" w:hAnsi="Bradley Hand ITC"/>
          <w:sz w:val="24"/>
          <w:szCs w:val="24"/>
        </w:rPr>
        <w:t xml:space="preserve">in Cwm </w:t>
      </w:r>
      <w:proofErr w:type="spellStart"/>
      <w:r>
        <w:rPr>
          <w:rFonts w:ascii="Bradley Hand ITC" w:hAnsi="Bradley Hand ITC"/>
          <w:sz w:val="24"/>
          <w:szCs w:val="24"/>
        </w:rPr>
        <w:t>Pwca</w:t>
      </w:r>
      <w:proofErr w:type="spellEnd"/>
      <w:r>
        <w:rPr>
          <w:rFonts w:ascii="Bradley Hand ITC" w:hAnsi="Bradley Hand ITC"/>
          <w:sz w:val="24"/>
          <w:szCs w:val="24"/>
        </w:rPr>
        <w:t>, or Puck Valley, a glen in Clydach in Breconshire.</w:t>
      </w:r>
      <w:r w:rsidR="00EF5F69">
        <w:rPr>
          <w:rFonts w:ascii="Bradley Hand ITC" w:hAnsi="Bradley Hand ITC"/>
          <w:sz w:val="24"/>
          <w:szCs w:val="24"/>
        </w:rPr>
        <w:t xml:space="preserve"> </w:t>
      </w:r>
      <w:r w:rsidR="00EF5F69">
        <w:rPr>
          <w:rStyle w:val="FootnoteReference"/>
          <w:rFonts w:ascii="Bradley Hand ITC" w:hAnsi="Bradley Hand ITC"/>
          <w:sz w:val="24"/>
          <w:szCs w:val="24"/>
        </w:rPr>
        <w:footnoteReference w:id="15"/>
      </w:r>
    </w:p>
    <w:p w14:paraId="5F479A7D" w14:textId="01AE6363" w:rsidR="00822CB4" w:rsidRDefault="004405DC" w:rsidP="004405DC">
      <w:pPr>
        <w:spacing w:after="0" w:line="240" w:lineRule="auto"/>
        <w:jc w:val="both"/>
        <w:rPr>
          <w:rFonts w:ascii="Bradley Hand ITC" w:hAnsi="Bradley Hand ITC"/>
        </w:rPr>
      </w:pPr>
      <w:r w:rsidRPr="004B7CC4">
        <w:rPr>
          <w:rFonts w:ascii="Bradley Hand ITC" w:hAnsi="Bradley Hand ITC"/>
        </w:rPr>
        <w:drawing>
          <wp:anchor distT="0" distB="0" distL="114300" distR="114300" simplePos="0" relativeHeight="251678720" behindDoc="0" locked="0" layoutInCell="1" allowOverlap="1" wp14:anchorId="3EFEE2DF" wp14:editId="151700A6">
            <wp:simplePos x="0" y="0"/>
            <wp:positionH relativeFrom="margin">
              <wp:posOffset>2700655</wp:posOffset>
            </wp:positionH>
            <wp:positionV relativeFrom="paragraph">
              <wp:posOffset>878628</wp:posOffset>
            </wp:positionV>
            <wp:extent cx="2879725" cy="1407160"/>
            <wp:effectExtent l="0" t="0" r="0" b="2540"/>
            <wp:wrapSquare wrapText="bothSides"/>
            <wp:docPr id="1509170776" name="Picture 1" descr="A person falling off a cliff with a devil pointing at hi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170776" name="Picture 1" descr="A person falling off a cliff with a devil pointing at him&#10;&#10;AI-generated content may be incorrect."/>
                    <pic:cNvPicPr/>
                  </pic:nvPicPr>
                  <pic:blipFill rotWithShape="1">
                    <a:blip r:embed="rId20">
                      <a:extLst>
                        <a:ext uri="{BEBA8EAE-BF5A-486C-A8C5-ECC9F3942E4B}">
                          <a14:imgProps xmlns:a14="http://schemas.microsoft.com/office/drawing/2010/main">
                            <a14:imgLayer r:embed="rId21">
                              <a14:imgEffect>
                                <a14:brightnessContrast bright="20000"/>
                              </a14:imgEffect>
                            </a14:imgLayer>
                          </a14:imgProps>
                        </a:ext>
                        <a:ext uri="{28A0092B-C50C-407E-A947-70E740481C1C}">
                          <a14:useLocalDpi xmlns:a14="http://schemas.microsoft.com/office/drawing/2010/main" val="0"/>
                        </a:ext>
                      </a:extLst>
                    </a:blip>
                    <a:srcRect l="7574" t="3565" r="3089" b="27299"/>
                    <a:stretch/>
                  </pic:blipFill>
                  <pic:spPr bwMode="auto">
                    <a:xfrm>
                      <a:off x="0" y="0"/>
                      <a:ext cx="2879725" cy="1407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62DF7">
        <w:rPr>
          <w:noProof/>
        </w:rPr>
        <mc:AlternateContent>
          <mc:Choice Requires="wps">
            <w:drawing>
              <wp:anchor distT="0" distB="0" distL="114300" distR="114300" simplePos="0" relativeHeight="251677696" behindDoc="0" locked="0" layoutInCell="1" allowOverlap="1" wp14:anchorId="114884EE" wp14:editId="2F8A6C4F">
                <wp:simplePos x="0" y="0"/>
                <wp:positionH relativeFrom="margin">
                  <wp:align>left</wp:align>
                </wp:positionH>
                <wp:positionV relativeFrom="paragraph">
                  <wp:posOffset>815340</wp:posOffset>
                </wp:positionV>
                <wp:extent cx="2376000" cy="324000"/>
                <wp:effectExtent l="0" t="0" r="5715" b="0"/>
                <wp:wrapSquare wrapText="bothSides"/>
                <wp:docPr id="457262108" name="Text Box 1"/>
                <wp:cNvGraphicFramePr/>
                <a:graphic xmlns:a="http://schemas.openxmlformats.org/drawingml/2006/main">
                  <a:graphicData uri="http://schemas.microsoft.com/office/word/2010/wordprocessingShape">
                    <wps:wsp>
                      <wps:cNvSpPr txBox="1"/>
                      <wps:spPr>
                        <a:xfrm>
                          <a:off x="0" y="0"/>
                          <a:ext cx="2376000" cy="324000"/>
                        </a:xfrm>
                        <a:prstGeom prst="rect">
                          <a:avLst/>
                        </a:prstGeom>
                        <a:solidFill>
                          <a:prstClr val="white"/>
                        </a:solidFill>
                        <a:ln>
                          <a:noFill/>
                        </a:ln>
                      </wps:spPr>
                      <wps:txbx>
                        <w:txbxContent>
                          <w:p w14:paraId="497443DC" w14:textId="1155657E" w:rsidR="00A62DF7" w:rsidRPr="00F44BA1" w:rsidRDefault="00A62DF7" w:rsidP="00F44BA1">
                            <w:pPr>
                              <w:pStyle w:val="Caption"/>
                              <w:jc w:val="center"/>
                              <w:rPr>
                                <w:rFonts w:ascii="Bradley Hand ITC" w:hAnsi="Bradley Hand ITC"/>
                                <w:noProof/>
                                <w:sz w:val="22"/>
                                <w:szCs w:val="22"/>
                              </w:rPr>
                            </w:pPr>
                            <w:bookmarkStart w:id="0" w:name="OLE_LINK1"/>
                            <w:bookmarkStart w:id="1" w:name="OLE_LINK2"/>
                            <w:bookmarkStart w:id="2" w:name="OLE_LINK3"/>
                            <w:bookmarkStart w:id="3" w:name="_Hlk198480752"/>
                            <w:bookmarkStart w:id="4" w:name="_Hlk198480753"/>
                            <w:r w:rsidRPr="00F44BA1">
                              <w:rPr>
                                <w:rFonts w:ascii="Bradley Hand ITC" w:hAnsi="Bradley Hand ITC"/>
                              </w:rPr>
                              <w:t>Wirt Sike, British Goblins: Welsh Folklore, Fairy Mythology, Legends and Traditions, 1880</w:t>
                            </w:r>
                            <w:bookmarkEnd w:id="0"/>
                            <w:bookmarkEnd w:id="1"/>
                            <w:bookmarkEnd w:id="2"/>
                            <w:bookmarkEnd w:id="3"/>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4884EE" id="_x0000_s1034" type="#_x0000_t202" style="position:absolute;left:0;text-align:left;margin-left:0;margin-top:64.2pt;width:187.1pt;height:25.5pt;z-index:2516776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" stroked="f">
                <v:textbox inset="0,0,0,0">
                  <w:txbxContent>
                    <w:p w14:paraId="497443DC" w14:textId="1155657E" w:rsidR="00A62DF7" w:rsidRPr="00F44BA1" w:rsidRDefault="00A62DF7" w:rsidP="00F44BA1">
                      <w:pPr>
                        <w:pStyle w:val="Caption"/>
                        <w:jc w:val="center"/>
                        <w:rPr>
                          <w:rFonts w:ascii="Bradley Hand ITC" w:hAnsi="Bradley Hand ITC"/>
                          <w:noProof/>
                          <w:sz w:val="22"/>
                          <w:szCs w:val="22"/>
                        </w:rPr>
                      </w:pPr>
                      <w:bookmarkStart w:id="5" w:name="OLE_LINK1"/>
                      <w:bookmarkStart w:id="6" w:name="OLE_LINK2"/>
                      <w:bookmarkStart w:id="7" w:name="OLE_LINK3"/>
                      <w:bookmarkStart w:id="8" w:name="_Hlk198480752"/>
                      <w:bookmarkStart w:id="9" w:name="_Hlk198480753"/>
                      <w:r w:rsidRPr="00F44BA1">
                        <w:rPr>
                          <w:rFonts w:ascii="Bradley Hand ITC" w:hAnsi="Bradley Hand ITC"/>
                        </w:rPr>
                        <w:t>Wirt Sike, British Goblins: Welsh Folklore, Fairy Mythology, Legends and Traditions, 1880</w:t>
                      </w:r>
                      <w:bookmarkEnd w:id="5"/>
                      <w:bookmarkEnd w:id="6"/>
                      <w:bookmarkEnd w:id="7"/>
                      <w:bookmarkEnd w:id="8"/>
                      <w:bookmarkEnd w:id="9"/>
                    </w:p>
                  </w:txbxContent>
                </v:textbox>
                <w10:wrap type="square" anchorx="margin"/>
              </v:shape>
            </w:pict>
          </mc:Fallback>
        </mc:AlternateContent>
      </w:r>
      <w:r w:rsidR="001B770C">
        <w:rPr>
          <w:rFonts w:ascii="Bradley Hand ITC" w:hAnsi="Bradley Hand ITC"/>
        </w:rPr>
        <w:t xml:space="preserve">A Welsh peasant drew what they believe a </w:t>
      </w:r>
      <w:proofErr w:type="spellStart"/>
      <w:r w:rsidR="001B770C">
        <w:rPr>
          <w:rFonts w:ascii="Bradley Hand ITC" w:hAnsi="Bradley Hand ITC"/>
        </w:rPr>
        <w:t>Pwca</w:t>
      </w:r>
      <w:proofErr w:type="spellEnd"/>
      <w:r w:rsidR="001B770C">
        <w:rPr>
          <w:rFonts w:ascii="Bradley Hand ITC" w:hAnsi="Bradley Hand ITC"/>
        </w:rPr>
        <w:t xml:space="preserve"> looks like (left), and they are described by some stories as grotesquely and elfish.</w:t>
      </w:r>
      <w:r w:rsidR="00B91E10">
        <w:rPr>
          <w:rFonts w:ascii="Bradley Hand ITC" w:hAnsi="Bradley Hand ITC"/>
        </w:rPr>
        <w:t xml:space="preserve"> Claire </w:t>
      </w:r>
      <w:proofErr w:type="spellStart"/>
      <w:r w:rsidR="00B91E10">
        <w:rPr>
          <w:rFonts w:ascii="Bradley Hand ITC" w:hAnsi="Bradley Hand ITC"/>
        </w:rPr>
        <w:t>Fayers</w:t>
      </w:r>
      <w:proofErr w:type="spellEnd"/>
      <w:r w:rsidR="00B91E10">
        <w:rPr>
          <w:rFonts w:ascii="Bradley Hand ITC" w:hAnsi="Bradley Hand ITC"/>
        </w:rPr>
        <w:t xml:space="preserve"> says that the </w:t>
      </w:r>
      <w:proofErr w:type="spellStart"/>
      <w:r w:rsidR="00B91E10">
        <w:rPr>
          <w:rFonts w:ascii="Bradley Hand ITC" w:hAnsi="Bradley Hand ITC"/>
        </w:rPr>
        <w:t>Pwca</w:t>
      </w:r>
      <w:proofErr w:type="spellEnd"/>
      <w:r w:rsidR="00B91E10">
        <w:rPr>
          <w:rFonts w:ascii="Bradley Hand ITC" w:hAnsi="Bradley Hand ITC"/>
        </w:rPr>
        <w:t xml:space="preserve"> have big eyes</w:t>
      </w:r>
      <w:r w:rsidR="00EF5F69">
        <w:rPr>
          <w:rFonts w:ascii="Bradley Hand ITC" w:hAnsi="Bradley Hand ITC"/>
        </w:rPr>
        <w:t xml:space="preserve"> and furry skin, with the ability to shapeshift an imitate different animals. </w:t>
      </w:r>
      <w:r w:rsidR="00EF5F69">
        <w:rPr>
          <w:rStyle w:val="FootnoteReference"/>
          <w:rFonts w:ascii="Bradley Hand ITC" w:hAnsi="Bradley Hand ITC"/>
        </w:rPr>
        <w:footnoteReference w:id="16"/>
      </w:r>
    </w:p>
    <w:p w14:paraId="755659D4" w14:textId="2A14F958" w:rsidR="00A14D2B" w:rsidRPr="00BD57CE" w:rsidRDefault="004405DC" w:rsidP="004405DC">
      <w:pPr>
        <w:spacing w:after="0" w:line="240" w:lineRule="auto"/>
        <w:jc w:val="both"/>
        <w:rPr>
          <w:rFonts w:ascii="Bradley Hand ITC" w:hAnsi="Bradley Hand ITC"/>
          <w:sz w:val="26"/>
          <w:szCs w:val="26"/>
        </w:rPr>
      </w:pPr>
      <w:r>
        <w:rPr>
          <w:noProof/>
        </w:rPr>
        <mc:AlternateContent>
          <mc:Choice Requires="wps">
            <w:drawing>
              <wp:anchor distT="0" distB="0" distL="114300" distR="114300" simplePos="0" relativeHeight="251680768" behindDoc="0" locked="0" layoutInCell="1" allowOverlap="1" wp14:anchorId="28B2AC4C" wp14:editId="2103F47E">
                <wp:simplePos x="0" y="0"/>
                <wp:positionH relativeFrom="margin">
                  <wp:posOffset>2700655</wp:posOffset>
                </wp:positionH>
                <wp:positionV relativeFrom="paragraph">
                  <wp:posOffset>1428327</wp:posOffset>
                </wp:positionV>
                <wp:extent cx="2880000" cy="304800"/>
                <wp:effectExtent l="0" t="0" r="0" b="0"/>
                <wp:wrapSquare wrapText="bothSides"/>
                <wp:docPr id="48688457" name="Text Box 1"/>
                <wp:cNvGraphicFramePr/>
                <a:graphic xmlns:a="http://schemas.openxmlformats.org/drawingml/2006/main">
                  <a:graphicData uri="http://schemas.microsoft.com/office/word/2010/wordprocessingShape">
                    <wps:wsp>
                      <wps:cNvSpPr txBox="1"/>
                      <wps:spPr>
                        <a:xfrm>
                          <a:off x="0" y="0"/>
                          <a:ext cx="2880000" cy="304800"/>
                        </a:xfrm>
                        <a:prstGeom prst="rect">
                          <a:avLst/>
                        </a:prstGeom>
                        <a:solidFill>
                          <a:prstClr val="white"/>
                        </a:solidFill>
                        <a:ln>
                          <a:noFill/>
                        </a:ln>
                      </wps:spPr>
                      <wps:txbx>
                        <w:txbxContent>
                          <w:p w14:paraId="570F77FD" w14:textId="3959314C" w:rsidR="000754B2" w:rsidRPr="000754B2" w:rsidRDefault="000754B2" w:rsidP="000754B2">
                            <w:pPr>
                              <w:pStyle w:val="Caption"/>
                              <w:jc w:val="center"/>
                              <w:rPr>
                                <w:rFonts w:ascii="Bradley Hand ITC" w:hAnsi="Bradley Hand ITC"/>
                                <w:sz w:val="22"/>
                                <w:szCs w:val="22"/>
                              </w:rPr>
                            </w:pPr>
                            <w:r w:rsidRPr="000754B2">
                              <w:rPr>
                                <w:rFonts w:ascii="Bradley Hand ITC" w:hAnsi="Bradley Hand ITC"/>
                              </w:rPr>
                              <w:t>Wirt Sike, British Goblins: Welsh Folklore, Fairy Mythology, Legends and Traditions, 1880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B2AC4C" id="_x0000_s1035" type="#_x0000_t202" style="position:absolute;left:0;text-align:left;margin-left:212.65pt;margin-top:112.45pt;width:226.75pt;height:24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" stroked="f">
                <v:textbox inset="0,0,0,0">
                  <w:txbxContent>
                    <w:p w14:paraId="570F77FD" w14:textId="3959314C" w:rsidR="000754B2" w:rsidRPr="000754B2" w:rsidRDefault="000754B2" w:rsidP="000754B2">
                      <w:pPr>
                        <w:pStyle w:val="Caption"/>
                        <w:jc w:val="center"/>
                        <w:rPr>
                          <w:rFonts w:ascii="Bradley Hand ITC" w:hAnsi="Bradley Hand ITC"/>
                          <w:sz w:val="22"/>
                          <w:szCs w:val="22"/>
                        </w:rPr>
                      </w:pPr>
                      <w:r w:rsidRPr="000754B2">
                        <w:rPr>
                          <w:rFonts w:ascii="Bradley Hand ITC" w:hAnsi="Bradley Hand ITC"/>
                        </w:rPr>
                        <w:t>Wirt Sike, British Goblins: Welsh Folklore, Fairy Mythology, Legends and Traditions, 1880</w:t>
                      </w:r>
                    </w:p>
                  </w:txbxContent>
                </v:textbox>
                <w10:wrap type="square" anchorx="margin"/>
              </v:shape>
            </w:pict>
          </mc:Fallback>
        </mc:AlternateContent>
      </w:r>
      <w:r w:rsidR="00822CB4">
        <w:rPr>
          <w:rFonts w:ascii="Bradley Hand ITC" w:hAnsi="Bradley Hand ITC"/>
        </w:rPr>
        <w:t xml:space="preserve">Like the </w:t>
      </w:r>
      <w:proofErr w:type="spellStart"/>
      <w:r w:rsidR="00822CB4">
        <w:rPr>
          <w:rFonts w:ascii="Bradley Hand ITC" w:hAnsi="Bradley Hand ITC"/>
        </w:rPr>
        <w:t>Bwbach</w:t>
      </w:r>
      <w:proofErr w:type="spellEnd"/>
      <w:r w:rsidR="005C25A5">
        <w:rPr>
          <w:rFonts w:ascii="Bradley Hand ITC" w:hAnsi="Bradley Hand ITC"/>
        </w:rPr>
        <w:t xml:space="preserve">, the </w:t>
      </w:r>
      <w:proofErr w:type="spellStart"/>
      <w:r w:rsidR="005C25A5">
        <w:rPr>
          <w:rFonts w:ascii="Bradley Hand ITC" w:hAnsi="Bradley Hand ITC"/>
        </w:rPr>
        <w:t>Pwca</w:t>
      </w:r>
      <w:proofErr w:type="spellEnd"/>
      <w:r w:rsidR="005C25A5">
        <w:rPr>
          <w:rFonts w:ascii="Bradley Hand ITC" w:hAnsi="Bradley Hand ITC"/>
        </w:rPr>
        <w:t xml:space="preserve"> does household tasks</w:t>
      </w:r>
      <w:r w:rsidR="002E29E0">
        <w:rPr>
          <w:rFonts w:ascii="Bradley Hand ITC" w:hAnsi="Bradley Hand ITC"/>
        </w:rPr>
        <w:t xml:space="preserve"> for maids in exchange for cream or milk. </w:t>
      </w:r>
      <w:r w:rsidR="00691B7A">
        <w:rPr>
          <w:rFonts w:ascii="Bradley Hand ITC" w:hAnsi="Bradley Hand ITC"/>
        </w:rPr>
        <w:t xml:space="preserve">The </w:t>
      </w:r>
      <w:proofErr w:type="spellStart"/>
      <w:r w:rsidR="00691B7A">
        <w:rPr>
          <w:rFonts w:ascii="Bradley Hand ITC" w:hAnsi="Bradley Hand ITC"/>
        </w:rPr>
        <w:t>Pwca</w:t>
      </w:r>
      <w:proofErr w:type="spellEnd"/>
      <w:r w:rsidR="00691B7A">
        <w:rPr>
          <w:rFonts w:ascii="Bradley Hand ITC" w:hAnsi="Bradley Hand ITC"/>
        </w:rPr>
        <w:t xml:space="preserve"> however, is much more mischievous and prone to causing trouble than a </w:t>
      </w:r>
      <w:proofErr w:type="spellStart"/>
      <w:r w:rsidR="00691B7A">
        <w:rPr>
          <w:rFonts w:ascii="Bradley Hand ITC" w:hAnsi="Bradley Hand ITC"/>
        </w:rPr>
        <w:t>Bwbach</w:t>
      </w:r>
      <w:proofErr w:type="spellEnd"/>
      <w:r w:rsidR="00691B7A">
        <w:rPr>
          <w:rFonts w:ascii="Bradley Hand ITC" w:hAnsi="Bradley Hand ITC"/>
        </w:rPr>
        <w:t xml:space="preserve">, and more malicious </w:t>
      </w:r>
      <w:r w:rsidR="00B91E10">
        <w:rPr>
          <w:rFonts w:ascii="Bradley Hand ITC" w:hAnsi="Bradley Hand ITC"/>
        </w:rPr>
        <w:t>in their actions</w:t>
      </w:r>
      <w:r w:rsidR="00B53176">
        <w:rPr>
          <w:rFonts w:ascii="Bradley Hand ITC" w:hAnsi="Bradley Hand ITC"/>
        </w:rPr>
        <w:t xml:space="preserve">, like physically attacking people. They also don’t like for people to know their names and will leave if it is found out. </w:t>
      </w:r>
      <w:r w:rsidR="00B53176">
        <w:rPr>
          <w:rStyle w:val="FootnoteReference"/>
          <w:rFonts w:ascii="Bradley Hand ITC" w:hAnsi="Bradley Hand ITC"/>
        </w:rPr>
        <w:footnoteReference w:id="17"/>
      </w:r>
      <w:r w:rsidR="00A14D2B" w:rsidRPr="00BD57CE">
        <w:rPr>
          <w:rFonts w:ascii="Bradley Hand ITC" w:hAnsi="Bradley Hand ITC"/>
        </w:rPr>
        <w:br w:type="page"/>
      </w:r>
    </w:p>
    <w:p w14:paraId="40CA6550" w14:textId="27F8E7D5" w:rsidR="00F7112B" w:rsidRPr="00F7112B" w:rsidRDefault="00F7112B" w:rsidP="00F7112B">
      <w:pPr>
        <w:spacing w:after="0" w:line="240" w:lineRule="auto"/>
        <w:rPr>
          <w:rFonts w:ascii="Bradley Hand ITC" w:hAnsi="Bradley Hand ITC"/>
          <w:sz w:val="56"/>
          <w:szCs w:val="56"/>
          <w:u w:val="single"/>
        </w:rPr>
      </w:pPr>
      <w:proofErr w:type="spellStart"/>
      <w:r w:rsidRPr="00F7112B">
        <w:rPr>
          <w:rFonts w:ascii="Bradley Hand ITC" w:hAnsi="Bradley Hand ITC"/>
          <w:sz w:val="56"/>
          <w:szCs w:val="56"/>
          <w:u w:val="single"/>
        </w:rPr>
        <w:lastRenderedPageBreak/>
        <w:t>Gwragedd</w:t>
      </w:r>
      <w:proofErr w:type="spellEnd"/>
      <w:r w:rsidRPr="00F7112B">
        <w:rPr>
          <w:rFonts w:ascii="Bradley Hand ITC" w:hAnsi="Bradley Hand ITC"/>
          <w:sz w:val="56"/>
          <w:szCs w:val="56"/>
          <w:u w:val="single"/>
        </w:rPr>
        <w:t xml:space="preserve"> Annwn</w:t>
      </w:r>
      <w:r w:rsidRPr="00F7112B">
        <w:rPr>
          <w:rFonts w:ascii="Bradley Hand ITC" w:hAnsi="Bradley Hand ITC"/>
          <w:sz w:val="56"/>
          <w:szCs w:val="56"/>
          <w:u w:val="single"/>
        </w:rPr>
        <w:t>: T</w:t>
      </w:r>
      <w:r w:rsidRPr="00F7112B">
        <w:rPr>
          <w:rFonts w:ascii="Bradley Hand ITC" w:hAnsi="Bradley Hand ITC"/>
          <w:sz w:val="56"/>
          <w:szCs w:val="56"/>
          <w:u w:val="single"/>
        </w:rPr>
        <w:t xml:space="preserve">he </w:t>
      </w:r>
      <w:r w:rsidRPr="00F7112B">
        <w:rPr>
          <w:rFonts w:ascii="Bradley Hand ITC" w:hAnsi="Bradley Hand ITC"/>
          <w:sz w:val="56"/>
          <w:szCs w:val="56"/>
          <w:u w:val="single"/>
        </w:rPr>
        <w:t>F</w:t>
      </w:r>
      <w:r w:rsidRPr="00F7112B">
        <w:rPr>
          <w:rFonts w:ascii="Bradley Hand ITC" w:hAnsi="Bradley Hand ITC"/>
          <w:sz w:val="56"/>
          <w:szCs w:val="56"/>
          <w:u w:val="single"/>
        </w:rPr>
        <w:t xml:space="preserve">airies of the </w:t>
      </w:r>
      <w:r w:rsidRPr="00F7112B">
        <w:rPr>
          <w:rFonts w:ascii="Bradley Hand ITC" w:hAnsi="Bradley Hand ITC"/>
          <w:sz w:val="56"/>
          <w:szCs w:val="56"/>
          <w:u w:val="single"/>
        </w:rPr>
        <w:t>L</w:t>
      </w:r>
      <w:r w:rsidRPr="00F7112B">
        <w:rPr>
          <w:rFonts w:ascii="Bradley Hand ITC" w:hAnsi="Bradley Hand ITC"/>
          <w:sz w:val="56"/>
          <w:szCs w:val="56"/>
          <w:u w:val="single"/>
        </w:rPr>
        <w:t xml:space="preserve">akes and </w:t>
      </w:r>
      <w:r w:rsidRPr="00F7112B">
        <w:rPr>
          <w:rFonts w:ascii="Bradley Hand ITC" w:hAnsi="Bradley Hand ITC"/>
          <w:sz w:val="56"/>
          <w:szCs w:val="56"/>
          <w:u w:val="single"/>
        </w:rPr>
        <w:t>S</w:t>
      </w:r>
      <w:r w:rsidRPr="00F7112B">
        <w:rPr>
          <w:rFonts w:ascii="Bradley Hand ITC" w:hAnsi="Bradley Hand ITC"/>
          <w:sz w:val="56"/>
          <w:szCs w:val="56"/>
          <w:u w:val="single"/>
        </w:rPr>
        <w:t>treams</w:t>
      </w:r>
    </w:p>
    <w:p w14:paraId="6CA6EAAE" w14:textId="774319F1" w:rsidR="00A14D2B" w:rsidRPr="00BD57CE" w:rsidRDefault="00EF2A61" w:rsidP="00EF2A61">
      <w:pPr>
        <w:spacing w:line="240" w:lineRule="auto"/>
        <w:jc w:val="both"/>
        <w:rPr>
          <w:rFonts w:ascii="Bradley Hand ITC" w:hAnsi="Bradley Hand ITC"/>
        </w:rPr>
      </w:pPr>
      <w:r>
        <w:rPr>
          <w:noProof/>
        </w:rPr>
        <mc:AlternateContent>
          <mc:Choice Requires="wps">
            <w:drawing>
              <wp:anchor distT="0" distB="0" distL="114300" distR="114300" simplePos="0" relativeHeight="251689984" behindDoc="0" locked="0" layoutInCell="1" allowOverlap="1" wp14:anchorId="67737622" wp14:editId="413C5D4D">
                <wp:simplePos x="0" y="0"/>
                <wp:positionH relativeFrom="margin">
                  <wp:posOffset>0</wp:posOffset>
                </wp:positionH>
                <wp:positionV relativeFrom="paragraph">
                  <wp:posOffset>2483908</wp:posOffset>
                </wp:positionV>
                <wp:extent cx="1800000" cy="448310"/>
                <wp:effectExtent l="0" t="0" r="0" b="8890"/>
                <wp:wrapSquare wrapText="bothSides"/>
                <wp:docPr id="319022942" name="Text Box 1"/>
                <wp:cNvGraphicFramePr/>
                <a:graphic xmlns:a="http://schemas.openxmlformats.org/drawingml/2006/main">
                  <a:graphicData uri="http://schemas.microsoft.com/office/word/2010/wordprocessingShape">
                    <wps:wsp>
                      <wps:cNvSpPr txBox="1"/>
                      <wps:spPr>
                        <a:xfrm>
                          <a:off x="0" y="0"/>
                          <a:ext cx="1800000" cy="448310"/>
                        </a:xfrm>
                        <a:prstGeom prst="rect">
                          <a:avLst/>
                        </a:prstGeom>
                        <a:solidFill>
                          <a:prstClr val="white"/>
                        </a:solidFill>
                        <a:ln>
                          <a:noFill/>
                        </a:ln>
                      </wps:spPr>
                      <wps:txbx>
                        <w:txbxContent>
                          <w:p w14:paraId="3A5C85BA" w14:textId="4454FCCA" w:rsidR="00EF2A61" w:rsidRPr="00EF2A61" w:rsidRDefault="00EF2A61" w:rsidP="00EF2A61">
                            <w:pPr>
                              <w:pStyle w:val="Caption"/>
                              <w:jc w:val="center"/>
                              <w:rPr>
                                <w:rFonts w:ascii="Bradley Hand ITC" w:hAnsi="Bradley Hand ITC"/>
                                <w:sz w:val="22"/>
                                <w:szCs w:val="22"/>
                              </w:rPr>
                            </w:pPr>
                            <w:r w:rsidRPr="00EF2A61">
                              <w:rPr>
                                <w:rFonts w:ascii="Bradley Hand ITC" w:hAnsi="Bradley Hand ITC"/>
                              </w:rPr>
                              <w:t>Wirt Sike, British Goblins: Welsh Folklore, Fairy Mythology, Legends and Traditions, 1880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737622" id="_x0000_s1036" type="#_x0000_t202" style="position:absolute;left:0;text-align:left;margin-left:0;margin-top:195.6pt;width:141.75pt;height:35.3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" stroked="f">
                <v:textbox inset="0,0,0,0">
                  <w:txbxContent>
                    <w:p w14:paraId="3A5C85BA" w14:textId="4454FCCA" w:rsidR="00EF2A61" w:rsidRPr="00EF2A61" w:rsidRDefault="00EF2A61" w:rsidP="00EF2A61">
                      <w:pPr>
                        <w:pStyle w:val="Caption"/>
                        <w:jc w:val="center"/>
                        <w:rPr>
                          <w:rFonts w:ascii="Bradley Hand ITC" w:hAnsi="Bradley Hand ITC"/>
                          <w:sz w:val="22"/>
                          <w:szCs w:val="22"/>
                        </w:rPr>
                      </w:pPr>
                      <w:r w:rsidRPr="00EF2A61">
                        <w:rPr>
                          <w:rFonts w:ascii="Bradley Hand ITC" w:hAnsi="Bradley Hand ITC"/>
                        </w:rPr>
                        <w:t>Wirt Sike, British Goblins: Welsh Folklore, Fairy Mythology, Legends and Traditions, 1880</w:t>
                      </w:r>
                    </w:p>
                  </w:txbxContent>
                </v:textbox>
                <w10:wrap type="square" anchorx="margin"/>
              </v:shape>
            </w:pict>
          </mc:Fallback>
        </mc:AlternateContent>
      </w:r>
      <w:r w:rsidR="00266FEF" w:rsidRPr="00266FEF">
        <w:rPr>
          <w:rFonts w:ascii="Bradley Hand ITC" w:hAnsi="Bradley Hand ITC"/>
        </w:rPr>
        <w:drawing>
          <wp:anchor distT="0" distB="0" distL="114300" distR="114300" simplePos="0" relativeHeight="251687936" behindDoc="0" locked="0" layoutInCell="1" allowOverlap="1" wp14:anchorId="376F9DE3" wp14:editId="31AA6FC8">
            <wp:simplePos x="0" y="0"/>
            <wp:positionH relativeFrom="margin">
              <wp:align>left</wp:align>
            </wp:positionH>
            <wp:positionV relativeFrom="paragraph">
              <wp:posOffset>8890</wp:posOffset>
            </wp:positionV>
            <wp:extent cx="1800000" cy="2457116"/>
            <wp:effectExtent l="0" t="0" r="0" b="635"/>
            <wp:wrapSquare wrapText="bothSides"/>
            <wp:docPr id="1477567493" name="Picture 1" descr="A person kneeling on a boat with a person in her h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567493" name="Picture 1" descr="A person kneeling on a boat with a person in her hand&#10;&#10;AI-generated content may be incorrect."/>
                    <pic:cNvPicPr/>
                  </pic:nvPicPr>
                  <pic:blipFill rotWithShape="1">
                    <a:blip r:embed="rId22" cstate="print">
                      <a:extLst>
                        <a:ext uri="{BEBA8EAE-BF5A-486C-A8C5-ECC9F3942E4B}">
                          <a14:imgProps xmlns:a14="http://schemas.microsoft.com/office/drawing/2010/main">
                            <a14:imgLayer r:embed="rId23">
                              <a14:imgEffect>
                                <a14:brightnessContrast bright="20000"/>
                              </a14:imgEffect>
                            </a14:imgLayer>
                          </a14:imgProps>
                        </a:ext>
                        <a:ext uri="{28A0092B-C50C-407E-A947-70E740481C1C}">
                          <a14:useLocalDpi xmlns:a14="http://schemas.microsoft.com/office/drawing/2010/main" val="0"/>
                        </a:ext>
                      </a:extLst>
                    </a:blip>
                    <a:srcRect l="3438" t="1004" r="1025"/>
                    <a:stretch/>
                  </pic:blipFill>
                  <pic:spPr bwMode="auto">
                    <a:xfrm>
                      <a:off x="0" y="0"/>
                      <a:ext cx="1800000" cy="245711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B699F">
        <w:rPr>
          <w:rFonts w:ascii="Bradley Hand ITC" w:hAnsi="Bradley Hand ITC"/>
        </w:rPr>
        <w:t xml:space="preserve">The </w:t>
      </w:r>
      <w:proofErr w:type="spellStart"/>
      <w:r w:rsidR="009B699F">
        <w:rPr>
          <w:rFonts w:ascii="Bradley Hand ITC" w:hAnsi="Bradley Hand ITC"/>
        </w:rPr>
        <w:t>Gwragedd</w:t>
      </w:r>
      <w:proofErr w:type="spellEnd"/>
      <w:r w:rsidR="009B699F">
        <w:rPr>
          <w:rFonts w:ascii="Bradley Hand ITC" w:hAnsi="Bradley Hand ITC"/>
        </w:rPr>
        <w:t xml:space="preserve"> Annwn are as close as Wales gets to mermaids, which are oddly absent in Welsh folklore. </w:t>
      </w:r>
      <w:proofErr w:type="spellStart"/>
      <w:r w:rsidR="009B699F">
        <w:rPr>
          <w:rFonts w:ascii="Bradley Hand ITC" w:hAnsi="Bradley Hand ITC"/>
        </w:rPr>
        <w:t>Gwragedd</w:t>
      </w:r>
      <w:proofErr w:type="spellEnd"/>
      <w:r w:rsidR="009B699F">
        <w:rPr>
          <w:rFonts w:ascii="Bradley Hand ITC" w:hAnsi="Bradley Hand ITC"/>
        </w:rPr>
        <w:t xml:space="preserve"> Annwn translates to ‘the wives of the lower world’ or ‘the wives of hell’ reside in rivers and streams and serve as the main messengers between our world and the Annwn, the Welsh equivalent of the underworld or hell.</w:t>
      </w:r>
      <w:r w:rsidR="006F6F5B">
        <w:rPr>
          <w:rFonts w:ascii="Bradley Hand ITC" w:hAnsi="Bradley Hand ITC"/>
        </w:rPr>
        <w:t xml:space="preserve"> The </w:t>
      </w:r>
      <w:proofErr w:type="spellStart"/>
      <w:r w:rsidR="006F6F5B">
        <w:rPr>
          <w:rFonts w:ascii="Bradley Hand ITC" w:hAnsi="Bradley Hand ITC"/>
        </w:rPr>
        <w:t>Gwragedd</w:t>
      </w:r>
      <w:proofErr w:type="spellEnd"/>
      <w:r w:rsidR="006F6F5B">
        <w:rPr>
          <w:rFonts w:ascii="Bradley Hand ITC" w:hAnsi="Bradley Hand ITC"/>
        </w:rPr>
        <w:t xml:space="preserve"> Annwn were purported to be made when Saint Patrick returned to Wales </w:t>
      </w:r>
      <w:proofErr w:type="spellStart"/>
      <w:r w:rsidR="006F6F5B">
        <w:rPr>
          <w:rFonts w:ascii="Bradley Hand ITC" w:hAnsi="Bradley Hand ITC"/>
        </w:rPr>
        <w:t>froom</w:t>
      </w:r>
      <w:proofErr w:type="spellEnd"/>
      <w:r w:rsidR="006F6F5B">
        <w:rPr>
          <w:rFonts w:ascii="Bradley Hand ITC" w:hAnsi="Bradley Hand ITC"/>
        </w:rPr>
        <w:t xml:space="preserve"> Ireland for a visit and was rebuked by some villagers in Welsh. As punishment he turned them into fish, but the women were turned into fairies, and the village lake would become so dark in its depths that the Sun would never touch it again. Unlike the folklore of mermaids, who lure men to their death, the </w:t>
      </w:r>
      <w:proofErr w:type="spellStart"/>
      <w:r w:rsidR="006F6F5B">
        <w:rPr>
          <w:rFonts w:ascii="Bradley Hand ITC" w:hAnsi="Bradley Hand ITC"/>
        </w:rPr>
        <w:t>Gwragedd</w:t>
      </w:r>
      <w:proofErr w:type="spellEnd"/>
      <w:r w:rsidR="006F6F5B">
        <w:rPr>
          <w:rFonts w:ascii="Bradley Hand ITC" w:hAnsi="Bradley Hand ITC"/>
        </w:rPr>
        <w:t xml:space="preserve"> Annwn instead are in the habit of marrying mortal men and having children with them, leaving many families in Wales to be descendants of them</w:t>
      </w:r>
      <w:r w:rsidR="00266FEF">
        <w:rPr>
          <w:rFonts w:ascii="Bradley Hand ITC" w:hAnsi="Bradley Hand ITC"/>
        </w:rPr>
        <w:t xml:space="preserve">. </w:t>
      </w:r>
      <w:r w:rsidR="00266FEF">
        <w:rPr>
          <w:rStyle w:val="FootnoteReference"/>
          <w:rFonts w:ascii="Bradley Hand ITC" w:hAnsi="Bradley Hand ITC"/>
        </w:rPr>
        <w:footnoteReference w:id="18"/>
      </w:r>
      <w:r w:rsidR="00266FEF">
        <w:rPr>
          <w:rFonts w:ascii="Bradley Hand ITC" w:hAnsi="Bradley Hand ITC"/>
        </w:rPr>
        <w:t xml:space="preserve"> It is believed that this is where the name Morgan has come </w:t>
      </w:r>
      <w:r w:rsidR="007026A1">
        <w:rPr>
          <w:rFonts w:ascii="Bradley Hand ITC" w:hAnsi="Bradley Hand ITC"/>
        </w:rPr>
        <w:t>from, with</w:t>
      </w:r>
      <w:r w:rsidR="00266FEF">
        <w:rPr>
          <w:rFonts w:ascii="Bradley Hand ITC" w:hAnsi="Bradley Hand ITC"/>
        </w:rPr>
        <w:t xml:space="preserve"> ‘mor’ meaning ‘sea’ and ‘</w:t>
      </w:r>
      <w:proofErr w:type="spellStart"/>
      <w:r w:rsidR="00266FEF">
        <w:rPr>
          <w:rFonts w:ascii="Bradley Hand ITC" w:hAnsi="Bradley Hand ITC"/>
        </w:rPr>
        <w:t>gan</w:t>
      </w:r>
      <w:proofErr w:type="spellEnd"/>
      <w:r w:rsidR="00266FEF">
        <w:rPr>
          <w:rFonts w:ascii="Bradley Hand ITC" w:hAnsi="Bradley Hand ITC"/>
        </w:rPr>
        <w:t xml:space="preserve">’ meaning ‘born’ the name </w:t>
      </w:r>
      <w:r>
        <w:rPr>
          <w:rFonts w:ascii="Bradley Hand ITC" w:hAnsi="Bradley Hand ITC"/>
        </w:rPr>
        <w:t>means</w:t>
      </w:r>
      <w:r w:rsidR="00266FEF">
        <w:rPr>
          <w:rFonts w:ascii="Bradley Hand ITC" w:hAnsi="Bradley Hand ITC"/>
        </w:rPr>
        <w:t xml:space="preserve"> to ‘born of the sea’.</w:t>
      </w:r>
      <w:r w:rsidR="007026A1">
        <w:rPr>
          <w:rFonts w:ascii="Bradley Hand ITC" w:hAnsi="Bradley Hand ITC"/>
        </w:rPr>
        <w:t xml:space="preserve"> </w:t>
      </w:r>
      <w:r w:rsidR="007026A1">
        <w:rPr>
          <w:rStyle w:val="FootnoteReference"/>
          <w:rFonts w:ascii="Bradley Hand ITC" w:hAnsi="Bradley Hand ITC"/>
        </w:rPr>
        <w:footnoteReference w:id="19"/>
      </w:r>
      <w:r>
        <w:rPr>
          <w:rFonts w:ascii="Bradley Hand ITC" w:hAnsi="Bradley Hand ITC"/>
        </w:rPr>
        <w:t xml:space="preserve"> Their male equivalent is the Plant Annwn, though there are few tales about them specifically. </w:t>
      </w:r>
      <w:r>
        <w:rPr>
          <w:rStyle w:val="FootnoteReference"/>
          <w:rFonts w:ascii="Bradley Hand ITC" w:hAnsi="Bradley Hand ITC"/>
        </w:rPr>
        <w:footnoteReference w:id="20"/>
      </w:r>
      <w:r>
        <w:rPr>
          <w:rFonts w:ascii="Bradley Hand ITC" w:hAnsi="Bradley Hand ITC"/>
        </w:rPr>
        <w:t xml:space="preserve"> </w:t>
      </w:r>
      <w:r w:rsidR="007026A1">
        <w:rPr>
          <w:rFonts w:ascii="Bradley Hand ITC" w:hAnsi="Bradley Hand ITC"/>
        </w:rPr>
        <w:t xml:space="preserve">The </w:t>
      </w:r>
      <w:proofErr w:type="spellStart"/>
      <w:r w:rsidR="007026A1">
        <w:rPr>
          <w:rFonts w:ascii="Bradley Hand ITC" w:hAnsi="Bradley Hand ITC"/>
        </w:rPr>
        <w:t>Gwartheg</w:t>
      </w:r>
      <w:proofErr w:type="spellEnd"/>
      <w:r w:rsidR="007026A1">
        <w:rPr>
          <w:rFonts w:ascii="Bradley Hand ITC" w:hAnsi="Bradley Hand ITC"/>
        </w:rPr>
        <w:t xml:space="preserve"> Y Llyn are the fairy cattle of Wales and were often given as part of a dowery for the </w:t>
      </w:r>
      <w:proofErr w:type="spellStart"/>
      <w:r w:rsidR="007026A1">
        <w:rPr>
          <w:rFonts w:ascii="Bradley Hand ITC" w:hAnsi="Bradley Hand ITC"/>
        </w:rPr>
        <w:t>Gwragedd</w:t>
      </w:r>
      <w:proofErr w:type="spellEnd"/>
      <w:r w:rsidR="007026A1">
        <w:rPr>
          <w:rFonts w:ascii="Bradley Hand ITC" w:hAnsi="Bradley Hand ITC"/>
        </w:rPr>
        <w:t xml:space="preserve"> Annwn and would bring wealth and prosperity to the husbands. </w:t>
      </w:r>
      <w:r w:rsidR="007026A1">
        <w:rPr>
          <w:rStyle w:val="FootnoteReference"/>
          <w:rFonts w:ascii="Bradley Hand ITC" w:hAnsi="Bradley Hand ITC"/>
        </w:rPr>
        <w:footnoteReference w:id="21"/>
      </w:r>
    </w:p>
    <w:p w14:paraId="49E700B8" w14:textId="5F2AE959" w:rsidR="00F7112B" w:rsidRPr="00357F77" w:rsidRDefault="00F7112B" w:rsidP="00F7112B">
      <w:pPr>
        <w:spacing w:after="0" w:line="240" w:lineRule="auto"/>
        <w:rPr>
          <w:rFonts w:ascii="Bradley Hand ITC" w:hAnsi="Bradley Hand ITC"/>
          <w:sz w:val="56"/>
          <w:szCs w:val="56"/>
          <w:u w:val="single"/>
        </w:rPr>
      </w:pPr>
      <w:proofErr w:type="spellStart"/>
      <w:r w:rsidRPr="00357F77">
        <w:rPr>
          <w:rFonts w:ascii="Bradley Hand ITC" w:hAnsi="Bradley Hand ITC"/>
          <w:sz w:val="56"/>
          <w:szCs w:val="56"/>
          <w:u w:val="single"/>
        </w:rPr>
        <w:lastRenderedPageBreak/>
        <w:t>Gwyllion</w:t>
      </w:r>
      <w:proofErr w:type="spellEnd"/>
      <w:r w:rsidRPr="00357F77">
        <w:rPr>
          <w:rFonts w:ascii="Bradley Hand ITC" w:hAnsi="Bradley Hand ITC"/>
          <w:sz w:val="56"/>
          <w:szCs w:val="56"/>
          <w:u w:val="single"/>
        </w:rPr>
        <w:t>: T</w:t>
      </w:r>
      <w:r w:rsidRPr="00357F77">
        <w:rPr>
          <w:rFonts w:ascii="Bradley Hand ITC" w:hAnsi="Bradley Hand ITC"/>
          <w:sz w:val="56"/>
          <w:szCs w:val="56"/>
          <w:u w:val="single"/>
        </w:rPr>
        <w:t xml:space="preserve">he </w:t>
      </w:r>
      <w:r w:rsidRPr="00357F77">
        <w:rPr>
          <w:rFonts w:ascii="Bradley Hand ITC" w:hAnsi="Bradley Hand ITC"/>
          <w:sz w:val="56"/>
          <w:szCs w:val="56"/>
          <w:u w:val="single"/>
        </w:rPr>
        <w:t>F</w:t>
      </w:r>
      <w:r w:rsidRPr="00357F77">
        <w:rPr>
          <w:rFonts w:ascii="Bradley Hand ITC" w:hAnsi="Bradley Hand ITC"/>
          <w:sz w:val="56"/>
          <w:szCs w:val="56"/>
          <w:u w:val="single"/>
        </w:rPr>
        <w:t xml:space="preserve">airies of the </w:t>
      </w:r>
      <w:r w:rsidRPr="00357F77">
        <w:rPr>
          <w:rFonts w:ascii="Bradley Hand ITC" w:hAnsi="Bradley Hand ITC"/>
          <w:sz w:val="56"/>
          <w:szCs w:val="56"/>
          <w:u w:val="single"/>
        </w:rPr>
        <w:t>M</w:t>
      </w:r>
      <w:r w:rsidRPr="00357F77">
        <w:rPr>
          <w:rFonts w:ascii="Bradley Hand ITC" w:hAnsi="Bradley Hand ITC"/>
          <w:sz w:val="56"/>
          <w:szCs w:val="56"/>
          <w:u w:val="single"/>
        </w:rPr>
        <w:t>ountains</w:t>
      </w:r>
    </w:p>
    <w:p w14:paraId="08D8D749" w14:textId="77777777" w:rsidR="00F7112B" w:rsidRPr="00F7112B" w:rsidRDefault="00F7112B" w:rsidP="00F7112B">
      <w:pPr>
        <w:spacing w:after="0" w:line="240" w:lineRule="auto"/>
        <w:rPr>
          <w:rFonts w:ascii="Bradley Hand ITC" w:hAnsi="Bradley Hand ITC"/>
        </w:rPr>
      </w:pPr>
    </w:p>
    <w:p w14:paraId="307F6FE0" w14:textId="629300B0" w:rsidR="00C115D0" w:rsidRDefault="0095065D" w:rsidP="00BA5C8E">
      <w:pPr>
        <w:rPr>
          <w:rFonts w:ascii="Bradley Hand ITC" w:hAnsi="Bradley Hand ITC"/>
        </w:rPr>
      </w:pPr>
      <w:r>
        <w:rPr>
          <w:noProof/>
        </w:rPr>
        <mc:AlternateContent>
          <mc:Choice Requires="wps">
            <w:drawing>
              <wp:anchor distT="0" distB="0" distL="114300" distR="114300" simplePos="0" relativeHeight="251693056" behindDoc="0" locked="0" layoutInCell="1" allowOverlap="1" wp14:anchorId="4AF677DB" wp14:editId="20A44C61">
                <wp:simplePos x="0" y="0"/>
                <wp:positionH relativeFrom="column">
                  <wp:posOffset>1905</wp:posOffset>
                </wp:positionH>
                <wp:positionV relativeFrom="paragraph">
                  <wp:posOffset>2759075</wp:posOffset>
                </wp:positionV>
                <wp:extent cx="2042160" cy="635"/>
                <wp:effectExtent l="0" t="0" r="0" b="0"/>
                <wp:wrapSquare wrapText="bothSides"/>
                <wp:docPr id="643769511" name="Text Box 1"/>
                <wp:cNvGraphicFramePr/>
                <a:graphic xmlns:a="http://schemas.openxmlformats.org/drawingml/2006/main">
                  <a:graphicData uri="http://schemas.microsoft.com/office/word/2010/wordprocessingShape">
                    <wps:wsp>
                      <wps:cNvSpPr txBox="1"/>
                      <wps:spPr>
                        <a:xfrm>
                          <a:off x="0" y="0"/>
                          <a:ext cx="2042160" cy="635"/>
                        </a:xfrm>
                        <a:prstGeom prst="rect">
                          <a:avLst/>
                        </a:prstGeom>
                        <a:solidFill>
                          <a:prstClr val="white"/>
                        </a:solidFill>
                        <a:ln>
                          <a:noFill/>
                        </a:ln>
                      </wps:spPr>
                      <wps:txbx>
                        <w:txbxContent>
                          <w:p w14:paraId="7CEFCE13" w14:textId="0439ABF4" w:rsidR="0095065D" w:rsidRPr="0095065D" w:rsidRDefault="0095065D" w:rsidP="0095065D">
                            <w:pPr>
                              <w:pStyle w:val="Caption"/>
                              <w:jc w:val="center"/>
                              <w:rPr>
                                <w:rFonts w:ascii="Bradley Hand ITC" w:hAnsi="Bradley Hand ITC"/>
                                <w:sz w:val="22"/>
                                <w:szCs w:val="22"/>
                              </w:rPr>
                            </w:pPr>
                            <w:r w:rsidRPr="0095065D">
                              <w:rPr>
                                <w:rFonts w:ascii="Bradley Hand ITC" w:hAnsi="Bradley Hand ITC"/>
                              </w:rPr>
                              <w:t xml:space="preserve">Gan Hugh Evans, Y </w:t>
                            </w:r>
                            <w:proofErr w:type="spellStart"/>
                            <w:r w:rsidRPr="0095065D">
                              <w:rPr>
                                <w:rFonts w:ascii="Bradley Hand ITC" w:hAnsi="Bradley Hand ITC"/>
                              </w:rPr>
                              <w:t>Tylwyth</w:t>
                            </w:r>
                            <w:proofErr w:type="spellEnd"/>
                            <w:r w:rsidRPr="0095065D">
                              <w:rPr>
                                <w:rFonts w:ascii="Bradley Hand ITC" w:hAnsi="Bradley Hand ITC"/>
                              </w:rPr>
                              <w:t xml:space="preserve"> Teg, 1935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F677DB" id="_x0000_s1037" type="#_x0000_t202" style="position:absolute;margin-left:.15pt;margin-top:217.25pt;width:160.8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" stroked="f">
                <v:textbox style="mso-fit-shape-to-text:t" inset="0,0,0,0">
                  <w:txbxContent>
                    <w:p w14:paraId="7CEFCE13" w14:textId="0439ABF4" w:rsidR="0095065D" w:rsidRPr="0095065D" w:rsidRDefault="0095065D" w:rsidP="0095065D">
                      <w:pPr>
                        <w:pStyle w:val="Caption"/>
                        <w:jc w:val="center"/>
                        <w:rPr>
                          <w:rFonts w:ascii="Bradley Hand ITC" w:hAnsi="Bradley Hand ITC"/>
                          <w:sz w:val="22"/>
                          <w:szCs w:val="22"/>
                        </w:rPr>
                      </w:pPr>
                      <w:r w:rsidRPr="0095065D">
                        <w:rPr>
                          <w:rFonts w:ascii="Bradley Hand ITC" w:hAnsi="Bradley Hand ITC"/>
                        </w:rPr>
                        <w:t xml:space="preserve">Gan Hugh Evans, Y </w:t>
                      </w:r>
                      <w:proofErr w:type="spellStart"/>
                      <w:r w:rsidRPr="0095065D">
                        <w:rPr>
                          <w:rFonts w:ascii="Bradley Hand ITC" w:hAnsi="Bradley Hand ITC"/>
                        </w:rPr>
                        <w:t>Tylwyth</w:t>
                      </w:r>
                      <w:proofErr w:type="spellEnd"/>
                      <w:r w:rsidRPr="0095065D">
                        <w:rPr>
                          <w:rFonts w:ascii="Bradley Hand ITC" w:hAnsi="Bradley Hand ITC"/>
                        </w:rPr>
                        <w:t xml:space="preserve"> Teg, 1935</w:t>
                      </w:r>
                    </w:p>
                  </w:txbxContent>
                </v:textbox>
                <w10:wrap type="square"/>
              </v:shape>
            </w:pict>
          </mc:Fallback>
        </mc:AlternateContent>
      </w:r>
      <w:r w:rsidRPr="0095065D">
        <w:rPr>
          <w:rFonts w:ascii="Bradley Hand ITC" w:hAnsi="Bradley Hand ITC"/>
        </w:rPr>
        <w:drawing>
          <wp:anchor distT="0" distB="0" distL="114300" distR="114300" simplePos="0" relativeHeight="251691008" behindDoc="0" locked="0" layoutInCell="1" allowOverlap="1" wp14:anchorId="6AFD85B0" wp14:editId="43988EAD">
            <wp:simplePos x="0" y="0"/>
            <wp:positionH relativeFrom="column">
              <wp:posOffset>1905</wp:posOffset>
            </wp:positionH>
            <wp:positionV relativeFrom="paragraph">
              <wp:posOffset>-2540</wp:posOffset>
            </wp:positionV>
            <wp:extent cx="2042160" cy="2742955"/>
            <wp:effectExtent l="0" t="0" r="0" b="635"/>
            <wp:wrapSquare wrapText="bothSides"/>
            <wp:docPr id="1733874499" name="Picture 1" descr="A drawing of people running through a pyrami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874499" name="Picture 1" descr="A drawing of people running through a pyramid&#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2042160" cy="2742955"/>
                    </a:xfrm>
                    <a:prstGeom prst="rect">
                      <a:avLst/>
                    </a:prstGeom>
                  </pic:spPr>
                </pic:pic>
              </a:graphicData>
            </a:graphic>
          </wp:anchor>
        </w:drawing>
      </w:r>
      <w:r w:rsidR="00A60566">
        <w:rPr>
          <w:rFonts w:ascii="Bradley Hand ITC" w:hAnsi="Bradley Hand ITC"/>
        </w:rPr>
        <w:t xml:space="preserve">The </w:t>
      </w:r>
      <w:proofErr w:type="spellStart"/>
      <w:r w:rsidR="00A60566">
        <w:rPr>
          <w:rFonts w:ascii="Bradley Hand ITC" w:hAnsi="Bradley Hand ITC"/>
        </w:rPr>
        <w:t>Gwyllion</w:t>
      </w:r>
      <w:proofErr w:type="spellEnd"/>
      <w:r w:rsidR="00A60566">
        <w:rPr>
          <w:rFonts w:ascii="Bradley Hand ITC" w:hAnsi="Bradley Hand ITC"/>
        </w:rPr>
        <w:t xml:space="preserve"> are fairies who haunt the mountains and are quite evil.</w:t>
      </w:r>
      <w:r w:rsidR="00AB24C5">
        <w:rPr>
          <w:rFonts w:ascii="Bradley Hand ITC" w:hAnsi="Bradley Hand ITC"/>
        </w:rPr>
        <w:t xml:space="preserve"> They act similarly to the </w:t>
      </w:r>
      <w:proofErr w:type="spellStart"/>
      <w:r w:rsidR="00AB24C5">
        <w:rPr>
          <w:rFonts w:ascii="Bradley Hand ITC" w:hAnsi="Bradley Hand ITC"/>
        </w:rPr>
        <w:t>Ellylldan</w:t>
      </w:r>
      <w:proofErr w:type="spellEnd"/>
      <w:r w:rsidR="00AB24C5">
        <w:rPr>
          <w:rFonts w:ascii="Bradley Hand ITC" w:hAnsi="Bradley Hand ITC"/>
        </w:rPr>
        <w:t>, idling at mountain paths, waiting to lead those lost astray. This suits their name, with ‘</w:t>
      </w:r>
      <w:proofErr w:type="spellStart"/>
      <w:r w:rsidR="00AB24C5">
        <w:rPr>
          <w:rFonts w:ascii="Bradley Hand ITC" w:hAnsi="Bradley Hand ITC"/>
        </w:rPr>
        <w:t>gwyll</w:t>
      </w:r>
      <w:proofErr w:type="spellEnd"/>
      <w:r w:rsidR="00AB24C5">
        <w:rPr>
          <w:rFonts w:ascii="Bradley Hand ITC" w:hAnsi="Bradley Hand ITC"/>
        </w:rPr>
        <w:t xml:space="preserve">’ meaning many things including ‘gloom’ and ‘duskiness’. Unlike the Ellyllon, who are friendly, the </w:t>
      </w:r>
      <w:proofErr w:type="spellStart"/>
      <w:r w:rsidR="00AB24C5">
        <w:rPr>
          <w:rFonts w:ascii="Bradley Hand ITC" w:hAnsi="Bradley Hand ITC"/>
        </w:rPr>
        <w:t>Gwyllion</w:t>
      </w:r>
      <w:proofErr w:type="spellEnd"/>
      <w:r w:rsidR="00AB24C5">
        <w:rPr>
          <w:rFonts w:ascii="Bradley Hand ITC" w:hAnsi="Bradley Hand ITC"/>
        </w:rPr>
        <w:t xml:space="preserve"> are malicious, often taking the shape of an old hag, leading to the stereotype of the old woman in the mountains. As soon as this hag cried out, anyone who heard her would immediately become lost, even if they were on a path they knew very well. </w:t>
      </w:r>
      <w:r w:rsidR="00C115D0">
        <w:rPr>
          <w:rStyle w:val="FootnoteReference"/>
          <w:rFonts w:ascii="Bradley Hand ITC" w:hAnsi="Bradley Hand ITC"/>
        </w:rPr>
        <w:footnoteReference w:id="22"/>
      </w:r>
      <w:r w:rsidR="00C115D0">
        <w:rPr>
          <w:rFonts w:ascii="Bradley Hand ITC" w:hAnsi="Bradley Hand ITC"/>
        </w:rPr>
        <w:t xml:space="preserve"> To me, this is very reminiscent of the path through Mirkwood in J. R. R. Tolkien’s stories </w:t>
      </w:r>
      <w:r w:rsidR="00C115D0" w:rsidRPr="00C115D0">
        <w:rPr>
          <w:rFonts w:ascii="Bradley Hand ITC" w:hAnsi="Bradley Hand ITC"/>
          <w:i/>
          <w:iCs/>
        </w:rPr>
        <w:t>The Hobbit</w:t>
      </w:r>
      <w:r w:rsidR="00C115D0">
        <w:rPr>
          <w:rFonts w:ascii="Bradley Hand ITC" w:hAnsi="Bradley Hand ITC"/>
        </w:rPr>
        <w:t xml:space="preserve"> and </w:t>
      </w:r>
      <w:r w:rsidR="00C115D0" w:rsidRPr="00C115D0">
        <w:rPr>
          <w:rFonts w:ascii="Bradley Hand ITC" w:hAnsi="Bradley Hand ITC"/>
          <w:i/>
          <w:iCs/>
        </w:rPr>
        <w:t>The Lord of Rings</w:t>
      </w:r>
      <w:r w:rsidR="00C115D0">
        <w:rPr>
          <w:rFonts w:ascii="Bradley Hand ITC" w:hAnsi="Bradley Hand ITC"/>
        </w:rPr>
        <w:t>, where the characters are warned not to stray off the path or they will become hopelessly lost, which they do, and are attacked by evil spiders, only to be saved by the comparatively merciful elves.</w:t>
      </w:r>
      <w:r w:rsidR="00A14D2B" w:rsidRPr="00BD57CE">
        <w:rPr>
          <w:rFonts w:ascii="Bradley Hand ITC" w:hAnsi="Bradley Hand ITC"/>
        </w:rPr>
        <w:br w:type="page"/>
      </w:r>
    </w:p>
    <w:p w14:paraId="566B1175" w14:textId="77777777" w:rsidR="00C115D0" w:rsidRDefault="00C115D0" w:rsidP="0095065D">
      <w:pPr>
        <w:spacing w:after="0" w:line="240" w:lineRule="auto"/>
        <w:rPr>
          <w:rFonts w:ascii="Bradley Hand ITC" w:hAnsi="Bradley Hand ITC"/>
        </w:rPr>
      </w:pPr>
    </w:p>
    <w:p w14:paraId="0CC88F15" w14:textId="4169C782" w:rsidR="00C115D0" w:rsidRPr="00C115D0" w:rsidRDefault="00C115D0" w:rsidP="00C115D0">
      <w:pPr>
        <w:spacing w:line="240" w:lineRule="auto"/>
        <w:rPr>
          <w:rFonts w:ascii="Bradley Hand ITC" w:hAnsi="Bradley Hand ITC"/>
          <w:sz w:val="56"/>
          <w:szCs w:val="56"/>
          <w:u w:val="single"/>
        </w:rPr>
      </w:pPr>
      <w:proofErr w:type="spellStart"/>
      <w:r w:rsidRPr="00C115D0">
        <w:rPr>
          <w:rFonts w:ascii="Bradley Hand ITC" w:hAnsi="Bradley Hand ITC"/>
          <w:sz w:val="56"/>
          <w:szCs w:val="56"/>
          <w:u w:val="single"/>
        </w:rPr>
        <w:t>Tylwyth</w:t>
      </w:r>
      <w:proofErr w:type="spellEnd"/>
      <w:r w:rsidRPr="00C115D0">
        <w:rPr>
          <w:rFonts w:ascii="Bradley Hand ITC" w:hAnsi="Bradley Hand ITC"/>
          <w:sz w:val="56"/>
          <w:szCs w:val="56"/>
          <w:u w:val="single"/>
        </w:rPr>
        <w:t xml:space="preserve"> Teg</w:t>
      </w:r>
      <w:r w:rsidR="00BA5C8E">
        <w:rPr>
          <w:rFonts w:ascii="Bradley Hand ITC" w:hAnsi="Bradley Hand ITC"/>
          <w:sz w:val="56"/>
          <w:szCs w:val="56"/>
          <w:u w:val="single"/>
        </w:rPr>
        <w:t xml:space="preserve"> </w:t>
      </w:r>
      <w:r w:rsidRPr="00C115D0">
        <w:rPr>
          <w:rFonts w:ascii="Bradley Hand ITC" w:hAnsi="Bradley Hand ITC"/>
          <w:sz w:val="56"/>
          <w:szCs w:val="56"/>
          <w:u w:val="single"/>
        </w:rPr>
        <w:t>and Welsh Culture</w:t>
      </w:r>
    </w:p>
    <w:p w14:paraId="1B76C57A" w14:textId="474498DC" w:rsidR="00C115D0" w:rsidRDefault="00C115D0" w:rsidP="0095065D">
      <w:pPr>
        <w:spacing w:after="0" w:line="240" w:lineRule="auto"/>
        <w:rPr>
          <w:rFonts w:ascii="Bradley Hand ITC" w:hAnsi="Bradley Hand ITC"/>
        </w:rPr>
      </w:pPr>
      <w:r>
        <w:rPr>
          <w:rFonts w:ascii="Bradley Hand ITC" w:hAnsi="Bradley Hand ITC"/>
        </w:rPr>
        <w:t xml:space="preserve">I believe that the </w:t>
      </w:r>
      <w:proofErr w:type="spellStart"/>
      <w:r>
        <w:rPr>
          <w:rFonts w:ascii="Bradley Hand ITC" w:hAnsi="Bradley Hand ITC"/>
        </w:rPr>
        <w:t>Tylwyth</w:t>
      </w:r>
      <w:proofErr w:type="spellEnd"/>
      <w:r>
        <w:rPr>
          <w:rFonts w:ascii="Bradley Hand ITC" w:hAnsi="Bradley Hand ITC"/>
        </w:rPr>
        <w:t xml:space="preserve"> Teg have inspired many </w:t>
      </w:r>
      <w:r w:rsidR="002B3752">
        <w:rPr>
          <w:rFonts w:ascii="Bradley Hand ITC" w:hAnsi="Bradley Hand ITC"/>
        </w:rPr>
        <w:t>superstitions</w:t>
      </w:r>
      <w:r>
        <w:rPr>
          <w:rFonts w:ascii="Bradley Hand ITC" w:hAnsi="Bradley Hand ITC"/>
        </w:rPr>
        <w:t xml:space="preserve">, from the health of crop being boosted by an </w:t>
      </w:r>
      <w:proofErr w:type="spellStart"/>
      <w:r>
        <w:rPr>
          <w:rFonts w:ascii="Bradley Hand ITC" w:hAnsi="Bradley Hand ITC"/>
        </w:rPr>
        <w:t>Ellyll</w:t>
      </w:r>
      <w:proofErr w:type="spellEnd"/>
      <w:r>
        <w:rPr>
          <w:rFonts w:ascii="Bradley Hand ITC" w:hAnsi="Bradley Hand ITC"/>
        </w:rPr>
        <w:t xml:space="preserve"> as long as you leave a candle burning at night, to knocking in the mines leading to treasure, to leaving out a bowl of cream or milk to gain a </w:t>
      </w:r>
      <w:proofErr w:type="spellStart"/>
      <w:r>
        <w:rPr>
          <w:rFonts w:ascii="Bradley Hand ITC" w:hAnsi="Bradley Hand ITC"/>
        </w:rPr>
        <w:t>Bwbach</w:t>
      </w:r>
      <w:proofErr w:type="spellEnd"/>
      <w:r>
        <w:rPr>
          <w:rFonts w:ascii="Bradley Hand ITC" w:hAnsi="Bradley Hand ITC"/>
        </w:rPr>
        <w:t xml:space="preserve"> or </w:t>
      </w:r>
      <w:proofErr w:type="spellStart"/>
      <w:r>
        <w:rPr>
          <w:rFonts w:ascii="Bradley Hand ITC" w:hAnsi="Bradley Hand ITC"/>
        </w:rPr>
        <w:t>Pwca’s</w:t>
      </w:r>
      <w:proofErr w:type="spellEnd"/>
      <w:r>
        <w:rPr>
          <w:rFonts w:ascii="Bradley Hand ITC" w:hAnsi="Bradley Hand ITC"/>
        </w:rPr>
        <w:t xml:space="preserve"> favour and get housework done, to the  fairy cattle of a lake maiden leading to wealth and fortune, to never straying from a path lest you be led astray and become lost</w:t>
      </w:r>
      <w:r w:rsidR="002B3752">
        <w:rPr>
          <w:rFonts w:ascii="Bradley Hand ITC" w:hAnsi="Bradley Hand ITC"/>
        </w:rPr>
        <w:t>. The fairies of Wales have left an impact on rural cultural superstitions and the traditions that are followed to appease them.</w:t>
      </w:r>
    </w:p>
    <w:p w14:paraId="2DDD8F70" w14:textId="77777777" w:rsidR="00BA5C8E" w:rsidRDefault="00BA5C8E">
      <w:pPr>
        <w:rPr>
          <w:rFonts w:ascii="Bradley Hand ITC" w:hAnsi="Bradley Hand ITC"/>
        </w:rPr>
      </w:pPr>
    </w:p>
    <w:p w14:paraId="68E13426" w14:textId="4B6CB18B" w:rsidR="002B3752" w:rsidRPr="002B3752" w:rsidRDefault="002B3752" w:rsidP="002B3752">
      <w:pPr>
        <w:spacing w:line="240" w:lineRule="auto"/>
        <w:rPr>
          <w:rFonts w:ascii="Bradley Hand ITC" w:hAnsi="Bradley Hand ITC"/>
          <w:sz w:val="56"/>
          <w:szCs w:val="56"/>
          <w:u w:val="single"/>
        </w:rPr>
      </w:pPr>
      <w:r w:rsidRPr="002B3752">
        <w:rPr>
          <w:rFonts w:ascii="Bradley Hand ITC" w:hAnsi="Bradley Hand ITC"/>
          <w:sz w:val="56"/>
          <w:szCs w:val="56"/>
          <w:u w:val="single"/>
        </w:rPr>
        <w:t>Bibliography</w:t>
      </w:r>
    </w:p>
    <w:p w14:paraId="7D98139E" w14:textId="413002BC" w:rsidR="002B3752" w:rsidRDefault="002B3752" w:rsidP="002B3752">
      <w:pPr>
        <w:spacing w:line="240" w:lineRule="auto"/>
        <w:rPr>
          <w:rFonts w:ascii="Bradley Hand ITC" w:hAnsi="Bradley Hand ITC"/>
        </w:rPr>
      </w:pPr>
      <w:r w:rsidRPr="00BD57CE">
        <w:rPr>
          <w:rFonts w:ascii="Bradley Hand ITC" w:hAnsi="Bradley Hand ITC"/>
        </w:rPr>
        <w:t>Sikes</w:t>
      </w:r>
      <w:r>
        <w:rPr>
          <w:rFonts w:ascii="Bradley Hand ITC" w:hAnsi="Bradley Hand ITC"/>
        </w:rPr>
        <w:t>,</w:t>
      </w:r>
      <w:r w:rsidRPr="00BD57CE">
        <w:rPr>
          <w:rFonts w:ascii="Bradley Hand ITC" w:hAnsi="Bradley Hand ITC"/>
        </w:rPr>
        <w:t xml:space="preserve"> </w:t>
      </w:r>
      <w:r w:rsidRPr="00BD57CE">
        <w:rPr>
          <w:rFonts w:ascii="Bradley Hand ITC" w:hAnsi="Bradley Hand ITC"/>
        </w:rPr>
        <w:t xml:space="preserve">Wirt, </w:t>
      </w:r>
      <w:r w:rsidRPr="00BD57CE">
        <w:rPr>
          <w:rFonts w:ascii="Bradley Hand ITC" w:hAnsi="Bradley Hand ITC"/>
          <w:i/>
          <w:iCs/>
        </w:rPr>
        <w:t>British Goblins: Welsh Folklore, Fairy Mythology, Legends and Traditions</w:t>
      </w:r>
      <w:r w:rsidRPr="00BD57CE">
        <w:rPr>
          <w:rFonts w:ascii="Bradley Hand ITC" w:hAnsi="Bradley Hand ITC"/>
        </w:rPr>
        <w:t>, (London, 1880)</w:t>
      </w:r>
    </w:p>
    <w:p w14:paraId="13FF468E" w14:textId="66968385" w:rsidR="002B3752" w:rsidRDefault="002B3752" w:rsidP="002B3752">
      <w:pPr>
        <w:spacing w:line="240" w:lineRule="auto"/>
        <w:rPr>
          <w:rFonts w:ascii="Bradley Hand ITC" w:hAnsi="Bradley Hand ITC"/>
        </w:rPr>
      </w:pPr>
      <w:r w:rsidRPr="00B53176">
        <w:rPr>
          <w:rFonts w:ascii="Bradley Hand ITC" w:hAnsi="Bradley Hand ITC"/>
        </w:rPr>
        <w:t>Briggs</w:t>
      </w:r>
      <w:r w:rsidRPr="004405DC">
        <w:rPr>
          <w:rFonts w:ascii="Bradley Hand ITC" w:hAnsi="Bradley Hand ITC"/>
        </w:rPr>
        <w:t xml:space="preserve">, </w:t>
      </w:r>
      <w:r w:rsidRPr="00B53176">
        <w:rPr>
          <w:rFonts w:ascii="Bradley Hand ITC" w:hAnsi="Bradley Hand ITC"/>
        </w:rPr>
        <w:t>Katherine</w:t>
      </w:r>
      <w:r>
        <w:rPr>
          <w:rFonts w:ascii="Bradley Hand ITC" w:hAnsi="Bradley Hand ITC"/>
        </w:rPr>
        <w:t>,</w:t>
      </w:r>
      <w:r w:rsidRPr="00B53176">
        <w:rPr>
          <w:rFonts w:ascii="Bradley Hand ITC" w:hAnsi="Bradley Hand ITC"/>
        </w:rPr>
        <w:t xml:space="preserve"> </w:t>
      </w:r>
      <w:r w:rsidRPr="002B3752">
        <w:rPr>
          <w:rFonts w:ascii="Bradley Hand ITC" w:hAnsi="Bradley Hand ITC"/>
          <w:i/>
          <w:iCs/>
        </w:rPr>
        <w:t>An Encyclopaedia of Fairies: Hobgoblins, Brownies, Bogeys and Other Supernatural Creature</w:t>
      </w:r>
      <w:r>
        <w:rPr>
          <w:rFonts w:ascii="Bradley Hand ITC" w:hAnsi="Bradley Hand ITC"/>
        </w:rPr>
        <w:t>s</w:t>
      </w:r>
      <w:r w:rsidRPr="004405DC">
        <w:rPr>
          <w:rFonts w:ascii="Bradley Hand ITC" w:hAnsi="Bradley Hand ITC"/>
        </w:rPr>
        <w:t>, (Pantheon Books: New York, 1977)</w:t>
      </w:r>
    </w:p>
    <w:p w14:paraId="165CFFF0" w14:textId="71AB3536" w:rsidR="002B3752" w:rsidRDefault="002B3752" w:rsidP="002B3752">
      <w:pPr>
        <w:spacing w:line="240" w:lineRule="auto"/>
        <w:rPr>
          <w:rFonts w:ascii="Bradley Hand ITC" w:hAnsi="Bradley Hand ITC"/>
        </w:rPr>
      </w:pPr>
      <w:proofErr w:type="spellStart"/>
      <w:r w:rsidRPr="00B53176">
        <w:rPr>
          <w:rFonts w:ascii="Bradley Hand ITC" w:hAnsi="Bradley Hand ITC"/>
        </w:rPr>
        <w:t>Fayers</w:t>
      </w:r>
      <w:proofErr w:type="spellEnd"/>
      <w:r w:rsidRPr="00B53176">
        <w:rPr>
          <w:rFonts w:ascii="Bradley Hand ITC" w:hAnsi="Bradley Hand ITC"/>
        </w:rPr>
        <w:t>, Claire</w:t>
      </w:r>
      <w:r>
        <w:rPr>
          <w:rFonts w:ascii="Bradley Hand ITC" w:hAnsi="Bradley Hand ITC"/>
        </w:rPr>
        <w:t>,</w:t>
      </w:r>
      <w:r w:rsidRPr="00B53176">
        <w:rPr>
          <w:rFonts w:ascii="Bradley Hand ITC" w:hAnsi="Bradley Hand ITC"/>
        </w:rPr>
        <w:t xml:space="preserve"> </w:t>
      </w:r>
      <w:r w:rsidRPr="00B53176">
        <w:rPr>
          <w:rFonts w:ascii="Bradley Hand ITC" w:hAnsi="Bradley Hand ITC"/>
          <w:i/>
          <w:iCs/>
        </w:rPr>
        <w:t>Welsh Giants, Ghosts and Goblins</w:t>
      </w:r>
      <w:r w:rsidRPr="00B53176">
        <w:rPr>
          <w:rFonts w:ascii="Bradley Hand ITC" w:hAnsi="Bradley Hand ITC"/>
        </w:rPr>
        <w:t>, (Firefly Press: Cardiff, 2024)</w:t>
      </w:r>
    </w:p>
    <w:p w14:paraId="22364DB7" w14:textId="262DDBB0" w:rsidR="002B3752" w:rsidRDefault="002B3752" w:rsidP="002B3752">
      <w:pPr>
        <w:spacing w:line="240" w:lineRule="auto"/>
        <w:rPr>
          <w:rFonts w:ascii="Bradley Hand ITC" w:hAnsi="Bradley Hand ITC"/>
        </w:rPr>
      </w:pPr>
      <w:r w:rsidRPr="00AB24C5">
        <w:rPr>
          <w:rFonts w:ascii="Bradley Hand ITC" w:hAnsi="Bradley Hand ITC"/>
        </w:rPr>
        <w:t>Jenkins, Geraint</w:t>
      </w:r>
      <w:r>
        <w:rPr>
          <w:rFonts w:ascii="Bradley Hand ITC" w:hAnsi="Bradley Hand ITC"/>
        </w:rPr>
        <w:t>,</w:t>
      </w:r>
      <w:r w:rsidRPr="00AB24C5">
        <w:rPr>
          <w:rFonts w:ascii="Bradley Hand ITC" w:hAnsi="Bradley Hand ITC"/>
        </w:rPr>
        <w:t xml:space="preserve"> </w:t>
      </w:r>
      <w:r w:rsidRPr="00AB24C5">
        <w:rPr>
          <w:rFonts w:ascii="Bradley Hand ITC" w:hAnsi="Bradley Hand ITC"/>
          <w:i/>
          <w:iCs/>
        </w:rPr>
        <w:t>Life and Tradition in Rural Wales</w:t>
      </w:r>
      <w:r w:rsidRPr="00AB24C5">
        <w:rPr>
          <w:rFonts w:ascii="Bradley Hand ITC" w:hAnsi="Bradley Hand ITC"/>
        </w:rPr>
        <w:t>, (Amberly Publishing: Gloucestershire, 1973)</w:t>
      </w:r>
    </w:p>
    <w:p w14:paraId="443E84D8" w14:textId="0C7F98B8" w:rsidR="002B3752" w:rsidRPr="002B3752" w:rsidRDefault="002B3752" w:rsidP="002B3752">
      <w:pPr>
        <w:pStyle w:val="FootnoteText"/>
        <w:spacing w:after="160"/>
        <w:rPr>
          <w:rFonts w:ascii="Bradley Hand ITC" w:hAnsi="Bradley Hand ITC"/>
          <w:sz w:val="22"/>
          <w:szCs w:val="22"/>
        </w:rPr>
      </w:pPr>
      <w:r w:rsidRPr="002B3752">
        <w:rPr>
          <w:rFonts w:ascii="Bradley Hand ITC" w:hAnsi="Bradley Hand ITC"/>
          <w:sz w:val="22"/>
          <w:szCs w:val="22"/>
        </w:rPr>
        <w:t>Kruse, John</w:t>
      </w:r>
      <w:r>
        <w:rPr>
          <w:rFonts w:ascii="Bradley Hand ITC" w:hAnsi="Bradley Hand ITC"/>
          <w:sz w:val="22"/>
          <w:szCs w:val="22"/>
        </w:rPr>
        <w:t>,</w:t>
      </w:r>
      <w:r w:rsidRPr="002B3752">
        <w:rPr>
          <w:rFonts w:ascii="Bradley Hand ITC" w:hAnsi="Bradley Hand ITC"/>
          <w:sz w:val="22"/>
          <w:szCs w:val="22"/>
        </w:rPr>
        <w:t xml:space="preserve"> </w:t>
      </w:r>
      <w:r w:rsidRPr="002B3752">
        <w:rPr>
          <w:rFonts w:ascii="Bradley Hand ITC" w:hAnsi="Bradley Hand ITC"/>
          <w:i/>
          <w:iCs/>
          <w:sz w:val="22"/>
          <w:szCs w:val="22"/>
        </w:rPr>
        <w:t xml:space="preserve">Welsh Fairies: The </w:t>
      </w:r>
      <w:proofErr w:type="spellStart"/>
      <w:r w:rsidRPr="002B3752">
        <w:rPr>
          <w:rFonts w:ascii="Bradley Hand ITC" w:hAnsi="Bradley Hand ITC"/>
          <w:i/>
          <w:iCs/>
          <w:sz w:val="22"/>
          <w:szCs w:val="22"/>
        </w:rPr>
        <w:t>Tylwyth</w:t>
      </w:r>
      <w:proofErr w:type="spellEnd"/>
      <w:r w:rsidRPr="002B3752">
        <w:rPr>
          <w:rFonts w:ascii="Bradley Hand ITC" w:hAnsi="Bradley Hand ITC"/>
          <w:i/>
          <w:iCs/>
          <w:sz w:val="22"/>
          <w:szCs w:val="22"/>
        </w:rPr>
        <w:t xml:space="preserve"> Teg</w:t>
      </w:r>
      <w:r w:rsidRPr="002B3752">
        <w:rPr>
          <w:rFonts w:ascii="Bradley Hand ITC" w:hAnsi="Bradley Hand ITC"/>
          <w:sz w:val="22"/>
          <w:szCs w:val="22"/>
        </w:rPr>
        <w:t>, (Green Magic: Somerset, 2023)</w:t>
      </w:r>
    </w:p>
    <w:p w14:paraId="20BA0B43" w14:textId="75536145" w:rsidR="002B3752" w:rsidRPr="002B3752" w:rsidRDefault="002B3752" w:rsidP="002B3752">
      <w:pPr>
        <w:pStyle w:val="FootnoteText"/>
        <w:spacing w:after="160"/>
        <w:rPr>
          <w:rFonts w:ascii="Bradley Hand ITC" w:hAnsi="Bradley Hand ITC"/>
          <w:sz w:val="22"/>
          <w:szCs w:val="22"/>
        </w:rPr>
      </w:pPr>
      <w:r w:rsidRPr="002B3752">
        <w:rPr>
          <w:rFonts w:ascii="Bradley Hand ITC" w:hAnsi="Bradley Hand ITC"/>
          <w:sz w:val="22"/>
          <w:szCs w:val="22"/>
        </w:rPr>
        <w:t>Keightley, Thomas</w:t>
      </w:r>
      <w:r>
        <w:rPr>
          <w:rFonts w:ascii="Bradley Hand ITC" w:hAnsi="Bradley Hand ITC"/>
          <w:sz w:val="22"/>
          <w:szCs w:val="22"/>
        </w:rPr>
        <w:t>,</w:t>
      </w:r>
      <w:r w:rsidRPr="002B3752">
        <w:rPr>
          <w:rFonts w:ascii="Bradley Hand ITC" w:hAnsi="Bradley Hand ITC"/>
          <w:sz w:val="22"/>
          <w:szCs w:val="22"/>
        </w:rPr>
        <w:t xml:space="preserve"> </w:t>
      </w:r>
      <w:r w:rsidRPr="002B3752">
        <w:rPr>
          <w:rFonts w:ascii="Bradley Hand ITC" w:hAnsi="Bradley Hand ITC"/>
          <w:i/>
          <w:iCs/>
          <w:sz w:val="22"/>
          <w:szCs w:val="22"/>
        </w:rPr>
        <w:t xml:space="preserve">The Fairy Mythology: Illustrative of the Romance And Superstition Of Various Countries </w:t>
      </w:r>
      <w:r w:rsidRPr="002B3752">
        <w:rPr>
          <w:rFonts w:ascii="Bradley Hand ITC" w:hAnsi="Bradley Hand ITC"/>
          <w:sz w:val="22"/>
          <w:szCs w:val="22"/>
        </w:rPr>
        <w:t>(London, 1892</w:t>
      </w:r>
      <w:r>
        <w:rPr>
          <w:rFonts w:ascii="Bradley Hand ITC" w:hAnsi="Bradley Hand ITC"/>
          <w:sz w:val="22"/>
          <w:szCs w:val="22"/>
        </w:rPr>
        <w:t>)</w:t>
      </w:r>
    </w:p>
    <w:p w14:paraId="07FC9725" w14:textId="77777777" w:rsidR="002B3752" w:rsidRDefault="002B3752" w:rsidP="002B3752">
      <w:pPr>
        <w:spacing w:line="240" w:lineRule="auto"/>
        <w:rPr>
          <w:rFonts w:ascii="Bradley Hand ITC" w:hAnsi="Bradley Hand ITC"/>
          <w:sz w:val="24"/>
          <w:szCs w:val="24"/>
        </w:rPr>
      </w:pPr>
      <w:r w:rsidRPr="002B3752">
        <w:rPr>
          <w:rFonts w:ascii="Bradley Hand ITC" w:hAnsi="Bradley Hand ITC"/>
          <w:sz w:val="24"/>
          <w:szCs w:val="24"/>
        </w:rPr>
        <w:t xml:space="preserve">Simon J. Bronner, </w:t>
      </w:r>
      <w:r w:rsidRPr="002B3752">
        <w:rPr>
          <w:rFonts w:ascii="Bradley Hand ITC" w:hAnsi="Bradley Hand ITC"/>
          <w:i/>
          <w:iCs/>
          <w:sz w:val="24"/>
          <w:szCs w:val="24"/>
        </w:rPr>
        <w:t>Folklore: The Basics</w:t>
      </w:r>
      <w:r w:rsidRPr="002B3752">
        <w:rPr>
          <w:rFonts w:ascii="Bradley Hand ITC" w:hAnsi="Bradley Hand ITC"/>
          <w:sz w:val="24"/>
          <w:szCs w:val="24"/>
        </w:rPr>
        <w:t>, (London: Routledge, 2016)</w:t>
      </w:r>
    </w:p>
    <w:p w14:paraId="29F39662" w14:textId="3C394031" w:rsidR="002B3752" w:rsidRPr="002B3752" w:rsidRDefault="002B3752" w:rsidP="002B3752">
      <w:pPr>
        <w:spacing w:line="240" w:lineRule="auto"/>
        <w:rPr>
          <w:rFonts w:ascii="Bradley Hand ITC" w:hAnsi="Bradley Hand ITC"/>
          <w:sz w:val="24"/>
          <w:szCs w:val="24"/>
        </w:rPr>
      </w:pPr>
      <w:r w:rsidRPr="002B3752">
        <w:rPr>
          <w:rFonts w:ascii="Bradley Hand ITC" w:hAnsi="Bradley Hand ITC"/>
          <w:sz w:val="24"/>
          <w:szCs w:val="24"/>
        </w:rPr>
        <w:t xml:space="preserve">Miranda </w:t>
      </w:r>
      <w:proofErr w:type="spellStart"/>
      <w:r w:rsidRPr="002B3752">
        <w:rPr>
          <w:rFonts w:ascii="Bradley Hand ITC" w:hAnsi="Bradley Hand ITC"/>
          <w:sz w:val="24"/>
          <w:szCs w:val="24"/>
        </w:rPr>
        <w:t>Aldhouse</w:t>
      </w:r>
      <w:proofErr w:type="spellEnd"/>
      <w:r w:rsidRPr="002B3752">
        <w:rPr>
          <w:rFonts w:ascii="Bradley Hand ITC" w:hAnsi="Bradley Hand ITC"/>
          <w:sz w:val="24"/>
          <w:szCs w:val="24"/>
        </w:rPr>
        <w:t xml:space="preserve">-Green, </w:t>
      </w:r>
      <w:r w:rsidRPr="002B3752">
        <w:rPr>
          <w:rFonts w:ascii="Bradley Hand ITC" w:hAnsi="Bradley Hand ITC"/>
          <w:i/>
          <w:iCs/>
          <w:sz w:val="24"/>
          <w:szCs w:val="24"/>
        </w:rPr>
        <w:t>Enchanted Wales: Myth and Magic in Welsh Storytelling,</w:t>
      </w:r>
      <w:r w:rsidRPr="002B3752">
        <w:rPr>
          <w:rFonts w:ascii="Bradley Hand ITC" w:hAnsi="Bradley Hand ITC"/>
          <w:sz w:val="24"/>
          <w:szCs w:val="24"/>
        </w:rPr>
        <w:t xml:space="preserve"> (</w:t>
      </w:r>
      <w:proofErr w:type="spellStart"/>
      <w:r w:rsidRPr="002B3752">
        <w:rPr>
          <w:rFonts w:ascii="Bradley Hand ITC" w:hAnsi="Bradley Hand ITC"/>
          <w:sz w:val="24"/>
          <w:szCs w:val="24"/>
        </w:rPr>
        <w:t>Croyden</w:t>
      </w:r>
      <w:proofErr w:type="spellEnd"/>
      <w:r w:rsidRPr="002B3752">
        <w:rPr>
          <w:rFonts w:ascii="Bradley Hand ITC" w:hAnsi="Bradley Hand ITC"/>
          <w:sz w:val="24"/>
          <w:szCs w:val="24"/>
        </w:rPr>
        <w:t>: Calon Books, 2023</w:t>
      </w:r>
      <w:r w:rsidR="00BA5C8E">
        <w:rPr>
          <w:rFonts w:ascii="Bradley Hand ITC" w:hAnsi="Bradley Hand ITC"/>
          <w:sz w:val="24"/>
          <w:szCs w:val="24"/>
        </w:rPr>
        <w:t>)</w:t>
      </w:r>
    </w:p>
    <w:sectPr w:rsidR="002B3752" w:rsidRPr="002B3752" w:rsidSect="00156505">
      <w:pgSz w:w="10773" w:h="10773"/>
      <w:pgMar w:top="709" w:right="992" w:bottom="851" w:left="993"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C2801F" w14:textId="77777777" w:rsidR="006F1A23" w:rsidRDefault="006F1A23" w:rsidP="009C3FF6">
      <w:pPr>
        <w:spacing w:after="0" w:line="240" w:lineRule="auto"/>
      </w:pPr>
      <w:r>
        <w:separator/>
      </w:r>
    </w:p>
  </w:endnote>
  <w:endnote w:type="continuationSeparator" w:id="0">
    <w:p w14:paraId="76CD2D83" w14:textId="77777777" w:rsidR="006F1A23" w:rsidRDefault="006F1A23" w:rsidP="009C3F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Bradley Hand ITC">
    <w:panose1 w:val="03070402050302030203"/>
    <w:charset w:val="00"/>
    <w:family w:val="script"/>
    <w:pitch w:val="variable"/>
    <w:sig w:usb0="00000003" w:usb1="00000000" w:usb2="00000000" w:usb3="00000000" w:csb0="00000001" w:csb1="00000000"/>
  </w:font>
  <w:font w:name="Amatic SC">
    <w:charset w:val="B1"/>
    <w:family w:val="auto"/>
    <w:pitch w:val="variable"/>
    <w:sig w:usb0="20000A0F" w:usb1="40000002" w:usb2="00000000" w:usb3="00000000" w:csb0="000001B7" w:csb1="00000000"/>
  </w:font>
  <w:font w:name="Buxton Sketch">
    <w:charset w:val="00"/>
    <w:family w:val="script"/>
    <w:pitch w:val="variable"/>
    <w:sig w:usb0="A00002AF" w:usb1="400020DB"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C940CC" w14:textId="77777777" w:rsidR="006F1A23" w:rsidRDefault="006F1A23" w:rsidP="009C3FF6">
      <w:pPr>
        <w:spacing w:after="0" w:line="240" w:lineRule="auto"/>
      </w:pPr>
      <w:r>
        <w:separator/>
      </w:r>
    </w:p>
  </w:footnote>
  <w:footnote w:type="continuationSeparator" w:id="0">
    <w:p w14:paraId="2C0DD016" w14:textId="77777777" w:rsidR="006F1A23" w:rsidRDefault="006F1A23" w:rsidP="009C3FF6">
      <w:pPr>
        <w:spacing w:after="0" w:line="240" w:lineRule="auto"/>
      </w:pPr>
      <w:r>
        <w:continuationSeparator/>
      </w:r>
    </w:p>
  </w:footnote>
  <w:footnote w:id="1">
    <w:p w14:paraId="797B44C3" w14:textId="7A97C870" w:rsidR="009C3FF6" w:rsidRPr="00BD57CE" w:rsidRDefault="009C3FF6">
      <w:pPr>
        <w:pStyle w:val="FootnoteText"/>
        <w:rPr>
          <w:rFonts w:ascii="Bradley Hand ITC" w:hAnsi="Bradley Hand ITC"/>
        </w:rPr>
      </w:pPr>
      <w:r w:rsidRPr="00BD57CE">
        <w:rPr>
          <w:rStyle w:val="FootnoteReference"/>
          <w:rFonts w:ascii="Bradley Hand ITC" w:hAnsi="Bradley Hand ITC"/>
        </w:rPr>
        <w:footnoteRef/>
      </w:r>
      <w:r w:rsidRPr="00BD57CE">
        <w:rPr>
          <w:rFonts w:ascii="Bradley Hand ITC" w:hAnsi="Bradley Hand ITC"/>
        </w:rPr>
        <w:t xml:space="preserve"> </w:t>
      </w:r>
      <w:r w:rsidRPr="00BD57CE">
        <w:rPr>
          <w:rFonts w:ascii="Bradley Hand ITC" w:hAnsi="Bradley Hand ITC"/>
        </w:rPr>
        <w:t>Simon J. Bronner</w:t>
      </w:r>
      <w:r w:rsidRPr="00BD57CE">
        <w:rPr>
          <w:rFonts w:ascii="Bradley Hand ITC" w:hAnsi="Bradley Hand ITC"/>
        </w:rPr>
        <w:t xml:space="preserve">, </w:t>
      </w:r>
      <w:r w:rsidRPr="00BD57CE">
        <w:rPr>
          <w:rFonts w:ascii="Bradley Hand ITC" w:hAnsi="Bradley Hand ITC"/>
          <w:i/>
          <w:iCs/>
        </w:rPr>
        <w:t>Folklore: The Basics</w:t>
      </w:r>
      <w:r w:rsidRPr="00BD57CE">
        <w:rPr>
          <w:rFonts w:ascii="Bradley Hand ITC" w:hAnsi="Bradley Hand ITC"/>
        </w:rPr>
        <w:t>, (London: Routledge, 2016) pp. 1-2</w:t>
      </w:r>
    </w:p>
  </w:footnote>
  <w:footnote w:id="2">
    <w:p w14:paraId="67C9D50E" w14:textId="00E80C38" w:rsidR="009C3FF6" w:rsidRPr="00BD57CE" w:rsidRDefault="009C3FF6">
      <w:pPr>
        <w:pStyle w:val="FootnoteText"/>
        <w:rPr>
          <w:rFonts w:ascii="Bradley Hand ITC" w:hAnsi="Bradley Hand ITC"/>
        </w:rPr>
      </w:pPr>
      <w:r w:rsidRPr="00BD57CE">
        <w:rPr>
          <w:rStyle w:val="FootnoteReference"/>
          <w:rFonts w:ascii="Bradley Hand ITC" w:hAnsi="Bradley Hand ITC"/>
        </w:rPr>
        <w:footnoteRef/>
      </w:r>
      <w:r w:rsidRPr="00BD57CE">
        <w:rPr>
          <w:rFonts w:ascii="Bradley Hand ITC" w:hAnsi="Bradley Hand ITC"/>
        </w:rPr>
        <w:t xml:space="preserve"> Miranda </w:t>
      </w:r>
      <w:proofErr w:type="spellStart"/>
      <w:r w:rsidRPr="00BD57CE">
        <w:rPr>
          <w:rFonts w:ascii="Bradley Hand ITC" w:hAnsi="Bradley Hand ITC"/>
        </w:rPr>
        <w:t>Aldhouse</w:t>
      </w:r>
      <w:proofErr w:type="spellEnd"/>
      <w:r w:rsidRPr="00BD57CE">
        <w:rPr>
          <w:rFonts w:ascii="Bradley Hand ITC" w:hAnsi="Bradley Hand ITC"/>
        </w:rPr>
        <w:t xml:space="preserve">-Green, </w:t>
      </w:r>
      <w:r w:rsidRPr="00BD57CE">
        <w:rPr>
          <w:rFonts w:ascii="Bradley Hand ITC" w:hAnsi="Bradley Hand ITC"/>
          <w:i/>
          <w:iCs/>
        </w:rPr>
        <w:t>Enchanted Wales: Myth and Magic in Welsh Storytelling</w:t>
      </w:r>
      <w:r w:rsidRPr="00BD57CE">
        <w:rPr>
          <w:rFonts w:ascii="Bradley Hand ITC" w:hAnsi="Bradley Hand ITC"/>
        </w:rPr>
        <w:t>, (</w:t>
      </w:r>
      <w:proofErr w:type="spellStart"/>
      <w:r w:rsidRPr="00BD57CE">
        <w:rPr>
          <w:rFonts w:ascii="Bradley Hand ITC" w:hAnsi="Bradley Hand ITC"/>
        </w:rPr>
        <w:t>Croyden</w:t>
      </w:r>
      <w:proofErr w:type="spellEnd"/>
      <w:r w:rsidRPr="00BD57CE">
        <w:rPr>
          <w:rFonts w:ascii="Bradley Hand ITC" w:hAnsi="Bradley Hand ITC"/>
        </w:rPr>
        <w:t>: Calon Books, 2023) pp. 1-4</w:t>
      </w:r>
    </w:p>
  </w:footnote>
  <w:footnote w:id="3">
    <w:p w14:paraId="6811A8BD" w14:textId="0906699D" w:rsidR="00E72349" w:rsidRPr="00BD57CE" w:rsidRDefault="00E72349">
      <w:pPr>
        <w:pStyle w:val="FootnoteText"/>
        <w:rPr>
          <w:rFonts w:ascii="Bradley Hand ITC" w:hAnsi="Bradley Hand ITC"/>
        </w:rPr>
      </w:pPr>
      <w:r w:rsidRPr="00BD57CE">
        <w:rPr>
          <w:rStyle w:val="FootnoteReference"/>
          <w:rFonts w:ascii="Bradley Hand ITC" w:hAnsi="Bradley Hand ITC"/>
        </w:rPr>
        <w:footnoteRef/>
      </w:r>
      <w:r w:rsidRPr="00BD57CE">
        <w:rPr>
          <w:rFonts w:ascii="Bradley Hand ITC" w:hAnsi="Bradley Hand ITC"/>
        </w:rPr>
        <w:t xml:space="preserve"> Wirt Sikes, </w:t>
      </w:r>
      <w:r w:rsidRPr="00BD57CE">
        <w:rPr>
          <w:rFonts w:ascii="Bradley Hand ITC" w:hAnsi="Bradley Hand ITC"/>
          <w:i/>
          <w:iCs/>
        </w:rPr>
        <w:t>British Goblins: Welsh Folklore, Fairy Mythology, Legends and Traditions</w:t>
      </w:r>
      <w:r w:rsidRPr="00BD57CE">
        <w:rPr>
          <w:rFonts w:ascii="Bradley Hand ITC" w:hAnsi="Bradley Hand ITC"/>
        </w:rPr>
        <w:t>, (London, 1880)</w:t>
      </w:r>
      <w:r w:rsidR="00F74033" w:rsidRPr="00BD57CE">
        <w:rPr>
          <w:rFonts w:ascii="Bradley Hand ITC" w:hAnsi="Bradley Hand ITC"/>
        </w:rPr>
        <w:t>,</w:t>
      </w:r>
      <w:r w:rsidRPr="00BD57CE">
        <w:rPr>
          <w:rFonts w:ascii="Bradley Hand ITC" w:hAnsi="Bradley Hand ITC"/>
        </w:rPr>
        <w:t xml:space="preserve"> </w:t>
      </w:r>
      <w:r w:rsidR="00F74033" w:rsidRPr="00BD57CE">
        <w:rPr>
          <w:rFonts w:ascii="Bradley Hand ITC" w:hAnsi="Bradley Hand ITC"/>
        </w:rPr>
        <w:t>p</w:t>
      </w:r>
      <w:r w:rsidRPr="00BD57CE">
        <w:rPr>
          <w:rFonts w:ascii="Bradley Hand ITC" w:hAnsi="Bradley Hand ITC"/>
        </w:rPr>
        <w:t>p. 11-12</w:t>
      </w:r>
    </w:p>
  </w:footnote>
  <w:footnote w:id="4">
    <w:p w14:paraId="78F651B8" w14:textId="35CD8BEC" w:rsidR="00EC210A" w:rsidRPr="00BD57CE" w:rsidRDefault="00EC210A">
      <w:pPr>
        <w:pStyle w:val="FootnoteText"/>
        <w:rPr>
          <w:rFonts w:ascii="Bradley Hand ITC" w:hAnsi="Bradley Hand ITC"/>
        </w:rPr>
      </w:pPr>
      <w:r w:rsidRPr="00BD57CE">
        <w:rPr>
          <w:rStyle w:val="FootnoteReference"/>
          <w:rFonts w:ascii="Bradley Hand ITC" w:hAnsi="Bradley Hand ITC"/>
        </w:rPr>
        <w:footnoteRef/>
      </w:r>
      <w:r w:rsidRPr="00BD57CE">
        <w:rPr>
          <w:rFonts w:ascii="Bradley Hand ITC" w:hAnsi="Bradley Hand ITC"/>
        </w:rPr>
        <w:t xml:space="preserve"> John Kruse, </w:t>
      </w:r>
      <w:r w:rsidRPr="00EF5F69">
        <w:rPr>
          <w:rFonts w:ascii="Bradley Hand ITC" w:hAnsi="Bradley Hand ITC"/>
          <w:i/>
          <w:iCs/>
        </w:rPr>
        <w:t xml:space="preserve">Welsh Fairies: The </w:t>
      </w:r>
      <w:proofErr w:type="spellStart"/>
      <w:r w:rsidRPr="00EF5F69">
        <w:rPr>
          <w:rFonts w:ascii="Bradley Hand ITC" w:hAnsi="Bradley Hand ITC"/>
          <w:i/>
          <w:iCs/>
        </w:rPr>
        <w:t>Tylwyth</w:t>
      </w:r>
      <w:proofErr w:type="spellEnd"/>
      <w:r w:rsidRPr="00EF5F69">
        <w:rPr>
          <w:rFonts w:ascii="Bradley Hand ITC" w:hAnsi="Bradley Hand ITC"/>
          <w:i/>
          <w:iCs/>
        </w:rPr>
        <w:t xml:space="preserve"> Teg</w:t>
      </w:r>
      <w:r w:rsidRPr="00BD57CE">
        <w:rPr>
          <w:rFonts w:ascii="Bradley Hand ITC" w:hAnsi="Bradley Hand ITC"/>
        </w:rPr>
        <w:t>, (Green Magic: Somerset, 2023), pp. 10</w:t>
      </w:r>
    </w:p>
  </w:footnote>
  <w:footnote w:id="5">
    <w:p w14:paraId="51ABFE98" w14:textId="61015C3F" w:rsidR="00F74033" w:rsidRDefault="00F74033">
      <w:pPr>
        <w:pStyle w:val="FootnoteText"/>
      </w:pPr>
      <w:r w:rsidRPr="00BD57CE">
        <w:rPr>
          <w:rStyle w:val="FootnoteReference"/>
          <w:rFonts w:ascii="Bradley Hand ITC" w:hAnsi="Bradley Hand ITC"/>
        </w:rPr>
        <w:footnoteRef/>
      </w:r>
      <w:r w:rsidRPr="00BD57CE">
        <w:rPr>
          <w:rFonts w:ascii="Bradley Hand ITC" w:hAnsi="Bradley Hand ITC"/>
        </w:rPr>
        <w:t xml:space="preserve"> Thomas Keightley, </w:t>
      </w:r>
      <w:r w:rsidRPr="00BD57CE">
        <w:rPr>
          <w:rFonts w:ascii="Bradley Hand ITC" w:hAnsi="Bradley Hand ITC"/>
          <w:i/>
          <w:iCs/>
        </w:rPr>
        <w:t xml:space="preserve">The </w:t>
      </w:r>
      <w:r w:rsidRPr="00BD57CE">
        <w:rPr>
          <w:rFonts w:ascii="Bradley Hand ITC" w:hAnsi="Bradley Hand ITC"/>
          <w:i/>
          <w:iCs/>
        </w:rPr>
        <w:t>Fairy Mythology: Illustrative of the Romance And Superstition Of Various Countrie</w:t>
      </w:r>
      <w:r w:rsidRPr="00BD57CE">
        <w:rPr>
          <w:rFonts w:ascii="Bradley Hand ITC" w:hAnsi="Bradley Hand ITC"/>
          <w:i/>
          <w:iCs/>
        </w:rPr>
        <w:t>s</w:t>
      </w:r>
      <w:r w:rsidRPr="00BD57CE">
        <w:rPr>
          <w:rFonts w:ascii="Bradley Hand ITC" w:hAnsi="Bradley Hand ITC"/>
          <w:i/>
          <w:iCs/>
        </w:rPr>
        <w:t xml:space="preserve"> </w:t>
      </w:r>
      <w:r w:rsidRPr="00BD57CE">
        <w:rPr>
          <w:rFonts w:ascii="Bradley Hand ITC" w:hAnsi="Bradley Hand ITC"/>
        </w:rPr>
        <w:t>(London, 1892) pp</w:t>
      </w:r>
      <w:r w:rsidR="00EC210A" w:rsidRPr="00BD57CE">
        <w:rPr>
          <w:rFonts w:ascii="Bradley Hand ITC" w:hAnsi="Bradley Hand ITC"/>
        </w:rPr>
        <w:t>.</w:t>
      </w:r>
      <w:r w:rsidRPr="00BD57CE">
        <w:rPr>
          <w:rFonts w:ascii="Bradley Hand ITC" w:hAnsi="Bradley Hand ITC"/>
        </w:rPr>
        <w:t xml:space="preserve"> 78</w:t>
      </w:r>
    </w:p>
  </w:footnote>
  <w:footnote w:id="6">
    <w:p w14:paraId="1C531CC7" w14:textId="77777777" w:rsidR="002B3752" w:rsidRPr="00AB24C5" w:rsidRDefault="002B3752" w:rsidP="002B3752">
      <w:pPr>
        <w:pStyle w:val="FootnoteText"/>
        <w:rPr>
          <w:rFonts w:ascii="Bradley Hand ITC" w:hAnsi="Bradley Hand ITC"/>
        </w:rPr>
      </w:pPr>
      <w:r w:rsidRPr="00AB24C5">
        <w:rPr>
          <w:rStyle w:val="FootnoteReference"/>
          <w:rFonts w:ascii="Bradley Hand ITC" w:hAnsi="Bradley Hand ITC"/>
        </w:rPr>
        <w:footnoteRef/>
      </w:r>
      <w:r w:rsidRPr="00AB24C5">
        <w:rPr>
          <w:rFonts w:ascii="Bradley Hand ITC" w:hAnsi="Bradley Hand ITC"/>
        </w:rPr>
        <w:t xml:space="preserve"> Geraint Jenkins, </w:t>
      </w:r>
      <w:r w:rsidRPr="00AB24C5">
        <w:rPr>
          <w:rFonts w:ascii="Bradley Hand ITC" w:hAnsi="Bradley Hand ITC"/>
          <w:i/>
          <w:iCs/>
        </w:rPr>
        <w:t>Life and Tradition in Rural Wales</w:t>
      </w:r>
      <w:r w:rsidRPr="00AB24C5">
        <w:rPr>
          <w:rFonts w:ascii="Bradley Hand ITC" w:hAnsi="Bradley Hand ITC"/>
        </w:rPr>
        <w:t>, (Amberly Publishing: Gloucestershire, 1973) pp. 173-184</w:t>
      </w:r>
    </w:p>
  </w:footnote>
  <w:footnote w:id="7">
    <w:p w14:paraId="518C1C58" w14:textId="03DEA605" w:rsidR="00B11D55" w:rsidRDefault="00B11D55">
      <w:pPr>
        <w:pStyle w:val="FootnoteText"/>
      </w:pPr>
      <w:r>
        <w:rPr>
          <w:rStyle w:val="FootnoteReference"/>
        </w:rPr>
        <w:footnoteRef/>
      </w:r>
      <w:r>
        <w:t xml:space="preserve"> </w:t>
      </w:r>
      <w:r w:rsidRPr="00BD57CE">
        <w:rPr>
          <w:rFonts w:ascii="Bradley Hand ITC" w:hAnsi="Bradley Hand ITC"/>
        </w:rPr>
        <w:t xml:space="preserve">Wirt Sikes, </w:t>
      </w:r>
      <w:r w:rsidRPr="00BD57CE">
        <w:rPr>
          <w:rFonts w:ascii="Bradley Hand ITC" w:hAnsi="Bradley Hand ITC"/>
          <w:i/>
          <w:iCs/>
        </w:rPr>
        <w:t>British Goblins: Welsh Folklore, Fairy Mythology, Legends and Traditions</w:t>
      </w:r>
      <w:r w:rsidRPr="00BD57CE">
        <w:rPr>
          <w:rFonts w:ascii="Bradley Hand ITC" w:hAnsi="Bradley Hand ITC"/>
        </w:rPr>
        <w:t xml:space="preserve">, (London, 1880), pp. </w:t>
      </w:r>
      <w:r>
        <w:rPr>
          <w:rFonts w:ascii="Bradley Hand ITC" w:hAnsi="Bradley Hand ITC"/>
        </w:rPr>
        <w:t>13-14</w:t>
      </w:r>
    </w:p>
  </w:footnote>
  <w:footnote w:id="8">
    <w:p w14:paraId="35252F2A" w14:textId="14A219A1" w:rsidR="00BE3F80" w:rsidRDefault="00BE3F80">
      <w:pPr>
        <w:pStyle w:val="FootnoteText"/>
      </w:pPr>
      <w:r>
        <w:rPr>
          <w:rStyle w:val="FootnoteReference"/>
        </w:rPr>
        <w:footnoteRef/>
      </w:r>
      <w:r>
        <w:t xml:space="preserve"> </w:t>
      </w:r>
      <w:r w:rsidRPr="00B53176">
        <w:rPr>
          <w:rFonts w:ascii="Bradley Hand ITC" w:hAnsi="Bradley Hand ITC"/>
        </w:rPr>
        <w:t>Katherine Briggs</w:t>
      </w:r>
      <w:r w:rsidRPr="004405DC">
        <w:rPr>
          <w:rFonts w:ascii="Bradley Hand ITC" w:hAnsi="Bradley Hand ITC"/>
        </w:rPr>
        <w:t xml:space="preserve">, </w:t>
      </w:r>
      <w:r w:rsidRPr="002B3752">
        <w:rPr>
          <w:rFonts w:ascii="Bradley Hand ITC" w:hAnsi="Bradley Hand ITC"/>
          <w:i/>
          <w:iCs/>
        </w:rPr>
        <w:t>An Encyclopaedia of Fairies: Hobgoblins, Brownies, Bogeys and Other Supernatural Creatures</w:t>
      </w:r>
      <w:r w:rsidRPr="004405DC">
        <w:rPr>
          <w:rFonts w:ascii="Bradley Hand ITC" w:hAnsi="Bradley Hand ITC"/>
        </w:rPr>
        <w:t>, (Pantheon Books: New York, 1977) pp.</w:t>
      </w:r>
      <w:r>
        <w:rPr>
          <w:rFonts w:ascii="Bradley Hand ITC" w:hAnsi="Bradley Hand ITC"/>
        </w:rPr>
        <w:t xml:space="preserve"> 121-122</w:t>
      </w:r>
    </w:p>
  </w:footnote>
  <w:footnote w:id="9">
    <w:p w14:paraId="7F3EEC03" w14:textId="3CCE92FC" w:rsidR="00A70024" w:rsidRDefault="00A70024">
      <w:pPr>
        <w:pStyle w:val="FootnoteText"/>
      </w:pPr>
      <w:r>
        <w:rPr>
          <w:rStyle w:val="FootnoteReference"/>
        </w:rPr>
        <w:footnoteRef/>
      </w:r>
      <w:r>
        <w:t xml:space="preserve"> </w:t>
      </w:r>
      <w:r w:rsidRPr="00BD57CE">
        <w:rPr>
          <w:rFonts w:ascii="Bradley Hand ITC" w:hAnsi="Bradley Hand ITC"/>
        </w:rPr>
        <w:t xml:space="preserve">Wirt Sikes, </w:t>
      </w:r>
      <w:r w:rsidRPr="00BD57CE">
        <w:rPr>
          <w:rFonts w:ascii="Bradley Hand ITC" w:hAnsi="Bradley Hand ITC"/>
          <w:i/>
          <w:iCs/>
        </w:rPr>
        <w:t>British Goblins: Welsh Folklore, Fairy Mythology, Legends and Traditions</w:t>
      </w:r>
      <w:r w:rsidRPr="00BD57CE">
        <w:rPr>
          <w:rFonts w:ascii="Bradley Hand ITC" w:hAnsi="Bradley Hand ITC"/>
        </w:rPr>
        <w:t>, (London, 1880), pp</w:t>
      </w:r>
      <w:r>
        <w:rPr>
          <w:rFonts w:ascii="Bradley Hand ITC" w:hAnsi="Bradley Hand ITC"/>
        </w:rPr>
        <w:t>. 18-19</w:t>
      </w:r>
    </w:p>
  </w:footnote>
  <w:footnote w:id="10">
    <w:p w14:paraId="6BEC75D0" w14:textId="77777777" w:rsidR="0057471A" w:rsidRDefault="0057471A" w:rsidP="0057471A">
      <w:pPr>
        <w:pStyle w:val="FootnoteText"/>
      </w:pPr>
      <w:r>
        <w:rPr>
          <w:rStyle w:val="FootnoteReference"/>
        </w:rPr>
        <w:footnoteRef/>
      </w:r>
      <w:r>
        <w:t xml:space="preserve"> </w:t>
      </w:r>
      <w:r w:rsidRPr="00BD57CE">
        <w:rPr>
          <w:rFonts w:ascii="Bradley Hand ITC" w:hAnsi="Bradley Hand ITC"/>
        </w:rPr>
        <w:t xml:space="preserve">Wirt Sikes, </w:t>
      </w:r>
      <w:r w:rsidRPr="00BD57CE">
        <w:rPr>
          <w:rFonts w:ascii="Bradley Hand ITC" w:hAnsi="Bradley Hand ITC"/>
          <w:i/>
          <w:iCs/>
        </w:rPr>
        <w:t>British Goblins: Welsh Folklore, Fairy Mythology, Legends and Traditions</w:t>
      </w:r>
      <w:r w:rsidRPr="00BD57CE">
        <w:rPr>
          <w:rFonts w:ascii="Bradley Hand ITC" w:hAnsi="Bradley Hand ITC"/>
        </w:rPr>
        <w:t>, (London, 1880), pp.</w:t>
      </w:r>
      <w:r>
        <w:rPr>
          <w:rFonts w:ascii="Bradley Hand ITC" w:hAnsi="Bradley Hand ITC"/>
        </w:rPr>
        <w:t xml:space="preserve"> 24</w:t>
      </w:r>
    </w:p>
  </w:footnote>
  <w:footnote w:id="11">
    <w:p w14:paraId="34D6182E" w14:textId="09119C7B" w:rsidR="0057471A" w:rsidRDefault="0057471A">
      <w:pPr>
        <w:pStyle w:val="FootnoteText"/>
      </w:pPr>
      <w:r>
        <w:rPr>
          <w:rStyle w:val="FootnoteReference"/>
        </w:rPr>
        <w:footnoteRef/>
      </w:r>
      <w:r>
        <w:t xml:space="preserve"> </w:t>
      </w:r>
      <w:r>
        <w:rPr>
          <w:rFonts w:ascii="Bradley Hand ITC" w:hAnsi="Bradley Hand ITC"/>
        </w:rPr>
        <w:t>Ibid</w:t>
      </w:r>
      <w:r w:rsidRPr="00BD57CE">
        <w:rPr>
          <w:rFonts w:ascii="Bradley Hand ITC" w:hAnsi="Bradley Hand ITC"/>
        </w:rPr>
        <w:t>, pp.</w:t>
      </w:r>
      <w:r>
        <w:rPr>
          <w:rFonts w:ascii="Bradley Hand ITC" w:hAnsi="Bradley Hand ITC"/>
        </w:rPr>
        <w:t xml:space="preserve"> 26</w:t>
      </w:r>
    </w:p>
  </w:footnote>
  <w:footnote w:id="12">
    <w:p w14:paraId="2CFBF703" w14:textId="5CF4DB8C" w:rsidR="0057471A" w:rsidRDefault="0057471A">
      <w:pPr>
        <w:pStyle w:val="FootnoteText"/>
      </w:pPr>
      <w:r>
        <w:rPr>
          <w:rStyle w:val="FootnoteReference"/>
        </w:rPr>
        <w:footnoteRef/>
      </w:r>
      <w:r>
        <w:t xml:space="preserve"> </w:t>
      </w:r>
      <w:r>
        <w:rPr>
          <w:rFonts w:ascii="Bradley Hand ITC" w:hAnsi="Bradley Hand ITC"/>
        </w:rPr>
        <w:t>Ibid</w:t>
      </w:r>
      <w:r w:rsidRPr="00BD57CE">
        <w:rPr>
          <w:rFonts w:ascii="Bradley Hand ITC" w:hAnsi="Bradley Hand ITC"/>
        </w:rPr>
        <w:t>, (London, 1880), pp.</w:t>
      </w:r>
      <w:r>
        <w:rPr>
          <w:rFonts w:ascii="Bradley Hand ITC" w:hAnsi="Bradley Hand ITC"/>
        </w:rPr>
        <w:t xml:space="preserve"> 29-30</w:t>
      </w:r>
    </w:p>
  </w:footnote>
  <w:footnote w:id="13">
    <w:p w14:paraId="46187A4E" w14:textId="555891F5" w:rsidR="00727EBB" w:rsidRPr="00BD57CE" w:rsidRDefault="00727EBB">
      <w:pPr>
        <w:pStyle w:val="FootnoteText"/>
        <w:rPr>
          <w:rFonts w:ascii="Bradley Hand ITC" w:hAnsi="Bradley Hand ITC"/>
        </w:rPr>
      </w:pPr>
      <w:r w:rsidRPr="00BD57CE">
        <w:rPr>
          <w:rStyle w:val="FootnoteReference"/>
          <w:rFonts w:ascii="Bradley Hand ITC" w:hAnsi="Bradley Hand ITC"/>
        </w:rPr>
        <w:footnoteRef/>
      </w:r>
      <w:r w:rsidRPr="00BD57CE">
        <w:rPr>
          <w:rFonts w:ascii="Bradley Hand ITC" w:hAnsi="Bradley Hand ITC"/>
        </w:rPr>
        <w:t xml:space="preserve"> </w:t>
      </w:r>
      <w:r w:rsidRPr="00BD57CE">
        <w:rPr>
          <w:rFonts w:ascii="Bradley Hand ITC" w:hAnsi="Bradley Hand ITC"/>
        </w:rPr>
        <w:t xml:space="preserve">Wirt Sikes, </w:t>
      </w:r>
      <w:r w:rsidRPr="00BD57CE">
        <w:rPr>
          <w:rFonts w:ascii="Bradley Hand ITC" w:hAnsi="Bradley Hand ITC"/>
          <w:i/>
          <w:iCs/>
        </w:rPr>
        <w:t>British Goblins: Welsh Folklore, Fairy Mythology, Legends and Traditions</w:t>
      </w:r>
      <w:r w:rsidRPr="00BD57CE">
        <w:rPr>
          <w:rFonts w:ascii="Bradley Hand ITC" w:hAnsi="Bradley Hand ITC"/>
        </w:rPr>
        <w:t>, (London, 1880),</w:t>
      </w:r>
      <w:r w:rsidRPr="00BD57CE">
        <w:rPr>
          <w:rFonts w:ascii="Bradley Hand ITC" w:hAnsi="Bradley Hand ITC"/>
        </w:rPr>
        <w:t xml:space="preserve"> pp. 30-31</w:t>
      </w:r>
    </w:p>
  </w:footnote>
  <w:footnote w:id="14">
    <w:p w14:paraId="6C81070D" w14:textId="01F846D0" w:rsidR="00727EBB" w:rsidRDefault="00727EBB">
      <w:pPr>
        <w:pStyle w:val="FootnoteText"/>
      </w:pPr>
      <w:r w:rsidRPr="00BD57CE">
        <w:rPr>
          <w:rStyle w:val="FootnoteReference"/>
          <w:rFonts w:ascii="Bradley Hand ITC" w:hAnsi="Bradley Hand ITC"/>
        </w:rPr>
        <w:footnoteRef/>
      </w:r>
      <w:r w:rsidRPr="00BD57CE">
        <w:rPr>
          <w:rFonts w:ascii="Bradley Hand ITC" w:hAnsi="Bradley Hand ITC"/>
        </w:rPr>
        <w:t xml:space="preserve"> </w:t>
      </w:r>
      <w:r w:rsidR="00A60566">
        <w:rPr>
          <w:rFonts w:ascii="Bradley Hand ITC" w:hAnsi="Bradley Hand ITC"/>
        </w:rPr>
        <w:t>Ibid</w:t>
      </w:r>
      <w:r w:rsidRPr="00BD57CE">
        <w:rPr>
          <w:rFonts w:ascii="Bradley Hand ITC" w:hAnsi="Bradley Hand ITC"/>
        </w:rPr>
        <w:t>,</w:t>
      </w:r>
      <w:r w:rsidR="00A60566">
        <w:rPr>
          <w:rFonts w:ascii="Bradley Hand ITC" w:hAnsi="Bradley Hand ITC"/>
        </w:rPr>
        <w:t xml:space="preserve"> 133</w:t>
      </w:r>
    </w:p>
  </w:footnote>
  <w:footnote w:id="15">
    <w:p w14:paraId="6A0495D6" w14:textId="7AAC88C7" w:rsidR="00EF5F69" w:rsidRDefault="00EF5F69">
      <w:pPr>
        <w:pStyle w:val="FootnoteText"/>
      </w:pPr>
      <w:r w:rsidRPr="00B53176">
        <w:rPr>
          <w:rStyle w:val="FootnoteReference"/>
          <w:rFonts w:ascii="Bradley Hand ITC" w:hAnsi="Bradley Hand ITC"/>
        </w:rPr>
        <w:footnoteRef/>
      </w:r>
      <w:r w:rsidRPr="00B53176">
        <w:rPr>
          <w:rFonts w:ascii="Bradley Hand ITC" w:hAnsi="Bradley Hand ITC"/>
        </w:rPr>
        <w:t xml:space="preserve"> </w:t>
      </w:r>
      <w:r w:rsidRPr="00B53176">
        <w:rPr>
          <w:rFonts w:ascii="Bradley Hand ITC" w:hAnsi="Bradley Hand ITC"/>
        </w:rPr>
        <w:t>Wirt</w:t>
      </w:r>
      <w:r w:rsidRPr="00BD57CE">
        <w:rPr>
          <w:rFonts w:ascii="Bradley Hand ITC" w:hAnsi="Bradley Hand ITC"/>
        </w:rPr>
        <w:t xml:space="preserve"> Sikes, </w:t>
      </w:r>
      <w:r w:rsidRPr="00BD57CE">
        <w:rPr>
          <w:rFonts w:ascii="Bradley Hand ITC" w:hAnsi="Bradley Hand ITC"/>
          <w:i/>
          <w:iCs/>
        </w:rPr>
        <w:t xml:space="preserve">British Goblins: Welsh Folklore, Fairy </w:t>
      </w:r>
      <w:proofErr w:type="spellStart"/>
      <w:r w:rsidRPr="00BD57CE">
        <w:rPr>
          <w:rFonts w:ascii="Bradley Hand ITC" w:hAnsi="Bradley Hand ITC"/>
          <w:i/>
          <w:iCs/>
        </w:rPr>
        <w:t>Mythol</w:t>
      </w:r>
      <w:proofErr w:type="spellEnd"/>
      <w:r w:rsidR="004B7CC4" w:rsidRPr="004B7CC4">
        <w:rPr>
          <w:noProof/>
        </w:rPr>
        <w:t xml:space="preserve"> </w:t>
      </w:r>
      <w:proofErr w:type="spellStart"/>
      <w:r w:rsidRPr="00BD57CE">
        <w:rPr>
          <w:rFonts w:ascii="Bradley Hand ITC" w:hAnsi="Bradley Hand ITC"/>
          <w:i/>
          <w:iCs/>
        </w:rPr>
        <w:t>ogy</w:t>
      </w:r>
      <w:proofErr w:type="spellEnd"/>
      <w:r w:rsidRPr="00BD57CE">
        <w:rPr>
          <w:rFonts w:ascii="Bradley Hand ITC" w:hAnsi="Bradley Hand ITC"/>
          <w:i/>
          <w:iCs/>
        </w:rPr>
        <w:t>, Legends and Traditions</w:t>
      </w:r>
      <w:r w:rsidRPr="00BD57CE">
        <w:rPr>
          <w:rFonts w:ascii="Bradley Hand ITC" w:hAnsi="Bradley Hand ITC"/>
        </w:rPr>
        <w:t>, (London, 1880), pp.</w:t>
      </w:r>
      <w:r>
        <w:rPr>
          <w:rFonts w:ascii="Bradley Hand ITC" w:hAnsi="Bradley Hand ITC"/>
        </w:rPr>
        <w:t xml:space="preserve"> 20</w:t>
      </w:r>
    </w:p>
  </w:footnote>
  <w:footnote w:id="16">
    <w:p w14:paraId="28EF1A24" w14:textId="69E3F5CD" w:rsidR="00EF5F69" w:rsidRPr="00B53176" w:rsidRDefault="00EF5F69">
      <w:pPr>
        <w:pStyle w:val="FootnoteText"/>
        <w:rPr>
          <w:rFonts w:ascii="Bradley Hand ITC" w:hAnsi="Bradley Hand ITC"/>
        </w:rPr>
      </w:pPr>
      <w:r w:rsidRPr="00B53176">
        <w:rPr>
          <w:rStyle w:val="FootnoteReference"/>
          <w:rFonts w:ascii="Bradley Hand ITC" w:hAnsi="Bradley Hand ITC"/>
        </w:rPr>
        <w:footnoteRef/>
      </w:r>
      <w:r w:rsidRPr="00B53176">
        <w:rPr>
          <w:rFonts w:ascii="Bradley Hand ITC" w:hAnsi="Bradley Hand ITC"/>
        </w:rPr>
        <w:t xml:space="preserve"> Claire </w:t>
      </w:r>
      <w:proofErr w:type="spellStart"/>
      <w:r w:rsidRPr="00B53176">
        <w:rPr>
          <w:rFonts w:ascii="Bradley Hand ITC" w:hAnsi="Bradley Hand ITC"/>
        </w:rPr>
        <w:t>Fayers</w:t>
      </w:r>
      <w:proofErr w:type="spellEnd"/>
      <w:r w:rsidRPr="00B53176">
        <w:rPr>
          <w:rFonts w:ascii="Bradley Hand ITC" w:hAnsi="Bradley Hand ITC"/>
        </w:rPr>
        <w:t xml:space="preserve">, </w:t>
      </w:r>
      <w:r w:rsidRPr="00B53176">
        <w:rPr>
          <w:rFonts w:ascii="Bradley Hand ITC" w:hAnsi="Bradley Hand ITC"/>
          <w:i/>
          <w:iCs/>
        </w:rPr>
        <w:t>Welsh Giants, Ghosts and Goblins</w:t>
      </w:r>
      <w:r w:rsidRPr="00B53176">
        <w:rPr>
          <w:rFonts w:ascii="Bradley Hand ITC" w:hAnsi="Bradley Hand ITC"/>
        </w:rPr>
        <w:t>, (Firefly Press: Cardiff, 2024), pp. 59</w:t>
      </w:r>
    </w:p>
  </w:footnote>
  <w:footnote w:id="17">
    <w:p w14:paraId="0CC1A27F" w14:textId="4F13DA3D" w:rsidR="00B53176" w:rsidRDefault="00B53176">
      <w:pPr>
        <w:pStyle w:val="FootnoteText"/>
      </w:pPr>
      <w:r w:rsidRPr="00B53176">
        <w:rPr>
          <w:rStyle w:val="FootnoteReference"/>
          <w:rFonts w:ascii="Bradley Hand ITC" w:hAnsi="Bradley Hand ITC"/>
        </w:rPr>
        <w:footnoteRef/>
      </w:r>
      <w:r w:rsidRPr="00B53176">
        <w:rPr>
          <w:rFonts w:ascii="Bradley Hand ITC" w:hAnsi="Bradley Hand ITC"/>
        </w:rPr>
        <w:t xml:space="preserve">  Katherine Briggs</w:t>
      </w:r>
      <w:r w:rsidRPr="002B3752">
        <w:rPr>
          <w:rFonts w:ascii="Bradley Hand ITC" w:hAnsi="Bradley Hand ITC"/>
          <w:i/>
          <w:iCs/>
        </w:rPr>
        <w:t>, An Encyclopaedia of Fairies: Hobgoblins, Brownies, Bogeys and Other Supernatural Creatures</w:t>
      </w:r>
      <w:r w:rsidRPr="004405DC">
        <w:rPr>
          <w:rFonts w:ascii="Bradley Hand ITC" w:hAnsi="Bradley Hand ITC"/>
        </w:rPr>
        <w:t xml:space="preserve">, (Pantheon Books: New York, </w:t>
      </w:r>
      <w:r w:rsidR="004405DC" w:rsidRPr="004405DC">
        <w:rPr>
          <w:rFonts w:ascii="Bradley Hand ITC" w:hAnsi="Bradley Hand ITC"/>
        </w:rPr>
        <w:t>1977) pp. 56-57</w:t>
      </w:r>
    </w:p>
  </w:footnote>
  <w:footnote w:id="18">
    <w:p w14:paraId="30D8B02C" w14:textId="3100F126" w:rsidR="00266FEF" w:rsidRDefault="00266FEF">
      <w:pPr>
        <w:pStyle w:val="FootnoteText"/>
      </w:pPr>
      <w:r>
        <w:rPr>
          <w:rStyle w:val="FootnoteReference"/>
        </w:rPr>
        <w:footnoteRef/>
      </w:r>
      <w:r>
        <w:t xml:space="preserve"> </w:t>
      </w:r>
      <w:r w:rsidRPr="00BD57CE">
        <w:rPr>
          <w:rFonts w:ascii="Bradley Hand ITC" w:hAnsi="Bradley Hand ITC"/>
        </w:rPr>
        <w:t xml:space="preserve">Wirt Sikes, </w:t>
      </w:r>
      <w:r w:rsidRPr="00BD57CE">
        <w:rPr>
          <w:rFonts w:ascii="Bradley Hand ITC" w:hAnsi="Bradley Hand ITC"/>
          <w:i/>
          <w:iCs/>
        </w:rPr>
        <w:t>British Goblins: Welsh Folklore, Fairy Mythology, Legends and Traditions</w:t>
      </w:r>
      <w:r w:rsidRPr="00BD57CE">
        <w:rPr>
          <w:rFonts w:ascii="Bradley Hand ITC" w:hAnsi="Bradley Hand ITC"/>
        </w:rPr>
        <w:t>, (London, 1880), pp.</w:t>
      </w:r>
      <w:r>
        <w:rPr>
          <w:rFonts w:ascii="Bradley Hand ITC" w:hAnsi="Bradley Hand ITC"/>
        </w:rPr>
        <w:t xml:space="preserve"> 34-35</w:t>
      </w:r>
    </w:p>
  </w:footnote>
  <w:footnote w:id="19">
    <w:p w14:paraId="54AFC995" w14:textId="1DB130D0" w:rsidR="007026A1" w:rsidRDefault="007026A1">
      <w:pPr>
        <w:pStyle w:val="FootnoteText"/>
      </w:pPr>
      <w:r>
        <w:rPr>
          <w:rStyle w:val="FootnoteReference"/>
        </w:rPr>
        <w:footnoteRef/>
      </w:r>
      <w:r>
        <w:t xml:space="preserve"> </w:t>
      </w:r>
      <w:r w:rsidR="00EF2A61">
        <w:rPr>
          <w:rFonts w:ascii="Bradley Hand ITC" w:hAnsi="Bradley Hand ITC"/>
        </w:rPr>
        <w:t>Ibid</w:t>
      </w:r>
      <w:r w:rsidRPr="00BD57CE">
        <w:rPr>
          <w:rFonts w:ascii="Bradley Hand ITC" w:hAnsi="Bradley Hand ITC"/>
        </w:rPr>
        <w:t>, pp.</w:t>
      </w:r>
      <w:r>
        <w:rPr>
          <w:rFonts w:ascii="Bradley Hand ITC" w:hAnsi="Bradley Hand ITC"/>
        </w:rPr>
        <w:t xml:space="preserve"> 47-48</w:t>
      </w:r>
    </w:p>
  </w:footnote>
  <w:footnote w:id="20">
    <w:p w14:paraId="6F6B68F8" w14:textId="38C6FC46" w:rsidR="00EF2A61" w:rsidRDefault="00EF2A61">
      <w:pPr>
        <w:pStyle w:val="FootnoteText"/>
      </w:pPr>
      <w:r>
        <w:rPr>
          <w:rStyle w:val="FootnoteReference"/>
        </w:rPr>
        <w:footnoteRef/>
      </w:r>
      <w:r>
        <w:t xml:space="preserve"> </w:t>
      </w:r>
      <w:r w:rsidRPr="00B53176">
        <w:rPr>
          <w:rFonts w:ascii="Bradley Hand ITC" w:hAnsi="Bradley Hand ITC"/>
        </w:rPr>
        <w:t>Katherine Briggs</w:t>
      </w:r>
      <w:r w:rsidRPr="004405DC">
        <w:rPr>
          <w:rFonts w:ascii="Bradley Hand ITC" w:hAnsi="Bradley Hand ITC"/>
        </w:rPr>
        <w:t xml:space="preserve">, </w:t>
      </w:r>
      <w:r w:rsidRPr="002B3752">
        <w:rPr>
          <w:rFonts w:ascii="Bradley Hand ITC" w:hAnsi="Bradley Hand ITC"/>
          <w:i/>
          <w:iCs/>
        </w:rPr>
        <w:t>An Encyclopaedia of Fairies: Hobgoblins, Brownies, Bogeys and Other Supernatural Creatures</w:t>
      </w:r>
      <w:r w:rsidRPr="004405DC">
        <w:rPr>
          <w:rFonts w:ascii="Bradley Hand ITC" w:hAnsi="Bradley Hand ITC"/>
        </w:rPr>
        <w:t>, (Pantheon Books: New York, 1977) pp.</w:t>
      </w:r>
      <w:r>
        <w:rPr>
          <w:rFonts w:ascii="Bradley Hand ITC" w:hAnsi="Bradley Hand ITC"/>
        </w:rPr>
        <w:t>331</w:t>
      </w:r>
    </w:p>
  </w:footnote>
  <w:footnote w:id="21">
    <w:p w14:paraId="68B1D4BC" w14:textId="3B6CD371" w:rsidR="007026A1" w:rsidRDefault="007026A1">
      <w:pPr>
        <w:pStyle w:val="FootnoteText"/>
      </w:pPr>
      <w:r>
        <w:rPr>
          <w:rStyle w:val="FootnoteReference"/>
        </w:rPr>
        <w:footnoteRef/>
      </w:r>
      <w:r>
        <w:t xml:space="preserve"> </w:t>
      </w:r>
      <w:r w:rsidR="00A60566">
        <w:rPr>
          <w:rFonts w:ascii="Bradley Hand ITC" w:hAnsi="Bradley Hand ITC"/>
        </w:rPr>
        <w:t>Ibid.</w:t>
      </w:r>
      <w:r w:rsidRPr="004405DC">
        <w:rPr>
          <w:rFonts w:ascii="Bradley Hand ITC" w:hAnsi="Bradley Hand ITC"/>
        </w:rPr>
        <w:t xml:space="preserve"> pp.</w:t>
      </w:r>
      <w:r>
        <w:rPr>
          <w:rFonts w:ascii="Bradley Hand ITC" w:hAnsi="Bradley Hand ITC"/>
        </w:rPr>
        <w:t xml:space="preserve"> 209-210</w:t>
      </w:r>
    </w:p>
  </w:footnote>
  <w:footnote w:id="22">
    <w:p w14:paraId="3D6E731D" w14:textId="22A17F68" w:rsidR="00C115D0" w:rsidRDefault="00C115D0">
      <w:pPr>
        <w:pStyle w:val="FootnoteText"/>
      </w:pPr>
      <w:r>
        <w:rPr>
          <w:rStyle w:val="FootnoteReference"/>
        </w:rPr>
        <w:footnoteRef/>
      </w:r>
      <w:r>
        <w:t xml:space="preserve"> </w:t>
      </w:r>
      <w:r w:rsidRPr="00BD57CE">
        <w:rPr>
          <w:rFonts w:ascii="Bradley Hand ITC" w:hAnsi="Bradley Hand ITC"/>
        </w:rPr>
        <w:t xml:space="preserve">Wirt Sikes, </w:t>
      </w:r>
      <w:r w:rsidRPr="00BD57CE">
        <w:rPr>
          <w:rFonts w:ascii="Bradley Hand ITC" w:hAnsi="Bradley Hand ITC"/>
          <w:i/>
          <w:iCs/>
        </w:rPr>
        <w:t>British Goblins: Welsh Folklore, Fairy Mythology, Legends and Traditions</w:t>
      </w:r>
      <w:r w:rsidRPr="00BD57CE">
        <w:rPr>
          <w:rFonts w:ascii="Bradley Hand ITC" w:hAnsi="Bradley Hand ITC"/>
        </w:rPr>
        <w:t>, (London, 1880), pp.</w:t>
      </w:r>
      <w:r>
        <w:rPr>
          <w:rFonts w:ascii="Bradley Hand ITC" w:hAnsi="Bradley Hand ITC"/>
        </w:rPr>
        <w:t xml:space="preserve"> 49-50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03A55"/>
    <w:multiLevelType w:val="hybridMultilevel"/>
    <w:tmpl w:val="FE18A0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2561DE"/>
    <w:multiLevelType w:val="hybridMultilevel"/>
    <w:tmpl w:val="D6F6464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6546790"/>
    <w:multiLevelType w:val="hybridMultilevel"/>
    <w:tmpl w:val="E2660954"/>
    <w:lvl w:ilvl="0" w:tplc="C87E2D70">
      <w:start w:val="1"/>
      <w:numFmt w:val="bullet"/>
      <w:lvlText w:val=""/>
      <w:lvlJc w:val="left"/>
      <w:pPr>
        <w:ind w:left="3338" w:hanging="360"/>
      </w:pPr>
      <w:rPr>
        <w:rFonts w:ascii="Symbol" w:hAnsi="Symbol" w:hint="default"/>
      </w:rPr>
    </w:lvl>
    <w:lvl w:ilvl="1" w:tplc="08090003" w:tentative="1">
      <w:start w:val="1"/>
      <w:numFmt w:val="bullet"/>
      <w:lvlText w:val="o"/>
      <w:lvlJc w:val="left"/>
      <w:pPr>
        <w:ind w:left="4058" w:hanging="360"/>
      </w:pPr>
      <w:rPr>
        <w:rFonts w:ascii="Courier New" w:hAnsi="Courier New" w:cs="Courier New" w:hint="default"/>
      </w:rPr>
    </w:lvl>
    <w:lvl w:ilvl="2" w:tplc="08090005" w:tentative="1">
      <w:start w:val="1"/>
      <w:numFmt w:val="bullet"/>
      <w:lvlText w:val=""/>
      <w:lvlJc w:val="left"/>
      <w:pPr>
        <w:ind w:left="4778" w:hanging="360"/>
      </w:pPr>
      <w:rPr>
        <w:rFonts w:ascii="Wingdings" w:hAnsi="Wingdings" w:hint="default"/>
      </w:rPr>
    </w:lvl>
    <w:lvl w:ilvl="3" w:tplc="08090001" w:tentative="1">
      <w:start w:val="1"/>
      <w:numFmt w:val="bullet"/>
      <w:lvlText w:val=""/>
      <w:lvlJc w:val="left"/>
      <w:pPr>
        <w:ind w:left="5498" w:hanging="360"/>
      </w:pPr>
      <w:rPr>
        <w:rFonts w:ascii="Symbol" w:hAnsi="Symbol" w:hint="default"/>
      </w:rPr>
    </w:lvl>
    <w:lvl w:ilvl="4" w:tplc="08090003" w:tentative="1">
      <w:start w:val="1"/>
      <w:numFmt w:val="bullet"/>
      <w:lvlText w:val="o"/>
      <w:lvlJc w:val="left"/>
      <w:pPr>
        <w:ind w:left="6218" w:hanging="360"/>
      </w:pPr>
      <w:rPr>
        <w:rFonts w:ascii="Courier New" w:hAnsi="Courier New" w:cs="Courier New" w:hint="default"/>
      </w:rPr>
    </w:lvl>
    <w:lvl w:ilvl="5" w:tplc="08090005" w:tentative="1">
      <w:start w:val="1"/>
      <w:numFmt w:val="bullet"/>
      <w:lvlText w:val=""/>
      <w:lvlJc w:val="left"/>
      <w:pPr>
        <w:ind w:left="6938" w:hanging="360"/>
      </w:pPr>
      <w:rPr>
        <w:rFonts w:ascii="Wingdings" w:hAnsi="Wingdings" w:hint="default"/>
      </w:rPr>
    </w:lvl>
    <w:lvl w:ilvl="6" w:tplc="08090001" w:tentative="1">
      <w:start w:val="1"/>
      <w:numFmt w:val="bullet"/>
      <w:lvlText w:val=""/>
      <w:lvlJc w:val="left"/>
      <w:pPr>
        <w:ind w:left="7658" w:hanging="360"/>
      </w:pPr>
      <w:rPr>
        <w:rFonts w:ascii="Symbol" w:hAnsi="Symbol" w:hint="default"/>
      </w:rPr>
    </w:lvl>
    <w:lvl w:ilvl="7" w:tplc="08090003" w:tentative="1">
      <w:start w:val="1"/>
      <w:numFmt w:val="bullet"/>
      <w:lvlText w:val="o"/>
      <w:lvlJc w:val="left"/>
      <w:pPr>
        <w:ind w:left="8378" w:hanging="360"/>
      </w:pPr>
      <w:rPr>
        <w:rFonts w:ascii="Courier New" w:hAnsi="Courier New" w:cs="Courier New" w:hint="default"/>
      </w:rPr>
    </w:lvl>
    <w:lvl w:ilvl="8" w:tplc="08090005" w:tentative="1">
      <w:start w:val="1"/>
      <w:numFmt w:val="bullet"/>
      <w:lvlText w:val=""/>
      <w:lvlJc w:val="left"/>
      <w:pPr>
        <w:ind w:left="9098" w:hanging="360"/>
      </w:pPr>
      <w:rPr>
        <w:rFonts w:ascii="Wingdings" w:hAnsi="Wingdings" w:hint="default"/>
      </w:rPr>
    </w:lvl>
  </w:abstractNum>
  <w:abstractNum w:abstractNumId="3" w15:restartNumberingAfterBreak="0">
    <w:nsid w:val="12AB5463"/>
    <w:multiLevelType w:val="hybridMultilevel"/>
    <w:tmpl w:val="9FA653C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5D543B4"/>
    <w:multiLevelType w:val="hybridMultilevel"/>
    <w:tmpl w:val="33466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443F31"/>
    <w:multiLevelType w:val="hybridMultilevel"/>
    <w:tmpl w:val="DE6EA7DC"/>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845752"/>
    <w:multiLevelType w:val="hybridMultilevel"/>
    <w:tmpl w:val="43B27B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CB2B8C"/>
    <w:multiLevelType w:val="hybridMultilevel"/>
    <w:tmpl w:val="F56CBAC8"/>
    <w:lvl w:ilvl="0" w:tplc="C87E2D7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226366"/>
    <w:multiLevelType w:val="hybridMultilevel"/>
    <w:tmpl w:val="2EB40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C55EE9"/>
    <w:multiLevelType w:val="hybridMultilevel"/>
    <w:tmpl w:val="9DBE22F0"/>
    <w:lvl w:ilvl="0" w:tplc="C87E2D7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8614D5"/>
    <w:multiLevelType w:val="hybridMultilevel"/>
    <w:tmpl w:val="6586314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3441"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CD6522"/>
    <w:multiLevelType w:val="hybridMultilevel"/>
    <w:tmpl w:val="4E30E92E"/>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6410085C"/>
    <w:multiLevelType w:val="hybridMultilevel"/>
    <w:tmpl w:val="FE18A04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807479465">
    <w:abstractNumId w:val="2"/>
  </w:num>
  <w:num w:numId="2" w16cid:durableId="575670297">
    <w:abstractNumId w:val="3"/>
  </w:num>
  <w:num w:numId="3" w16cid:durableId="1528450489">
    <w:abstractNumId w:val="1"/>
  </w:num>
  <w:num w:numId="4" w16cid:durableId="808087080">
    <w:abstractNumId w:val="7"/>
  </w:num>
  <w:num w:numId="5" w16cid:durableId="188030399">
    <w:abstractNumId w:val="9"/>
  </w:num>
  <w:num w:numId="6" w16cid:durableId="300959728">
    <w:abstractNumId w:val="0"/>
  </w:num>
  <w:num w:numId="7" w16cid:durableId="1587612806">
    <w:abstractNumId w:val="6"/>
  </w:num>
  <w:num w:numId="8" w16cid:durableId="1670675043">
    <w:abstractNumId w:val="12"/>
  </w:num>
  <w:num w:numId="9" w16cid:durableId="1902060460">
    <w:abstractNumId w:val="8"/>
  </w:num>
  <w:num w:numId="10" w16cid:durableId="163253051">
    <w:abstractNumId w:val="4"/>
  </w:num>
  <w:num w:numId="11" w16cid:durableId="895631524">
    <w:abstractNumId w:val="5"/>
  </w:num>
  <w:num w:numId="12" w16cid:durableId="1352146399">
    <w:abstractNumId w:val="10"/>
  </w:num>
  <w:num w:numId="13" w16cid:durableId="209180860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E39"/>
    <w:rsid w:val="00000952"/>
    <w:rsid w:val="00001D7A"/>
    <w:rsid w:val="00001E16"/>
    <w:rsid w:val="00003EB3"/>
    <w:rsid w:val="0000477A"/>
    <w:rsid w:val="00011217"/>
    <w:rsid w:val="000114DD"/>
    <w:rsid w:val="00012C8F"/>
    <w:rsid w:val="0001417C"/>
    <w:rsid w:val="000147B5"/>
    <w:rsid w:val="00016504"/>
    <w:rsid w:val="00017D6D"/>
    <w:rsid w:val="00021B7F"/>
    <w:rsid w:val="00022E0A"/>
    <w:rsid w:val="000257D4"/>
    <w:rsid w:val="00031339"/>
    <w:rsid w:val="00032A33"/>
    <w:rsid w:val="00034106"/>
    <w:rsid w:val="00040A1D"/>
    <w:rsid w:val="000432AF"/>
    <w:rsid w:val="00044ACC"/>
    <w:rsid w:val="00045BF6"/>
    <w:rsid w:val="00050338"/>
    <w:rsid w:val="00051893"/>
    <w:rsid w:val="000534E7"/>
    <w:rsid w:val="00053CE5"/>
    <w:rsid w:val="00054C4C"/>
    <w:rsid w:val="00055CAE"/>
    <w:rsid w:val="000572BF"/>
    <w:rsid w:val="00057598"/>
    <w:rsid w:val="00061458"/>
    <w:rsid w:val="000616CA"/>
    <w:rsid w:val="00062F16"/>
    <w:rsid w:val="00066972"/>
    <w:rsid w:val="00074F5D"/>
    <w:rsid w:val="000754B2"/>
    <w:rsid w:val="0007770A"/>
    <w:rsid w:val="00080155"/>
    <w:rsid w:val="00080434"/>
    <w:rsid w:val="00084CF5"/>
    <w:rsid w:val="00085C80"/>
    <w:rsid w:val="00095982"/>
    <w:rsid w:val="00095DBA"/>
    <w:rsid w:val="000A2A13"/>
    <w:rsid w:val="000A3A07"/>
    <w:rsid w:val="000A46DA"/>
    <w:rsid w:val="000B0B16"/>
    <w:rsid w:val="000B2CE7"/>
    <w:rsid w:val="000C33D5"/>
    <w:rsid w:val="000C4217"/>
    <w:rsid w:val="000C773C"/>
    <w:rsid w:val="000D0133"/>
    <w:rsid w:val="000D0A99"/>
    <w:rsid w:val="000E3316"/>
    <w:rsid w:val="000F11FA"/>
    <w:rsid w:val="000F6448"/>
    <w:rsid w:val="000F6A61"/>
    <w:rsid w:val="00101DF3"/>
    <w:rsid w:val="00106C57"/>
    <w:rsid w:val="00110A12"/>
    <w:rsid w:val="0011126A"/>
    <w:rsid w:val="00111D05"/>
    <w:rsid w:val="00115202"/>
    <w:rsid w:val="00116FB4"/>
    <w:rsid w:val="001204F2"/>
    <w:rsid w:val="00122180"/>
    <w:rsid w:val="0012381D"/>
    <w:rsid w:val="00124C1B"/>
    <w:rsid w:val="00125CEE"/>
    <w:rsid w:val="0012768E"/>
    <w:rsid w:val="00130829"/>
    <w:rsid w:val="00132325"/>
    <w:rsid w:val="00132AC3"/>
    <w:rsid w:val="00133A7E"/>
    <w:rsid w:val="00133DC4"/>
    <w:rsid w:val="001340BE"/>
    <w:rsid w:val="001354B5"/>
    <w:rsid w:val="001404CB"/>
    <w:rsid w:val="00140730"/>
    <w:rsid w:val="00142A5C"/>
    <w:rsid w:val="001442BB"/>
    <w:rsid w:val="001445C9"/>
    <w:rsid w:val="0014595C"/>
    <w:rsid w:val="001472C0"/>
    <w:rsid w:val="00147CB0"/>
    <w:rsid w:val="00150268"/>
    <w:rsid w:val="001503DD"/>
    <w:rsid w:val="00150D02"/>
    <w:rsid w:val="00152E5F"/>
    <w:rsid w:val="001553FD"/>
    <w:rsid w:val="00155BA9"/>
    <w:rsid w:val="00156505"/>
    <w:rsid w:val="00157884"/>
    <w:rsid w:val="00161530"/>
    <w:rsid w:val="001616AC"/>
    <w:rsid w:val="00161B3B"/>
    <w:rsid w:val="00167772"/>
    <w:rsid w:val="00171B7A"/>
    <w:rsid w:val="00172B09"/>
    <w:rsid w:val="00175837"/>
    <w:rsid w:val="001760F7"/>
    <w:rsid w:val="001762AB"/>
    <w:rsid w:val="001766A2"/>
    <w:rsid w:val="00177BE0"/>
    <w:rsid w:val="00182E1F"/>
    <w:rsid w:val="00184A70"/>
    <w:rsid w:val="00186266"/>
    <w:rsid w:val="00191E02"/>
    <w:rsid w:val="0019231F"/>
    <w:rsid w:val="00197A5F"/>
    <w:rsid w:val="001A49EA"/>
    <w:rsid w:val="001A61F1"/>
    <w:rsid w:val="001B0197"/>
    <w:rsid w:val="001B05AF"/>
    <w:rsid w:val="001B074F"/>
    <w:rsid w:val="001B087C"/>
    <w:rsid w:val="001B45AA"/>
    <w:rsid w:val="001B6542"/>
    <w:rsid w:val="001B770C"/>
    <w:rsid w:val="001B7716"/>
    <w:rsid w:val="001B7BFD"/>
    <w:rsid w:val="001C08A4"/>
    <w:rsid w:val="001C4170"/>
    <w:rsid w:val="001C5E6F"/>
    <w:rsid w:val="001D0637"/>
    <w:rsid w:val="001D6BD7"/>
    <w:rsid w:val="001D7D73"/>
    <w:rsid w:val="001E0163"/>
    <w:rsid w:val="001E0531"/>
    <w:rsid w:val="001E1FD4"/>
    <w:rsid w:val="001E20DF"/>
    <w:rsid w:val="001E40A9"/>
    <w:rsid w:val="001E5A6F"/>
    <w:rsid w:val="001E78A5"/>
    <w:rsid w:val="001F4D81"/>
    <w:rsid w:val="002006D6"/>
    <w:rsid w:val="002013B5"/>
    <w:rsid w:val="00204C24"/>
    <w:rsid w:val="002079FE"/>
    <w:rsid w:val="002106E6"/>
    <w:rsid w:val="00211503"/>
    <w:rsid w:val="00211B0E"/>
    <w:rsid w:val="00211CC4"/>
    <w:rsid w:val="00211EDE"/>
    <w:rsid w:val="00213BFA"/>
    <w:rsid w:val="00213F12"/>
    <w:rsid w:val="00216C07"/>
    <w:rsid w:val="00217B85"/>
    <w:rsid w:val="00222DAA"/>
    <w:rsid w:val="00224C01"/>
    <w:rsid w:val="002259AF"/>
    <w:rsid w:val="00227183"/>
    <w:rsid w:val="002300AA"/>
    <w:rsid w:val="002318EB"/>
    <w:rsid w:val="00232002"/>
    <w:rsid w:val="00232270"/>
    <w:rsid w:val="00233FAF"/>
    <w:rsid w:val="002363D5"/>
    <w:rsid w:val="002421DF"/>
    <w:rsid w:val="00242C04"/>
    <w:rsid w:val="00243625"/>
    <w:rsid w:val="002449C0"/>
    <w:rsid w:val="0024679F"/>
    <w:rsid w:val="00247781"/>
    <w:rsid w:val="002606CD"/>
    <w:rsid w:val="00260D38"/>
    <w:rsid w:val="002629ED"/>
    <w:rsid w:val="002641FC"/>
    <w:rsid w:val="00265934"/>
    <w:rsid w:val="00266363"/>
    <w:rsid w:val="00266FEF"/>
    <w:rsid w:val="00267106"/>
    <w:rsid w:val="002704EB"/>
    <w:rsid w:val="002740BD"/>
    <w:rsid w:val="002800E7"/>
    <w:rsid w:val="00280FE8"/>
    <w:rsid w:val="00283182"/>
    <w:rsid w:val="00286E8D"/>
    <w:rsid w:val="002918AF"/>
    <w:rsid w:val="002945FD"/>
    <w:rsid w:val="00297378"/>
    <w:rsid w:val="002A10BA"/>
    <w:rsid w:val="002A1AAF"/>
    <w:rsid w:val="002B3752"/>
    <w:rsid w:val="002B6F97"/>
    <w:rsid w:val="002C316D"/>
    <w:rsid w:val="002C447E"/>
    <w:rsid w:val="002D1999"/>
    <w:rsid w:val="002D214B"/>
    <w:rsid w:val="002D5606"/>
    <w:rsid w:val="002D74D9"/>
    <w:rsid w:val="002E1ACA"/>
    <w:rsid w:val="002E29E0"/>
    <w:rsid w:val="002E2B2D"/>
    <w:rsid w:val="002E46C7"/>
    <w:rsid w:val="002E7D9D"/>
    <w:rsid w:val="002F1AAF"/>
    <w:rsid w:val="002F44CC"/>
    <w:rsid w:val="002F4D37"/>
    <w:rsid w:val="002F6C78"/>
    <w:rsid w:val="002F7C03"/>
    <w:rsid w:val="003002F9"/>
    <w:rsid w:val="00303ADC"/>
    <w:rsid w:val="00304539"/>
    <w:rsid w:val="00304D6F"/>
    <w:rsid w:val="003054C8"/>
    <w:rsid w:val="0031005E"/>
    <w:rsid w:val="003169D6"/>
    <w:rsid w:val="00317681"/>
    <w:rsid w:val="003215EF"/>
    <w:rsid w:val="00322679"/>
    <w:rsid w:val="0032756A"/>
    <w:rsid w:val="00327B4A"/>
    <w:rsid w:val="00331D5B"/>
    <w:rsid w:val="003327C9"/>
    <w:rsid w:val="0033763F"/>
    <w:rsid w:val="00337E18"/>
    <w:rsid w:val="00342CC6"/>
    <w:rsid w:val="00343849"/>
    <w:rsid w:val="00353D04"/>
    <w:rsid w:val="00354CE7"/>
    <w:rsid w:val="00355A51"/>
    <w:rsid w:val="00355F6B"/>
    <w:rsid w:val="003560E9"/>
    <w:rsid w:val="00356160"/>
    <w:rsid w:val="003571C5"/>
    <w:rsid w:val="00357F77"/>
    <w:rsid w:val="0036060A"/>
    <w:rsid w:val="00363C72"/>
    <w:rsid w:val="00364952"/>
    <w:rsid w:val="0036504D"/>
    <w:rsid w:val="00371902"/>
    <w:rsid w:val="00371C7E"/>
    <w:rsid w:val="00372426"/>
    <w:rsid w:val="0037250D"/>
    <w:rsid w:val="00373728"/>
    <w:rsid w:val="003769F6"/>
    <w:rsid w:val="003809F7"/>
    <w:rsid w:val="00381D90"/>
    <w:rsid w:val="003865BD"/>
    <w:rsid w:val="00386DFE"/>
    <w:rsid w:val="003871F2"/>
    <w:rsid w:val="003945B6"/>
    <w:rsid w:val="00396FF4"/>
    <w:rsid w:val="00397680"/>
    <w:rsid w:val="003978FD"/>
    <w:rsid w:val="003A36B8"/>
    <w:rsid w:val="003A5C33"/>
    <w:rsid w:val="003A5D5B"/>
    <w:rsid w:val="003A79C2"/>
    <w:rsid w:val="003B0F43"/>
    <w:rsid w:val="003B24D3"/>
    <w:rsid w:val="003B3E25"/>
    <w:rsid w:val="003B4B2D"/>
    <w:rsid w:val="003B5DD0"/>
    <w:rsid w:val="003C0C24"/>
    <w:rsid w:val="003C3AF3"/>
    <w:rsid w:val="003C5428"/>
    <w:rsid w:val="003C59DD"/>
    <w:rsid w:val="003D1295"/>
    <w:rsid w:val="003D587D"/>
    <w:rsid w:val="003D7172"/>
    <w:rsid w:val="003E19FC"/>
    <w:rsid w:val="003E5F8B"/>
    <w:rsid w:val="003F0227"/>
    <w:rsid w:val="003F29D4"/>
    <w:rsid w:val="003F4966"/>
    <w:rsid w:val="003F5224"/>
    <w:rsid w:val="004005FA"/>
    <w:rsid w:val="0040260A"/>
    <w:rsid w:val="00402812"/>
    <w:rsid w:val="00404B98"/>
    <w:rsid w:val="0040599F"/>
    <w:rsid w:val="0040650A"/>
    <w:rsid w:val="004070C4"/>
    <w:rsid w:val="0041139C"/>
    <w:rsid w:val="00411992"/>
    <w:rsid w:val="00412C14"/>
    <w:rsid w:val="00412C32"/>
    <w:rsid w:val="00412C67"/>
    <w:rsid w:val="00413D4D"/>
    <w:rsid w:val="00414A42"/>
    <w:rsid w:val="004208EB"/>
    <w:rsid w:val="0042489F"/>
    <w:rsid w:val="0042782E"/>
    <w:rsid w:val="00427DE4"/>
    <w:rsid w:val="00427FBB"/>
    <w:rsid w:val="00430B16"/>
    <w:rsid w:val="00430F6C"/>
    <w:rsid w:val="00432129"/>
    <w:rsid w:val="00435CA8"/>
    <w:rsid w:val="004405DC"/>
    <w:rsid w:val="00441D90"/>
    <w:rsid w:val="0044507B"/>
    <w:rsid w:val="004461C4"/>
    <w:rsid w:val="00447FE4"/>
    <w:rsid w:val="00451B29"/>
    <w:rsid w:val="00452473"/>
    <w:rsid w:val="004525F4"/>
    <w:rsid w:val="00462C82"/>
    <w:rsid w:val="00464B4D"/>
    <w:rsid w:val="00467C11"/>
    <w:rsid w:val="00471319"/>
    <w:rsid w:val="00472781"/>
    <w:rsid w:val="00476EDC"/>
    <w:rsid w:val="00477CD2"/>
    <w:rsid w:val="0048463E"/>
    <w:rsid w:val="00487FD9"/>
    <w:rsid w:val="004901B0"/>
    <w:rsid w:val="00490C44"/>
    <w:rsid w:val="004953D0"/>
    <w:rsid w:val="00497B12"/>
    <w:rsid w:val="004A0AD5"/>
    <w:rsid w:val="004A20B3"/>
    <w:rsid w:val="004A263D"/>
    <w:rsid w:val="004A2D32"/>
    <w:rsid w:val="004A5864"/>
    <w:rsid w:val="004A5896"/>
    <w:rsid w:val="004B06F0"/>
    <w:rsid w:val="004B6329"/>
    <w:rsid w:val="004B6648"/>
    <w:rsid w:val="004B723B"/>
    <w:rsid w:val="004B7CC4"/>
    <w:rsid w:val="004B7F85"/>
    <w:rsid w:val="004C00B2"/>
    <w:rsid w:val="004C1622"/>
    <w:rsid w:val="004C29D5"/>
    <w:rsid w:val="004C2B3E"/>
    <w:rsid w:val="004C4D53"/>
    <w:rsid w:val="004C5F7E"/>
    <w:rsid w:val="004D46AF"/>
    <w:rsid w:val="004D75F5"/>
    <w:rsid w:val="004E4360"/>
    <w:rsid w:val="004F0B2B"/>
    <w:rsid w:val="004F75D2"/>
    <w:rsid w:val="004F7EC1"/>
    <w:rsid w:val="005024AE"/>
    <w:rsid w:val="00505391"/>
    <w:rsid w:val="00506145"/>
    <w:rsid w:val="00507ED0"/>
    <w:rsid w:val="00512D44"/>
    <w:rsid w:val="00517EFD"/>
    <w:rsid w:val="00522C9F"/>
    <w:rsid w:val="005257C4"/>
    <w:rsid w:val="00527FDC"/>
    <w:rsid w:val="00531414"/>
    <w:rsid w:val="00533281"/>
    <w:rsid w:val="0053729B"/>
    <w:rsid w:val="00541D41"/>
    <w:rsid w:val="00542953"/>
    <w:rsid w:val="005442A1"/>
    <w:rsid w:val="00545093"/>
    <w:rsid w:val="00551F13"/>
    <w:rsid w:val="00552E15"/>
    <w:rsid w:val="0055372F"/>
    <w:rsid w:val="00554567"/>
    <w:rsid w:val="00560F97"/>
    <w:rsid w:val="005623D0"/>
    <w:rsid w:val="00563463"/>
    <w:rsid w:val="00565061"/>
    <w:rsid w:val="00570043"/>
    <w:rsid w:val="00571ECB"/>
    <w:rsid w:val="0057471A"/>
    <w:rsid w:val="005822BB"/>
    <w:rsid w:val="0058600C"/>
    <w:rsid w:val="00586F9A"/>
    <w:rsid w:val="0059135F"/>
    <w:rsid w:val="00592FB6"/>
    <w:rsid w:val="00595120"/>
    <w:rsid w:val="005A26C0"/>
    <w:rsid w:val="005A2877"/>
    <w:rsid w:val="005A33CB"/>
    <w:rsid w:val="005A3E76"/>
    <w:rsid w:val="005A4A08"/>
    <w:rsid w:val="005A4DEF"/>
    <w:rsid w:val="005B0EA1"/>
    <w:rsid w:val="005B1393"/>
    <w:rsid w:val="005B6740"/>
    <w:rsid w:val="005B783E"/>
    <w:rsid w:val="005B7FE2"/>
    <w:rsid w:val="005C01A8"/>
    <w:rsid w:val="005C14BC"/>
    <w:rsid w:val="005C1618"/>
    <w:rsid w:val="005C25A5"/>
    <w:rsid w:val="005C2D3E"/>
    <w:rsid w:val="005C2E88"/>
    <w:rsid w:val="005C46FB"/>
    <w:rsid w:val="005C4B9D"/>
    <w:rsid w:val="005C5046"/>
    <w:rsid w:val="005C5DB2"/>
    <w:rsid w:val="005C7339"/>
    <w:rsid w:val="005D05EF"/>
    <w:rsid w:val="005D0AB8"/>
    <w:rsid w:val="005D10A5"/>
    <w:rsid w:val="005D15B4"/>
    <w:rsid w:val="005D1F1E"/>
    <w:rsid w:val="005D349C"/>
    <w:rsid w:val="005D3E43"/>
    <w:rsid w:val="005D6DFA"/>
    <w:rsid w:val="005E1BD8"/>
    <w:rsid w:val="005E27E0"/>
    <w:rsid w:val="005E576E"/>
    <w:rsid w:val="005F0FA9"/>
    <w:rsid w:val="005F2761"/>
    <w:rsid w:val="005F46F5"/>
    <w:rsid w:val="005F4D39"/>
    <w:rsid w:val="005F520D"/>
    <w:rsid w:val="005F78E2"/>
    <w:rsid w:val="00600C2B"/>
    <w:rsid w:val="006026B5"/>
    <w:rsid w:val="00602D63"/>
    <w:rsid w:val="006053FD"/>
    <w:rsid w:val="00606548"/>
    <w:rsid w:val="00607B82"/>
    <w:rsid w:val="0061212C"/>
    <w:rsid w:val="006140BE"/>
    <w:rsid w:val="00615D8F"/>
    <w:rsid w:val="00616E2F"/>
    <w:rsid w:val="006223AC"/>
    <w:rsid w:val="00623440"/>
    <w:rsid w:val="006254D8"/>
    <w:rsid w:val="00633A22"/>
    <w:rsid w:val="006367AD"/>
    <w:rsid w:val="00645E2D"/>
    <w:rsid w:val="00646655"/>
    <w:rsid w:val="00646B5A"/>
    <w:rsid w:val="006507BA"/>
    <w:rsid w:val="00651214"/>
    <w:rsid w:val="00653E2A"/>
    <w:rsid w:val="006540EE"/>
    <w:rsid w:val="006545DC"/>
    <w:rsid w:val="00661946"/>
    <w:rsid w:val="00664983"/>
    <w:rsid w:val="00665668"/>
    <w:rsid w:val="00666C9D"/>
    <w:rsid w:val="0067251C"/>
    <w:rsid w:val="006727D7"/>
    <w:rsid w:val="006748BC"/>
    <w:rsid w:val="006777C2"/>
    <w:rsid w:val="00677A6F"/>
    <w:rsid w:val="0068000B"/>
    <w:rsid w:val="00686B72"/>
    <w:rsid w:val="006871A5"/>
    <w:rsid w:val="00687F69"/>
    <w:rsid w:val="00691B7A"/>
    <w:rsid w:val="00691BA3"/>
    <w:rsid w:val="006928F4"/>
    <w:rsid w:val="00693730"/>
    <w:rsid w:val="0069796B"/>
    <w:rsid w:val="006A2093"/>
    <w:rsid w:val="006A2A97"/>
    <w:rsid w:val="006A5D98"/>
    <w:rsid w:val="006A67E2"/>
    <w:rsid w:val="006A6E79"/>
    <w:rsid w:val="006B0EA5"/>
    <w:rsid w:val="006B38B9"/>
    <w:rsid w:val="006C04FE"/>
    <w:rsid w:val="006C4077"/>
    <w:rsid w:val="006C5191"/>
    <w:rsid w:val="006C71B6"/>
    <w:rsid w:val="006D01C5"/>
    <w:rsid w:val="006D0F68"/>
    <w:rsid w:val="006D211A"/>
    <w:rsid w:val="006D22FF"/>
    <w:rsid w:val="006D3B36"/>
    <w:rsid w:val="006D4070"/>
    <w:rsid w:val="006D79AB"/>
    <w:rsid w:val="006E0846"/>
    <w:rsid w:val="006E1891"/>
    <w:rsid w:val="006E2005"/>
    <w:rsid w:val="006E210F"/>
    <w:rsid w:val="006E218A"/>
    <w:rsid w:val="006E6134"/>
    <w:rsid w:val="006F0C6C"/>
    <w:rsid w:val="006F1812"/>
    <w:rsid w:val="006F1A23"/>
    <w:rsid w:val="006F2F10"/>
    <w:rsid w:val="006F38AD"/>
    <w:rsid w:val="006F6F5B"/>
    <w:rsid w:val="0070098F"/>
    <w:rsid w:val="007014D0"/>
    <w:rsid w:val="00702697"/>
    <w:rsid w:val="007026A1"/>
    <w:rsid w:val="007057BC"/>
    <w:rsid w:val="00706A02"/>
    <w:rsid w:val="007075CA"/>
    <w:rsid w:val="00714928"/>
    <w:rsid w:val="007161E6"/>
    <w:rsid w:val="00722A29"/>
    <w:rsid w:val="00723AA1"/>
    <w:rsid w:val="00724CB1"/>
    <w:rsid w:val="007257BE"/>
    <w:rsid w:val="007263F8"/>
    <w:rsid w:val="00727EBB"/>
    <w:rsid w:val="00730503"/>
    <w:rsid w:val="00730A7B"/>
    <w:rsid w:val="0073229F"/>
    <w:rsid w:val="007323C8"/>
    <w:rsid w:val="00735B64"/>
    <w:rsid w:val="00736CE2"/>
    <w:rsid w:val="00741985"/>
    <w:rsid w:val="0074202B"/>
    <w:rsid w:val="00742244"/>
    <w:rsid w:val="007423FC"/>
    <w:rsid w:val="007439D7"/>
    <w:rsid w:val="00743BDD"/>
    <w:rsid w:val="00745C61"/>
    <w:rsid w:val="0074781E"/>
    <w:rsid w:val="00747B69"/>
    <w:rsid w:val="00751D1C"/>
    <w:rsid w:val="0075266A"/>
    <w:rsid w:val="00754827"/>
    <w:rsid w:val="0075580E"/>
    <w:rsid w:val="00761D01"/>
    <w:rsid w:val="007637F5"/>
    <w:rsid w:val="00763C7B"/>
    <w:rsid w:val="0076660D"/>
    <w:rsid w:val="0076760F"/>
    <w:rsid w:val="00772004"/>
    <w:rsid w:val="00772E05"/>
    <w:rsid w:val="007766D3"/>
    <w:rsid w:val="00776BD8"/>
    <w:rsid w:val="00777C97"/>
    <w:rsid w:val="007800BF"/>
    <w:rsid w:val="007804BB"/>
    <w:rsid w:val="00780635"/>
    <w:rsid w:val="007829F1"/>
    <w:rsid w:val="00783514"/>
    <w:rsid w:val="00784585"/>
    <w:rsid w:val="007849DD"/>
    <w:rsid w:val="00786465"/>
    <w:rsid w:val="00786888"/>
    <w:rsid w:val="00787BE6"/>
    <w:rsid w:val="00787E89"/>
    <w:rsid w:val="00794DAD"/>
    <w:rsid w:val="00797E40"/>
    <w:rsid w:val="007A0E36"/>
    <w:rsid w:val="007A1E25"/>
    <w:rsid w:val="007A7B49"/>
    <w:rsid w:val="007B0398"/>
    <w:rsid w:val="007B68F0"/>
    <w:rsid w:val="007B6A9B"/>
    <w:rsid w:val="007B7905"/>
    <w:rsid w:val="007C0414"/>
    <w:rsid w:val="007C2422"/>
    <w:rsid w:val="007C64A9"/>
    <w:rsid w:val="007D1AEE"/>
    <w:rsid w:val="007D3669"/>
    <w:rsid w:val="007D486D"/>
    <w:rsid w:val="007D6295"/>
    <w:rsid w:val="007E17B2"/>
    <w:rsid w:val="007E3894"/>
    <w:rsid w:val="007E5021"/>
    <w:rsid w:val="007F02EF"/>
    <w:rsid w:val="007F0780"/>
    <w:rsid w:val="007F3063"/>
    <w:rsid w:val="007F3CF8"/>
    <w:rsid w:val="007F7920"/>
    <w:rsid w:val="00803FA0"/>
    <w:rsid w:val="008051EC"/>
    <w:rsid w:val="00805AEB"/>
    <w:rsid w:val="00806759"/>
    <w:rsid w:val="00807A8C"/>
    <w:rsid w:val="00810E52"/>
    <w:rsid w:val="00812B8F"/>
    <w:rsid w:val="00812F7D"/>
    <w:rsid w:val="008159CB"/>
    <w:rsid w:val="00816860"/>
    <w:rsid w:val="0082005C"/>
    <w:rsid w:val="008207B4"/>
    <w:rsid w:val="008208E7"/>
    <w:rsid w:val="00822686"/>
    <w:rsid w:val="00822CB4"/>
    <w:rsid w:val="00827524"/>
    <w:rsid w:val="008304EA"/>
    <w:rsid w:val="00832FA7"/>
    <w:rsid w:val="00833480"/>
    <w:rsid w:val="00834ACA"/>
    <w:rsid w:val="0083659D"/>
    <w:rsid w:val="00837A05"/>
    <w:rsid w:val="00837CB1"/>
    <w:rsid w:val="00844C20"/>
    <w:rsid w:val="008472D1"/>
    <w:rsid w:val="00853DCE"/>
    <w:rsid w:val="0085436C"/>
    <w:rsid w:val="00854963"/>
    <w:rsid w:val="008555B9"/>
    <w:rsid w:val="008556B1"/>
    <w:rsid w:val="00860347"/>
    <w:rsid w:val="0086665C"/>
    <w:rsid w:val="00873406"/>
    <w:rsid w:val="00874166"/>
    <w:rsid w:val="008813EE"/>
    <w:rsid w:val="008825A1"/>
    <w:rsid w:val="00885BB8"/>
    <w:rsid w:val="00890CEB"/>
    <w:rsid w:val="00891B85"/>
    <w:rsid w:val="00893FFB"/>
    <w:rsid w:val="008942AC"/>
    <w:rsid w:val="008A0D26"/>
    <w:rsid w:val="008A33A1"/>
    <w:rsid w:val="008A5050"/>
    <w:rsid w:val="008A7C0A"/>
    <w:rsid w:val="008B395C"/>
    <w:rsid w:val="008B48F7"/>
    <w:rsid w:val="008B5756"/>
    <w:rsid w:val="008B7BC7"/>
    <w:rsid w:val="008C0C3B"/>
    <w:rsid w:val="008C239B"/>
    <w:rsid w:val="008C50F1"/>
    <w:rsid w:val="008D126D"/>
    <w:rsid w:val="008D5324"/>
    <w:rsid w:val="008D7415"/>
    <w:rsid w:val="008E1B28"/>
    <w:rsid w:val="008E378F"/>
    <w:rsid w:val="008E4B92"/>
    <w:rsid w:val="008F2AFE"/>
    <w:rsid w:val="008F62E1"/>
    <w:rsid w:val="008F7CED"/>
    <w:rsid w:val="00900D97"/>
    <w:rsid w:val="0090258A"/>
    <w:rsid w:val="00903309"/>
    <w:rsid w:val="00903FB3"/>
    <w:rsid w:val="00904A0A"/>
    <w:rsid w:val="00904DE4"/>
    <w:rsid w:val="009069A7"/>
    <w:rsid w:val="00907476"/>
    <w:rsid w:val="00910D9D"/>
    <w:rsid w:val="00911317"/>
    <w:rsid w:val="00914DC3"/>
    <w:rsid w:val="00927E09"/>
    <w:rsid w:val="00930A5F"/>
    <w:rsid w:val="0093217D"/>
    <w:rsid w:val="00932466"/>
    <w:rsid w:val="00933C9A"/>
    <w:rsid w:val="00935326"/>
    <w:rsid w:val="00935B63"/>
    <w:rsid w:val="00936674"/>
    <w:rsid w:val="00942487"/>
    <w:rsid w:val="00942A14"/>
    <w:rsid w:val="009444BB"/>
    <w:rsid w:val="009446FC"/>
    <w:rsid w:val="00946457"/>
    <w:rsid w:val="00947E18"/>
    <w:rsid w:val="0095007A"/>
    <w:rsid w:val="0095065D"/>
    <w:rsid w:val="00951BC5"/>
    <w:rsid w:val="009612E1"/>
    <w:rsid w:val="0096197A"/>
    <w:rsid w:val="00971EC6"/>
    <w:rsid w:val="00972A4B"/>
    <w:rsid w:val="0097400A"/>
    <w:rsid w:val="00974B44"/>
    <w:rsid w:val="00975047"/>
    <w:rsid w:val="009759A5"/>
    <w:rsid w:val="00976518"/>
    <w:rsid w:val="009776AD"/>
    <w:rsid w:val="00980AFF"/>
    <w:rsid w:val="00985F9A"/>
    <w:rsid w:val="0099267B"/>
    <w:rsid w:val="00997983"/>
    <w:rsid w:val="009A3D9B"/>
    <w:rsid w:val="009A4421"/>
    <w:rsid w:val="009A64A0"/>
    <w:rsid w:val="009A6C0A"/>
    <w:rsid w:val="009B3A71"/>
    <w:rsid w:val="009B699F"/>
    <w:rsid w:val="009C0FA2"/>
    <w:rsid w:val="009C19CC"/>
    <w:rsid w:val="009C1C84"/>
    <w:rsid w:val="009C1D26"/>
    <w:rsid w:val="009C2DCC"/>
    <w:rsid w:val="009C3885"/>
    <w:rsid w:val="009C3F02"/>
    <w:rsid w:val="009C3FF6"/>
    <w:rsid w:val="009C7894"/>
    <w:rsid w:val="009D0F43"/>
    <w:rsid w:val="009D3054"/>
    <w:rsid w:val="009D35C4"/>
    <w:rsid w:val="009D5A53"/>
    <w:rsid w:val="009E0AE6"/>
    <w:rsid w:val="009E4816"/>
    <w:rsid w:val="009E52EA"/>
    <w:rsid w:val="009E66BF"/>
    <w:rsid w:val="009E76B0"/>
    <w:rsid w:val="009F0593"/>
    <w:rsid w:val="009F16E7"/>
    <w:rsid w:val="009F56CE"/>
    <w:rsid w:val="009F7279"/>
    <w:rsid w:val="00A057E5"/>
    <w:rsid w:val="00A113BB"/>
    <w:rsid w:val="00A11A9A"/>
    <w:rsid w:val="00A11B70"/>
    <w:rsid w:val="00A13100"/>
    <w:rsid w:val="00A1342F"/>
    <w:rsid w:val="00A1400D"/>
    <w:rsid w:val="00A14D2B"/>
    <w:rsid w:val="00A24889"/>
    <w:rsid w:val="00A2503E"/>
    <w:rsid w:val="00A26F4B"/>
    <w:rsid w:val="00A34623"/>
    <w:rsid w:val="00A3536C"/>
    <w:rsid w:val="00A375E2"/>
    <w:rsid w:val="00A44D5D"/>
    <w:rsid w:val="00A458B6"/>
    <w:rsid w:val="00A4659B"/>
    <w:rsid w:val="00A51B81"/>
    <w:rsid w:val="00A51F30"/>
    <w:rsid w:val="00A52990"/>
    <w:rsid w:val="00A541B8"/>
    <w:rsid w:val="00A54A53"/>
    <w:rsid w:val="00A570B6"/>
    <w:rsid w:val="00A60566"/>
    <w:rsid w:val="00A61304"/>
    <w:rsid w:val="00A62307"/>
    <w:rsid w:val="00A62DF7"/>
    <w:rsid w:val="00A64707"/>
    <w:rsid w:val="00A70024"/>
    <w:rsid w:val="00A718D6"/>
    <w:rsid w:val="00A730B7"/>
    <w:rsid w:val="00A73ACC"/>
    <w:rsid w:val="00A758AA"/>
    <w:rsid w:val="00A76E1F"/>
    <w:rsid w:val="00A8096B"/>
    <w:rsid w:val="00A8163A"/>
    <w:rsid w:val="00A86EFB"/>
    <w:rsid w:val="00A9161A"/>
    <w:rsid w:val="00A97346"/>
    <w:rsid w:val="00AA0BCF"/>
    <w:rsid w:val="00AA47E0"/>
    <w:rsid w:val="00AA4C67"/>
    <w:rsid w:val="00AA63F9"/>
    <w:rsid w:val="00AB0222"/>
    <w:rsid w:val="00AB08C2"/>
    <w:rsid w:val="00AB24C5"/>
    <w:rsid w:val="00AB24FF"/>
    <w:rsid w:val="00AB2B39"/>
    <w:rsid w:val="00AB4291"/>
    <w:rsid w:val="00AB5C30"/>
    <w:rsid w:val="00AB7EAA"/>
    <w:rsid w:val="00AC20B9"/>
    <w:rsid w:val="00AC2FA0"/>
    <w:rsid w:val="00AC33DF"/>
    <w:rsid w:val="00AC5119"/>
    <w:rsid w:val="00AD2DB5"/>
    <w:rsid w:val="00AD2F64"/>
    <w:rsid w:val="00AD3756"/>
    <w:rsid w:val="00AD4068"/>
    <w:rsid w:val="00AD602F"/>
    <w:rsid w:val="00AD6F98"/>
    <w:rsid w:val="00AE0553"/>
    <w:rsid w:val="00AE1279"/>
    <w:rsid w:val="00AE25EF"/>
    <w:rsid w:val="00AE2CBB"/>
    <w:rsid w:val="00AE300C"/>
    <w:rsid w:val="00AE393F"/>
    <w:rsid w:val="00AE5F15"/>
    <w:rsid w:val="00AE7B39"/>
    <w:rsid w:val="00AF4614"/>
    <w:rsid w:val="00AF7EBE"/>
    <w:rsid w:val="00B01F3D"/>
    <w:rsid w:val="00B0253E"/>
    <w:rsid w:val="00B0264F"/>
    <w:rsid w:val="00B03AD9"/>
    <w:rsid w:val="00B0606C"/>
    <w:rsid w:val="00B06896"/>
    <w:rsid w:val="00B06A61"/>
    <w:rsid w:val="00B10172"/>
    <w:rsid w:val="00B11D55"/>
    <w:rsid w:val="00B169B7"/>
    <w:rsid w:val="00B171A7"/>
    <w:rsid w:val="00B246D5"/>
    <w:rsid w:val="00B26EED"/>
    <w:rsid w:val="00B349B9"/>
    <w:rsid w:val="00B35EE8"/>
    <w:rsid w:val="00B364EA"/>
    <w:rsid w:val="00B37135"/>
    <w:rsid w:val="00B4027B"/>
    <w:rsid w:val="00B40AD1"/>
    <w:rsid w:val="00B424AF"/>
    <w:rsid w:val="00B4508C"/>
    <w:rsid w:val="00B51552"/>
    <w:rsid w:val="00B52233"/>
    <w:rsid w:val="00B53176"/>
    <w:rsid w:val="00B574E8"/>
    <w:rsid w:val="00B6245F"/>
    <w:rsid w:val="00B7006A"/>
    <w:rsid w:val="00B71AB8"/>
    <w:rsid w:val="00B73870"/>
    <w:rsid w:val="00B738C1"/>
    <w:rsid w:val="00B80267"/>
    <w:rsid w:val="00B80B72"/>
    <w:rsid w:val="00B8104E"/>
    <w:rsid w:val="00B841C4"/>
    <w:rsid w:val="00B87A4B"/>
    <w:rsid w:val="00B90F2B"/>
    <w:rsid w:val="00B91586"/>
    <w:rsid w:val="00B91E10"/>
    <w:rsid w:val="00B9269A"/>
    <w:rsid w:val="00B9299E"/>
    <w:rsid w:val="00B92F11"/>
    <w:rsid w:val="00BA26C7"/>
    <w:rsid w:val="00BA32CC"/>
    <w:rsid w:val="00BA3D6D"/>
    <w:rsid w:val="00BA5AB6"/>
    <w:rsid w:val="00BA5C8E"/>
    <w:rsid w:val="00BB12C7"/>
    <w:rsid w:val="00BB228D"/>
    <w:rsid w:val="00BB2E46"/>
    <w:rsid w:val="00BB494E"/>
    <w:rsid w:val="00BB58CF"/>
    <w:rsid w:val="00BC0547"/>
    <w:rsid w:val="00BC7636"/>
    <w:rsid w:val="00BD53DA"/>
    <w:rsid w:val="00BD551D"/>
    <w:rsid w:val="00BD57CE"/>
    <w:rsid w:val="00BD5BB6"/>
    <w:rsid w:val="00BD7AE0"/>
    <w:rsid w:val="00BE3261"/>
    <w:rsid w:val="00BE3F80"/>
    <w:rsid w:val="00BE487B"/>
    <w:rsid w:val="00BE59DF"/>
    <w:rsid w:val="00BE7123"/>
    <w:rsid w:val="00BF02B2"/>
    <w:rsid w:val="00BF3515"/>
    <w:rsid w:val="00BF418B"/>
    <w:rsid w:val="00BF5268"/>
    <w:rsid w:val="00BF56CB"/>
    <w:rsid w:val="00BF6AED"/>
    <w:rsid w:val="00BF76D9"/>
    <w:rsid w:val="00C01D81"/>
    <w:rsid w:val="00C02F15"/>
    <w:rsid w:val="00C06AD9"/>
    <w:rsid w:val="00C07174"/>
    <w:rsid w:val="00C115D0"/>
    <w:rsid w:val="00C13AC5"/>
    <w:rsid w:val="00C166E9"/>
    <w:rsid w:val="00C20FD8"/>
    <w:rsid w:val="00C2279F"/>
    <w:rsid w:val="00C22948"/>
    <w:rsid w:val="00C251F0"/>
    <w:rsid w:val="00C311AC"/>
    <w:rsid w:val="00C33286"/>
    <w:rsid w:val="00C34777"/>
    <w:rsid w:val="00C37089"/>
    <w:rsid w:val="00C37EB4"/>
    <w:rsid w:val="00C42111"/>
    <w:rsid w:val="00C43987"/>
    <w:rsid w:val="00C441E0"/>
    <w:rsid w:val="00C468A4"/>
    <w:rsid w:val="00C5099C"/>
    <w:rsid w:val="00C51A92"/>
    <w:rsid w:val="00C5294C"/>
    <w:rsid w:val="00C53140"/>
    <w:rsid w:val="00C56DEE"/>
    <w:rsid w:val="00C60854"/>
    <w:rsid w:val="00C63589"/>
    <w:rsid w:val="00C64D1F"/>
    <w:rsid w:val="00C661D4"/>
    <w:rsid w:val="00C66D64"/>
    <w:rsid w:val="00C80F90"/>
    <w:rsid w:val="00C826CF"/>
    <w:rsid w:val="00C834CD"/>
    <w:rsid w:val="00C847F3"/>
    <w:rsid w:val="00C8562B"/>
    <w:rsid w:val="00C919F5"/>
    <w:rsid w:val="00C933A8"/>
    <w:rsid w:val="00C96A00"/>
    <w:rsid w:val="00C974F7"/>
    <w:rsid w:val="00CA0156"/>
    <w:rsid w:val="00CA20DA"/>
    <w:rsid w:val="00CA2F3D"/>
    <w:rsid w:val="00CA50A0"/>
    <w:rsid w:val="00CA54E0"/>
    <w:rsid w:val="00CA7312"/>
    <w:rsid w:val="00CB0422"/>
    <w:rsid w:val="00CB171A"/>
    <w:rsid w:val="00CB3BD0"/>
    <w:rsid w:val="00CB4A9F"/>
    <w:rsid w:val="00CB5501"/>
    <w:rsid w:val="00CB6CA9"/>
    <w:rsid w:val="00CB7FB4"/>
    <w:rsid w:val="00CC0C72"/>
    <w:rsid w:val="00CC14B5"/>
    <w:rsid w:val="00CC228A"/>
    <w:rsid w:val="00CC4124"/>
    <w:rsid w:val="00CC489F"/>
    <w:rsid w:val="00CC4F89"/>
    <w:rsid w:val="00CC7556"/>
    <w:rsid w:val="00CC7F77"/>
    <w:rsid w:val="00CD09C7"/>
    <w:rsid w:val="00CD1C0B"/>
    <w:rsid w:val="00CD3788"/>
    <w:rsid w:val="00CD3D3D"/>
    <w:rsid w:val="00CD42AE"/>
    <w:rsid w:val="00CD47AD"/>
    <w:rsid w:val="00CD6119"/>
    <w:rsid w:val="00CD62E1"/>
    <w:rsid w:val="00CD698D"/>
    <w:rsid w:val="00CD6B82"/>
    <w:rsid w:val="00CE37D4"/>
    <w:rsid w:val="00CF1775"/>
    <w:rsid w:val="00CF3996"/>
    <w:rsid w:val="00CF77EA"/>
    <w:rsid w:val="00D025C1"/>
    <w:rsid w:val="00D04825"/>
    <w:rsid w:val="00D05E77"/>
    <w:rsid w:val="00D12AD3"/>
    <w:rsid w:val="00D13BC1"/>
    <w:rsid w:val="00D1689D"/>
    <w:rsid w:val="00D22855"/>
    <w:rsid w:val="00D245F6"/>
    <w:rsid w:val="00D2565F"/>
    <w:rsid w:val="00D25FCB"/>
    <w:rsid w:val="00D26BEE"/>
    <w:rsid w:val="00D3051B"/>
    <w:rsid w:val="00D30FB6"/>
    <w:rsid w:val="00D31E85"/>
    <w:rsid w:val="00D332AD"/>
    <w:rsid w:val="00D35FB2"/>
    <w:rsid w:val="00D4106E"/>
    <w:rsid w:val="00D41A32"/>
    <w:rsid w:val="00D4210D"/>
    <w:rsid w:val="00D44190"/>
    <w:rsid w:val="00D44952"/>
    <w:rsid w:val="00D4657F"/>
    <w:rsid w:val="00D53826"/>
    <w:rsid w:val="00D553D6"/>
    <w:rsid w:val="00D57ED0"/>
    <w:rsid w:val="00D609A8"/>
    <w:rsid w:val="00D616CF"/>
    <w:rsid w:val="00D67084"/>
    <w:rsid w:val="00D67E39"/>
    <w:rsid w:val="00D67EE6"/>
    <w:rsid w:val="00D714C6"/>
    <w:rsid w:val="00D725CB"/>
    <w:rsid w:val="00D73180"/>
    <w:rsid w:val="00D74BA5"/>
    <w:rsid w:val="00D76218"/>
    <w:rsid w:val="00D766E6"/>
    <w:rsid w:val="00D76F02"/>
    <w:rsid w:val="00D77EFE"/>
    <w:rsid w:val="00D80B89"/>
    <w:rsid w:val="00D878E6"/>
    <w:rsid w:val="00D931E2"/>
    <w:rsid w:val="00D94E7A"/>
    <w:rsid w:val="00DA1DFA"/>
    <w:rsid w:val="00DA3111"/>
    <w:rsid w:val="00DA3C43"/>
    <w:rsid w:val="00DB0A97"/>
    <w:rsid w:val="00DB38C4"/>
    <w:rsid w:val="00DB4DBD"/>
    <w:rsid w:val="00DC0037"/>
    <w:rsid w:val="00DC1674"/>
    <w:rsid w:val="00DC3273"/>
    <w:rsid w:val="00DC418B"/>
    <w:rsid w:val="00DD4CA1"/>
    <w:rsid w:val="00DD7AC5"/>
    <w:rsid w:val="00DE0414"/>
    <w:rsid w:val="00DE1B2A"/>
    <w:rsid w:val="00DE1C30"/>
    <w:rsid w:val="00DE3194"/>
    <w:rsid w:val="00DE3DB5"/>
    <w:rsid w:val="00DE4683"/>
    <w:rsid w:val="00DE5DF0"/>
    <w:rsid w:val="00DE61A8"/>
    <w:rsid w:val="00DF1E3C"/>
    <w:rsid w:val="00DF24EF"/>
    <w:rsid w:val="00DF3157"/>
    <w:rsid w:val="00DF33BB"/>
    <w:rsid w:val="00DF5A18"/>
    <w:rsid w:val="00DF74F8"/>
    <w:rsid w:val="00DF75E9"/>
    <w:rsid w:val="00DF78BA"/>
    <w:rsid w:val="00DF7C3D"/>
    <w:rsid w:val="00E027B0"/>
    <w:rsid w:val="00E03767"/>
    <w:rsid w:val="00E04B1F"/>
    <w:rsid w:val="00E065F3"/>
    <w:rsid w:val="00E1132C"/>
    <w:rsid w:val="00E11CD5"/>
    <w:rsid w:val="00E13478"/>
    <w:rsid w:val="00E13511"/>
    <w:rsid w:val="00E14691"/>
    <w:rsid w:val="00E20DB5"/>
    <w:rsid w:val="00E23785"/>
    <w:rsid w:val="00E2597C"/>
    <w:rsid w:val="00E25FC6"/>
    <w:rsid w:val="00E2643E"/>
    <w:rsid w:val="00E26DFD"/>
    <w:rsid w:val="00E30412"/>
    <w:rsid w:val="00E34A87"/>
    <w:rsid w:val="00E35D4F"/>
    <w:rsid w:val="00E37F09"/>
    <w:rsid w:val="00E42738"/>
    <w:rsid w:val="00E42D04"/>
    <w:rsid w:val="00E42FF0"/>
    <w:rsid w:val="00E43FA1"/>
    <w:rsid w:val="00E457C2"/>
    <w:rsid w:val="00E47FE5"/>
    <w:rsid w:val="00E47FFE"/>
    <w:rsid w:val="00E52786"/>
    <w:rsid w:val="00E52964"/>
    <w:rsid w:val="00E53FF4"/>
    <w:rsid w:val="00E54F2F"/>
    <w:rsid w:val="00E5653F"/>
    <w:rsid w:val="00E5691A"/>
    <w:rsid w:val="00E57AA3"/>
    <w:rsid w:val="00E60841"/>
    <w:rsid w:val="00E60A74"/>
    <w:rsid w:val="00E63E8C"/>
    <w:rsid w:val="00E64812"/>
    <w:rsid w:val="00E66C31"/>
    <w:rsid w:val="00E67215"/>
    <w:rsid w:val="00E71895"/>
    <w:rsid w:val="00E72349"/>
    <w:rsid w:val="00E72540"/>
    <w:rsid w:val="00E74951"/>
    <w:rsid w:val="00E749B2"/>
    <w:rsid w:val="00E8029F"/>
    <w:rsid w:val="00E83C39"/>
    <w:rsid w:val="00E844D6"/>
    <w:rsid w:val="00E85995"/>
    <w:rsid w:val="00E86DD4"/>
    <w:rsid w:val="00E87314"/>
    <w:rsid w:val="00E97155"/>
    <w:rsid w:val="00E977E9"/>
    <w:rsid w:val="00E97C1F"/>
    <w:rsid w:val="00EA1162"/>
    <w:rsid w:val="00EA126F"/>
    <w:rsid w:val="00EA1B50"/>
    <w:rsid w:val="00EA5462"/>
    <w:rsid w:val="00EA5C3F"/>
    <w:rsid w:val="00EB0288"/>
    <w:rsid w:val="00EB316E"/>
    <w:rsid w:val="00EB55BF"/>
    <w:rsid w:val="00EB5D07"/>
    <w:rsid w:val="00EB5EF5"/>
    <w:rsid w:val="00EB7B74"/>
    <w:rsid w:val="00EC0588"/>
    <w:rsid w:val="00EC210A"/>
    <w:rsid w:val="00EC2E89"/>
    <w:rsid w:val="00EC6275"/>
    <w:rsid w:val="00ED2B43"/>
    <w:rsid w:val="00ED40F3"/>
    <w:rsid w:val="00ED43BE"/>
    <w:rsid w:val="00EE2BEA"/>
    <w:rsid w:val="00EE33AA"/>
    <w:rsid w:val="00EE3FA8"/>
    <w:rsid w:val="00EE71FA"/>
    <w:rsid w:val="00EF1EF5"/>
    <w:rsid w:val="00EF2A61"/>
    <w:rsid w:val="00EF30BF"/>
    <w:rsid w:val="00EF474D"/>
    <w:rsid w:val="00EF5F69"/>
    <w:rsid w:val="00EF7C9F"/>
    <w:rsid w:val="00F004FE"/>
    <w:rsid w:val="00F01CA0"/>
    <w:rsid w:val="00F02471"/>
    <w:rsid w:val="00F02636"/>
    <w:rsid w:val="00F03A91"/>
    <w:rsid w:val="00F04B84"/>
    <w:rsid w:val="00F11F1B"/>
    <w:rsid w:val="00F11FBF"/>
    <w:rsid w:val="00F20863"/>
    <w:rsid w:val="00F24912"/>
    <w:rsid w:val="00F25B32"/>
    <w:rsid w:val="00F265B8"/>
    <w:rsid w:val="00F26855"/>
    <w:rsid w:val="00F26887"/>
    <w:rsid w:val="00F269DC"/>
    <w:rsid w:val="00F26A62"/>
    <w:rsid w:val="00F26E9A"/>
    <w:rsid w:val="00F27708"/>
    <w:rsid w:val="00F30392"/>
    <w:rsid w:val="00F333F9"/>
    <w:rsid w:val="00F35232"/>
    <w:rsid w:val="00F35D01"/>
    <w:rsid w:val="00F36FBC"/>
    <w:rsid w:val="00F4080E"/>
    <w:rsid w:val="00F44BA1"/>
    <w:rsid w:val="00F466D2"/>
    <w:rsid w:val="00F47210"/>
    <w:rsid w:val="00F51C51"/>
    <w:rsid w:val="00F54274"/>
    <w:rsid w:val="00F5519A"/>
    <w:rsid w:val="00F57ABF"/>
    <w:rsid w:val="00F60632"/>
    <w:rsid w:val="00F63E51"/>
    <w:rsid w:val="00F6401D"/>
    <w:rsid w:val="00F641FF"/>
    <w:rsid w:val="00F706E5"/>
    <w:rsid w:val="00F7112B"/>
    <w:rsid w:val="00F7123F"/>
    <w:rsid w:val="00F7167C"/>
    <w:rsid w:val="00F726AE"/>
    <w:rsid w:val="00F7312C"/>
    <w:rsid w:val="00F7399E"/>
    <w:rsid w:val="00F74033"/>
    <w:rsid w:val="00F74463"/>
    <w:rsid w:val="00F82207"/>
    <w:rsid w:val="00F85D31"/>
    <w:rsid w:val="00F8645B"/>
    <w:rsid w:val="00F90591"/>
    <w:rsid w:val="00F907E0"/>
    <w:rsid w:val="00F909AE"/>
    <w:rsid w:val="00F91A55"/>
    <w:rsid w:val="00F944C6"/>
    <w:rsid w:val="00FA09DF"/>
    <w:rsid w:val="00FA1A8D"/>
    <w:rsid w:val="00FA2292"/>
    <w:rsid w:val="00FA4E88"/>
    <w:rsid w:val="00FA5757"/>
    <w:rsid w:val="00FA5823"/>
    <w:rsid w:val="00FA619D"/>
    <w:rsid w:val="00FA7144"/>
    <w:rsid w:val="00FA7292"/>
    <w:rsid w:val="00FB03AE"/>
    <w:rsid w:val="00FB208B"/>
    <w:rsid w:val="00FB3159"/>
    <w:rsid w:val="00FB3392"/>
    <w:rsid w:val="00FB35B2"/>
    <w:rsid w:val="00FB464E"/>
    <w:rsid w:val="00FB652E"/>
    <w:rsid w:val="00FB664D"/>
    <w:rsid w:val="00FB6EA2"/>
    <w:rsid w:val="00FC0A8B"/>
    <w:rsid w:val="00FC2421"/>
    <w:rsid w:val="00FC4481"/>
    <w:rsid w:val="00FD0DF1"/>
    <w:rsid w:val="00FD19AA"/>
    <w:rsid w:val="00FD2E9A"/>
    <w:rsid w:val="00FD483A"/>
    <w:rsid w:val="00FD6689"/>
    <w:rsid w:val="00FD6FBE"/>
    <w:rsid w:val="00FE6C58"/>
    <w:rsid w:val="00FF0D94"/>
    <w:rsid w:val="00FF1767"/>
    <w:rsid w:val="00FF1F58"/>
    <w:rsid w:val="00FF4C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963"/>
    </o:shapedefaults>
    <o:shapelayout v:ext="edit">
      <o:idmap v:ext="edit" data="1"/>
    </o:shapelayout>
  </w:shapeDefaults>
  <w:decimalSymbol w:val="."/>
  <w:listSeparator w:val=","/>
  <w14:docId w14:val="4737F351"/>
  <w15:chartTrackingRefBased/>
  <w15:docId w15:val="{0E5E1B8A-DC43-45C1-9E84-931573235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7E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7E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7E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7E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7E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7E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7E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7E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7E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7E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7E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7E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7E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7E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7E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7E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7E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7E39"/>
    <w:rPr>
      <w:rFonts w:eastAsiaTheme="majorEastAsia" w:cstheme="majorBidi"/>
      <w:color w:val="272727" w:themeColor="text1" w:themeTint="D8"/>
    </w:rPr>
  </w:style>
  <w:style w:type="paragraph" w:styleId="Title">
    <w:name w:val="Title"/>
    <w:basedOn w:val="Normal"/>
    <w:next w:val="Normal"/>
    <w:link w:val="TitleChar"/>
    <w:uiPriority w:val="10"/>
    <w:qFormat/>
    <w:rsid w:val="00D67E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7E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7E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7E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7E39"/>
    <w:pPr>
      <w:spacing w:before="160"/>
      <w:jc w:val="center"/>
    </w:pPr>
    <w:rPr>
      <w:i/>
      <w:iCs/>
      <w:color w:val="404040" w:themeColor="text1" w:themeTint="BF"/>
    </w:rPr>
  </w:style>
  <w:style w:type="character" w:customStyle="1" w:styleId="QuoteChar">
    <w:name w:val="Quote Char"/>
    <w:basedOn w:val="DefaultParagraphFont"/>
    <w:link w:val="Quote"/>
    <w:uiPriority w:val="29"/>
    <w:rsid w:val="00D67E39"/>
    <w:rPr>
      <w:i/>
      <w:iCs/>
      <w:color w:val="404040" w:themeColor="text1" w:themeTint="BF"/>
    </w:rPr>
  </w:style>
  <w:style w:type="paragraph" w:styleId="ListParagraph">
    <w:name w:val="List Paragraph"/>
    <w:basedOn w:val="Normal"/>
    <w:uiPriority w:val="34"/>
    <w:qFormat/>
    <w:rsid w:val="00D67E39"/>
    <w:pPr>
      <w:ind w:left="720"/>
      <w:contextualSpacing/>
    </w:pPr>
  </w:style>
  <w:style w:type="character" w:styleId="IntenseEmphasis">
    <w:name w:val="Intense Emphasis"/>
    <w:basedOn w:val="DefaultParagraphFont"/>
    <w:uiPriority w:val="21"/>
    <w:qFormat/>
    <w:rsid w:val="00D67E39"/>
    <w:rPr>
      <w:i/>
      <w:iCs/>
      <w:color w:val="0F4761" w:themeColor="accent1" w:themeShade="BF"/>
    </w:rPr>
  </w:style>
  <w:style w:type="paragraph" w:styleId="IntenseQuote">
    <w:name w:val="Intense Quote"/>
    <w:basedOn w:val="Normal"/>
    <w:next w:val="Normal"/>
    <w:link w:val="IntenseQuoteChar"/>
    <w:uiPriority w:val="30"/>
    <w:qFormat/>
    <w:rsid w:val="00D67E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7E39"/>
    <w:rPr>
      <w:i/>
      <w:iCs/>
      <w:color w:val="0F4761" w:themeColor="accent1" w:themeShade="BF"/>
    </w:rPr>
  </w:style>
  <w:style w:type="character" w:styleId="IntenseReference">
    <w:name w:val="Intense Reference"/>
    <w:basedOn w:val="DefaultParagraphFont"/>
    <w:uiPriority w:val="32"/>
    <w:qFormat/>
    <w:rsid w:val="00D67E39"/>
    <w:rPr>
      <w:b/>
      <w:bCs/>
      <w:smallCaps/>
      <w:color w:val="0F4761" w:themeColor="accent1" w:themeShade="BF"/>
      <w:spacing w:val="5"/>
    </w:rPr>
  </w:style>
  <w:style w:type="table" w:styleId="TableGrid">
    <w:name w:val="Table Grid"/>
    <w:basedOn w:val="TableNormal"/>
    <w:uiPriority w:val="39"/>
    <w:rsid w:val="00045B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9C3FF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C3FF6"/>
    <w:rPr>
      <w:sz w:val="20"/>
      <w:szCs w:val="20"/>
    </w:rPr>
  </w:style>
  <w:style w:type="character" w:styleId="FootnoteReference">
    <w:name w:val="footnote reference"/>
    <w:basedOn w:val="DefaultParagraphFont"/>
    <w:uiPriority w:val="99"/>
    <w:semiHidden/>
    <w:unhideWhenUsed/>
    <w:rsid w:val="009C3FF6"/>
    <w:rPr>
      <w:vertAlign w:val="superscript"/>
    </w:rPr>
  </w:style>
  <w:style w:type="paragraph" w:styleId="Caption">
    <w:name w:val="caption"/>
    <w:basedOn w:val="Normal"/>
    <w:next w:val="Normal"/>
    <w:uiPriority w:val="35"/>
    <w:unhideWhenUsed/>
    <w:qFormat/>
    <w:rsid w:val="007F02EF"/>
    <w:pPr>
      <w:spacing w:after="200" w:line="240" w:lineRule="auto"/>
    </w:pPr>
    <w:rPr>
      <w:i/>
      <w:iCs/>
      <w:color w:val="0E2841" w:themeColor="text2"/>
      <w:sz w:val="18"/>
      <w:szCs w:val="18"/>
    </w:rPr>
  </w:style>
  <w:style w:type="paragraph" w:styleId="Header">
    <w:name w:val="header"/>
    <w:basedOn w:val="Normal"/>
    <w:link w:val="HeaderChar"/>
    <w:uiPriority w:val="99"/>
    <w:unhideWhenUsed/>
    <w:rsid w:val="00101D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1DF3"/>
  </w:style>
  <w:style w:type="paragraph" w:styleId="Footer">
    <w:name w:val="footer"/>
    <w:basedOn w:val="Normal"/>
    <w:link w:val="FooterChar"/>
    <w:uiPriority w:val="99"/>
    <w:unhideWhenUsed/>
    <w:rsid w:val="00101D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1D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styles" Target="styles.xml"/><Relationship Id="rId21" Type="http://schemas.microsoft.com/office/2007/relationships/hdphoto" Target="media/hdphoto4.wdp"/><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numbering" Target="numbering.xml"/><Relationship Id="rId16" Type="http://schemas.microsoft.com/office/2007/relationships/hdphoto" Target="media/hdphoto3.wdp"/><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image" Target="media/image6.png"/><Relationship Id="rId23" Type="http://schemas.microsoft.com/office/2007/relationships/hdphoto" Target="media/hdphoto5.wdp"/><Relationship Id="rId10" Type="http://schemas.openxmlformats.org/officeDocument/2006/relationships/image" Target="media/image2.png"/><Relationship Id="rId19" Type="http://schemas.openxmlformats.org/officeDocument/2006/relationships/image" Target="media/image9.png"/><Relationship Id="rId4" Type="http://schemas.openxmlformats.org/officeDocument/2006/relationships/settings" Target="settings.xml"/><Relationship Id="rId9" Type="http://schemas.microsoft.com/office/2007/relationships/hdphoto" Target="media/hdphoto1.wdp"/><Relationship Id="rId14" Type="http://schemas.microsoft.com/office/2007/relationships/hdphoto" Target="media/hdphoto2.wdp"/><Relationship Id="rId22"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C8179E-A066-4D48-A884-ED92F327DD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12246</TotalTime>
  <Pages>11</Pages>
  <Words>2043</Words>
  <Characters>11648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Emmett Leitch (2305899)</dc:creator>
  <cp:keywords/>
  <dc:description/>
  <cp:lastModifiedBy>Emmett Leitch (2305899)</cp:lastModifiedBy>
  <cp:revision>11</cp:revision>
  <dcterms:created xsi:type="dcterms:W3CDTF">2025-04-15T23:14:00Z</dcterms:created>
  <dcterms:modified xsi:type="dcterms:W3CDTF">2025-05-18T22:53:00Z</dcterms:modified>
</cp:coreProperties>
</file>