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4A9331" w14:textId="77777777" w:rsidR="00B13A69" w:rsidRDefault="00B13A69">
      <w:pPr>
        <w:jc w:val="both"/>
        <w:rPr>
          <w:rFonts w:ascii="Arial" w:hAnsi="Arial" w:cs="Arial"/>
          <w:b/>
          <w:sz w:val="24"/>
          <w:szCs w:val="24"/>
        </w:rPr>
      </w:pPr>
    </w:p>
    <w:p w14:paraId="044521D3" w14:textId="4DF7FC13" w:rsidR="00B13A69" w:rsidRPr="002548B2" w:rsidRDefault="000F2F88" w:rsidP="002548B2">
      <w:pPr>
        <w:pStyle w:val="Title"/>
        <w:rPr>
          <w:b/>
          <w:bCs/>
          <w:sz w:val="48"/>
          <w:szCs w:val="48"/>
        </w:rPr>
      </w:pPr>
      <w:r>
        <w:rPr>
          <w:b/>
          <w:bCs/>
          <w:sz w:val="48"/>
          <w:szCs w:val="48"/>
        </w:rPr>
        <w:t>A Critical Comparison of Two Secondary Sources</w:t>
      </w:r>
    </w:p>
    <w:p w14:paraId="6B2F550C" w14:textId="77777777" w:rsidR="00B13A69" w:rsidRDefault="000F2F88">
      <w:pPr>
        <w:pStyle w:val="Heading1"/>
        <w:rPr>
          <w:rFonts w:ascii="Calibri Light" w:hAnsi="Calibri Light"/>
          <w:sz w:val="40"/>
          <w:szCs w:val="40"/>
        </w:rPr>
      </w:pPr>
      <w:r>
        <w:rPr>
          <w:rFonts w:ascii="Calibri Light" w:hAnsi="Calibri Light"/>
          <w:sz w:val="40"/>
          <w:szCs w:val="40"/>
        </w:rPr>
        <w:t>Introduction</w:t>
      </w:r>
    </w:p>
    <w:p w14:paraId="11DE8C72" w14:textId="77777777" w:rsidR="00B13A69" w:rsidRDefault="000F2F88">
      <w:pPr>
        <w:spacing w:after="160"/>
      </w:pPr>
      <w:r>
        <w:rPr>
          <w:rFonts w:ascii="Arial" w:hAnsi="Arial" w:cs="Arial"/>
          <w:bCs/>
          <w:sz w:val="24"/>
          <w:szCs w:val="24"/>
        </w:rPr>
        <w:t>This essay critically compares and contrasts two papers, ‘A Very Private Belief: Reincarnation in Contemporary Britain’ by Walter and Waterhouse</w:t>
      </w:r>
      <w:r>
        <w:rPr>
          <w:rStyle w:val="FootnoteReference"/>
          <w:rFonts w:ascii="Arial" w:hAnsi="Arial" w:cs="Arial"/>
          <w:bCs/>
          <w:sz w:val="24"/>
          <w:szCs w:val="24"/>
        </w:rPr>
        <w:footnoteReference w:id="1"/>
      </w:r>
      <w:r>
        <w:rPr>
          <w:rFonts w:ascii="Arial" w:hAnsi="Arial" w:cs="Arial"/>
          <w:bCs/>
          <w:sz w:val="24"/>
          <w:szCs w:val="24"/>
        </w:rPr>
        <w:t xml:space="preserve"> and ‘Inconsistency of Belief Among Roman Catholic Girls: Concerning Religion, Astrology and Reincarnation’ by T.L. Brink</w:t>
      </w:r>
      <w:r>
        <w:rPr>
          <w:rStyle w:val="FootnoteReference"/>
          <w:rFonts w:ascii="Arial" w:hAnsi="Arial" w:cs="Arial"/>
          <w:bCs/>
          <w:sz w:val="24"/>
          <w:szCs w:val="24"/>
        </w:rPr>
        <w:footnoteReference w:id="2"/>
      </w:r>
      <w:r>
        <w:rPr>
          <w:rFonts w:ascii="Arial" w:hAnsi="Arial" w:cs="Arial"/>
          <w:bCs/>
          <w:sz w:val="24"/>
          <w:szCs w:val="24"/>
        </w:rPr>
        <w:t xml:space="preserve"> and is written within the Researching Contemporary Cosmologies module whose aim is to provide a foundation in qualitative research methods for the students of the Cultural Astronomy and Astrology (MA).</w:t>
      </w:r>
    </w:p>
    <w:p w14:paraId="21BEB839" w14:textId="77777777" w:rsidR="00B13A69" w:rsidRDefault="000F2F88">
      <w:pPr>
        <w:spacing w:after="160"/>
      </w:pPr>
      <w:r>
        <w:rPr>
          <w:rFonts w:ascii="Arial" w:hAnsi="Arial" w:cs="Arial"/>
          <w:bCs/>
          <w:sz w:val="24"/>
          <w:szCs w:val="24"/>
        </w:rPr>
        <w:t>The aims of the essay are to understand the methodological problems in the research of belief and investigate the researchers’ relationship to their field of study. It will analyse their use of the literature to support the research design and to provide evidence for their conclusions. As part of this analysis, it will ask whether or not the authors demonstrate coherence</w:t>
      </w:r>
      <w:r>
        <w:rPr>
          <w:rStyle w:val="FootnoteReference"/>
          <w:rFonts w:ascii="Arial" w:hAnsi="Arial" w:cs="Arial"/>
          <w:bCs/>
          <w:sz w:val="24"/>
          <w:szCs w:val="24"/>
        </w:rPr>
        <w:footnoteReference w:id="3"/>
      </w:r>
      <w:r>
        <w:rPr>
          <w:rFonts w:ascii="Arial" w:hAnsi="Arial" w:cs="Arial"/>
          <w:bCs/>
          <w:sz w:val="24"/>
          <w:szCs w:val="24"/>
        </w:rPr>
        <w:t xml:space="preserve"> within their research as described in their reports. It will look at the researchers’ relationship to their research subjects and analyse them along the insider/outsider continuum to inform how those factors shaped their approach to the research and the interpretation of its findings. It will also comment on the presence or absence of the use of reflexivity by the researchers.</w:t>
      </w:r>
    </w:p>
    <w:p w14:paraId="2CAE2F23" w14:textId="77777777" w:rsidR="00B13A69" w:rsidRDefault="000F2F88">
      <w:pPr>
        <w:pStyle w:val="Heading1"/>
        <w:rPr>
          <w:rFonts w:ascii="Calibri Light" w:hAnsi="Calibri Light"/>
          <w:sz w:val="40"/>
          <w:szCs w:val="40"/>
        </w:rPr>
      </w:pPr>
      <w:r>
        <w:rPr>
          <w:rFonts w:ascii="Calibri Light" w:hAnsi="Calibri Light"/>
          <w:sz w:val="40"/>
          <w:szCs w:val="40"/>
        </w:rPr>
        <w:t>Context</w:t>
      </w:r>
    </w:p>
    <w:p w14:paraId="31530FAF" w14:textId="77777777" w:rsidR="00B13A69" w:rsidRDefault="000F2F88">
      <w:pPr>
        <w:spacing w:after="160"/>
      </w:pPr>
      <w:r>
        <w:rPr>
          <w:rFonts w:ascii="Arial" w:hAnsi="Arial" w:cs="Arial"/>
          <w:bCs/>
          <w:sz w:val="24"/>
          <w:szCs w:val="24"/>
        </w:rPr>
        <w:t xml:space="preserve">The two articles were published in the official journals for academic religious associations: for Walter and Waterhouse </w:t>
      </w:r>
      <w:r>
        <w:rPr>
          <w:rFonts w:ascii="Arial" w:hAnsi="Arial" w:cs="Arial"/>
          <w:color w:val="000000"/>
          <w:sz w:val="24"/>
          <w:szCs w:val="24"/>
        </w:rPr>
        <w:t xml:space="preserve">this is Association for the Sociology of Religion (formerly the American Catholic Sociological Society) and for Brink, the Religious Research Association. </w:t>
      </w:r>
      <w:r>
        <w:rPr>
          <w:rFonts w:ascii="Arial" w:hAnsi="Arial" w:cs="Arial"/>
          <w:bCs/>
          <w:sz w:val="24"/>
          <w:szCs w:val="24"/>
        </w:rPr>
        <w:t xml:space="preserve"> The audiences they are writing for are scholars and researchers with interest in an academic interest in religious studies from the scientific viewpoints of sociology, psychology, pedagogy, and anthropology.  </w:t>
      </w:r>
    </w:p>
    <w:p w14:paraId="5A8D685E" w14:textId="77777777" w:rsidR="00B13A69" w:rsidRDefault="000F2F88">
      <w:pPr>
        <w:spacing w:after="160"/>
      </w:pPr>
      <w:r>
        <w:rPr>
          <w:rFonts w:ascii="Arial" w:hAnsi="Arial" w:cs="Arial"/>
          <w:bCs/>
          <w:sz w:val="24"/>
          <w:szCs w:val="24"/>
        </w:rPr>
        <w:t>All three of the authors hold doctorates and have biographies that show either current professorship or affiliation with universities or colleges.</w:t>
      </w:r>
      <w:r>
        <w:t xml:space="preserve"> </w:t>
      </w:r>
      <w:r>
        <w:rPr>
          <w:rFonts w:ascii="Arial" w:hAnsi="Arial" w:cs="Arial"/>
          <w:bCs/>
          <w:sz w:val="24"/>
          <w:szCs w:val="24"/>
        </w:rPr>
        <w:t>T. (Terry) L. Brink’s biography illustrates his career of over forty years in psychology, scientific religious studies, and research methods</w:t>
      </w:r>
      <w:r>
        <w:rPr>
          <w:rStyle w:val="FootnoteReference"/>
          <w:rFonts w:ascii="Arial" w:hAnsi="Arial" w:cs="Arial"/>
          <w:bCs/>
          <w:sz w:val="24"/>
          <w:szCs w:val="24"/>
        </w:rPr>
        <w:footnoteReference w:id="4"/>
      </w:r>
      <w:r>
        <w:rPr>
          <w:rFonts w:ascii="Arial" w:hAnsi="Arial" w:cs="Arial"/>
          <w:bCs/>
          <w:sz w:val="24"/>
          <w:szCs w:val="24"/>
        </w:rPr>
        <w:t>.</w:t>
      </w:r>
      <w:r>
        <w:rPr>
          <w:rStyle w:val="FootnoteReference"/>
          <w:rFonts w:ascii="Arial" w:hAnsi="Arial" w:cs="Arial"/>
          <w:bCs/>
          <w:sz w:val="24"/>
          <w:szCs w:val="24"/>
        </w:rPr>
        <w:t xml:space="preserve"> </w:t>
      </w:r>
      <w:r>
        <w:rPr>
          <w:rFonts w:ascii="Arial" w:hAnsi="Arial" w:cs="Arial"/>
          <w:bCs/>
          <w:sz w:val="24"/>
          <w:szCs w:val="24"/>
        </w:rPr>
        <w:t>A few years after the publication of  ‘Inconsistency of Belief Among Roman Catholic Girls’ in 1978, he goes on to co-develop the ‘Geriatric Depression Scale’, a psychological self-reporting test in general use for the past forty years</w:t>
      </w:r>
      <w:r>
        <w:rPr>
          <w:rStyle w:val="FootnoteReference"/>
          <w:rFonts w:ascii="Arial" w:hAnsi="Arial" w:cs="Arial"/>
          <w:sz w:val="24"/>
          <w:szCs w:val="24"/>
        </w:rPr>
        <w:footnoteReference w:id="5"/>
      </w:r>
      <w:r>
        <w:rPr>
          <w:rFonts w:ascii="Arial" w:hAnsi="Arial" w:cs="Arial"/>
          <w:bCs/>
          <w:sz w:val="24"/>
          <w:szCs w:val="24"/>
        </w:rPr>
        <w:t xml:space="preserve">; in 1995 he writes about the comparison of quantitative and qualitative methodologies in religious studies research arguing that ‘Religious studies should use both methods in alternate phases, with the qualitative approach creating </w:t>
      </w:r>
      <w:r>
        <w:rPr>
          <w:rFonts w:ascii="Arial" w:hAnsi="Arial" w:cs="Arial"/>
          <w:bCs/>
          <w:sz w:val="24"/>
          <w:szCs w:val="24"/>
        </w:rPr>
        <w:lastRenderedPageBreak/>
        <w:t>new hypotheses and the quantitative approach critically testing them.’</w:t>
      </w:r>
      <w:r>
        <w:rPr>
          <w:rStyle w:val="FootnoteReference"/>
          <w:rFonts w:ascii="Arial" w:hAnsi="Arial" w:cs="Arial"/>
          <w:bCs/>
          <w:sz w:val="24"/>
          <w:szCs w:val="24"/>
        </w:rPr>
        <w:footnoteReference w:id="6"/>
      </w:r>
      <w:r>
        <w:rPr>
          <w:rFonts w:ascii="Arial" w:hAnsi="Arial" w:cs="Arial"/>
          <w:bCs/>
          <w:sz w:val="24"/>
          <w:szCs w:val="24"/>
        </w:rPr>
        <w:t xml:space="preserve"> ; and in 2017 he publishes a text for use in his college entitled ‘Research Methods for Psychology’</w:t>
      </w:r>
      <w:r>
        <w:rPr>
          <w:rStyle w:val="FootnoteReference"/>
          <w:rFonts w:ascii="Arial" w:hAnsi="Arial" w:cs="Arial"/>
          <w:bCs/>
          <w:sz w:val="24"/>
          <w:szCs w:val="24"/>
        </w:rPr>
        <w:footnoteReference w:id="7"/>
      </w:r>
      <w:r>
        <w:rPr>
          <w:rFonts w:ascii="Arial" w:hAnsi="Arial" w:cs="Arial"/>
          <w:bCs/>
          <w:sz w:val="24"/>
          <w:szCs w:val="24"/>
        </w:rPr>
        <w:t xml:space="preserve">. </w:t>
      </w:r>
      <w:r>
        <w:rPr>
          <w:rFonts w:ascii="Arial" w:hAnsi="Arial" w:cs="Arial"/>
          <w:color w:val="000000"/>
          <w:sz w:val="24"/>
          <w:szCs w:val="24"/>
        </w:rPr>
        <w:t>Tony Walter’s career is focussed on the ‘sociological understanding of death in modern society’ and he is the Emeritus Professor of Death Studies at Bath University</w:t>
      </w:r>
      <w:r>
        <w:rPr>
          <w:rStyle w:val="FootnoteReference"/>
          <w:rFonts w:ascii="Arial" w:hAnsi="Arial" w:cs="Arial"/>
          <w:color w:val="000000"/>
          <w:sz w:val="24"/>
          <w:szCs w:val="24"/>
        </w:rPr>
        <w:footnoteReference w:id="8"/>
      </w:r>
      <w:r>
        <w:rPr>
          <w:rFonts w:ascii="Arial" w:hAnsi="Arial" w:cs="Arial"/>
          <w:color w:val="000000"/>
          <w:sz w:val="24"/>
          <w:szCs w:val="24"/>
        </w:rPr>
        <w:t xml:space="preserve"> and is associated with that university’s Institute for Policy Research (IPR), a ‘leading public policy organisation’</w:t>
      </w:r>
      <w:r>
        <w:rPr>
          <w:rStyle w:val="FootnoteReference"/>
          <w:rFonts w:ascii="Arial" w:hAnsi="Arial" w:cs="Arial"/>
          <w:color w:val="000000"/>
          <w:sz w:val="24"/>
          <w:szCs w:val="24"/>
        </w:rPr>
        <w:footnoteReference w:id="9"/>
      </w:r>
      <w:r>
        <w:rPr>
          <w:rFonts w:ascii="Arial" w:hAnsi="Arial" w:cs="Arial"/>
          <w:color w:val="000000"/>
          <w:sz w:val="24"/>
          <w:szCs w:val="24"/>
        </w:rPr>
        <w:t>, and is a past-director of the university’s Centre for Death and Society (CDAS), an ‘internationally recognised research centre’</w:t>
      </w:r>
      <w:r>
        <w:rPr>
          <w:rStyle w:val="FootnoteReference"/>
          <w:rFonts w:ascii="Arial" w:hAnsi="Arial" w:cs="Arial"/>
          <w:color w:val="000000"/>
          <w:sz w:val="24"/>
          <w:szCs w:val="24"/>
        </w:rPr>
        <w:footnoteReference w:id="10"/>
      </w:r>
      <w:r>
        <w:rPr>
          <w:rFonts w:ascii="Arial" w:hAnsi="Arial" w:cs="Arial"/>
          <w:color w:val="000000"/>
          <w:sz w:val="24"/>
          <w:szCs w:val="24"/>
        </w:rPr>
        <w:t>. Between 2012 and 2015 Walter co-created a qualitative dataset of over 100 interviews with bereaved people who lost someone to drugs or alcohol related death. In 2020 he published the book ‘Death in the Modern World’, an analysis of the impact of modernity on how death is managed around the world. Helen Waterhouse gained a PhD for her research ‘Buddhism in Britain’ from Bath Spa University and is listed as an honorary associate in the Open University’s Department of Social Sciences.</w:t>
      </w:r>
      <w:r>
        <w:rPr>
          <w:rStyle w:val="FootnoteReference"/>
          <w:rFonts w:ascii="Arial" w:hAnsi="Arial" w:cs="Arial"/>
          <w:color w:val="000000"/>
          <w:sz w:val="24"/>
          <w:szCs w:val="24"/>
        </w:rPr>
        <w:footnoteReference w:id="11"/>
      </w:r>
      <w:r>
        <w:rPr>
          <w:rFonts w:ascii="Arial" w:hAnsi="Arial" w:cs="Arial"/>
          <w:color w:val="000000"/>
          <w:sz w:val="24"/>
          <w:szCs w:val="24"/>
        </w:rPr>
        <w:t xml:space="preserve"> In that biography, which appears to be last updated around ten years ago, she states she is working on a book about Soka Gakkai, a world-wide movement who practice Nichiren Buddhism. Searches of JSTOR, Google, Google Scholar, and the UK-SGI website (English language) didn’t reveal any recent scholarship or associations for her. Around the time of the article for this essay, she presented to a conference in Birmingham which was published as the book ‘Theorizing Religion: The Insider/Outsider Problem in the Study of Ritual’</w:t>
      </w:r>
      <w:r>
        <w:rPr>
          <w:rStyle w:val="FootnoteReference"/>
          <w:rFonts w:ascii="Arial" w:hAnsi="Arial" w:cs="Arial"/>
          <w:color w:val="000000"/>
          <w:sz w:val="24"/>
          <w:szCs w:val="24"/>
        </w:rPr>
        <w:footnoteReference w:id="12"/>
      </w:r>
      <w:r>
        <w:rPr>
          <w:rFonts w:ascii="Arial" w:hAnsi="Arial" w:cs="Arial"/>
          <w:color w:val="000000"/>
          <w:sz w:val="24"/>
          <w:szCs w:val="24"/>
        </w:rPr>
        <w:t>, again speaking of her experience with the Soka Gakkai movement in Britain.</w:t>
      </w:r>
    </w:p>
    <w:p w14:paraId="7DE9B609" w14:textId="77777777" w:rsidR="00B13A69" w:rsidRDefault="000F2F88">
      <w:pPr>
        <w:spacing w:after="160"/>
      </w:pPr>
      <w:r>
        <w:rPr>
          <w:rFonts w:ascii="Arial" w:hAnsi="Arial" w:cs="Arial"/>
          <w:bCs/>
          <w:sz w:val="24"/>
          <w:szCs w:val="24"/>
        </w:rPr>
        <w:t>Walter and Waterhouse’s article is one of three reports about their research study; the first two were not read for this essay as they appear to be unpublished. However, the authors describe this article as the summary of all the main research findings</w:t>
      </w:r>
      <w:r>
        <w:rPr>
          <w:rStyle w:val="FootnoteReference"/>
          <w:rFonts w:ascii="Arial" w:hAnsi="Arial" w:cs="Arial"/>
          <w:bCs/>
          <w:sz w:val="24"/>
          <w:szCs w:val="24"/>
        </w:rPr>
        <w:footnoteReference w:id="13"/>
      </w:r>
      <w:r>
        <w:rPr>
          <w:rFonts w:ascii="Arial" w:hAnsi="Arial" w:cs="Arial"/>
          <w:bCs/>
          <w:sz w:val="24"/>
          <w:szCs w:val="24"/>
        </w:rPr>
        <w:t>. But, by being a summary of findings, it could mean that the analysis of their research methodology may be difficult to compare and contrast with Brink’s research methodology on a like-with-like basis.</w:t>
      </w:r>
    </w:p>
    <w:p w14:paraId="09F979F3" w14:textId="77777777" w:rsidR="00B13A69" w:rsidRDefault="000F2F88">
      <w:pPr>
        <w:spacing w:after="160"/>
      </w:pPr>
      <w:r>
        <w:rPr>
          <w:rFonts w:ascii="Arial" w:hAnsi="Arial" w:cs="Arial"/>
          <w:bCs/>
          <w:sz w:val="24"/>
          <w:szCs w:val="24"/>
        </w:rPr>
        <w:t>Other considerations as to context will be noted in the analysis, for example the research studies are subject to changing scholarship, in the field of study and in research methods, over the sixty-year period.</w:t>
      </w:r>
    </w:p>
    <w:p w14:paraId="42C80A5C" w14:textId="77777777" w:rsidR="00B13A69" w:rsidRDefault="000F2F88">
      <w:pPr>
        <w:pStyle w:val="Heading1"/>
        <w:rPr>
          <w:rFonts w:ascii="Calibri Light" w:hAnsi="Calibri Light"/>
          <w:sz w:val="40"/>
          <w:szCs w:val="40"/>
        </w:rPr>
      </w:pPr>
      <w:r>
        <w:rPr>
          <w:rFonts w:ascii="Calibri Light" w:hAnsi="Calibri Light"/>
          <w:sz w:val="40"/>
          <w:szCs w:val="40"/>
        </w:rPr>
        <w:t>Summary</w:t>
      </w:r>
    </w:p>
    <w:p w14:paraId="7EF46FA7" w14:textId="77777777" w:rsidR="00B13A69" w:rsidRDefault="000F2F88">
      <w:pPr>
        <w:spacing w:after="160"/>
      </w:pPr>
      <w:r>
        <w:rPr>
          <w:rFonts w:ascii="Arial" w:hAnsi="Arial" w:cs="Arial"/>
          <w:bCs/>
          <w:sz w:val="24"/>
          <w:szCs w:val="24"/>
        </w:rPr>
        <w:t xml:space="preserve">Both articles report on the authors’ research into how people with western religious beliefs report on their belief in either astrology and/or reincarnation and what this might mean within the scholarship. In Brink’s case, the research is an empirical survey aimed at understanding more about the psychology, in particular cognitive dissonance theory, in reference to those beliefs. In Walter and Waterhouse’s research they take findings from previous empirical surveys and design a qualitative </w:t>
      </w:r>
      <w:r>
        <w:rPr>
          <w:rFonts w:ascii="Arial" w:hAnsi="Arial" w:cs="Arial"/>
          <w:bCs/>
          <w:sz w:val="24"/>
          <w:szCs w:val="24"/>
        </w:rPr>
        <w:lastRenderedPageBreak/>
        <w:t>study to find out how ‘people think and talk’</w:t>
      </w:r>
      <w:r>
        <w:rPr>
          <w:rStyle w:val="FootnoteReference"/>
          <w:rFonts w:ascii="Arial" w:hAnsi="Arial" w:cs="Arial"/>
          <w:bCs/>
          <w:sz w:val="24"/>
          <w:szCs w:val="24"/>
        </w:rPr>
        <w:footnoteReference w:id="14"/>
      </w:r>
      <w:r>
        <w:rPr>
          <w:rFonts w:ascii="Arial" w:hAnsi="Arial" w:cs="Arial"/>
          <w:bCs/>
          <w:sz w:val="24"/>
          <w:szCs w:val="24"/>
        </w:rPr>
        <w:t xml:space="preserve"> about reincarnation and how their findings fit within the ‘privatization of contemporary religion’</w:t>
      </w:r>
      <w:r>
        <w:rPr>
          <w:rStyle w:val="FootnoteReference"/>
          <w:rFonts w:ascii="Arial" w:hAnsi="Arial" w:cs="Arial"/>
          <w:bCs/>
          <w:sz w:val="24"/>
          <w:szCs w:val="24"/>
        </w:rPr>
        <w:footnoteReference w:id="15"/>
      </w:r>
      <w:r>
        <w:rPr>
          <w:rFonts w:ascii="Arial" w:hAnsi="Arial" w:cs="Arial"/>
          <w:bCs/>
          <w:sz w:val="24"/>
          <w:szCs w:val="24"/>
        </w:rPr>
        <w:t xml:space="preserve"> theory which will be defined further in this essay.</w:t>
      </w:r>
    </w:p>
    <w:p w14:paraId="026C4AAA" w14:textId="77777777" w:rsidR="00B13A69" w:rsidRDefault="000F2F88">
      <w:pPr>
        <w:spacing w:after="160"/>
      </w:pPr>
      <w:r>
        <w:rPr>
          <w:rFonts w:ascii="Arial" w:hAnsi="Arial" w:cs="Arial"/>
          <w:bCs/>
          <w:sz w:val="24"/>
          <w:szCs w:val="24"/>
        </w:rPr>
        <w:t>Walter and Waterhouse tell us that they started with survey data (empirically derived that asked if people believed in reincarnation) and ‘set out to document how those who entertain the idea of reincarnation actually ‘think and talk’.</w:t>
      </w:r>
      <w:r>
        <w:rPr>
          <w:rStyle w:val="FootnoteReference"/>
          <w:rFonts w:ascii="Arial" w:hAnsi="Arial" w:cs="Arial"/>
          <w:bCs/>
          <w:sz w:val="24"/>
          <w:szCs w:val="24"/>
        </w:rPr>
        <w:footnoteReference w:id="16"/>
      </w:r>
      <w:r>
        <w:rPr>
          <w:rFonts w:ascii="Arial" w:hAnsi="Arial" w:cs="Arial"/>
          <w:bCs/>
          <w:sz w:val="24"/>
          <w:szCs w:val="24"/>
        </w:rPr>
        <w:t xml:space="preserve">  They also say they want to know ‘whether the twentieth century privatization of belief makes it easier to hold beliefs not taught by one’s church’.</w:t>
      </w:r>
      <w:r>
        <w:rPr>
          <w:rStyle w:val="FootnoteReference"/>
          <w:rFonts w:ascii="Arial" w:hAnsi="Arial" w:cs="Arial"/>
          <w:bCs/>
          <w:sz w:val="24"/>
          <w:szCs w:val="24"/>
        </w:rPr>
        <w:footnoteReference w:id="17"/>
      </w:r>
    </w:p>
    <w:p w14:paraId="0F790BF1" w14:textId="77777777" w:rsidR="00B13A69" w:rsidRDefault="000F2F88">
      <w:pPr>
        <w:spacing w:after="160"/>
      </w:pPr>
      <w:r>
        <w:rPr>
          <w:rFonts w:ascii="Arial" w:hAnsi="Arial" w:cs="Arial"/>
          <w:bCs/>
          <w:sz w:val="24"/>
          <w:szCs w:val="24"/>
        </w:rPr>
        <w:t>Brink’s research question is posed in his hypothesis which is that ‘simultaneous belief in Roman Catholic doctrine, astrology, and reincarnation is logically incompatible’ and he seeks to falsify</w:t>
      </w:r>
      <w:r>
        <w:rPr>
          <w:rStyle w:val="FootnoteReference"/>
          <w:rFonts w:ascii="Arial" w:hAnsi="Arial" w:cs="Arial"/>
          <w:bCs/>
          <w:sz w:val="24"/>
          <w:szCs w:val="24"/>
        </w:rPr>
        <w:footnoteReference w:id="18"/>
      </w:r>
      <w:r>
        <w:rPr>
          <w:rFonts w:ascii="Arial" w:hAnsi="Arial" w:cs="Arial"/>
          <w:bCs/>
          <w:sz w:val="24"/>
          <w:szCs w:val="24"/>
        </w:rPr>
        <w:t xml:space="preserve"> this through his findings which he believes will be the ‘acceptance of one belief system is no assurance that incompatible beliefs would be rejected’.</w:t>
      </w:r>
      <w:r>
        <w:rPr>
          <w:rStyle w:val="FootnoteReference"/>
          <w:rFonts w:ascii="Arial" w:hAnsi="Arial" w:cs="Arial"/>
          <w:bCs/>
          <w:sz w:val="24"/>
          <w:szCs w:val="24"/>
        </w:rPr>
        <w:footnoteReference w:id="19"/>
      </w:r>
      <w:r>
        <w:rPr>
          <w:rFonts w:ascii="Arial" w:hAnsi="Arial" w:cs="Arial"/>
          <w:bCs/>
          <w:sz w:val="24"/>
          <w:szCs w:val="24"/>
        </w:rPr>
        <w:t xml:space="preserve"> He characterises these belief systems through a series of statements, such as ‘The body of Catholic doctrine presumes both the omnipotence of God and the free will of man, which is inconsistent with fate being determined by the stars.’ He takes no time to explain his definition of fate nor, as is the case for god’s omnipotence, the basis for the statement.</w:t>
      </w:r>
    </w:p>
    <w:p w14:paraId="12716113" w14:textId="77777777" w:rsidR="00C222AD" w:rsidRDefault="000F2F88" w:rsidP="00C222AD">
      <w:pPr>
        <w:spacing w:after="160"/>
        <w:rPr>
          <w:rFonts w:ascii="Arial" w:hAnsi="Arial" w:cs="Arial"/>
          <w:bCs/>
          <w:sz w:val="24"/>
          <w:szCs w:val="24"/>
        </w:rPr>
      </w:pPr>
      <w:r>
        <w:rPr>
          <w:rFonts w:ascii="Arial" w:hAnsi="Arial" w:cs="Arial"/>
          <w:bCs/>
          <w:sz w:val="24"/>
          <w:szCs w:val="24"/>
        </w:rPr>
        <w:t>Both articles conclude that people can believe in astrology and reincarnation and that this doesn’t point to any less an adherence to their traditional western religious or secular beliefs. In fact, they corroborate previous scholarship</w:t>
      </w:r>
      <w:r>
        <w:rPr>
          <w:rStyle w:val="FootnoteReference"/>
          <w:rFonts w:ascii="Arial" w:hAnsi="Arial" w:cs="Arial"/>
          <w:bCs/>
          <w:sz w:val="24"/>
          <w:szCs w:val="24"/>
        </w:rPr>
        <w:footnoteReference w:id="20"/>
      </w:r>
      <w:r>
        <w:rPr>
          <w:rFonts w:ascii="Arial" w:hAnsi="Arial" w:cs="Arial"/>
          <w:bCs/>
          <w:sz w:val="24"/>
          <w:szCs w:val="24"/>
        </w:rPr>
        <w:t xml:space="preserve"> that indicates it is the regular practice of the western religious tradition rites (through church going, etc.) that makes it more likely for people not to believe in astrology and reincarnation than their stated beliefs.</w:t>
      </w:r>
    </w:p>
    <w:p w14:paraId="71CAB2CB" w14:textId="296E95B1" w:rsidR="00B13A69" w:rsidRDefault="000F2F88" w:rsidP="00C222AD">
      <w:pPr>
        <w:pStyle w:val="Heading1"/>
        <w:rPr>
          <w:rFonts w:ascii="Calibri Light" w:hAnsi="Calibri Light"/>
          <w:sz w:val="40"/>
          <w:szCs w:val="40"/>
        </w:rPr>
      </w:pPr>
      <w:r>
        <w:rPr>
          <w:rFonts w:ascii="Calibri Light" w:hAnsi="Calibri Light"/>
          <w:sz w:val="40"/>
          <w:szCs w:val="40"/>
        </w:rPr>
        <w:t>Analysis</w:t>
      </w:r>
    </w:p>
    <w:p w14:paraId="083A1727" w14:textId="77777777" w:rsidR="00B13A69" w:rsidRDefault="000F2F88">
      <w:pPr>
        <w:spacing w:after="160"/>
        <w:rPr>
          <w:rFonts w:ascii="Arial" w:hAnsi="Arial" w:cs="Arial"/>
          <w:bCs/>
          <w:sz w:val="24"/>
          <w:szCs w:val="24"/>
        </w:rPr>
      </w:pPr>
      <w:r>
        <w:rPr>
          <w:rFonts w:ascii="Arial" w:hAnsi="Arial" w:cs="Arial"/>
          <w:bCs/>
          <w:sz w:val="24"/>
          <w:szCs w:val="24"/>
        </w:rPr>
        <w:t>This section compares and contrasts the writing style and structure of the articles; the use of literature and their academic rationale; the methodology used and underlying philosophies; and the researchers’ position to the participants and demonstrated reflexivity.</w:t>
      </w:r>
    </w:p>
    <w:p w14:paraId="3796DAF5" w14:textId="77777777" w:rsidR="00B13A69" w:rsidRDefault="000F2F88">
      <w:pPr>
        <w:pStyle w:val="Heading2"/>
      </w:pPr>
      <w:r>
        <w:rPr>
          <w:b/>
          <w:bCs/>
          <w:color w:val="auto"/>
          <w:sz w:val="32"/>
          <w:szCs w:val="32"/>
        </w:rPr>
        <w:t>Writing style and</w:t>
      </w:r>
      <w:r>
        <w:rPr>
          <w:rFonts w:ascii="Arial" w:hAnsi="Arial" w:cs="Arial"/>
          <w:bCs/>
          <w:sz w:val="24"/>
          <w:szCs w:val="24"/>
        </w:rPr>
        <w:t xml:space="preserve"> </w:t>
      </w:r>
      <w:r>
        <w:rPr>
          <w:b/>
          <w:bCs/>
          <w:color w:val="auto"/>
          <w:sz w:val="32"/>
          <w:szCs w:val="32"/>
        </w:rPr>
        <w:t>structure</w:t>
      </w:r>
    </w:p>
    <w:p w14:paraId="315AADCA" w14:textId="77777777" w:rsidR="00B13A69" w:rsidRDefault="000F2F88">
      <w:pPr>
        <w:spacing w:after="160"/>
      </w:pPr>
      <w:r>
        <w:rPr>
          <w:rFonts w:ascii="Arial" w:hAnsi="Arial" w:cs="Arial"/>
          <w:bCs/>
          <w:sz w:val="24"/>
          <w:szCs w:val="24"/>
        </w:rPr>
        <w:t xml:space="preserve">When comparing the two articles on the basis of only their writing style, structure, and clarity, the differences between the chosen methodology and the researchers’ backgrounds must be considered. The choice of methodological approach can be based on many factors, but one, is described as ‘non-logical’ by Firestone, who argues that when selecting an approach ‘one’s decision often expresses values about what the world is like, how one ought to understand it, and what the most </w:t>
      </w:r>
      <w:r>
        <w:rPr>
          <w:rFonts w:ascii="Arial" w:hAnsi="Arial" w:cs="Arial"/>
          <w:bCs/>
          <w:sz w:val="24"/>
          <w:szCs w:val="24"/>
        </w:rPr>
        <w:lastRenderedPageBreak/>
        <w:t>important threats to that understanding are’.</w:t>
      </w:r>
      <w:r>
        <w:rPr>
          <w:rStyle w:val="FootnoteReference"/>
          <w:rFonts w:ascii="Arial" w:hAnsi="Arial" w:cs="Arial"/>
          <w:bCs/>
          <w:sz w:val="24"/>
          <w:szCs w:val="24"/>
        </w:rPr>
        <w:footnoteReference w:id="21"/>
      </w:r>
      <w:r>
        <w:rPr>
          <w:rFonts w:ascii="Arial" w:hAnsi="Arial" w:cs="Arial"/>
          <w:bCs/>
          <w:sz w:val="24"/>
          <w:szCs w:val="24"/>
        </w:rPr>
        <w:t xml:space="preserve"> For Brink’s this is psychology as a science discipline and for Walter and Waterhouse, it is sociology as a humanities discipline and for both its these disciplines within the social science of religions and belief. Brink’s style is a concise and succinct reporting of research that is, by its nature of being a quantitative and empirical study, also concise, succinct, and also functional: abstract, introduction, hypothesis, procedures and results, discussion and conclusions and references. It was easy to understand the research question, academic rationale, research methodology/methods, and his conclusions, which also offered further research recommendations. There were, however, statements made about some concepts that came across as Brink’s own beliefs, although they may have been being made for the purposes of falsification of his hypothesis statements, that would have benefitted from definitions or citations. For example, when he pronounces on the differences in fate by saying ‘astrology’s fatalism…is substantially different from…what reincarnationists attribute to the workings of karma’</w:t>
      </w:r>
      <w:r>
        <w:rPr>
          <w:rStyle w:val="FootnoteReference"/>
          <w:rFonts w:ascii="Arial" w:hAnsi="Arial" w:cs="Arial"/>
          <w:bCs/>
          <w:sz w:val="24"/>
          <w:szCs w:val="24"/>
        </w:rPr>
        <w:footnoteReference w:id="22"/>
      </w:r>
      <w:r>
        <w:rPr>
          <w:rFonts w:ascii="Arial" w:hAnsi="Arial" w:cs="Arial"/>
          <w:bCs/>
          <w:sz w:val="24"/>
          <w:szCs w:val="24"/>
        </w:rPr>
        <w:t xml:space="preserve"> we have no option but to react as if this is a personal belief even though he later references secondary sources that support this view.  Walter and Waterhouse’s writing style was less easy to follow, possibly because of the aforementioned goal to summarise their research findings as a follow-on from their first two papers which fulfilled the detailed reporting on the study. Their structure was mostly clear: abstract, introduction, but the section ‘Survey Data’ with a sub-heading ‘Interview Data’ created some confusion and it was difficult to pick out of what was essentially a narrative description of the research methods that were used followed, the sampling of participants and why they were chosen, and other elements that would support reading of their findings. For example, similar to the Brink’s views on fate, these researchers struggled to convince that their views on ‘the New Age’ were not a personal view when they say, in an aside, ‘that adherence to alternative lifestyles is probably more popular in the West Country where…we conducted our interviews than…in much of the rest of the UK.’</w:t>
      </w:r>
      <w:r>
        <w:rPr>
          <w:rStyle w:val="FootnoteReference"/>
          <w:rFonts w:ascii="Arial" w:hAnsi="Arial" w:cs="Arial"/>
          <w:bCs/>
          <w:sz w:val="24"/>
          <w:szCs w:val="24"/>
        </w:rPr>
        <w:footnoteReference w:id="23"/>
      </w:r>
      <w:r>
        <w:rPr>
          <w:rFonts w:ascii="Arial" w:hAnsi="Arial" w:cs="Arial"/>
          <w:bCs/>
          <w:sz w:val="24"/>
          <w:szCs w:val="24"/>
        </w:rPr>
        <w:t xml:space="preserve"> For both of these articles, these failures in clarity undermined, to a certain extent, trust in their research rigour and findings, but for Walter and Waterhouse, the style and structure they used added to this problem and made it difficult to recognise the use of qualitative quality processes, such as inductive and deductive thinking</w:t>
      </w:r>
      <w:r>
        <w:rPr>
          <w:rStyle w:val="FootnoteReference"/>
          <w:rFonts w:ascii="Arial" w:hAnsi="Arial" w:cs="Arial"/>
          <w:bCs/>
          <w:sz w:val="24"/>
          <w:szCs w:val="24"/>
        </w:rPr>
        <w:footnoteReference w:id="24"/>
      </w:r>
      <w:r>
        <w:rPr>
          <w:rFonts w:ascii="Arial" w:hAnsi="Arial" w:cs="Arial"/>
          <w:bCs/>
          <w:sz w:val="24"/>
          <w:szCs w:val="24"/>
        </w:rPr>
        <w:t>, to refine their research as it progressed.</w:t>
      </w:r>
      <w:r>
        <w:rPr>
          <w:rStyle w:val="FootnoteReference"/>
          <w:rFonts w:ascii="Arial" w:hAnsi="Arial" w:cs="Arial"/>
          <w:bCs/>
          <w:sz w:val="24"/>
          <w:szCs w:val="24"/>
        </w:rPr>
        <w:t xml:space="preserve"> </w:t>
      </w:r>
    </w:p>
    <w:p w14:paraId="7EC9EE7A" w14:textId="77777777" w:rsidR="00B13A69" w:rsidRDefault="000F2F88">
      <w:pPr>
        <w:pStyle w:val="Heading2"/>
        <w:rPr>
          <w:b/>
          <w:bCs/>
          <w:color w:val="auto"/>
          <w:sz w:val="32"/>
          <w:szCs w:val="32"/>
        </w:rPr>
      </w:pPr>
      <w:r>
        <w:rPr>
          <w:b/>
          <w:bCs/>
          <w:color w:val="auto"/>
          <w:sz w:val="32"/>
          <w:szCs w:val="32"/>
        </w:rPr>
        <w:t>Use of the literature (academic rationale, analysis, conclusion)</w:t>
      </w:r>
    </w:p>
    <w:p w14:paraId="439AB575" w14:textId="77777777" w:rsidR="004F102B" w:rsidRDefault="004F102B" w:rsidP="004F102B">
      <w:pPr>
        <w:spacing w:after="160"/>
      </w:pPr>
      <w:r>
        <w:rPr>
          <w:rFonts w:ascii="Arial" w:hAnsi="Arial" w:cs="Arial"/>
          <w:bCs/>
          <w:sz w:val="24"/>
          <w:szCs w:val="24"/>
        </w:rPr>
        <w:t>The research issue for Walter and Waterhouse is, for people who find reincarnation attractive and belong to a church which doesn’t include this in their doctrine, ‘whether the twentieth century privatization of belief makes it easier to hold beliefs not taught by one’s church’.</w:t>
      </w:r>
      <w:r>
        <w:rPr>
          <w:rStyle w:val="FootnoteReference"/>
          <w:rFonts w:ascii="Arial" w:hAnsi="Arial" w:cs="Arial"/>
          <w:bCs/>
          <w:sz w:val="24"/>
          <w:szCs w:val="24"/>
        </w:rPr>
        <w:footnoteReference w:id="25"/>
      </w:r>
    </w:p>
    <w:p w14:paraId="21302CF0" w14:textId="77777777" w:rsidR="004F102B" w:rsidRDefault="004F102B" w:rsidP="004F102B">
      <w:pPr>
        <w:spacing w:after="160"/>
      </w:pPr>
      <w:r>
        <w:rPr>
          <w:rFonts w:ascii="Arial" w:hAnsi="Arial" w:cs="Arial"/>
          <w:bCs/>
          <w:sz w:val="24"/>
          <w:szCs w:val="24"/>
        </w:rPr>
        <w:t>Brink’s research issue is similar, and he approaches it from the question of cognitive consistency, something he asserts, ‘many social scientists have presumed that individuals strive to attain and maintain a consistent set of attitudes.’</w:t>
      </w:r>
      <w:r>
        <w:rPr>
          <w:rStyle w:val="FootnoteReference"/>
          <w:rFonts w:ascii="Arial" w:hAnsi="Arial" w:cs="Arial"/>
          <w:bCs/>
          <w:sz w:val="24"/>
          <w:szCs w:val="24"/>
        </w:rPr>
        <w:footnoteReference w:id="26"/>
      </w:r>
    </w:p>
    <w:p w14:paraId="74FD138B" w14:textId="60C4BD00" w:rsidR="004F102B" w:rsidRDefault="004F102B" w:rsidP="004F102B">
      <w:pPr>
        <w:spacing w:after="160"/>
        <w:rPr>
          <w:rFonts w:ascii="Arial" w:hAnsi="Arial" w:cs="Arial"/>
          <w:bCs/>
          <w:sz w:val="24"/>
          <w:szCs w:val="24"/>
        </w:rPr>
      </w:pPr>
      <w:r>
        <w:rPr>
          <w:rFonts w:ascii="Arial" w:hAnsi="Arial" w:cs="Arial"/>
          <w:bCs/>
          <w:sz w:val="24"/>
          <w:szCs w:val="24"/>
        </w:rPr>
        <w:t xml:space="preserve">Although there was a gap of twenty years between each of these studies, researchers investigating changes in </w:t>
      </w:r>
      <w:r w:rsidR="00D17576">
        <w:rPr>
          <w:rFonts w:ascii="Arial" w:hAnsi="Arial" w:cs="Arial"/>
          <w:bCs/>
          <w:sz w:val="24"/>
          <w:szCs w:val="24"/>
        </w:rPr>
        <w:t xml:space="preserve">western </w:t>
      </w:r>
      <w:r>
        <w:rPr>
          <w:rFonts w:ascii="Arial" w:hAnsi="Arial" w:cs="Arial"/>
          <w:bCs/>
          <w:sz w:val="24"/>
          <w:szCs w:val="24"/>
        </w:rPr>
        <w:t>religious beliefs</w:t>
      </w:r>
      <w:r w:rsidR="00D17576">
        <w:rPr>
          <w:rFonts w:ascii="Arial" w:hAnsi="Arial" w:cs="Arial"/>
          <w:bCs/>
          <w:sz w:val="24"/>
          <w:szCs w:val="24"/>
        </w:rPr>
        <w:t xml:space="preserve"> and ritual</w:t>
      </w:r>
      <w:r>
        <w:rPr>
          <w:rFonts w:ascii="Arial" w:hAnsi="Arial" w:cs="Arial"/>
          <w:bCs/>
          <w:sz w:val="24"/>
          <w:szCs w:val="24"/>
        </w:rPr>
        <w:t xml:space="preserve"> continued to </w:t>
      </w:r>
      <w:r>
        <w:rPr>
          <w:rFonts w:ascii="Arial" w:hAnsi="Arial" w:cs="Arial"/>
          <w:bCs/>
          <w:sz w:val="24"/>
          <w:szCs w:val="24"/>
        </w:rPr>
        <w:lastRenderedPageBreak/>
        <w:t xml:space="preserve">puzzle over the rise of the non-traditional </w:t>
      </w:r>
      <w:r w:rsidR="00D17576">
        <w:rPr>
          <w:rFonts w:ascii="Arial" w:hAnsi="Arial" w:cs="Arial"/>
          <w:bCs/>
          <w:sz w:val="24"/>
          <w:szCs w:val="24"/>
        </w:rPr>
        <w:t>(</w:t>
      </w:r>
      <w:r>
        <w:rPr>
          <w:rFonts w:ascii="Arial" w:hAnsi="Arial" w:cs="Arial"/>
          <w:bCs/>
          <w:sz w:val="24"/>
          <w:szCs w:val="24"/>
        </w:rPr>
        <w:t xml:space="preserve">whether they referred to them as ‘new age’, ‘counter-culture’, ‘unconventional’ or </w:t>
      </w:r>
      <w:r w:rsidR="00D17576">
        <w:rPr>
          <w:rFonts w:ascii="Arial" w:hAnsi="Arial" w:cs="Arial"/>
          <w:bCs/>
          <w:sz w:val="24"/>
          <w:szCs w:val="24"/>
        </w:rPr>
        <w:t>‘</w:t>
      </w:r>
      <w:r>
        <w:rPr>
          <w:rFonts w:ascii="Arial" w:hAnsi="Arial" w:cs="Arial"/>
          <w:bCs/>
          <w:sz w:val="24"/>
          <w:szCs w:val="24"/>
        </w:rPr>
        <w:t>deviant</w:t>
      </w:r>
      <w:r w:rsidR="00D17576">
        <w:rPr>
          <w:rFonts w:ascii="Arial" w:hAnsi="Arial" w:cs="Arial"/>
          <w:bCs/>
          <w:sz w:val="24"/>
          <w:szCs w:val="24"/>
        </w:rPr>
        <w:t xml:space="preserve">’) and this continues to be a research topic </w:t>
      </w:r>
      <w:r>
        <w:rPr>
          <w:rFonts w:ascii="Arial" w:hAnsi="Arial" w:cs="Arial"/>
          <w:bCs/>
          <w:sz w:val="24"/>
          <w:szCs w:val="24"/>
        </w:rPr>
        <w:t>to our own time.</w:t>
      </w:r>
      <w:r>
        <w:rPr>
          <w:rStyle w:val="FootnoteReference"/>
          <w:rFonts w:ascii="Arial" w:hAnsi="Arial" w:cs="Arial"/>
          <w:bCs/>
          <w:sz w:val="24"/>
          <w:szCs w:val="24"/>
        </w:rPr>
        <w:footnoteReference w:id="27"/>
      </w:r>
      <w:r>
        <w:rPr>
          <w:rFonts w:ascii="Arial" w:hAnsi="Arial" w:cs="Arial"/>
          <w:bCs/>
          <w:sz w:val="24"/>
          <w:szCs w:val="24"/>
        </w:rPr>
        <w:t xml:space="preserve"> Campion has this to say</w:t>
      </w:r>
      <w:r w:rsidR="00D17576">
        <w:rPr>
          <w:rFonts w:ascii="Arial" w:hAnsi="Arial" w:cs="Arial"/>
          <w:bCs/>
          <w:sz w:val="24"/>
          <w:szCs w:val="24"/>
        </w:rPr>
        <w:t xml:space="preserve"> about the evolving point of view</w:t>
      </w:r>
    </w:p>
    <w:p w14:paraId="2BE3A1A8" w14:textId="77777777" w:rsidR="004F102B" w:rsidRDefault="004F102B" w:rsidP="004F102B">
      <w:pPr>
        <w:spacing w:after="160"/>
        <w:ind w:left="720"/>
      </w:pPr>
      <w:r>
        <w:rPr>
          <w:rFonts w:ascii="Arial" w:hAnsi="Arial" w:cs="Arial"/>
          <w:bCs/>
          <w:sz w:val="24"/>
          <w:szCs w:val="24"/>
        </w:rPr>
        <w:t>This phenomenon is explained by secularization theory, which assumes that the fall in church attendance is evidence of a drop in religiosity as a whole. This conclusion is challenged by advocates of privatization, who argue that, far from declining, religiosity is being diverted into a range of private spiritualities, a shift in the zeitgeist that some commentators refer to as a spiritual revolution. Privatized spirituality comes in a variety of forms, but the two most frequently used labels are New Age and Pagan.</w:t>
      </w:r>
      <w:r>
        <w:rPr>
          <w:rStyle w:val="FootnoteReference"/>
          <w:rFonts w:ascii="Arial" w:hAnsi="Arial" w:cs="Arial"/>
          <w:bCs/>
          <w:sz w:val="24"/>
          <w:szCs w:val="24"/>
        </w:rPr>
        <w:footnoteReference w:id="28"/>
      </w:r>
    </w:p>
    <w:p w14:paraId="28BF4B7D" w14:textId="52E3DB98" w:rsidR="00B94D9A" w:rsidRDefault="000F2F88" w:rsidP="00B94D9A">
      <w:pPr>
        <w:rPr>
          <w:rFonts w:ascii="Arial" w:hAnsi="Arial" w:cs="Arial"/>
          <w:sz w:val="24"/>
          <w:szCs w:val="24"/>
        </w:rPr>
      </w:pPr>
      <w:r>
        <w:rPr>
          <w:rFonts w:ascii="Arial" w:hAnsi="Arial" w:cs="Arial"/>
          <w:sz w:val="24"/>
          <w:szCs w:val="24"/>
        </w:rPr>
        <w:t xml:space="preserve">The references used by Walter and Waterhouse indicate the sociologically relevant theories, rationales, and conclusions they are aiming for in their research </w:t>
      </w:r>
      <w:r w:rsidR="00D17576">
        <w:rPr>
          <w:rFonts w:ascii="Arial" w:hAnsi="Arial" w:cs="Arial"/>
          <w:sz w:val="24"/>
          <w:szCs w:val="24"/>
        </w:rPr>
        <w:t>into</w:t>
      </w:r>
      <w:r>
        <w:rPr>
          <w:rFonts w:ascii="Arial" w:hAnsi="Arial" w:cs="Arial"/>
          <w:sz w:val="24"/>
          <w:szCs w:val="24"/>
        </w:rPr>
        <w:t xml:space="preserve"> English belief in reincarnation. They reference general texts on English character, European values, modernity and self-identity, and religion in the modern world. </w:t>
      </w:r>
      <w:r w:rsidR="00D17576">
        <w:rPr>
          <w:rFonts w:ascii="Arial" w:hAnsi="Arial" w:cs="Arial"/>
          <w:sz w:val="24"/>
          <w:szCs w:val="24"/>
        </w:rPr>
        <w:t>Their</w:t>
      </w:r>
      <w:r>
        <w:rPr>
          <w:rFonts w:ascii="Arial" w:hAnsi="Arial" w:cs="Arial"/>
          <w:sz w:val="24"/>
          <w:szCs w:val="24"/>
        </w:rPr>
        <w:t xml:space="preserve"> reference</w:t>
      </w:r>
      <w:r w:rsidR="00D17576">
        <w:rPr>
          <w:rFonts w:ascii="Arial" w:hAnsi="Arial" w:cs="Arial"/>
          <w:sz w:val="24"/>
          <w:szCs w:val="24"/>
        </w:rPr>
        <w:t xml:space="preserve">s within </w:t>
      </w:r>
      <w:r>
        <w:rPr>
          <w:rFonts w:ascii="Arial" w:hAnsi="Arial" w:cs="Arial"/>
          <w:sz w:val="24"/>
          <w:szCs w:val="24"/>
        </w:rPr>
        <w:t>the ‘</w:t>
      </w:r>
      <w:r w:rsidR="00D17576">
        <w:rPr>
          <w:rFonts w:ascii="Arial" w:hAnsi="Arial" w:cs="Arial"/>
          <w:sz w:val="24"/>
          <w:szCs w:val="24"/>
        </w:rPr>
        <w:t>S</w:t>
      </w:r>
      <w:r>
        <w:rPr>
          <w:rFonts w:ascii="Arial" w:hAnsi="Arial" w:cs="Arial"/>
          <w:sz w:val="24"/>
          <w:szCs w:val="24"/>
        </w:rPr>
        <w:t xml:space="preserve">urvey </w:t>
      </w:r>
      <w:r w:rsidR="00D17576">
        <w:rPr>
          <w:rFonts w:ascii="Arial" w:hAnsi="Arial" w:cs="Arial"/>
          <w:sz w:val="24"/>
          <w:szCs w:val="24"/>
        </w:rPr>
        <w:t>D</w:t>
      </w:r>
      <w:r>
        <w:rPr>
          <w:rFonts w:ascii="Arial" w:hAnsi="Arial" w:cs="Arial"/>
          <w:sz w:val="24"/>
          <w:szCs w:val="24"/>
        </w:rPr>
        <w:t xml:space="preserve">ata’ and </w:t>
      </w:r>
      <w:r w:rsidR="00D17576">
        <w:rPr>
          <w:rFonts w:ascii="Arial" w:hAnsi="Arial" w:cs="Arial"/>
          <w:sz w:val="24"/>
          <w:szCs w:val="24"/>
        </w:rPr>
        <w:t xml:space="preserve">use the European </w:t>
      </w:r>
      <w:r w:rsidR="00B94D9A">
        <w:rPr>
          <w:rFonts w:ascii="Arial" w:hAnsi="Arial" w:cs="Arial"/>
          <w:sz w:val="24"/>
          <w:szCs w:val="24"/>
        </w:rPr>
        <w:t>Values Survey (EVS) to support their research position saying that the empirical data demonstrates both sets of beliefs are held and that it shows it must be western religious people as the numbers exceed eastern religious people in the total population. They also downplay Davies who is instrumental in the ‘privatization of belief’ theory</w:t>
      </w:r>
      <w:r w:rsidR="00B94D9A">
        <w:rPr>
          <w:rStyle w:val="FootnoteReference"/>
          <w:rFonts w:ascii="Arial" w:hAnsi="Arial" w:cs="Arial"/>
          <w:sz w:val="24"/>
          <w:szCs w:val="24"/>
        </w:rPr>
        <w:footnoteReference w:id="29"/>
      </w:r>
      <w:r w:rsidR="00B94D9A">
        <w:rPr>
          <w:rFonts w:ascii="Arial" w:hAnsi="Arial" w:cs="Arial"/>
          <w:sz w:val="24"/>
          <w:szCs w:val="24"/>
        </w:rPr>
        <w:t>. All references used by them are published by academic journals or publishers of repute and they refer to their own previous studies in the field which indicate the growing body of knowledge they are leveraging for this study.</w:t>
      </w:r>
    </w:p>
    <w:p w14:paraId="40F9F498" w14:textId="77777777" w:rsidR="00B13A69" w:rsidRDefault="00B13A69">
      <w:pPr>
        <w:rPr>
          <w:rFonts w:ascii="Arial" w:hAnsi="Arial" w:cs="Arial"/>
          <w:sz w:val="24"/>
          <w:szCs w:val="24"/>
        </w:rPr>
      </w:pPr>
    </w:p>
    <w:p w14:paraId="5029529E" w14:textId="7FDCD1B5" w:rsidR="00B13A69" w:rsidRDefault="000F2F88">
      <w:r>
        <w:rPr>
          <w:rFonts w:ascii="Arial" w:hAnsi="Arial" w:cs="Arial"/>
          <w:sz w:val="24"/>
          <w:szCs w:val="24"/>
        </w:rPr>
        <w:t>Brink</w:t>
      </w:r>
      <w:r w:rsidR="00B94D9A">
        <w:rPr>
          <w:rFonts w:ascii="Arial" w:hAnsi="Arial" w:cs="Arial"/>
          <w:sz w:val="24"/>
          <w:szCs w:val="24"/>
        </w:rPr>
        <w:t>’s</w:t>
      </w:r>
      <w:r>
        <w:rPr>
          <w:rFonts w:ascii="Arial" w:hAnsi="Arial" w:cs="Arial"/>
          <w:sz w:val="24"/>
          <w:szCs w:val="24"/>
        </w:rPr>
        <w:t xml:space="preserve"> references</w:t>
      </w:r>
      <w:r w:rsidR="00B94D9A">
        <w:rPr>
          <w:rFonts w:ascii="Arial" w:hAnsi="Arial" w:cs="Arial"/>
          <w:sz w:val="24"/>
          <w:szCs w:val="24"/>
        </w:rPr>
        <w:t xml:space="preserve"> </w:t>
      </w:r>
      <w:r w:rsidR="00731960">
        <w:rPr>
          <w:rFonts w:ascii="Arial" w:hAnsi="Arial" w:cs="Arial"/>
          <w:sz w:val="24"/>
          <w:szCs w:val="24"/>
        </w:rPr>
        <w:t xml:space="preserve">also </w:t>
      </w:r>
      <w:r w:rsidR="00B94D9A">
        <w:rPr>
          <w:rFonts w:ascii="Arial" w:hAnsi="Arial" w:cs="Arial"/>
          <w:sz w:val="24"/>
          <w:szCs w:val="24"/>
        </w:rPr>
        <w:t>include his</w:t>
      </w:r>
      <w:r>
        <w:rPr>
          <w:rFonts w:ascii="Arial" w:hAnsi="Arial" w:cs="Arial"/>
          <w:sz w:val="24"/>
          <w:szCs w:val="24"/>
        </w:rPr>
        <w:t xml:space="preserve"> own </w:t>
      </w:r>
      <w:r w:rsidR="00B94D9A">
        <w:rPr>
          <w:rFonts w:ascii="Arial" w:hAnsi="Arial" w:cs="Arial"/>
          <w:sz w:val="24"/>
          <w:szCs w:val="24"/>
        </w:rPr>
        <w:t xml:space="preserve">previous </w:t>
      </w:r>
      <w:r>
        <w:rPr>
          <w:rFonts w:ascii="Arial" w:hAnsi="Arial" w:cs="Arial"/>
          <w:sz w:val="24"/>
          <w:szCs w:val="24"/>
        </w:rPr>
        <w:t>research</w:t>
      </w:r>
      <w:r w:rsidR="00B94D9A">
        <w:rPr>
          <w:rFonts w:ascii="Arial" w:hAnsi="Arial" w:cs="Arial"/>
          <w:sz w:val="24"/>
          <w:szCs w:val="24"/>
        </w:rPr>
        <w:t xml:space="preserve"> </w:t>
      </w:r>
      <w:r w:rsidR="00731960">
        <w:rPr>
          <w:rFonts w:ascii="Arial" w:hAnsi="Arial" w:cs="Arial"/>
          <w:sz w:val="24"/>
          <w:szCs w:val="24"/>
        </w:rPr>
        <w:t>and</w:t>
      </w:r>
      <w:r w:rsidR="00B94D9A">
        <w:rPr>
          <w:rFonts w:ascii="Arial" w:hAnsi="Arial" w:cs="Arial"/>
          <w:sz w:val="24"/>
          <w:szCs w:val="24"/>
        </w:rPr>
        <w:t xml:space="preserve"> </w:t>
      </w:r>
      <w:r w:rsidR="00731960">
        <w:rPr>
          <w:rFonts w:ascii="Arial" w:hAnsi="Arial" w:cs="Arial"/>
          <w:sz w:val="24"/>
          <w:szCs w:val="24"/>
        </w:rPr>
        <w:t>mark his territory in understanding the issue through the study of human psychology.</w:t>
      </w:r>
      <w:r>
        <w:rPr>
          <w:rFonts w:ascii="Arial" w:hAnsi="Arial" w:cs="Arial"/>
          <w:sz w:val="24"/>
          <w:szCs w:val="24"/>
        </w:rPr>
        <w:t xml:space="preserve"> </w:t>
      </w:r>
      <w:r w:rsidR="00731960">
        <w:rPr>
          <w:rFonts w:ascii="Arial" w:hAnsi="Arial" w:cs="Arial"/>
          <w:sz w:val="24"/>
          <w:szCs w:val="24"/>
        </w:rPr>
        <w:t>T</w:t>
      </w:r>
      <w:r>
        <w:rPr>
          <w:rFonts w:ascii="Arial" w:hAnsi="Arial" w:cs="Arial"/>
          <w:sz w:val="24"/>
          <w:szCs w:val="24"/>
        </w:rPr>
        <w:t xml:space="preserve">he </w:t>
      </w:r>
      <w:r w:rsidR="00731960">
        <w:rPr>
          <w:rFonts w:ascii="Arial" w:hAnsi="Arial" w:cs="Arial"/>
          <w:sz w:val="24"/>
          <w:szCs w:val="24"/>
        </w:rPr>
        <w:t>range</w:t>
      </w:r>
      <w:r>
        <w:rPr>
          <w:rFonts w:ascii="Arial" w:hAnsi="Arial" w:cs="Arial"/>
          <w:sz w:val="24"/>
          <w:szCs w:val="24"/>
        </w:rPr>
        <w:t xml:space="preserve"> of </w:t>
      </w:r>
      <w:r w:rsidR="00731960">
        <w:rPr>
          <w:rFonts w:ascii="Arial" w:hAnsi="Arial" w:cs="Arial"/>
          <w:sz w:val="24"/>
          <w:szCs w:val="24"/>
        </w:rPr>
        <w:t xml:space="preserve">his </w:t>
      </w:r>
      <w:r>
        <w:rPr>
          <w:rFonts w:ascii="Arial" w:hAnsi="Arial" w:cs="Arial"/>
          <w:sz w:val="24"/>
          <w:szCs w:val="24"/>
        </w:rPr>
        <w:t xml:space="preserve">other </w:t>
      </w:r>
      <w:r w:rsidR="00731960">
        <w:rPr>
          <w:rFonts w:ascii="Arial" w:hAnsi="Arial" w:cs="Arial"/>
          <w:sz w:val="24"/>
          <w:szCs w:val="24"/>
        </w:rPr>
        <w:t>references</w:t>
      </w:r>
      <w:r>
        <w:rPr>
          <w:rFonts w:ascii="Arial" w:hAnsi="Arial" w:cs="Arial"/>
          <w:sz w:val="24"/>
          <w:szCs w:val="24"/>
        </w:rPr>
        <w:t xml:space="preserve"> </w:t>
      </w:r>
      <w:r w:rsidR="00731960">
        <w:rPr>
          <w:rFonts w:ascii="Arial" w:hAnsi="Arial" w:cs="Arial"/>
          <w:sz w:val="24"/>
          <w:szCs w:val="24"/>
        </w:rPr>
        <w:t xml:space="preserve">underpin this </w:t>
      </w:r>
      <w:r>
        <w:rPr>
          <w:rFonts w:ascii="Arial" w:hAnsi="Arial" w:cs="Arial"/>
          <w:sz w:val="24"/>
          <w:szCs w:val="24"/>
        </w:rPr>
        <w:t xml:space="preserve">research </w:t>
      </w:r>
      <w:r w:rsidR="00731960">
        <w:rPr>
          <w:rFonts w:ascii="Arial" w:hAnsi="Arial" w:cs="Arial"/>
          <w:sz w:val="24"/>
          <w:szCs w:val="24"/>
        </w:rPr>
        <w:t>as an</w:t>
      </w:r>
      <w:r>
        <w:rPr>
          <w:rFonts w:ascii="Arial" w:hAnsi="Arial" w:cs="Arial"/>
          <w:sz w:val="24"/>
          <w:szCs w:val="24"/>
        </w:rPr>
        <w:t xml:space="preserve"> enquiry into cognitive aspects of attitudes and change, in particular consistency within beliefs</w:t>
      </w:r>
      <w:r w:rsidR="00731960">
        <w:rPr>
          <w:rFonts w:ascii="Arial" w:hAnsi="Arial" w:cs="Arial"/>
          <w:sz w:val="24"/>
          <w:szCs w:val="24"/>
        </w:rPr>
        <w:t>, and specifically as relevant to his subject group – American adolescents and girls</w:t>
      </w:r>
      <w:r>
        <w:rPr>
          <w:rFonts w:ascii="Arial" w:hAnsi="Arial" w:cs="Arial"/>
          <w:sz w:val="24"/>
          <w:szCs w:val="24"/>
        </w:rPr>
        <w:t xml:space="preserve">. Contempory </w:t>
      </w:r>
      <w:r w:rsidR="00731960">
        <w:rPr>
          <w:rFonts w:ascii="Arial" w:hAnsi="Arial" w:cs="Arial"/>
          <w:sz w:val="24"/>
          <w:szCs w:val="24"/>
        </w:rPr>
        <w:t>research is used,</w:t>
      </w:r>
      <w:r>
        <w:rPr>
          <w:rFonts w:ascii="Arial" w:hAnsi="Arial" w:cs="Arial"/>
          <w:sz w:val="24"/>
          <w:szCs w:val="24"/>
        </w:rPr>
        <w:t xml:space="preserve"> </w:t>
      </w:r>
      <w:r w:rsidR="00731960">
        <w:rPr>
          <w:rFonts w:ascii="Arial" w:hAnsi="Arial" w:cs="Arial"/>
          <w:sz w:val="24"/>
          <w:szCs w:val="24"/>
        </w:rPr>
        <w:t xml:space="preserve">and </w:t>
      </w:r>
      <w:r>
        <w:rPr>
          <w:rFonts w:ascii="Arial" w:hAnsi="Arial" w:cs="Arial"/>
          <w:sz w:val="24"/>
          <w:szCs w:val="24"/>
        </w:rPr>
        <w:t xml:space="preserve">within the </w:t>
      </w:r>
      <w:r w:rsidR="00731960">
        <w:rPr>
          <w:rFonts w:ascii="Arial" w:hAnsi="Arial" w:cs="Arial"/>
          <w:sz w:val="24"/>
          <w:szCs w:val="24"/>
        </w:rPr>
        <w:t xml:space="preserve">published scholarship </w:t>
      </w:r>
      <w:r>
        <w:rPr>
          <w:rFonts w:ascii="Arial" w:hAnsi="Arial" w:cs="Arial"/>
          <w:sz w:val="24"/>
          <w:szCs w:val="24"/>
        </w:rPr>
        <w:t>available</w:t>
      </w:r>
      <w:r w:rsidR="003A5BA6">
        <w:rPr>
          <w:rFonts w:ascii="Arial" w:hAnsi="Arial" w:cs="Arial"/>
          <w:sz w:val="24"/>
          <w:szCs w:val="24"/>
        </w:rPr>
        <w:t xml:space="preserve"> at that time</w:t>
      </w:r>
      <w:r>
        <w:rPr>
          <w:rFonts w:ascii="Arial" w:hAnsi="Arial" w:cs="Arial"/>
          <w:sz w:val="24"/>
          <w:szCs w:val="24"/>
        </w:rPr>
        <w:t xml:space="preserve"> and specific to astrology and reincarnation, seem to be chosen </w:t>
      </w:r>
      <w:r w:rsidR="003A5BA6">
        <w:rPr>
          <w:rFonts w:ascii="Arial" w:hAnsi="Arial" w:cs="Arial"/>
          <w:sz w:val="24"/>
          <w:szCs w:val="24"/>
        </w:rPr>
        <w:t>specifically</w:t>
      </w:r>
      <w:r>
        <w:rPr>
          <w:rFonts w:ascii="Arial" w:hAnsi="Arial" w:cs="Arial"/>
          <w:sz w:val="24"/>
          <w:szCs w:val="24"/>
        </w:rPr>
        <w:t xml:space="preserve"> for his hypothesis</w:t>
      </w:r>
      <w:r w:rsidR="003A5BA6">
        <w:rPr>
          <w:rFonts w:ascii="Arial" w:hAnsi="Arial" w:cs="Arial"/>
          <w:sz w:val="24"/>
          <w:szCs w:val="24"/>
        </w:rPr>
        <w:t>, adding to the internal coherence of the study</w:t>
      </w:r>
      <w:r>
        <w:rPr>
          <w:rFonts w:ascii="Arial" w:hAnsi="Arial" w:cs="Arial"/>
          <w:sz w:val="24"/>
          <w:szCs w:val="24"/>
        </w:rPr>
        <w:t>. For example, Piker’s study on consistency in Thai religion concludes with ‘the test of the compatibility of religious beliefs and practices is not whether they are logically consistent but whether they are felt to cohere, that is, whether they are felt to be true.’</w:t>
      </w:r>
      <w:r>
        <w:rPr>
          <w:rStyle w:val="FootnoteReference"/>
          <w:rFonts w:ascii="Arial" w:hAnsi="Arial" w:cs="Arial"/>
          <w:sz w:val="24"/>
          <w:szCs w:val="24"/>
        </w:rPr>
        <w:footnoteReference w:id="30"/>
      </w:r>
      <w:r>
        <w:rPr>
          <w:rFonts w:ascii="Arial" w:hAnsi="Arial" w:cs="Arial"/>
          <w:sz w:val="24"/>
          <w:szCs w:val="24"/>
        </w:rPr>
        <w:t xml:space="preserve"> </w:t>
      </w:r>
      <w:r w:rsidR="00731960">
        <w:rPr>
          <w:rFonts w:ascii="Arial" w:hAnsi="Arial" w:cs="Arial"/>
          <w:sz w:val="24"/>
          <w:szCs w:val="24"/>
        </w:rPr>
        <w:t xml:space="preserve">This is yet another reference to the </w:t>
      </w:r>
      <w:r w:rsidR="003A5BA6">
        <w:rPr>
          <w:rFonts w:ascii="Arial" w:hAnsi="Arial" w:cs="Arial"/>
          <w:sz w:val="24"/>
          <w:szCs w:val="24"/>
        </w:rPr>
        <w:t>cognitive dissonance hypothesis</w:t>
      </w:r>
      <w:r w:rsidR="00731960">
        <w:rPr>
          <w:rFonts w:ascii="Arial" w:hAnsi="Arial" w:cs="Arial"/>
          <w:sz w:val="24"/>
          <w:szCs w:val="24"/>
        </w:rPr>
        <w:t xml:space="preserve"> but this time from a culture that has reincarnation as an element of its traditional beliefs.</w:t>
      </w:r>
    </w:p>
    <w:p w14:paraId="5C536AB6" w14:textId="77777777" w:rsidR="00B13A69" w:rsidRDefault="00B13A69">
      <w:pPr>
        <w:rPr>
          <w:rFonts w:ascii="Arial" w:hAnsi="Arial" w:cs="Arial"/>
          <w:sz w:val="24"/>
          <w:szCs w:val="24"/>
        </w:rPr>
      </w:pPr>
    </w:p>
    <w:p w14:paraId="19410199" w14:textId="0FFC84A7" w:rsidR="00B13A69" w:rsidRDefault="003A5BA6">
      <w:pPr>
        <w:rPr>
          <w:rFonts w:ascii="Arial" w:hAnsi="Arial" w:cs="Arial"/>
          <w:sz w:val="24"/>
          <w:szCs w:val="24"/>
        </w:rPr>
      </w:pPr>
      <w:r>
        <w:rPr>
          <w:rFonts w:ascii="Arial" w:hAnsi="Arial" w:cs="Arial"/>
          <w:sz w:val="24"/>
          <w:szCs w:val="24"/>
        </w:rPr>
        <w:t>Both articles use relevant and of academic quality, references to establish their rationale, research questions and support their conclusions. Between the two of these, the structure used by Brink allows for a more accessible coherence to understanding this basis than the Waterhouse and Walter research.</w:t>
      </w:r>
    </w:p>
    <w:p w14:paraId="51C735F5" w14:textId="77777777" w:rsidR="00B13A69" w:rsidRDefault="00B13A69">
      <w:pPr>
        <w:rPr>
          <w:rFonts w:ascii="Arial" w:hAnsi="Arial" w:cs="Arial"/>
          <w:sz w:val="24"/>
          <w:szCs w:val="24"/>
        </w:rPr>
      </w:pPr>
    </w:p>
    <w:p w14:paraId="256FBE28" w14:textId="77777777" w:rsidR="00B13A69" w:rsidRDefault="000F2F88">
      <w:pPr>
        <w:pStyle w:val="Heading2"/>
        <w:rPr>
          <w:b/>
          <w:bCs/>
          <w:color w:val="auto"/>
          <w:sz w:val="32"/>
          <w:szCs w:val="32"/>
        </w:rPr>
      </w:pPr>
      <w:r>
        <w:rPr>
          <w:b/>
          <w:bCs/>
          <w:color w:val="auto"/>
          <w:sz w:val="32"/>
          <w:szCs w:val="32"/>
        </w:rPr>
        <w:lastRenderedPageBreak/>
        <w:t>Methodology used for the research</w:t>
      </w:r>
    </w:p>
    <w:p w14:paraId="6D3D0831" w14:textId="65900966" w:rsidR="00B13A69" w:rsidRDefault="000F2F88">
      <w:pPr>
        <w:rPr>
          <w:rFonts w:ascii="Arial" w:hAnsi="Arial" w:cs="Arial"/>
          <w:sz w:val="24"/>
          <w:szCs w:val="24"/>
        </w:rPr>
      </w:pPr>
      <w:r>
        <w:rPr>
          <w:rFonts w:ascii="Arial" w:hAnsi="Arial" w:cs="Arial"/>
          <w:sz w:val="24"/>
          <w:szCs w:val="24"/>
        </w:rPr>
        <w:t xml:space="preserve">Both </w:t>
      </w:r>
      <w:r w:rsidR="00F901C9">
        <w:rPr>
          <w:rFonts w:ascii="Arial" w:hAnsi="Arial" w:cs="Arial"/>
          <w:sz w:val="24"/>
          <w:szCs w:val="24"/>
        </w:rPr>
        <w:t>articles</w:t>
      </w:r>
      <w:r>
        <w:rPr>
          <w:rFonts w:ascii="Arial" w:hAnsi="Arial" w:cs="Arial"/>
          <w:sz w:val="24"/>
          <w:szCs w:val="24"/>
        </w:rPr>
        <w:t xml:space="preserve"> are published in journals dedicated to religious research and academic study and they both seek to </w:t>
      </w:r>
      <w:r w:rsidR="00F901C9">
        <w:rPr>
          <w:rFonts w:ascii="Arial" w:hAnsi="Arial" w:cs="Arial"/>
          <w:sz w:val="24"/>
          <w:szCs w:val="24"/>
        </w:rPr>
        <w:t>extend the scholarship on</w:t>
      </w:r>
      <w:r w:rsidR="009F6C33">
        <w:rPr>
          <w:rFonts w:ascii="Arial" w:hAnsi="Arial" w:cs="Arial"/>
          <w:sz w:val="24"/>
          <w:szCs w:val="24"/>
        </w:rPr>
        <w:t xml:space="preserve"> reported</w:t>
      </w:r>
      <w:r>
        <w:rPr>
          <w:rFonts w:ascii="Arial" w:hAnsi="Arial" w:cs="Arial"/>
          <w:sz w:val="24"/>
          <w:szCs w:val="24"/>
        </w:rPr>
        <w:t xml:space="preserve"> inconsistency in people’s religious beliefs</w:t>
      </w:r>
      <w:r w:rsidR="009F6C33">
        <w:rPr>
          <w:rFonts w:ascii="Arial" w:hAnsi="Arial" w:cs="Arial"/>
          <w:sz w:val="24"/>
          <w:szCs w:val="24"/>
        </w:rPr>
        <w:t xml:space="preserve"> and the role played by their adherence to their western religious tradition’s rites and practices</w:t>
      </w:r>
      <w:r>
        <w:rPr>
          <w:rFonts w:ascii="Arial" w:hAnsi="Arial" w:cs="Arial"/>
          <w:sz w:val="24"/>
          <w:szCs w:val="24"/>
        </w:rPr>
        <w:t xml:space="preserve">. </w:t>
      </w:r>
      <w:r w:rsidR="009F6C33">
        <w:rPr>
          <w:rFonts w:ascii="Arial" w:hAnsi="Arial" w:cs="Arial"/>
          <w:sz w:val="24"/>
          <w:szCs w:val="24"/>
        </w:rPr>
        <w:t>Today,</w:t>
      </w:r>
      <w:r>
        <w:rPr>
          <w:rFonts w:ascii="Arial" w:hAnsi="Arial" w:cs="Arial"/>
          <w:sz w:val="24"/>
          <w:szCs w:val="24"/>
        </w:rPr>
        <w:t xml:space="preserve"> this goal </w:t>
      </w:r>
      <w:r w:rsidR="009F6C33">
        <w:rPr>
          <w:rFonts w:ascii="Arial" w:hAnsi="Arial" w:cs="Arial"/>
          <w:sz w:val="24"/>
          <w:szCs w:val="24"/>
        </w:rPr>
        <w:t>might</w:t>
      </w:r>
      <w:r>
        <w:rPr>
          <w:rFonts w:ascii="Arial" w:hAnsi="Arial" w:cs="Arial"/>
          <w:sz w:val="24"/>
          <w:szCs w:val="24"/>
        </w:rPr>
        <w:t xml:space="preserve"> indicate a qualitative research methodology according to Hennink, Hutter and Bailey</w:t>
      </w:r>
      <w:r w:rsidR="002D25E7">
        <w:rPr>
          <w:rFonts w:ascii="Arial" w:hAnsi="Arial" w:cs="Arial"/>
          <w:sz w:val="24"/>
          <w:szCs w:val="24"/>
        </w:rPr>
        <w:t xml:space="preserve"> who define the basis of the choice in this way</w:t>
      </w:r>
    </w:p>
    <w:p w14:paraId="59702734" w14:textId="77777777" w:rsidR="00B13A69" w:rsidRDefault="00B13A69">
      <w:pPr>
        <w:rPr>
          <w:rFonts w:ascii="Arial" w:hAnsi="Arial" w:cs="Arial"/>
          <w:sz w:val="24"/>
          <w:szCs w:val="24"/>
        </w:rPr>
      </w:pPr>
    </w:p>
    <w:p w14:paraId="3E9CCE62" w14:textId="77777777" w:rsidR="00B13A69" w:rsidRDefault="000F2F88">
      <w:pPr>
        <w:ind w:left="720"/>
      </w:pPr>
      <w:r>
        <w:rPr>
          <w:rFonts w:ascii="Arial" w:hAnsi="Arial" w:cs="Arial"/>
          <w:sz w:val="24"/>
          <w:szCs w:val="24"/>
        </w:rPr>
        <w:t>In contrast [to quantitative research], the purpose of qualitative research is to seek a contextualized understanding of phenomena, explain behaviour and beliefs, identify processes, and understand the context of people’s experiences.</w:t>
      </w:r>
      <w:r>
        <w:rPr>
          <w:rStyle w:val="FootnoteReference"/>
          <w:rFonts w:ascii="Arial" w:hAnsi="Arial" w:cs="Arial"/>
          <w:sz w:val="24"/>
          <w:szCs w:val="24"/>
        </w:rPr>
        <w:footnoteReference w:id="31"/>
      </w:r>
    </w:p>
    <w:p w14:paraId="25A25A01" w14:textId="77777777" w:rsidR="009F6C33" w:rsidRDefault="009F6C33">
      <w:pPr>
        <w:rPr>
          <w:rFonts w:ascii="Arial" w:hAnsi="Arial" w:cs="Arial"/>
          <w:sz w:val="24"/>
          <w:szCs w:val="24"/>
        </w:rPr>
      </w:pPr>
    </w:p>
    <w:p w14:paraId="26E243AB" w14:textId="2AE8BA78" w:rsidR="00B13A69" w:rsidRPr="00F901C9" w:rsidRDefault="000F2F88">
      <w:pPr>
        <w:rPr>
          <w:rFonts w:ascii="Arial" w:hAnsi="Arial" w:cs="Arial"/>
          <w:sz w:val="24"/>
          <w:szCs w:val="24"/>
        </w:rPr>
      </w:pPr>
      <w:r>
        <w:rPr>
          <w:rFonts w:ascii="Arial" w:hAnsi="Arial" w:cs="Arial"/>
          <w:sz w:val="24"/>
          <w:szCs w:val="24"/>
        </w:rPr>
        <w:t xml:space="preserve">Walter and Waterhouse </w:t>
      </w:r>
      <w:r w:rsidR="009F6C33">
        <w:rPr>
          <w:rFonts w:ascii="Arial" w:hAnsi="Arial" w:cs="Arial"/>
          <w:sz w:val="24"/>
          <w:szCs w:val="24"/>
        </w:rPr>
        <w:t xml:space="preserve">chose a </w:t>
      </w:r>
      <w:r>
        <w:rPr>
          <w:rFonts w:ascii="Arial" w:hAnsi="Arial" w:cs="Arial"/>
          <w:sz w:val="24"/>
          <w:szCs w:val="24"/>
        </w:rPr>
        <w:t>qualitative research methodology</w:t>
      </w:r>
      <w:r w:rsidR="009F6C33">
        <w:rPr>
          <w:rFonts w:ascii="Arial" w:hAnsi="Arial" w:cs="Arial"/>
          <w:sz w:val="24"/>
          <w:szCs w:val="24"/>
        </w:rPr>
        <w:t xml:space="preserve"> but</w:t>
      </w:r>
      <w:r w:rsidR="00F901C9">
        <w:rPr>
          <w:rFonts w:ascii="Arial" w:hAnsi="Arial" w:cs="Arial"/>
          <w:sz w:val="24"/>
          <w:szCs w:val="24"/>
        </w:rPr>
        <w:t xml:space="preserve"> they </w:t>
      </w:r>
      <w:r w:rsidR="009F6C33">
        <w:rPr>
          <w:rFonts w:ascii="Arial" w:hAnsi="Arial" w:cs="Arial"/>
          <w:sz w:val="24"/>
          <w:szCs w:val="24"/>
        </w:rPr>
        <w:t xml:space="preserve">used </w:t>
      </w:r>
      <w:r w:rsidR="00F901C9">
        <w:rPr>
          <w:rFonts w:ascii="Arial" w:hAnsi="Arial" w:cs="Arial"/>
          <w:sz w:val="24"/>
          <w:szCs w:val="24"/>
        </w:rPr>
        <w:t xml:space="preserve">contemporary </w:t>
      </w:r>
      <w:r w:rsidR="009F6C33">
        <w:rPr>
          <w:rFonts w:ascii="Arial" w:hAnsi="Arial" w:cs="Arial"/>
          <w:sz w:val="24"/>
          <w:szCs w:val="24"/>
        </w:rPr>
        <w:t>quantitative research</w:t>
      </w:r>
      <w:r w:rsidR="00F901C9">
        <w:rPr>
          <w:rFonts w:ascii="Arial" w:hAnsi="Arial" w:cs="Arial"/>
          <w:sz w:val="24"/>
          <w:szCs w:val="24"/>
        </w:rPr>
        <w:t xml:space="preserve"> in the field of study </w:t>
      </w:r>
      <w:r w:rsidR="009F6C33">
        <w:rPr>
          <w:rFonts w:ascii="Arial" w:hAnsi="Arial" w:cs="Arial"/>
          <w:sz w:val="24"/>
          <w:szCs w:val="24"/>
        </w:rPr>
        <w:t>to derive their academic rationale</w:t>
      </w:r>
      <w:r w:rsidR="00F901C9">
        <w:rPr>
          <w:rFonts w:ascii="Arial" w:hAnsi="Arial" w:cs="Arial"/>
          <w:sz w:val="24"/>
          <w:szCs w:val="24"/>
        </w:rPr>
        <w:t>, develop theories and design their investigation</w:t>
      </w:r>
      <w:r w:rsidR="009F6C33">
        <w:rPr>
          <w:rFonts w:ascii="Arial" w:hAnsi="Arial" w:cs="Arial"/>
          <w:sz w:val="24"/>
          <w:szCs w:val="24"/>
        </w:rPr>
        <w:t>.</w:t>
      </w:r>
      <w:r>
        <w:rPr>
          <w:rFonts w:ascii="Arial" w:hAnsi="Arial" w:cs="Arial"/>
          <w:sz w:val="24"/>
          <w:szCs w:val="24"/>
        </w:rPr>
        <w:t xml:space="preserve"> </w:t>
      </w:r>
      <w:r w:rsidR="00F901C9">
        <w:rPr>
          <w:rFonts w:ascii="Arial" w:hAnsi="Arial" w:cs="Arial"/>
          <w:sz w:val="24"/>
          <w:szCs w:val="24"/>
        </w:rPr>
        <w:t>They chose</w:t>
      </w:r>
      <w:r>
        <w:rPr>
          <w:rFonts w:ascii="Arial" w:hAnsi="Arial" w:cs="Arial"/>
          <w:sz w:val="24"/>
          <w:szCs w:val="24"/>
        </w:rPr>
        <w:t xml:space="preserve"> interviews</w:t>
      </w:r>
      <w:r w:rsidR="008E0DB0">
        <w:rPr>
          <w:rFonts w:ascii="Arial" w:hAnsi="Arial" w:cs="Arial"/>
          <w:sz w:val="24"/>
          <w:szCs w:val="24"/>
        </w:rPr>
        <w:t>, both one-to-one and groups,</w:t>
      </w:r>
      <w:r>
        <w:rPr>
          <w:rFonts w:ascii="Arial" w:hAnsi="Arial" w:cs="Arial"/>
          <w:sz w:val="24"/>
          <w:szCs w:val="24"/>
        </w:rPr>
        <w:t xml:space="preserve"> and as their method </w:t>
      </w:r>
      <w:r w:rsidR="00F901C9">
        <w:rPr>
          <w:rFonts w:ascii="Arial" w:hAnsi="Arial" w:cs="Arial"/>
          <w:sz w:val="24"/>
          <w:szCs w:val="24"/>
        </w:rPr>
        <w:t xml:space="preserve">in order </w:t>
      </w:r>
      <w:r>
        <w:rPr>
          <w:rFonts w:ascii="Arial" w:hAnsi="Arial" w:cs="Arial"/>
          <w:sz w:val="24"/>
          <w:szCs w:val="24"/>
        </w:rPr>
        <w:t xml:space="preserve">to create a ‘small intensive </w:t>
      </w:r>
      <w:r w:rsidR="00F901C9">
        <w:rPr>
          <w:rFonts w:ascii="Arial" w:hAnsi="Arial" w:cs="Arial"/>
          <w:sz w:val="24"/>
          <w:szCs w:val="24"/>
        </w:rPr>
        <w:t>interview</w:t>
      </w:r>
      <w:r>
        <w:rPr>
          <w:rFonts w:ascii="Arial" w:hAnsi="Arial" w:cs="Arial"/>
          <w:sz w:val="24"/>
          <w:szCs w:val="24"/>
        </w:rPr>
        <w:t xml:space="preserve"> study’</w:t>
      </w:r>
      <w:r w:rsidR="00F901C9">
        <w:rPr>
          <w:rStyle w:val="FootnoteReference"/>
          <w:rFonts w:ascii="Arial" w:hAnsi="Arial" w:cs="Arial"/>
          <w:sz w:val="24"/>
          <w:szCs w:val="24"/>
        </w:rPr>
        <w:footnoteReference w:id="32"/>
      </w:r>
      <w:r>
        <w:rPr>
          <w:rFonts w:ascii="Arial" w:hAnsi="Arial" w:cs="Arial"/>
          <w:sz w:val="24"/>
          <w:szCs w:val="24"/>
        </w:rPr>
        <w:t>.</w:t>
      </w:r>
      <w:r w:rsidR="002D25E7">
        <w:rPr>
          <w:rFonts w:ascii="Arial" w:hAnsi="Arial" w:cs="Arial"/>
          <w:sz w:val="24"/>
          <w:szCs w:val="24"/>
        </w:rPr>
        <w:t xml:space="preserve"> </w:t>
      </w:r>
      <w:r w:rsidR="002D25E7">
        <w:rPr>
          <w:rFonts w:ascii="Arial" w:hAnsi="Arial" w:cs="Arial"/>
          <w:bCs/>
          <w:sz w:val="24"/>
          <w:szCs w:val="24"/>
        </w:rPr>
        <w:t>Their approach to recruiting the participants</w:t>
      </w:r>
      <w:r>
        <w:rPr>
          <w:rFonts w:ascii="Arial" w:hAnsi="Arial" w:cs="Arial"/>
          <w:bCs/>
          <w:sz w:val="24"/>
          <w:szCs w:val="24"/>
        </w:rPr>
        <w:t xml:space="preserve"> </w:t>
      </w:r>
      <w:r w:rsidR="002D25E7">
        <w:rPr>
          <w:rFonts w:ascii="Arial" w:hAnsi="Arial" w:cs="Arial"/>
          <w:bCs/>
          <w:sz w:val="24"/>
          <w:szCs w:val="24"/>
        </w:rPr>
        <w:t>for</w:t>
      </w:r>
      <w:r>
        <w:rPr>
          <w:rFonts w:ascii="Arial" w:hAnsi="Arial" w:cs="Arial"/>
          <w:bCs/>
          <w:sz w:val="24"/>
          <w:szCs w:val="24"/>
        </w:rPr>
        <w:t xml:space="preserve"> their investigation</w:t>
      </w:r>
      <w:r w:rsidR="002D25E7">
        <w:rPr>
          <w:rFonts w:ascii="Arial" w:hAnsi="Arial" w:cs="Arial"/>
          <w:bCs/>
          <w:sz w:val="24"/>
          <w:szCs w:val="24"/>
        </w:rPr>
        <w:t xml:space="preserve"> will be commented on further in the Insider/Outsider &amp; Reflexivity section of this analysis, but to point out the issue with how they set criteria for identifying this sample profile is noted here.</w:t>
      </w:r>
      <w:r>
        <w:rPr>
          <w:rFonts w:ascii="Arial" w:hAnsi="Arial" w:cs="Arial"/>
          <w:bCs/>
          <w:sz w:val="24"/>
          <w:szCs w:val="24"/>
        </w:rPr>
        <w:t xml:space="preserve"> </w:t>
      </w:r>
      <w:r w:rsidR="002D25E7">
        <w:rPr>
          <w:rFonts w:ascii="Arial" w:hAnsi="Arial" w:cs="Arial"/>
          <w:bCs/>
          <w:sz w:val="24"/>
          <w:szCs w:val="24"/>
        </w:rPr>
        <w:t>Their goal to recruit</w:t>
      </w:r>
      <w:r>
        <w:rPr>
          <w:rFonts w:ascii="Arial" w:hAnsi="Arial" w:cs="Arial"/>
          <w:bCs/>
          <w:sz w:val="24"/>
          <w:szCs w:val="24"/>
        </w:rPr>
        <w:t xml:space="preserve"> English people who say they </w:t>
      </w:r>
      <w:r w:rsidR="00F93BED">
        <w:rPr>
          <w:rFonts w:ascii="Arial" w:hAnsi="Arial" w:cs="Arial"/>
          <w:bCs/>
          <w:sz w:val="24"/>
          <w:szCs w:val="24"/>
        </w:rPr>
        <w:t xml:space="preserve">entertain the idea </w:t>
      </w:r>
      <w:r>
        <w:rPr>
          <w:rFonts w:ascii="Arial" w:hAnsi="Arial" w:cs="Arial"/>
          <w:bCs/>
          <w:sz w:val="24"/>
          <w:szCs w:val="24"/>
        </w:rPr>
        <w:t xml:space="preserve">reincarnation </w:t>
      </w:r>
      <w:r w:rsidR="00F93BED">
        <w:rPr>
          <w:rFonts w:ascii="Arial" w:hAnsi="Arial" w:cs="Arial"/>
          <w:bCs/>
          <w:sz w:val="24"/>
          <w:szCs w:val="24"/>
        </w:rPr>
        <w:t>set out to</w:t>
      </w:r>
      <w:r>
        <w:rPr>
          <w:rFonts w:ascii="Arial" w:hAnsi="Arial" w:cs="Arial"/>
          <w:bCs/>
          <w:sz w:val="24"/>
          <w:szCs w:val="24"/>
        </w:rPr>
        <w:t xml:space="preserve"> exclude English people who belong to a faith that includes reincarnation in its doctrine</w:t>
      </w:r>
      <w:r w:rsidR="00F901C9">
        <w:rPr>
          <w:rFonts w:ascii="Arial" w:hAnsi="Arial" w:cs="Arial"/>
          <w:bCs/>
          <w:sz w:val="24"/>
          <w:szCs w:val="24"/>
        </w:rPr>
        <w:t xml:space="preserve"> </w:t>
      </w:r>
      <w:r w:rsidR="00F93BED">
        <w:rPr>
          <w:rFonts w:ascii="Arial" w:hAnsi="Arial" w:cs="Arial"/>
          <w:bCs/>
          <w:sz w:val="24"/>
          <w:szCs w:val="24"/>
        </w:rPr>
        <w:t>(Sikh, Hindu, etc.) and</w:t>
      </w:r>
      <w:r w:rsidR="00F901C9">
        <w:rPr>
          <w:rFonts w:ascii="Arial" w:hAnsi="Arial" w:cs="Arial"/>
          <w:bCs/>
          <w:sz w:val="24"/>
          <w:szCs w:val="24"/>
        </w:rPr>
        <w:t xml:space="preserve"> </w:t>
      </w:r>
      <w:r w:rsidR="002D25E7">
        <w:rPr>
          <w:rFonts w:ascii="Arial" w:hAnsi="Arial" w:cs="Arial"/>
          <w:bCs/>
          <w:sz w:val="24"/>
          <w:szCs w:val="24"/>
        </w:rPr>
        <w:t xml:space="preserve">also </w:t>
      </w:r>
      <w:r w:rsidR="00F93BED">
        <w:rPr>
          <w:rFonts w:ascii="Arial" w:hAnsi="Arial" w:cs="Arial"/>
          <w:bCs/>
          <w:sz w:val="24"/>
          <w:szCs w:val="24"/>
        </w:rPr>
        <w:t>people raised in a traditional western religious culture who exhibit the potential to have ‘</w:t>
      </w:r>
      <w:r w:rsidR="00F901C9">
        <w:rPr>
          <w:rFonts w:ascii="Arial" w:hAnsi="Arial" w:cs="Arial"/>
          <w:bCs/>
          <w:sz w:val="24"/>
          <w:szCs w:val="24"/>
        </w:rPr>
        <w:t>New Age</w:t>
      </w:r>
      <w:r w:rsidR="00F93BED">
        <w:rPr>
          <w:rFonts w:ascii="Arial" w:hAnsi="Arial" w:cs="Arial"/>
          <w:bCs/>
          <w:sz w:val="24"/>
          <w:szCs w:val="24"/>
        </w:rPr>
        <w:t>’</w:t>
      </w:r>
      <w:r w:rsidR="00F901C9">
        <w:rPr>
          <w:rFonts w:ascii="Arial" w:hAnsi="Arial" w:cs="Arial"/>
          <w:bCs/>
          <w:sz w:val="24"/>
          <w:szCs w:val="24"/>
        </w:rPr>
        <w:t xml:space="preserve"> traits </w:t>
      </w:r>
      <w:r>
        <w:rPr>
          <w:rFonts w:ascii="Arial" w:hAnsi="Arial" w:cs="Arial"/>
          <w:bCs/>
          <w:sz w:val="24"/>
          <w:szCs w:val="24"/>
        </w:rPr>
        <w:t>from their sample.</w:t>
      </w:r>
      <w:r w:rsidR="00F901C9">
        <w:rPr>
          <w:rFonts w:ascii="Arial" w:hAnsi="Arial" w:cs="Arial"/>
          <w:bCs/>
          <w:sz w:val="24"/>
          <w:szCs w:val="24"/>
        </w:rPr>
        <w:t xml:space="preserve"> This </w:t>
      </w:r>
      <w:r w:rsidR="00F93BED">
        <w:rPr>
          <w:rFonts w:ascii="Arial" w:hAnsi="Arial" w:cs="Arial"/>
          <w:bCs/>
          <w:sz w:val="24"/>
          <w:szCs w:val="24"/>
        </w:rPr>
        <w:t>partly</w:t>
      </w:r>
      <w:r w:rsidR="00F901C9">
        <w:rPr>
          <w:rFonts w:ascii="Arial" w:hAnsi="Arial" w:cs="Arial"/>
          <w:bCs/>
          <w:sz w:val="24"/>
          <w:szCs w:val="24"/>
        </w:rPr>
        <w:t xml:space="preserve"> work</w:t>
      </w:r>
      <w:r w:rsidR="00F93BED">
        <w:rPr>
          <w:rFonts w:ascii="Arial" w:hAnsi="Arial" w:cs="Arial"/>
          <w:bCs/>
          <w:sz w:val="24"/>
          <w:szCs w:val="24"/>
        </w:rPr>
        <w:t>s</w:t>
      </w:r>
      <w:r w:rsidR="00F901C9">
        <w:rPr>
          <w:rFonts w:ascii="Arial" w:hAnsi="Arial" w:cs="Arial"/>
          <w:bCs/>
          <w:sz w:val="24"/>
          <w:szCs w:val="24"/>
        </w:rPr>
        <w:t xml:space="preserve"> for them </w:t>
      </w:r>
      <w:r w:rsidR="002D25E7">
        <w:rPr>
          <w:rFonts w:ascii="Arial" w:hAnsi="Arial" w:cs="Arial"/>
          <w:bCs/>
          <w:sz w:val="24"/>
          <w:szCs w:val="24"/>
        </w:rPr>
        <w:t xml:space="preserve">when they </w:t>
      </w:r>
      <w:r w:rsidR="008A6593">
        <w:rPr>
          <w:rFonts w:ascii="Arial" w:hAnsi="Arial" w:cs="Arial"/>
          <w:bCs/>
          <w:sz w:val="24"/>
          <w:szCs w:val="24"/>
        </w:rPr>
        <w:t>involved in</w:t>
      </w:r>
      <w:r w:rsidR="002D25E7">
        <w:rPr>
          <w:rFonts w:ascii="Arial" w:hAnsi="Arial" w:cs="Arial"/>
          <w:bCs/>
          <w:sz w:val="24"/>
          <w:szCs w:val="24"/>
        </w:rPr>
        <w:t xml:space="preserve"> the interview</w:t>
      </w:r>
      <w:r w:rsidR="008A6593">
        <w:rPr>
          <w:rFonts w:ascii="Arial" w:hAnsi="Arial" w:cs="Arial"/>
          <w:bCs/>
          <w:sz w:val="24"/>
          <w:szCs w:val="24"/>
        </w:rPr>
        <w:t xml:space="preserve"> stage </w:t>
      </w:r>
      <w:r w:rsidR="002D25E7">
        <w:rPr>
          <w:rFonts w:ascii="Arial" w:hAnsi="Arial" w:cs="Arial"/>
          <w:bCs/>
          <w:sz w:val="24"/>
          <w:szCs w:val="24"/>
        </w:rPr>
        <w:t xml:space="preserve">and have to </w:t>
      </w:r>
      <w:r w:rsidR="008A6593">
        <w:rPr>
          <w:rFonts w:ascii="Arial" w:hAnsi="Arial" w:cs="Arial"/>
          <w:bCs/>
          <w:sz w:val="24"/>
          <w:szCs w:val="24"/>
        </w:rPr>
        <w:t>embark on</w:t>
      </w:r>
      <w:r w:rsidR="00F93BED">
        <w:rPr>
          <w:rFonts w:ascii="Arial" w:hAnsi="Arial" w:cs="Arial"/>
          <w:bCs/>
          <w:sz w:val="24"/>
          <w:szCs w:val="24"/>
        </w:rPr>
        <w:t xml:space="preserve"> the iterative refinement of their rationale when they discover Quakers and </w:t>
      </w:r>
      <w:r w:rsidR="008A6593">
        <w:rPr>
          <w:rFonts w:ascii="Arial" w:hAnsi="Arial" w:cs="Arial"/>
          <w:bCs/>
          <w:sz w:val="24"/>
          <w:szCs w:val="24"/>
        </w:rPr>
        <w:t>other subjects who exhibit ‘New Age’ traits don’t conform neatly into their pre-recruitment participant criteria. This is good practice, and although referred to earlier in the section above, as being difficult to comprehend easily because of the structure of the article, it was inferred that they had carried out the inductive and deductive reasoning needed to keep refine their research as it progressed.</w:t>
      </w:r>
      <w:r w:rsidR="008A6593">
        <w:rPr>
          <w:rStyle w:val="FootnoteReference"/>
          <w:rFonts w:ascii="Arial" w:hAnsi="Arial" w:cs="Arial"/>
          <w:bCs/>
          <w:sz w:val="24"/>
          <w:szCs w:val="24"/>
        </w:rPr>
        <w:footnoteReference w:id="33"/>
      </w:r>
    </w:p>
    <w:p w14:paraId="514ABE9A" w14:textId="77777777" w:rsidR="00B13A69" w:rsidRDefault="00B13A69">
      <w:pPr>
        <w:rPr>
          <w:rFonts w:ascii="Arial" w:hAnsi="Arial" w:cs="Arial"/>
          <w:sz w:val="24"/>
          <w:szCs w:val="24"/>
        </w:rPr>
      </w:pPr>
    </w:p>
    <w:p w14:paraId="33E8A411" w14:textId="77777777" w:rsidR="000D2286" w:rsidRDefault="000F2F88" w:rsidP="006E3487">
      <w:pPr>
        <w:rPr>
          <w:rFonts w:ascii="Arial" w:hAnsi="Arial" w:cs="Arial"/>
          <w:sz w:val="24"/>
          <w:szCs w:val="24"/>
        </w:rPr>
      </w:pPr>
      <w:r>
        <w:rPr>
          <w:rFonts w:ascii="Arial" w:hAnsi="Arial" w:cs="Arial"/>
          <w:sz w:val="24"/>
          <w:szCs w:val="24"/>
        </w:rPr>
        <w:t>Brink chooses a</w:t>
      </w:r>
      <w:r w:rsidR="006E3487">
        <w:rPr>
          <w:rFonts w:ascii="Arial" w:hAnsi="Arial" w:cs="Arial"/>
          <w:sz w:val="24"/>
          <w:szCs w:val="24"/>
        </w:rPr>
        <w:t xml:space="preserve"> quantitative methodology </w:t>
      </w:r>
      <w:r>
        <w:rPr>
          <w:rFonts w:ascii="Arial" w:hAnsi="Arial" w:cs="Arial"/>
          <w:sz w:val="24"/>
          <w:szCs w:val="24"/>
        </w:rPr>
        <w:t>for his research and uses a survey to poll beliefs</w:t>
      </w:r>
      <w:r w:rsidR="006E3487">
        <w:rPr>
          <w:rFonts w:ascii="Arial" w:hAnsi="Arial" w:cs="Arial"/>
          <w:sz w:val="24"/>
          <w:szCs w:val="24"/>
        </w:rPr>
        <w:t xml:space="preserve"> and adherence to the western religious tradition’s rites </w:t>
      </w:r>
      <w:r>
        <w:rPr>
          <w:rFonts w:ascii="Arial" w:hAnsi="Arial" w:cs="Arial"/>
          <w:sz w:val="24"/>
          <w:szCs w:val="24"/>
        </w:rPr>
        <w:t>amongst adolescent girls attending religious studies classes in a Catholic school, in order to confirm or falsify his hypothesis. According to Moser and Kalton the survey method is used to ‘investigate a cause–effe</w:t>
      </w:r>
      <w:r w:rsidR="008A6593">
        <w:rPr>
          <w:rFonts w:ascii="Arial" w:hAnsi="Arial" w:cs="Arial"/>
          <w:sz w:val="24"/>
          <w:szCs w:val="24"/>
        </w:rPr>
        <w:t>c</w:t>
      </w:r>
      <w:r>
        <w:rPr>
          <w:rFonts w:ascii="Arial" w:hAnsi="Arial" w:cs="Arial"/>
          <w:sz w:val="24"/>
          <w:szCs w:val="24"/>
        </w:rPr>
        <w:t>t relationship or to throw fresh light on some aspect of sociological theory’</w:t>
      </w:r>
      <w:r>
        <w:rPr>
          <w:rStyle w:val="FootnoteReference"/>
          <w:rFonts w:ascii="Arial" w:hAnsi="Arial" w:cs="Arial"/>
          <w:sz w:val="24"/>
          <w:szCs w:val="24"/>
        </w:rPr>
        <w:footnoteReference w:id="34"/>
      </w:r>
      <w:r>
        <w:rPr>
          <w:rFonts w:ascii="Arial" w:hAnsi="Arial" w:cs="Arial"/>
          <w:sz w:val="24"/>
          <w:szCs w:val="24"/>
        </w:rPr>
        <w:t xml:space="preserve"> by finding out the opinions and attitudes of a certain group of people. </w:t>
      </w:r>
      <w:r w:rsidR="003A5BA6">
        <w:rPr>
          <w:rFonts w:ascii="Arial" w:hAnsi="Arial" w:cs="Arial"/>
          <w:sz w:val="24"/>
          <w:szCs w:val="24"/>
        </w:rPr>
        <w:t>At the time that Brink designs his research, Gaede when reviewing the state of the art for research into religious beliefs, asserts that ‘At the empirical level…have generally (but not uniformly) found that, among both Catholics and Protestants, high levels of belief are associated with high levels of religious ritual participation’.</w:t>
      </w:r>
      <w:r w:rsidR="003A5BA6">
        <w:rPr>
          <w:rStyle w:val="FootnoteReference"/>
          <w:rFonts w:ascii="Arial" w:hAnsi="Arial" w:cs="Arial"/>
          <w:sz w:val="24"/>
          <w:szCs w:val="24"/>
        </w:rPr>
        <w:footnoteReference w:id="35"/>
      </w:r>
      <w:r w:rsidR="003A5BA6">
        <w:rPr>
          <w:rFonts w:ascii="Arial" w:hAnsi="Arial" w:cs="Arial"/>
          <w:sz w:val="24"/>
          <w:szCs w:val="24"/>
        </w:rPr>
        <w:t xml:space="preserve"> Other research into reincarnation at the time, such as Sigelman’s Multinational Survey of Religious Beliefs use the same kind of methodology asking questions such as ‘Do </w:t>
      </w:r>
      <w:r w:rsidR="003A5BA6">
        <w:rPr>
          <w:rFonts w:ascii="Arial" w:hAnsi="Arial" w:cs="Arial"/>
          <w:sz w:val="24"/>
          <w:szCs w:val="24"/>
        </w:rPr>
        <w:lastRenderedPageBreak/>
        <w:t>you believe in heaven?’; ‘Do you believe in life after death?’; ‘Do you believe in reincarnation?’</w:t>
      </w:r>
      <w:r w:rsidR="003A5BA6">
        <w:rPr>
          <w:rStyle w:val="FootnoteReference"/>
          <w:rFonts w:ascii="Arial" w:hAnsi="Arial" w:cs="Arial"/>
          <w:sz w:val="24"/>
          <w:szCs w:val="24"/>
        </w:rPr>
        <w:footnoteReference w:id="36"/>
      </w:r>
      <w:r w:rsidR="006E3487">
        <w:rPr>
          <w:rFonts w:ascii="Arial" w:hAnsi="Arial" w:cs="Arial"/>
          <w:sz w:val="24"/>
          <w:szCs w:val="24"/>
        </w:rPr>
        <w:t xml:space="preserve"> There are no references to this scholarship in Brink’s paper, and it is an assumption of this essay that the preponderance of questions of rites and only four questions on belief </w:t>
      </w:r>
      <w:r w:rsidR="00034AF6">
        <w:rPr>
          <w:rFonts w:ascii="Arial" w:hAnsi="Arial" w:cs="Arial"/>
          <w:sz w:val="24"/>
          <w:szCs w:val="24"/>
        </w:rPr>
        <w:t xml:space="preserve">(God, Jesus, astrology and reincarnation) </w:t>
      </w:r>
      <w:r w:rsidR="006E3487">
        <w:rPr>
          <w:rFonts w:ascii="Arial" w:hAnsi="Arial" w:cs="Arial"/>
          <w:sz w:val="24"/>
          <w:szCs w:val="24"/>
        </w:rPr>
        <w:t>in Brink’s survey indicate knowledge of these views in the field of study. Brink writes later in his career that</w:t>
      </w:r>
      <w:r w:rsidR="006E3487" w:rsidRPr="006E3487">
        <w:rPr>
          <w:rFonts w:ascii="Arial" w:hAnsi="Arial" w:cs="Arial"/>
          <w:sz w:val="24"/>
          <w:szCs w:val="24"/>
        </w:rPr>
        <w:t xml:space="preserve"> </w:t>
      </w:r>
    </w:p>
    <w:p w14:paraId="1594F380" w14:textId="77777777" w:rsidR="000D2286" w:rsidRDefault="000D2286" w:rsidP="006E3487">
      <w:pPr>
        <w:rPr>
          <w:rFonts w:ascii="Arial" w:hAnsi="Arial" w:cs="Arial"/>
          <w:sz w:val="24"/>
          <w:szCs w:val="24"/>
        </w:rPr>
      </w:pPr>
    </w:p>
    <w:p w14:paraId="6AD3EA78" w14:textId="6972BCFB" w:rsidR="000D2286" w:rsidRDefault="000F2F88" w:rsidP="000D2286">
      <w:pPr>
        <w:ind w:left="720"/>
      </w:pPr>
      <w:r>
        <w:rPr>
          <w:rFonts w:ascii="Arial" w:hAnsi="Arial" w:cs="Arial"/>
          <w:sz w:val="24"/>
          <w:szCs w:val="24"/>
        </w:rPr>
        <w:t>Qualitative research methods are essential to provide richness, but they are vulnerable to distortion of data by theory. The quantitative approach is necessary for the precision of hypothesis testing, but, by itself, this method is too critical to be creative. Religious studies should use both methods in alternate phases, with the qualitative approach creating new hypotheses and the quantitative approach critically testing them.</w:t>
      </w:r>
      <w:r>
        <w:rPr>
          <w:rStyle w:val="FootnoteReference"/>
          <w:rFonts w:ascii="Arial" w:hAnsi="Arial" w:cs="Arial"/>
          <w:sz w:val="24"/>
          <w:szCs w:val="24"/>
        </w:rPr>
        <w:footnoteReference w:id="37"/>
      </w:r>
      <w:r w:rsidR="006E3487">
        <w:t xml:space="preserve"> </w:t>
      </w:r>
    </w:p>
    <w:p w14:paraId="7569742B" w14:textId="77777777" w:rsidR="000D2286" w:rsidRDefault="000D2286" w:rsidP="006E3487"/>
    <w:p w14:paraId="031B9136" w14:textId="5ED6E704" w:rsidR="00B13A69" w:rsidRDefault="00034AF6" w:rsidP="006E3487">
      <w:pPr>
        <w:rPr>
          <w:rFonts w:ascii="Arial" w:hAnsi="Arial" w:cs="Arial"/>
          <w:bCs/>
          <w:sz w:val="24"/>
          <w:szCs w:val="24"/>
        </w:rPr>
      </w:pPr>
      <w:r>
        <w:rPr>
          <w:rFonts w:ascii="Arial" w:hAnsi="Arial" w:cs="Arial"/>
          <w:bCs/>
          <w:sz w:val="24"/>
          <w:szCs w:val="24"/>
        </w:rPr>
        <w:t>His</w:t>
      </w:r>
      <w:r w:rsidR="006E3487" w:rsidRPr="006E3487">
        <w:rPr>
          <w:rFonts w:ascii="Arial" w:hAnsi="Arial" w:cs="Arial"/>
          <w:bCs/>
          <w:sz w:val="24"/>
          <w:szCs w:val="24"/>
        </w:rPr>
        <w:t xml:space="preserve"> s</w:t>
      </w:r>
      <w:r w:rsidR="006E3487">
        <w:rPr>
          <w:rFonts w:ascii="Arial" w:hAnsi="Arial" w:cs="Arial"/>
          <w:bCs/>
          <w:sz w:val="24"/>
          <w:szCs w:val="24"/>
        </w:rPr>
        <w:t xml:space="preserve">urvey instrument can be criticised by </w:t>
      </w:r>
      <w:r>
        <w:rPr>
          <w:rFonts w:ascii="Arial" w:hAnsi="Arial" w:cs="Arial"/>
          <w:bCs/>
          <w:sz w:val="24"/>
          <w:szCs w:val="24"/>
        </w:rPr>
        <w:t xml:space="preserve">use </w:t>
      </w:r>
      <w:r w:rsidR="006E3487">
        <w:rPr>
          <w:rFonts w:ascii="Arial" w:hAnsi="Arial" w:cs="Arial"/>
          <w:bCs/>
          <w:sz w:val="24"/>
          <w:szCs w:val="24"/>
        </w:rPr>
        <w:t>‘yes/no</w:t>
      </w:r>
      <w:r>
        <w:rPr>
          <w:rFonts w:ascii="Arial" w:hAnsi="Arial" w:cs="Arial"/>
          <w:bCs/>
          <w:sz w:val="24"/>
          <w:szCs w:val="24"/>
        </w:rPr>
        <w:t>’</w:t>
      </w:r>
      <w:r w:rsidR="006E3487">
        <w:rPr>
          <w:rFonts w:ascii="Arial" w:hAnsi="Arial" w:cs="Arial"/>
          <w:bCs/>
          <w:sz w:val="24"/>
          <w:szCs w:val="24"/>
        </w:rPr>
        <w:t xml:space="preserve"> question</w:t>
      </w:r>
      <w:r>
        <w:rPr>
          <w:rFonts w:ascii="Arial" w:hAnsi="Arial" w:cs="Arial"/>
          <w:bCs/>
          <w:sz w:val="24"/>
          <w:szCs w:val="24"/>
        </w:rPr>
        <w:t>s as argued by</w:t>
      </w:r>
      <w:r w:rsidR="006E3487">
        <w:rPr>
          <w:rFonts w:ascii="Arial" w:hAnsi="Arial" w:cs="Arial"/>
          <w:bCs/>
          <w:sz w:val="24"/>
          <w:szCs w:val="24"/>
        </w:rPr>
        <w:t xml:space="preserve"> </w:t>
      </w:r>
      <w:r w:rsidR="000F2F88">
        <w:rPr>
          <w:rFonts w:ascii="Arial" w:hAnsi="Arial" w:cs="Arial"/>
          <w:bCs/>
          <w:sz w:val="24"/>
          <w:szCs w:val="24"/>
        </w:rPr>
        <w:t xml:space="preserve">Campion </w:t>
      </w:r>
      <w:r>
        <w:rPr>
          <w:rFonts w:ascii="Arial" w:hAnsi="Arial" w:cs="Arial"/>
          <w:bCs/>
          <w:sz w:val="24"/>
          <w:szCs w:val="24"/>
        </w:rPr>
        <w:t xml:space="preserve">who </w:t>
      </w:r>
      <w:r w:rsidR="000F2F88">
        <w:rPr>
          <w:rFonts w:ascii="Arial" w:hAnsi="Arial" w:cs="Arial"/>
          <w:bCs/>
          <w:sz w:val="24"/>
          <w:szCs w:val="24"/>
        </w:rPr>
        <w:t>questions the suitability of yes/no surveys for finding out if participants believe in astrology and says, ‘whereas behaviour, such as the purchase of books …., may be subject to yes/no answers, attitudes, opinions and aspirations are not’</w:t>
      </w:r>
      <w:r w:rsidR="000F2F88">
        <w:rPr>
          <w:rStyle w:val="FootnoteReference"/>
          <w:rFonts w:ascii="Arial" w:hAnsi="Arial" w:cs="Arial"/>
          <w:bCs/>
          <w:sz w:val="24"/>
          <w:szCs w:val="24"/>
        </w:rPr>
        <w:footnoteReference w:id="38"/>
      </w:r>
      <w:r w:rsidR="000F2F88">
        <w:rPr>
          <w:rFonts w:ascii="Arial" w:hAnsi="Arial" w:cs="Arial"/>
          <w:bCs/>
          <w:sz w:val="24"/>
          <w:szCs w:val="24"/>
        </w:rPr>
        <w:t xml:space="preserve">. </w:t>
      </w:r>
    </w:p>
    <w:p w14:paraId="5AEF0112" w14:textId="57CB55F3" w:rsidR="00034AF6" w:rsidRDefault="00034AF6" w:rsidP="006E3487">
      <w:pPr>
        <w:rPr>
          <w:rFonts w:ascii="Arial" w:hAnsi="Arial" w:cs="Arial"/>
          <w:bCs/>
          <w:sz w:val="24"/>
          <w:szCs w:val="24"/>
        </w:rPr>
      </w:pPr>
    </w:p>
    <w:p w14:paraId="49AB10BF" w14:textId="49F27A86" w:rsidR="0014118B" w:rsidRDefault="00034AF6" w:rsidP="006E3487">
      <w:pPr>
        <w:rPr>
          <w:rFonts w:ascii="Arial" w:hAnsi="Arial" w:cs="Arial"/>
          <w:bCs/>
          <w:sz w:val="24"/>
          <w:szCs w:val="24"/>
        </w:rPr>
      </w:pPr>
      <w:r>
        <w:rPr>
          <w:rFonts w:ascii="Arial" w:hAnsi="Arial" w:cs="Arial"/>
          <w:bCs/>
          <w:sz w:val="24"/>
          <w:szCs w:val="24"/>
        </w:rPr>
        <w:t xml:space="preserve">Both methodologies used in these articles make sense in studying belief </w:t>
      </w:r>
      <w:r w:rsidR="008E0DB0">
        <w:rPr>
          <w:rFonts w:ascii="Arial" w:hAnsi="Arial" w:cs="Arial"/>
          <w:bCs/>
          <w:sz w:val="24"/>
          <w:szCs w:val="24"/>
        </w:rPr>
        <w:t xml:space="preserve">as </w:t>
      </w:r>
      <w:r>
        <w:rPr>
          <w:rFonts w:ascii="Arial" w:hAnsi="Arial" w:cs="Arial"/>
          <w:bCs/>
          <w:sz w:val="24"/>
          <w:szCs w:val="24"/>
        </w:rPr>
        <w:t>measured by the position of the investigator to their discipline</w:t>
      </w:r>
      <w:r w:rsidR="008E0DB0">
        <w:rPr>
          <w:rFonts w:ascii="Arial" w:hAnsi="Arial" w:cs="Arial"/>
          <w:bCs/>
          <w:sz w:val="24"/>
          <w:szCs w:val="24"/>
        </w:rPr>
        <w:t xml:space="preserve"> and their own underlying philosophy to the discipline (e.g. Brink’s scientific approach to religion)</w:t>
      </w:r>
      <w:r>
        <w:rPr>
          <w:rFonts w:ascii="Arial" w:hAnsi="Arial" w:cs="Arial"/>
          <w:bCs/>
          <w:sz w:val="24"/>
          <w:szCs w:val="24"/>
        </w:rPr>
        <w:t>, contemporary good practice in that discipline, and if it is agreed that one methodology can support another in furthering the knowledge of the discipline as shown by Walter and Waterhouse in their use of the EVS data to evolve their research, then except for the</w:t>
      </w:r>
      <w:r w:rsidR="0014118B">
        <w:rPr>
          <w:rFonts w:ascii="Arial" w:hAnsi="Arial" w:cs="Arial"/>
          <w:bCs/>
          <w:sz w:val="24"/>
          <w:szCs w:val="24"/>
        </w:rPr>
        <w:t xml:space="preserve"> issues stated in the</w:t>
      </w:r>
      <w:r>
        <w:rPr>
          <w:rFonts w:ascii="Arial" w:hAnsi="Arial" w:cs="Arial"/>
          <w:bCs/>
          <w:sz w:val="24"/>
          <w:szCs w:val="24"/>
        </w:rPr>
        <w:t xml:space="preserve"> analysis on implementation</w:t>
      </w:r>
      <w:r w:rsidR="0014118B">
        <w:rPr>
          <w:rFonts w:ascii="Arial" w:hAnsi="Arial" w:cs="Arial"/>
          <w:bCs/>
          <w:sz w:val="24"/>
          <w:szCs w:val="24"/>
        </w:rPr>
        <w:t>, this supports the use of mixed methods.</w:t>
      </w:r>
      <w:r w:rsidR="0014118B" w:rsidRPr="0014118B">
        <w:rPr>
          <w:rStyle w:val="FootnoteReference"/>
          <w:rFonts w:ascii="Arial" w:hAnsi="Arial" w:cs="Arial"/>
          <w:bCs/>
          <w:sz w:val="24"/>
          <w:szCs w:val="24"/>
        </w:rPr>
        <w:t xml:space="preserve"> </w:t>
      </w:r>
      <w:r w:rsidR="0014118B">
        <w:rPr>
          <w:rStyle w:val="FootnoteReference"/>
          <w:rFonts w:ascii="Arial" w:hAnsi="Arial" w:cs="Arial"/>
          <w:bCs/>
          <w:sz w:val="24"/>
          <w:szCs w:val="24"/>
        </w:rPr>
        <w:footnoteReference w:id="39"/>
      </w:r>
    </w:p>
    <w:p w14:paraId="2EAD409E" w14:textId="33C5E33B" w:rsidR="00034AF6" w:rsidRDefault="00034AF6" w:rsidP="006E3487">
      <w:r>
        <w:rPr>
          <w:rFonts w:ascii="Arial" w:hAnsi="Arial" w:cs="Arial"/>
          <w:bCs/>
          <w:sz w:val="24"/>
          <w:szCs w:val="24"/>
        </w:rPr>
        <w:t xml:space="preserve"> </w:t>
      </w:r>
    </w:p>
    <w:p w14:paraId="0859CEC9" w14:textId="29EBD8C9" w:rsidR="00B13A69" w:rsidRDefault="000F2F88">
      <w:pPr>
        <w:pStyle w:val="Heading2"/>
        <w:rPr>
          <w:b/>
          <w:bCs/>
          <w:color w:val="auto"/>
          <w:sz w:val="32"/>
          <w:szCs w:val="32"/>
        </w:rPr>
      </w:pPr>
      <w:r>
        <w:rPr>
          <w:b/>
          <w:bCs/>
          <w:color w:val="auto"/>
          <w:sz w:val="32"/>
          <w:szCs w:val="32"/>
        </w:rPr>
        <w:t>Insider/Outsider &amp; Reflexivity</w:t>
      </w:r>
    </w:p>
    <w:p w14:paraId="7777F9A3" w14:textId="408037AC" w:rsidR="002D25E7" w:rsidRDefault="002D25E7">
      <w:pPr>
        <w:spacing w:after="160"/>
        <w:rPr>
          <w:rFonts w:ascii="Arial" w:hAnsi="Arial" w:cs="Arial"/>
          <w:sz w:val="24"/>
          <w:szCs w:val="24"/>
        </w:rPr>
      </w:pPr>
      <w:r>
        <w:rPr>
          <w:rFonts w:ascii="Arial" w:hAnsi="Arial" w:cs="Arial"/>
          <w:sz w:val="24"/>
          <w:szCs w:val="24"/>
        </w:rPr>
        <w:t>Walter and Water</w:t>
      </w:r>
      <w:r w:rsidR="0014118B">
        <w:rPr>
          <w:rFonts w:ascii="Arial" w:hAnsi="Arial" w:cs="Arial"/>
          <w:sz w:val="24"/>
          <w:szCs w:val="24"/>
        </w:rPr>
        <w:t>h</w:t>
      </w:r>
      <w:r>
        <w:rPr>
          <w:rFonts w:ascii="Arial" w:hAnsi="Arial" w:cs="Arial"/>
          <w:sz w:val="24"/>
          <w:szCs w:val="24"/>
        </w:rPr>
        <w:t xml:space="preserve">ouse taped </w:t>
      </w:r>
      <w:r w:rsidR="008E0DB0">
        <w:rPr>
          <w:rFonts w:ascii="Arial" w:hAnsi="Arial" w:cs="Arial"/>
          <w:sz w:val="24"/>
          <w:szCs w:val="24"/>
        </w:rPr>
        <w:t xml:space="preserve">their </w:t>
      </w:r>
      <w:r>
        <w:rPr>
          <w:rFonts w:ascii="Arial" w:hAnsi="Arial" w:cs="Arial"/>
          <w:sz w:val="24"/>
          <w:szCs w:val="24"/>
        </w:rPr>
        <w:t xml:space="preserve">interviews in people’s own homes and relied on a ‘snowballing’ effect to gain participants after </w:t>
      </w:r>
      <w:r w:rsidR="008E0DB0">
        <w:rPr>
          <w:rFonts w:ascii="Arial" w:hAnsi="Arial" w:cs="Arial"/>
          <w:sz w:val="24"/>
          <w:szCs w:val="24"/>
        </w:rPr>
        <w:t xml:space="preserve">initial </w:t>
      </w:r>
      <w:r>
        <w:rPr>
          <w:rFonts w:ascii="Arial" w:hAnsi="Arial" w:cs="Arial"/>
          <w:sz w:val="24"/>
          <w:szCs w:val="24"/>
        </w:rPr>
        <w:t>recruit</w:t>
      </w:r>
      <w:r w:rsidR="008E0DB0">
        <w:rPr>
          <w:rFonts w:ascii="Arial" w:hAnsi="Arial" w:cs="Arial"/>
          <w:sz w:val="24"/>
          <w:szCs w:val="24"/>
        </w:rPr>
        <w:t>ment</w:t>
      </w:r>
      <w:r>
        <w:rPr>
          <w:rFonts w:ascii="Arial" w:hAnsi="Arial" w:cs="Arial"/>
          <w:sz w:val="24"/>
          <w:szCs w:val="24"/>
        </w:rPr>
        <w:t xml:space="preserve"> </w:t>
      </w:r>
      <w:r w:rsidR="008E0DB0">
        <w:rPr>
          <w:rFonts w:ascii="Arial" w:hAnsi="Arial" w:cs="Arial"/>
          <w:sz w:val="24"/>
          <w:szCs w:val="24"/>
        </w:rPr>
        <w:t>using their</w:t>
      </w:r>
      <w:r>
        <w:rPr>
          <w:rFonts w:ascii="Arial" w:hAnsi="Arial" w:cs="Arial"/>
          <w:sz w:val="24"/>
          <w:szCs w:val="24"/>
        </w:rPr>
        <w:t xml:space="preserve"> personal contacts and via local radio ads. They also interviewed groups of children, representing three age groups between 11 and 18 years of age</w:t>
      </w:r>
      <w:r w:rsidR="008E0DB0">
        <w:rPr>
          <w:rFonts w:ascii="Arial" w:hAnsi="Arial" w:cs="Arial"/>
          <w:sz w:val="24"/>
          <w:szCs w:val="24"/>
        </w:rPr>
        <w:t xml:space="preserve"> but they don’t reveal why they made the choice or how their results were effected by this specific group. At least for Waterhouse, whose biography displays an association with British Buddhists groups, the question arises if the personal contacts may have contained these believers. Which is not a problem but should be revealed. Her own contribution (not available to read except through reviews) to the literature of insider/outsider problems indicates that she was aware of this at the time.</w:t>
      </w:r>
      <w:r w:rsidR="000F2F88">
        <w:rPr>
          <w:rFonts w:ascii="Arial" w:hAnsi="Arial" w:cs="Arial"/>
          <w:sz w:val="24"/>
          <w:szCs w:val="24"/>
        </w:rPr>
        <w:t xml:space="preserve"> As to their position as insiders or outsiders on the culture of their participants, the choice of residents in the West Country reflects a bias for in a particular English culture which has they commented on earlier in the essay, as a being a place more likely to have people who have New Age beliefs. </w:t>
      </w:r>
      <w:r w:rsidR="00CC44DE">
        <w:rPr>
          <w:rFonts w:ascii="Arial" w:hAnsi="Arial" w:cs="Arial"/>
          <w:sz w:val="24"/>
          <w:szCs w:val="24"/>
        </w:rPr>
        <w:t xml:space="preserve">But on the other hand, it may have just been proximity to </w:t>
      </w:r>
      <w:r w:rsidR="00CC44DE">
        <w:rPr>
          <w:rFonts w:ascii="Arial" w:hAnsi="Arial" w:cs="Arial"/>
          <w:sz w:val="24"/>
          <w:szCs w:val="24"/>
        </w:rPr>
        <w:lastRenderedPageBreak/>
        <w:t xml:space="preserve">their own academic institutions and homes. </w:t>
      </w:r>
      <w:r w:rsidR="000F2F88">
        <w:rPr>
          <w:rFonts w:ascii="Arial" w:hAnsi="Arial" w:cs="Arial"/>
          <w:sz w:val="24"/>
          <w:szCs w:val="24"/>
        </w:rPr>
        <w:t xml:space="preserve">It is difficult to know what place reflexivity takes in the research and as also mentioned previously, as this is just one of three reports on the research, it may be that it can’t be deciphered here because it is </w:t>
      </w:r>
      <w:r w:rsidR="00B76A67">
        <w:rPr>
          <w:rFonts w:ascii="Arial" w:hAnsi="Arial" w:cs="Arial"/>
          <w:sz w:val="24"/>
          <w:szCs w:val="24"/>
        </w:rPr>
        <w:t xml:space="preserve">contained </w:t>
      </w:r>
      <w:r w:rsidR="000F2F88">
        <w:rPr>
          <w:rFonts w:ascii="Arial" w:hAnsi="Arial" w:cs="Arial"/>
          <w:sz w:val="24"/>
          <w:szCs w:val="24"/>
        </w:rPr>
        <w:t>in the others.</w:t>
      </w:r>
      <w:r w:rsidR="00C16463">
        <w:rPr>
          <w:rFonts w:ascii="Arial" w:hAnsi="Arial" w:cs="Arial"/>
          <w:sz w:val="24"/>
          <w:szCs w:val="24"/>
        </w:rPr>
        <w:t xml:space="preserve"> It was with surprise however, that they refer to</w:t>
      </w:r>
      <w:r w:rsidR="00C16463">
        <w:rPr>
          <w:rFonts w:ascii="Arial" w:hAnsi="Arial" w:cs="Arial"/>
          <w:sz w:val="24"/>
          <w:szCs w:val="24"/>
        </w:rPr>
        <w:t xml:space="preserve"> other cultures</w:t>
      </w:r>
      <w:r w:rsidR="00C16463">
        <w:rPr>
          <w:rFonts w:ascii="Arial" w:hAnsi="Arial" w:cs="Arial"/>
          <w:sz w:val="24"/>
          <w:szCs w:val="24"/>
        </w:rPr>
        <w:t>, (Catholics and Americans for example),</w:t>
      </w:r>
      <w:r w:rsidR="00C16463">
        <w:rPr>
          <w:rFonts w:ascii="Arial" w:hAnsi="Arial" w:cs="Arial"/>
          <w:sz w:val="24"/>
          <w:szCs w:val="24"/>
        </w:rPr>
        <w:t xml:space="preserve"> through the choices they made in quoting references and using supporting evidence to uphold assumptions</w:t>
      </w:r>
      <w:r w:rsidR="00C16463">
        <w:rPr>
          <w:rFonts w:ascii="Arial" w:hAnsi="Arial" w:cs="Arial"/>
          <w:sz w:val="24"/>
          <w:szCs w:val="24"/>
        </w:rPr>
        <w:t xml:space="preserve"> and validate the value of the participants’ descriptions</w:t>
      </w:r>
      <w:r w:rsidR="00CF6AC9">
        <w:rPr>
          <w:rFonts w:ascii="Arial" w:hAnsi="Arial" w:cs="Arial"/>
          <w:sz w:val="24"/>
          <w:szCs w:val="24"/>
        </w:rPr>
        <w:t xml:space="preserve"> which seems to depict </w:t>
      </w:r>
      <w:r w:rsidR="009606AD">
        <w:rPr>
          <w:rFonts w:ascii="Arial" w:hAnsi="Arial" w:cs="Arial"/>
          <w:sz w:val="24"/>
          <w:szCs w:val="24"/>
        </w:rPr>
        <w:t>that they did not</w:t>
      </w:r>
      <w:r w:rsidR="00CF6AC9">
        <w:rPr>
          <w:rFonts w:ascii="Arial" w:hAnsi="Arial" w:cs="Arial"/>
          <w:sz w:val="24"/>
          <w:szCs w:val="24"/>
        </w:rPr>
        <w:t xml:space="preserve"> </w:t>
      </w:r>
      <w:r w:rsidR="009606AD">
        <w:rPr>
          <w:rFonts w:ascii="Arial" w:hAnsi="Arial" w:cs="Arial"/>
          <w:sz w:val="24"/>
          <w:szCs w:val="24"/>
        </w:rPr>
        <w:t>reflect on their own bias and values</w:t>
      </w:r>
      <w:r w:rsidR="00C16463">
        <w:rPr>
          <w:rFonts w:ascii="Arial" w:hAnsi="Arial" w:cs="Arial"/>
          <w:sz w:val="24"/>
          <w:szCs w:val="24"/>
        </w:rPr>
        <w:t>.</w:t>
      </w:r>
    </w:p>
    <w:p w14:paraId="1925EC73" w14:textId="3ECCD231" w:rsidR="00C16463" w:rsidRDefault="009606AD">
      <w:pPr>
        <w:spacing w:after="160"/>
        <w:rPr>
          <w:rFonts w:ascii="Arial" w:hAnsi="Arial" w:cs="Arial"/>
          <w:sz w:val="24"/>
          <w:szCs w:val="24"/>
        </w:rPr>
      </w:pPr>
      <w:r>
        <w:rPr>
          <w:rFonts w:ascii="Arial" w:hAnsi="Arial" w:cs="Arial"/>
          <w:sz w:val="24"/>
          <w:szCs w:val="24"/>
        </w:rPr>
        <w:t>Brink’s position on the insider/outsider continuum for his research subjects is also not clear but can be assumed by his position as an academic at a Catholic girls-only university in California when the article was published. The subjects were at schools in Chicago, again all-girl, and he describes their backgrounds as being working class and children of immigrants, where the questionnaires were distributed and filled in. He doesn’t tell us his religious beliefs, but his career has included teaching at a few Catholic colleges. As mentioned earlier, the questions about rites referred to Catholicism (mass, priest,</w:t>
      </w:r>
      <w:r w:rsidR="008B3078">
        <w:rPr>
          <w:rFonts w:ascii="Arial" w:hAnsi="Arial" w:cs="Arial"/>
          <w:sz w:val="24"/>
          <w:szCs w:val="24"/>
        </w:rPr>
        <w:t xml:space="preserve"> confession</w:t>
      </w:r>
      <w:r>
        <w:rPr>
          <w:rFonts w:ascii="Arial" w:hAnsi="Arial" w:cs="Arial"/>
          <w:sz w:val="24"/>
          <w:szCs w:val="24"/>
        </w:rPr>
        <w:t>) and were written with the age group in mind (</w:t>
      </w:r>
      <w:r w:rsidR="008B3078">
        <w:rPr>
          <w:rFonts w:ascii="Arial" w:hAnsi="Arial" w:cs="Arial"/>
          <w:sz w:val="24"/>
          <w:szCs w:val="24"/>
        </w:rPr>
        <w:t>‘I would go to mass even if my parents didn’t make me go.’). Brink’s reflexivity was also not declared, although he did reveal something when he declared himself ‘surprised’ at the low response by the subjects to thinking ‘Roman Catholic religion being the one for them’ because of their educations in Roman Catholic schools.</w:t>
      </w:r>
    </w:p>
    <w:p w14:paraId="62290936" w14:textId="7F53C4A3" w:rsidR="000F2F88" w:rsidRPr="00F5630D" w:rsidRDefault="008B3078">
      <w:pPr>
        <w:spacing w:after="160"/>
        <w:rPr>
          <w:rFonts w:ascii="Arial" w:hAnsi="Arial" w:cs="Arial"/>
          <w:sz w:val="24"/>
          <w:szCs w:val="24"/>
        </w:rPr>
      </w:pPr>
      <w:r>
        <w:rPr>
          <w:rFonts w:ascii="Arial" w:hAnsi="Arial" w:cs="Arial"/>
          <w:sz w:val="24"/>
          <w:szCs w:val="24"/>
        </w:rPr>
        <w:t xml:space="preserve">Both sets of researchers left their positions on the insider/outsider continuum and their sense of values and bias (reflexivity) out of the report, but context provided by their </w:t>
      </w:r>
      <w:r w:rsidR="00F5630D">
        <w:rPr>
          <w:rFonts w:ascii="Arial" w:hAnsi="Arial" w:cs="Arial"/>
          <w:sz w:val="24"/>
          <w:szCs w:val="24"/>
        </w:rPr>
        <w:t xml:space="preserve">biographies and published works along with their </w:t>
      </w:r>
      <w:r>
        <w:rPr>
          <w:rFonts w:ascii="Arial" w:hAnsi="Arial" w:cs="Arial"/>
          <w:sz w:val="24"/>
          <w:szCs w:val="24"/>
        </w:rPr>
        <w:t xml:space="preserve">writing style indicated some information that could </w:t>
      </w:r>
      <w:r w:rsidR="00F5630D">
        <w:rPr>
          <w:rFonts w:ascii="Arial" w:hAnsi="Arial" w:cs="Arial"/>
          <w:sz w:val="24"/>
          <w:szCs w:val="24"/>
        </w:rPr>
        <w:t>only be</w:t>
      </w:r>
      <w:r>
        <w:rPr>
          <w:rFonts w:ascii="Arial" w:hAnsi="Arial" w:cs="Arial"/>
          <w:sz w:val="24"/>
          <w:szCs w:val="24"/>
        </w:rPr>
        <w:t xml:space="preserve"> assumed. </w:t>
      </w:r>
    </w:p>
    <w:p w14:paraId="4C872EB8" w14:textId="77777777" w:rsidR="00B13A69" w:rsidRDefault="000F2F88">
      <w:pPr>
        <w:pStyle w:val="Heading1"/>
        <w:rPr>
          <w:rFonts w:ascii="Calibri Light" w:hAnsi="Calibri Light"/>
          <w:sz w:val="40"/>
          <w:szCs w:val="40"/>
        </w:rPr>
      </w:pPr>
      <w:r>
        <w:rPr>
          <w:rFonts w:ascii="Calibri Light" w:hAnsi="Calibri Light"/>
          <w:sz w:val="40"/>
          <w:szCs w:val="40"/>
        </w:rPr>
        <w:t>Conclusion</w:t>
      </w:r>
    </w:p>
    <w:p w14:paraId="2CA71461" w14:textId="53F8FD38" w:rsidR="00B13A69" w:rsidRDefault="00B13A69">
      <w:pPr>
        <w:suppressAutoHyphens w:val="0"/>
        <w:spacing w:line="20" w:lineRule="atLeast"/>
        <w:jc w:val="both"/>
        <w:textAlignment w:val="auto"/>
      </w:pPr>
    </w:p>
    <w:p w14:paraId="1217240A" w14:textId="5B04C0B2" w:rsidR="00F5630D" w:rsidRPr="002548B2" w:rsidRDefault="002E365A" w:rsidP="002548B2">
      <w:pPr>
        <w:rPr>
          <w:rFonts w:ascii="Arial" w:hAnsi="Arial" w:cs="Arial"/>
          <w:sz w:val="24"/>
          <w:szCs w:val="24"/>
        </w:rPr>
      </w:pPr>
      <w:r w:rsidRPr="002548B2">
        <w:rPr>
          <w:rFonts w:ascii="Arial" w:hAnsi="Arial" w:cs="Arial"/>
          <w:sz w:val="24"/>
          <w:szCs w:val="24"/>
        </w:rPr>
        <w:t xml:space="preserve">One of the </w:t>
      </w:r>
      <w:r w:rsidR="00F5630D" w:rsidRPr="002548B2">
        <w:rPr>
          <w:rFonts w:ascii="Arial" w:hAnsi="Arial" w:cs="Arial"/>
          <w:sz w:val="24"/>
          <w:szCs w:val="24"/>
        </w:rPr>
        <w:t>aim</w:t>
      </w:r>
      <w:r w:rsidRPr="002548B2">
        <w:rPr>
          <w:rFonts w:ascii="Arial" w:hAnsi="Arial" w:cs="Arial"/>
          <w:sz w:val="24"/>
          <w:szCs w:val="24"/>
        </w:rPr>
        <w:t>s</w:t>
      </w:r>
      <w:r w:rsidR="00F5630D" w:rsidRPr="002548B2">
        <w:rPr>
          <w:rFonts w:ascii="Arial" w:hAnsi="Arial" w:cs="Arial"/>
          <w:sz w:val="24"/>
          <w:szCs w:val="24"/>
        </w:rPr>
        <w:t xml:space="preserve"> of this essay was to compare and contrast the two articles, both of which ask questions related to the theory referred to as the ‘privatization of religion’, and both which seek to understand that theory through their chosen paradigms of </w:t>
      </w:r>
      <w:r w:rsidRPr="002548B2">
        <w:rPr>
          <w:rFonts w:ascii="Arial" w:hAnsi="Arial" w:cs="Arial"/>
          <w:sz w:val="24"/>
          <w:szCs w:val="24"/>
        </w:rPr>
        <w:t xml:space="preserve">either </w:t>
      </w:r>
      <w:r w:rsidR="00F5630D" w:rsidRPr="002548B2">
        <w:rPr>
          <w:rFonts w:ascii="Arial" w:hAnsi="Arial" w:cs="Arial"/>
          <w:sz w:val="24"/>
          <w:szCs w:val="24"/>
        </w:rPr>
        <w:t xml:space="preserve">psychology, sociology, religious studies, and </w:t>
      </w:r>
      <w:r w:rsidRPr="002548B2">
        <w:rPr>
          <w:rFonts w:ascii="Arial" w:hAnsi="Arial" w:cs="Arial"/>
          <w:sz w:val="24"/>
          <w:szCs w:val="24"/>
        </w:rPr>
        <w:t>chose to use</w:t>
      </w:r>
      <w:r w:rsidR="00F5630D" w:rsidRPr="002548B2">
        <w:rPr>
          <w:rFonts w:ascii="Arial" w:hAnsi="Arial" w:cs="Arial"/>
          <w:sz w:val="24"/>
          <w:szCs w:val="24"/>
        </w:rPr>
        <w:t xml:space="preserve"> different investigative methods and methodological approaches separated by twenty years in scholarship</w:t>
      </w:r>
      <w:r w:rsidRPr="002548B2">
        <w:rPr>
          <w:rFonts w:ascii="Arial" w:hAnsi="Arial" w:cs="Arial"/>
          <w:sz w:val="24"/>
          <w:szCs w:val="24"/>
        </w:rPr>
        <w:t xml:space="preserve">. Because of these similarities and because of their differences, the essay found strengths and weaknesses in all areas for each study. Overall, a best-fit </w:t>
      </w:r>
      <w:r w:rsidR="00CD7CEC" w:rsidRPr="002548B2">
        <w:rPr>
          <w:rFonts w:ascii="Arial" w:hAnsi="Arial" w:cs="Arial"/>
          <w:sz w:val="24"/>
          <w:szCs w:val="24"/>
        </w:rPr>
        <w:t xml:space="preserve">research </w:t>
      </w:r>
      <w:r w:rsidRPr="002548B2">
        <w:rPr>
          <w:rFonts w:ascii="Arial" w:hAnsi="Arial" w:cs="Arial"/>
          <w:sz w:val="24"/>
          <w:szCs w:val="24"/>
        </w:rPr>
        <w:t>methodology for the study of beliefs wasn’t established, there are times and places for both as shown in Hennink</w:t>
      </w:r>
      <w:r w:rsidR="002548B2">
        <w:rPr>
          <w:rFonts w:ascii="Arial" w:hAnsi="Arial" w:cs="Arial"/>
          <w:sz w:val="24"/>
          <w:szCs w:val="24"/>
        </w:rPr>
        <w:t xml:space="preserve">’s </w:t>
      </w:r>
      <w:r w:rsidRPr="002548B2">
        <w:rPr>
          <w:rFonts w:ascii="Arial" w:hAnsi="Arial" w:cs="Arial"/>
          <w:sz w:val="24"/>
          <w:szCs w:val="24"/>
        </w:rPr>
        <w:t>views on mixing quantitative and qualitative methodologies both within research and across paradigms, and also depending on the researchers</w:t>
      </w:r>
      <w:r w:rsidR="00CD7CEC" w:rsidRPr="002548B2">
        <w:rPr>
          <w:rFonts w:ascii="Arial" w:hAnsi="Arial" w:cs="Arial"/>
          <w:sz w:val="24"/>
          <w:szCs w:val="24"/>
        </w:rPr>
        <w:t>’ contexts to the subject</w:t>
      </w:r>
      <w:r w:rsidRPr="002548B2">
        <w:rPr>
          <w:rFonts w:ascii="Arial" w:hAnsi="Arial" w:cs="Arial"/>
          <w:sz w:val="24"/>
          <w:szCs w:val="24"/>
        </w:rPr>
        <w:t>.</w:t>
      </w:r>
      <w:r w:rsidR="00CD7CEC" w:rsidRPr="002548B2">
        <w:rPr>
          <w:rFonts w:ascii="Arial" w:hAnsi="Arial" w:cs="Arial"/>
          <w:sz w:val="24"/>
          <w:szCs w:val="24"/>
        </w:rPr>
        <w:t xml:space="preserve"> This was where a weakness was found for both studies, the position of the researchers had to be derived and wasn’t transparent from the articles</w:t>
      </w:r>
      <w:r w:rsidR="00B701A3" w:rsidRPr="002548B2">
        <w:rPr>
          <w:rFonts w:ascii="Arial" w:hAnsi="Arial" w:cs="Arial"/>
          <w:sz w:val="24"/>
          <w:szCs w:val="24"/>
        </w:rPr>
        <w:t>, leading to questions of trust in the material or a lack of internal coherence manifesting to the reader.</w:t>
      </w:r>
      <w:r w:rsidRPr="002548B2">
        <w:rPr>
          <w:rFonts w:ascii="Arial" w:hAnsi="Arial" w:cs="Arial"/>
          <w:sz w:val="24"/>
          <w:szCs w:val="24"/>
        </w:rPr>
        <w:t xml:space="preserve"> It was surprising that the </w:t>
      </w:r>
      <w:r w:rsidR="00CD7CEC" w:rsidRPr="002548B2">
        <w:rPr>
          <w:rFonts w:ascii="Arial" w:hAnsi="Arial" w:cs="Arial"/>
          <w:sz w:val="24"/>
          <w:szCs w:val="24"/>
        </w:rPr>
        <w:t>conclusions to the articles</w:t>
      </w:r>
      <w:r w:rsidRPr="002548B2">
        <w:rPr>
          <w:rFonts w:ascii="Arial" w:hAnsi="Arial" w:cs="Arial"/>
          <w:sz w:val="24"/>
          <w:szCs w:val="24"/>
        </w:rPr>
        <w:t xml:space="preserve"> </w:t>
      </w:r>
      <w:r w:rsidR="00CD7CEC" w:rsidRPr="002548B2">
        <w:rPr>
          <w:rFonts w:ascii="Arial" w:hAnsi="Arial" w:cs="Arial"/>
          <w:sz w:val="24"/>
          <w:szCs w:val="24"/>
        </w:rPr>
        <w:t>were different</w:t>
      </w:r>
      <w:r w:rsidRPr="002548B2">
        <w:rPr>
          <w:rFonts w:ascii="Arial" w:hAnsi="Arial" w:cs="Arial"/>
          <w:sz w:val="24"/>
          <w:szCs w:val="24"/>
        </w:rPr>
        <w:t xml:space="preserve"> given the </w:t>
      </w:r>
      <w:r w:rsidR="00CD7CEC" w:rsidRPr="002548B2">
        <w:rPr>
          <w:rFonts w:ascii="Arial" w:hAnsi="Arial" w:cs="Arial"/>
          <w:sz w:val="24"/>
          <w:szCs w:val="24"/>
        </w:rPr>
        <w:t>similarities</w:t>
      </w:r>
      <w:r w:rsidRPr="002548B2">
        <w:rPr>
          <w:rFonts w:ascii="Arial" w:hAnsi="Arial" w:cs="Arial"/>
          <w:sz w:val="24"/>
          <w:szCs w:val="24"/>
        </w:rPr>
        <w:t xml:space="preserve"> </w:t>
      </w:r>
      <w:r w:rsidR="00CD7CEC" w:rsidRPr="002548B2">
        <w:rPr>
          <w:rFonts w:ascii="Arial" w:hAnsi="Arial" w:cs="Arial"/>
          <w:sz w:val="24"/>
          <w:szCs w:val="24"/>
        </w:rPr>
        <w:t>in their</w:t>
      </w:r>
      <w:r w:rsidR="00B701A3" w:rsidRPr="002548B2">
        <w:rPr>
          <w:rFonts w:ascii="Arial" w:hAnsi="Arial" w:cs="Arial"/>
          <w:sz w:val="24"/>
          <w:szCs w:val="24"/>
        </w:rPr>
        <w:t xml:space="preserve"> research questions and</w:t>
      </w:r>
      <w:r w:rsidR="00CD7CEC" w:rsidRPr="002548B2">
        <w:rPr>
          <w:rFonts w:ascii="Arial" w:hAnsi="Arial" w:cs="Arial"/>
          <w:sz w:val="24"/>
          <w:szCs w:val="24"/>
        </w:rPr>
        <w:t xml:space="preserve"> findings, notwithstanding their different paradigms</w:t>
      </w:r>
      <w:r w:rsidR="00B701A3" w:rsidRPr="002548B2">
        <w:rPr>
          <w:rFonts w:ascii="Arial" w:hAnsi="Arial" w:cs="Arial"/>
          <w:sz w:val="24"/>
          <w:szCs w:val="24"/>
        </w:rPr>
        <w:t>.</w:t>
      </w:r>
      <w:r w:rsidR="00CD7CEC" w:rsidRPr="002548B2">
        <w:rPr>
          <w:rFonts w:ascii="Arial" w:hAnsi="Arial" w:cs="Arial"/>
          <w:sz w:val="24"/>
          <w:szCs w:val="24"/>
        </w:rPr>
        <w:t xml:space="preserve"> </w:t>
      </w:r>
      <w:r w:rsidR="00B701A3" w:rsidRPr="002548B2">
        <w:rPr>
          <w:rFonts w:ascii="Arial" w:hAnsi="Arial" w:cs="Arial"/>
          <w:sz w:val="24"/>
          <w:szCs w:val="24"/>
        </w:rPr>
        <w:t>F</w:t>
      </w:r>
      <w:r w:rsidR="00CD7CEC" w:rsidRPr="002548B2">
        <w:rPr>
          <w:rFonts w:ascii="Arial" w:hAnsi="Arial" w:cs="Arial"/>
          <w:sz w:val="24"/>
          <w:szCs w:val="24"/>
        </w:rPr>
        <w:t xml:space="preserve">or Brink this was that </w:t>
      </w:r>
      <w:r w:rsidRPr="002548B2">
        <w:rPr>
          <w:rFonts w:ascii="Arial" w:hAnsi="Arial" w:cs="Arial"/>
          <w:sz w:val="24"/>
          <w:szCs w:val="24"/>
        </w:rPr>
        <w:t>beliefs</w:t>
      </w:r>
      <w:r w:rsidR="00CD7CEC" w:rsidRPr="002548B2">
        <w:rPr>
          <w:rFonts w:ascii="Arial" w:hAnsi="Arial" w:cs="Arial"/>
          <w:sz w:val="24"/>
          <w:szCs w:val="24"/>
        </w:rPr>
        <w:t xml:space="preserve"> </w:t>
      </w:r>
      <w:r w:rsidR="00CD7CEC" w:rsidRPr="002548B2">
        <w:rPr>
          <w:rFonts w:ascii="Arial" w:hAnsi="Arial" w:cs="Arial"/>
          <w:sz w:val="24"/>
          <w:szCs w:val="24"/>
        </w:rPr>
        <w:t>inconsistent</w:t>
      </w:r>
      <w:r w:rsidRPr="002548B2">
        <w:rPr>
          <w:rFonts w:ascii="Arial" w:hAnsi="Arial" w:cs="Arial"/>
          <w:sz w:val="24"/>
          <w:szCs w:val="24"/>
        </w:rPr>
        <w:t xml:space="preserve"> </w:t>
      </w:r>
      <w:r w:rsidR="00CD7CEC" w:rsidRPr="002548B2">
        <w:rPr>
          <w:rFonts w:ascii="Arial" w:hAnsi="Arial" w:cs="Arial"/>
          <w:sz w:val="24"/>
          <w:szCs w:val="24"/>
        </w:rPr>
        <w:t>with a</w:t>
      </w:r>
      <w:r w:rsidRPr="002548B2">
        <w:rPr>
          <w:rFonts w:ascii="Arial" w:hAnsi="Arial" w:cs="Arial"/>
          <w:sz w:val="24"/>
          <w:szCs w:val="24"/>
        </w:rPr>
        <w:t xml:space="preserve"> western religious background</w:t>
      </w:r>
      <w:r w:rsidR="00CD7CEC" w:rsidRPr="002548B2">
        <w:rPr>
          <w:rFonts w:ascii="Arial" w:hAnsi="Arial" w:cs="Arial"/>
          <w:sz w:val="24"/>
          <w:szCs w:val="24"/>
        </w:rPr>
        <w:t xml:space="preserve"> fit into the worldview of the person to protect the ego, just as attending church or </w:t>
      </w:r>
      <w:r w:rsidR="00B701A3" w:rsidRPr="002548B2">
        <w:rPr>
          <w:rFonts w:ascii="Arial" w:hAnsi="Arial" w:cs="Arial"/>
          <w:sz w:val="24"/>
          <w:szCs w:val="24"/>
        </w:rPr>
        <w:t>other</w:t>
      </w:r>
      <w:r w:rsidR="00CD7CEC" w:rsidRPr="002548B2">
        <w:rPr>
          <w:rFonts w:ascii="Arial" w:hAnsi="Arial" w:cs="Arial"/>
          <w:sz w:val="24"/>
          <w:szCs w:val="24"/>
        </w:rPr>
        <w:t xml:space="preserve"> rites does: a structural/functional analysis.  </w:t>
      </w:r>
      <w:r w:rsidR="00B701A3" w:rsidRPr="002548B2">
        <w:rPr>
          <w:rFonts w:ascii="Arial" w:hAnsi="Arial" w:cs="Arial"/>
          <w:sz w:val="24"/>
          <w:szCs w:val="24"/>
        </w:rPr>
        <w:t xml:space="preserve">For Walter and Waterhouse, the conclusion was that the English hold private views on religious belonging and the media was the transmitter of new ideas that could fit into their worldview. The qualitative research of Walter and Waterhouse </w:t>
      </w:r>
      <w:r w:rsidR="00B701A3" w:rsidRPr="002548B2">
        <w:rPr>
          <w:rFonts w:ascii="Arial" w:hAnsi="Arial" w:cs="Arial"/>
          <w:sz w:val="24"/>
          <w:szCs w:val="24"/>
        </w:rPr>
        <w:lastRenderedPageBreak/>
        <w:t xml:space="preserve">unearthed a detachment from religious beliefs whereas </w:t>
      </w:r>
      <w:r w:rsidR="00B701A3" w:rsidRPr="002548B2">
        <w:rPr>
          <w:rFonts w:ascii="Arial" w:hAnsi="Arial" w:cs="Arial"/>
          <w:sz w:val="24"/>
          <w:szCs w:val="24"/>
        </w:rPr>
        <w:t>Brink’s</w:t>
      </w:r>
      <w:r w:rsidR="00B701A3" w:rsidRPr="002548B2">
        <w:rPr>
          <w:rFonts w:ascii="Arial" w:hAnsi="Arial" w:cs="Arial"/>
          <w:sz w:val="24"/>
          <w:szCs w:val="24"/>
        </w:rPr>
        <w:t xml:space="preserve"> quantitative research a subjective attachment. In conclusion, the writing style includin</w:t>
      </w:r>
      <w:r w:rsidR="002548B2">
        <w:rPr>
          <w:rFonts w:ascii="Arial" w:hAnsi="Arial" w:cs="Arial"/>
          <w:sz w:val="24"/>
          <w:szCs w:val="24"/>
        </w:rPr>
        <w:t xml:space="preserve">g use of references </w:t>
      </w:r>
      <w:r w:rsidR="00B701A3" w:rsidRPr="002548B2">
        <w:rPr>
          <w:rFonts w:ascii="Arial" w:hAnsi="Arial" w:cs="Arial"/>
          <w:sz w:val="24"/>
          <w:szCs w:val="24"/>
        </w:rPr>
        <w:t xml:space="preserve">and </w:t>
      </w:r>
      <w:r w:rsidR="002548B2">
        <w:rPr>
          <w:rFonts w:ascii="Arial" w:hAnsi="Arial" w:cs="Arial"/>
          <w:sz w:val="24"/>
          <w:szCs w:val="24"/>
        </w:rPr>
        <w:t xml:space="preserve">the </w:t>
      </w:r>
      <w:r w:rsidR="00B701A3" w:rsidRPr="002548B2">
        <w:rPr>
          <w:rFonts w:ascii="Arial" w:hAnsi="Arial" w:cs="Arial"/>
          <w:sz w:val="24"/>
          <w:szCs w:val="24"/>
        </w:rPr>
        <w:t xml:space="preserve">transparency of the insider/outsider continuum and the author’s </w:t>
      </w:r>
      <w:r w:rsidR="002548B2">
        <w:rPr>
          <w:rFonts w:ascii="Arial" w:hAnsi="Arial" w:cs="Arial"/>
          <w:sz w:val="24"/>
          <w:szCs w:val="24"/>
        </w:rPr>
        <w:t xml:space="preserve">own </w:t>
      </w:r>
      <w:r w:rsidR="00B701A3" w:rsidRPr="002548B2">
        <w:rPr>
          <w:rFonts w:ascii="Arial" w:hAnsi="Arial" w:cs="Arial"/>
          <w:sz w:val="24"/>
          <w:szCs w:val="24"/>
        </w:rPr>
        <w:t xml:space="preserve">reflexivity were important regardless of the methodologies or any problems </w:t>
      </w:r>
      <w:r w:rsidR="002548B2">
        <w:rPr>
          <w:rFonts w:ascii="Arial" w:hAnsi="Arial" w:cs="Arial"/>
          <w:sz w:val="24"/>
          <w:szCs w:val="24"/>
        </w:rPr>
        <w:t>encountered in the research, for the reason that the reader could trace the internal coherence of the work and decide for themselves.</w:t>
      </w:r>
    </w:p>
    <w:p w14:paraId="20C59625" w14:textId="77777777" w:rsidR="00B13A69" w:rsidRDefault="00B13A69">
      <w:pPr>
        <w:pageBreakBefore/>
        <w:suppressAutoHyphens w:val="0"/>
        <w:spacing w:after="160"/>
        <w:rPr>
          <w:rFonts w:ascii="Arial" w:hAnsi="Arial" w:cs="Arial"/>
          <w:bCs/>
          <w:sz w:val="24"/>
          <w:szCs w:val="24"/>
        </w:rPr>
      </w:pPr>
    </w:p>
    <w:p w14:paraId="571DD92A" w14:textId="00255EA2" w:rsidR="00B13A69" w:rsidRDefault="000F2F88">
      <w:pPr>
        <w:pStyle w:val="Heading1"/>
        <w:rPr>
          <w:rFonts w:ascii="Calibri Light" w:hAnsi="Calibri Light"/>
          <w:sz w:val="40"/>
          <w:szCs w:val="40"/>
        </w:rPr>
      </w:pPr>
      <w:r>
        <w:rPr>
          <w:rFonts w:ascii="Calibri Light" w:hAnsi="Calibri Light"/>
          <w:sz w:val="40"/>
          <w:szCs w:val="40"/>
        </w:rPr>
        <w:t>Bibliography</w:t>
      </w:r>
    </w:p>
    <w:p w14:paraId="34AC1550" w14:textId="4A42DEB3" w:rsidR="00C16463" w:rsidRDefault="00C16463" w:rsidP="00C16463"/>
    <w:p w14:paraId="02DF656E" w14:textId="77777777" w:rsidR="00B13A69" w:rsidRPr="00F30E77" w:rsidRDefault="000F2F88">
      <w:pPr>
        <w:rPr>
          <w:rFonts w:ascii="Arial" w:hAnsi="Arial" w:cs="Arial"/>
          <w:i/>
          <w:iCs/>
          <w:sz w:val="24"/>
          <w:szCs w:val="24"/>
        </w:rPr>
      </w:pPr>
      <w:r w:rsidRPr="00F30E77">
        <w:rPr>
          <w:rFonts w:ascii="Arial" w:hAnsi="Arial" w:cs="Arial"/>
          <w:i/>
          <w:iCs/>
          <w:sz w:val="24"/>
          <w:szCs w:val="24"/>
        </w:rPr>
        <w:t>Bell, Judith. (2005) Doing your research project: A guide for ﬁrst-time researchers in education, health and social sciences, 4th edn. Maidenhead: Open University Press.</w:t>
      </w:r>
    </w:p>
    <w:p w14:paraId="299EB63B" w14:textId="77777777" w:rsidR="00F30E77" w:rsidRDefault="00F30E77" w:rsidP="00F30E77">
      <w:pPr>
        <w:rPr>
          <w:rFonts w:ascii="Arial" w:hAnsi="Arial" w:cs="Arial"/>
          <w:sz w:val="24"/>
          <w:szCs w:val="24"/>
        </w:rPr>
      </w:pPr>
    </w:p>
    <w:p w14:paraId="41EC58AF" w14:textId="4EBCB914" w:rsidR="00F30E77" w:rsidRDefault="00F30E77" w:rsidP="00F30E77">
      <w:pPr>
        <w:rPr>
          <w:rFonts w:ascii="Arial" w:hAnsi="Arial" w:cs="Arial"/>
          <w:sz w:val="24"/>
          <w:szCs w:val="24"/>
        </w:rPr>
      </w:pPr>
      <w:r>
        <w:rPr>
          <w:rFonts w:ascii="Arial" w:hAnsi="Arial" w:cs="Arial"/>
          <w:sz w:val="24"/>
          <w:szCs w:val="24"/>
        </w:rPr>
        <w:t>Brink, T.L. 1978. ‘Inconsistency of Belief Among Roman Catholic Girls: Concerning Religion, Astrology and Reincarnation’. Review of Religious Research, Volume 20, No. 1, 82-85.</w:t>
      </w:r>
    </w:p>
    <w:p w14:paraId="391509FC" w14:textId="77777777" w:rsidR="00F30E77" w:rsidRDefault="00F30E77" w:rsidP="00F30E77">
      <w:pPr>
        <w:rPr>
          <w:rFonts w:ascii="Arial" w:hAnsi="Arial" w:cs="Arial"/>
          <w:sz w:val="24"/>
          <w:szCs w:val="24"/>
        </w:rPr>
      </w:pPr>
    </w:p>
    <w:p w14:paraId="2CC60516" w14:textId="1F892A31" w:rsidR="00F30E77" w:rsidRDefault="00F30E77" w:rsidP="00F30E77">
      <w:pPr>
        <w:rPr>
          <w:rFonts w:ascii="Arial" w:hAnsi="Arial" w:cs="Arial"/>
          <w:sz w:val="24"/>
          <w:szCs w:val="24"/>
        </w:rPr>
      </w:pPr>
      <w:r>
        <w:rPr>
          <w:rFonts w:ascii="Arial" w:hAnsi="Arial" w:cs="Arial"/>
          <w:sz w:val="24"/>
          <w:szCs w:val="24"/>
        </w:rPr>
        <w:t xml:space="preserve">Campion, N. (2012) </w:t>
      </w:r>
      <w:r>
        <w:rPr>
          <w:rFonts w:ascii="Arial" w:hAnsi="Arial" w:cs="Arial"/>
          <w:i/>
          <w:iCs/>
          <w:sz w:val="24"/>
          <w:szCs w:val="24"/>
        </w:rPr>
        <w:t>Astrology and Cosmologies in the World’s Religions</w:t>
      </w:r>
      <w:r>
        <w:rPr>
          <w:rFonts w:ascii="Arial" w:hAnsi="Arial" w:cs="Arial"/>
          <w:sz w:val="24"/>
          <w:szCs w:val="24"/>
        </w:rPr>
        <w:t>, NYU Press</w:t>
      </w:r>
    </w:p>
    <w:p w14:paraId="6C244BED" w14:textId="4781B0CB" w:rsidR="00F30E77" w:rsidRDefault="00F30E77" w:rsidP="00F30E77">
      <w:pPr>
        <w:rPr>
          <w:rFonts w:ascii="Arial" w:hAnsi="Arial" w:cs="Arial"/>
          <w:sz w:val="24"/>
          <w:szCs w:val="24"/>
        </w:rPr>
      </w:pPr>
    </w:p>
    <w:p w14:paraId="19699257" w14:textId="77777777" w:rsidR="00F30E77" w:rsidRDefault="00F30E77" w:rsidP="00F30E77">
      <w:r>
        <w:rPr>
          <w:rFonts w:ascii="Arial" w:hAnsi="Arial" w:cs="Arial"/>
          <w:sz w:val="24"/>
          <w:szCs w:val="24"/>
        </w:rPr>
        <w:t xml:space="preserve">Campion, N. </w:t>
      </w:r>
      <w:r>
        <w:rPr>
          <w:rFonts w:ascii="Arial" w:hAnsi="Arial" w:cs="Arial"/>
          <w:i/>
          <w:iCs/>
          <w:sz w:val="24"/>
          <w:szCs w:val="24"/>
        </w:rPr>
        <w:t>Astrology and Popular Religion in the Modern West</w:t>
      </w:r>
      <w:r>
        <w:rPr>
          <w:rFonts w:ascii="Arial" w:hAnsi="Arial" w:cs="Arial"/>
          <w:sz w:val="24"/>
          <w:szCs w:val="24"/>
        </w:rPr>
        <w:t>. pg. 158</w:t>
      </w:r>
    </w:p>
    <w:p w14:paraId="021FD206" w14:textId="77777777" w:rsidR="00F30E77" w:rsidRDefault="00F30E77" w:rsidP="00F30E77">
      <w:r>
        <w:rPr>
          <w:rFonts w:ascii="Arial" w:hAnsi="Arial" w:cs="Arial"/>
          <w:color w:val="000000"/>
          <w:sz w:val="24"/>
          <w:szCs w:val="24"/>
        </w:rPr>
        <w:t>Campion refers to the methodology of the Waterhouse/Walter article in his chapter (11) about his public survey. Campion’s book is then remarked on in review (</w:t>
      </w:r>
      <w:r>
        <w:rPr>
          <w:rFonts w:ascii="Arial" w:hAnsi="Arial" w:cs="Arial"/>
          <w:color w:val="333333"/>
          <w:sz w:val="24"/>
          <w:szCs w:val="24"/>
          <w:shd w:val="clear" w:color="auto" w:fill="FFFFFF"/>
        </w:rPr>
        <w:t xml:space="preserve">Mayer, G. (2017). Book review: Nicholas Campion (2016). Astrology </w:t>
      </w:r>
      <w:proofErr w:type="gramStart"/>
      <w:r>
        <w:rPr>
          <w:rFonts w:ascii="Arial" w:hAnsi="Arial" w:cs="Arial"/>
          <w:color w:val="333333"/>
          <w:sz w:val="24"/>
          <w:szCs w:val="24"/>
          <w:shd w:val="clear" w:color="auto" w:fill="FFFFFF"/>
        </w:rPr>
        <w:t>an</w:t>
      </w:r>
      <w:proofErr w:type="gramEnd"/>
      <w:r>
        <w:rPr>
          <w:rFonts w:ascii="Arial" w:hAnsi="Arial" w:cs="Arial"/>
          <w:color w:val="333333"/>
          <w:sz w:val="24"/>
          <w:szCs w:val="24"/>
          <w:shd w:val="clear" w:color="auto" w:fill="FFFFFF"/>
        </w:rPr>
        <w:t xml:space="preserve"> popular religion in the Modern West: Prophecy, cosmology an the New Age movement. </w:t>
      </w:r>
      <w:r>
        <w:rPr>
          <w:rStyle w:val="Emphasis"/>
          <w:rFonts w:ascii="Arial" w:hAnsi="Arial" w:cs="Arial"/>
          <w:color w:val="333333"/>
          <w:sz w:val="24"/>
          <w:szCs w:val="24"/>
          <w:shd w:val="clear" w:color="auto" w:fill="FFFFFF"/>
        </w:rPr>
        <w:t>Journal of Scientific Exploration</w:t>
      </w:r>
      <w:r>
        <w:rPr>
          <w:rFonts w:ascii="Arial" w:hAnsi="Arial" w:cs="Arial"/>
          <w:color w:val="333333"/>
          <w:sz w:val="24"/>
          <w:szCs w:val="24"/>
          <w:shd w:val="clear" w:color="auto" w:fill="FFFFFF"/>
        </w:rPr>
        <w:t>, 31(4), 707-711.</w:t>
      </w:r>
      <w:r>
        <w:rPr>
          <w:rFonts w:ascii="Arial" w:hAnsi="Arial" w:cs="Arial"/>
          <w:color w:val="000000"/>
          <w:sz w:val="24"/>
          <w:szCs w:val="24"/>
        </w:rPr>
        <w:t>) pg708</w:t>
      </w:r>
    </w:p>
    <w:p w14:paraId="55683296" w14:textId="77777777" w:rsidR="00F30E77" w:rsidRDefault="00F30E77" w:rsidP="00F30E77"/>
    <w:p w14:paraId="2D440CFE" w14:textId="77777777" w:rsidR="00F30E77" w:rsidRDefault="00F30E77" w:rsidP="00F30E77">
      <w:pPr>
        <w:rPr>
          <w:rFonts w:ascii="Arial" w:hAnsi="Arial" w:cs="Arial"/>
          <w:sz w:val="24"/>
          <w:szCs w:val="24"/>
        </w:rPr>
      </w:pPr>
      <w:r>
        <w:rPr>
          <w:rFonts w:ascii="Arial" w:hAnsi="Arial" w:cs="Arial"/>
          <w:sz w:val="24"/>
          <w:szCs w:val="24"/>
        </w:rPr>
        <w:t xml:space="preserve">Firestone, William A. Meaning in Method: The Rhetoric of Quantitative and Qualitative Research. Research for Better Schools, Inc., Philadelphia, Pa. (1986) </w:t>
      </w:r>
    </w:p>
    <w:p w14:paraId="26B338C7" w14:textId="77777777" w:rsidR="00F30E77" w:rsidRDefault="00F30E77" w:rsidP="00F30E77">
      <w:pPr>
        <w:rPr>
          <w:rFonts w:ascii="Arial" w:hAnsi="Arial" w:cs="Arial"/>
          <w:sz w:val="24"/>
          <w:szCs w:val="24"/>
        </w:rPr>
      </w:pPr>
    </w:p>
    <w:p w14:paraId="4495EF3A" w14:textId="77777777" w:rsidR="00F30E77" w:rsidRDefault="00F30E77" w:rsidP="00F30E77">
      <w:pPr>
        <w:rPr>
          <w:rFonts w:ascii="Arial" w:hAnsi="Arial" w:cs="Arial"/>
          <w:sz w:val="24"/>
          <w:szCs w:val="24"/>
        </w:rPr>
      </w:pPr>
      <w:r>
        <w:rPr>
          <w:rFonts w:ascii="Arial" w:hAnsi="Arial" w:cs="Arial"/>
          <w:sz w:val="24"/>
          <w:szCs w:val="24"/>
        </w:rPr>
        <w:t>Gaede, Religious Participation Socioeconomic Status and Belief Orthodoxy</w:t>
      </w:r>
    </w:p>
    <w:p w14:paraId="4F42D9B1" w14:textId="77777777" w:rsidR="00B13A69" w:rsidRDefault="00B13A69">
      <w:pPr>
        <w:rPr>
          <w:rFonts w:ascii="Arial" w:hAnsi="Arial" w:cs="Arial"/>
          <w:sz w:val="24"/>
          <w:szCs w:val="24"/>
        </w:rPr>
      </w:pPr>
    </w:p>
    <w:p w14:paraId="52A64600" w14:textId="77777777" w:rsidR="00B13A69" w:rsidRDefault="000F2F88">
      <w:pPr>
        <w:rPr>
          <w:rFonts w:ascii="Arial" w:hAnsi="Arial" w:cs="Arial"/>
          <w:sz w:val="24"/>
          <w:szCs w:val="24"/>
        </w:rPr>
      </w:pPr>
      <w:r>
        <w:rPr>
          <w:rFonts w:ascii="Arial" w:hAnsi="Arial" w:cs="Arial"/>
          <w:sz w:val="24"/>
          <w:szCs w:val="24"/>
        </w:rPr>
        <w:t>Hennink, Monique, Hutter, Inge and Bailey, Ajay. Qualitative Research Methods (2020) 2nd edn. London: SAGE Publications</w:t>
      </w:r>
    </w:p>
    <w:p w14:paraId="4FD851A7" w14:textId="77777777" w:rsidR="00B13A69" w:rsidRDefault="00B13A69">
      <w:pPr>
        <w:rPr>
          <w:rFonts w:ascii="Arial" w:hAnsi="Arial" w:cs="Arial"/>
          <w:sz w:val="24"/>
          <w:szCs w:val="24"/>
        </w:rPr>
      </w:pPr>
    </w:p>
    <w:p w14:paraId="70C74A73" w14:textId="77777777" w:rsidR="00F30E77" w:rsidRDefault="00F30E77" w:rsidP="00F30E77">
      <w:proofErr w:type="spellStart"/>
      <w:r>
        <w:rPr>
          <w:rFonts w:ascii="Arial" w:hAnsi="Arial" w:cs="Arial"/>
          <w:sz w:val="24"/>
          <w:szCs w:val="24"/>
        </w:rPr>
        <w:t>Montorio</w:t>
      </w:r>
      <w:proofErr w:type="spellEnd"/>
      <w:r>
        <w:rPr>
          <w:rFonts w:ascii="Arial" w:hAnsi="Arial" w:cs="Arial"/>
          <w:sz w:val="24"/>
          <w:szCs w:val="24"/>
        </w:rPr>
        <w:t xml:space="preserve">, I and </w:t>
      </w:r>
      <w:proofErr w:type="spellStart"/>
      <w:r>
        <w:rPr>
          <w:rFonts w:ascii="Arial" w:hAnsi="Arial" w:cs="Arial"/>
          <w:sz w:val="24"/>
          <w:szCs w:val="24"/>
        </w:rPr>
        <w:t>Izal</w:t>
      </w:r>
      <w:proofErr w:type="spellEnd"/>
      <w:r>
        <w:rPr>
          <w:rFonts w:ascii="Arial" w:hAnsi="Arial" w:cs="Arial"/>
          <w:sz w:val="24"/>
          <w:szCs w:val="24"/>
        </w:rPr>
        <w:t xml:space="preserve">, M. ‘The Geriatric Depression Scale: A Review of Its Development and Utility’. </w:t>
      </w:r>
      <w:r>
        <w:rPr>
          <w:rFonts w:ascii="Arial" w:hAnsi="Arial" w:cs="Arial"/>
          <w:i/>
          <w:iCs/>
          <w:sz w:val="24"/>
          <w:szCs w:val="24"/>
        </w:rPr>
        <w:t>International Psychogeriatrics</w:t>
      </w:r>
      <w:r>
        <w:rPr>
          <w:rFonts w:ascii="Arial" w:hAnsi="Arial" w:cs="Arial"/>
          <w:sz w:val="24"/>
          <w:szCs w:val="24"/>
        </w:rPr>
        <w:t>, Vol. 8, No. 1, 1996, pg. 103-112.    (pg.104)</w:t>
      </w:r>
    </w:p>
    <w:p w14:paraId="56EE0DCA" w14:textId="77777777" w:rsidR="00F30E77" w:rsidRDefault="00F30E77">
      <w:pPr>
        <w:rPr>
          <w:rFonts w:ascii="Arial" w:hAnsi="Arial" w:cs="Arial"/>
          <w:sz w:val="24"/>
          <w:szCs w:val="24"/>
        </w:rPr>
      </w:pPr>
    </w:p>
    <w:p w14:paraId="0B990780" w14:textId="575A4CB4" w:rsidR="00F30E77" w:rsidRDefault="00F30E77" w:rsidP="00F30E77">
      <w:pPr>
        <w:rPr>
          <w:rFonts w:ascii="Arial" w:hAnsi="Arial" w:cs="Arial"/>
          <w:sz w:val="24"/>
          <w:szCs w:val="24"/>
        </w:rPr>
      </w:pPr>
      <w:r>
        <w:rPr>
          <w:rFonts w:ascii="Arial" w:hAnsi="Arial" w:cs="Arial"/>
          <w:sz w:val="24"/>
          <w:szCs w:val="24"/>
        </w:rPr>
        <w:t>Moser, C.A. and Kalton, G. (1971) Survey Methods in Social Investigation, 2nd edn. London: Heinemann</w:t>
      </w:r>
    </w:p>
    <w:p w14:paraId="3E3D6CC2" w14:textId="5582205F" w:rsidR="00F30E77" w:rsidRDefault="00F30E77" w:rsidP="00F30E77">
      <w:pPr>
        <w:rPr>
          <w:rFonts w:ascii="Arial" w:hAnsi="Arial" w:cs="Arial"/>
          <w:sz w:val="24"/>
          <w:szCs w:val="24"/>
        </w:rPr>
      </w:pPr>
    </w:p>
    <w:p w14:paraId="7C20CACE" w14:textId="5A6117C3" w:rsidR="00F30E77" w:rsidRPr="00F30E77" w:rsidRDefault="00F30E77" w:rsidP="00F30E77">
      <w:pPr>
        <w:rPr>
          <w:rFonts w:ascii="Arial" w:hAnsi="Arial" w:cs="Arial"/>
          <w:color w:val="333333"/>
          <w:sz w:val="24"/>
          <w:szCs w:val="24"/>
          <w:shd w:val="clear" w:color="auto" w:fill="FFFFFF"/>
        </w:rPr>
      </w:pPr>
      <w:bookmarkStart w:id="4" w:name="_Hlk67061413"/>
      <w:r>
        <w:rPr>
          <w:rFonts w:ascii="Arial" w:hAnsi="Arial" w:cs="Arial"/>
          <w:color w:val="000000"/>
          <w:sz w:val="24"/>
          <w:szCs w:val="24"/>
        </w:rPr>
        <w:t xml:space="preserve">Pew Research, ‘New Age’ beliefs common among both religious and nonreligious Americans, </w:t>
      </w:r>
      <w:hyperlink r:id="rId8" w:history="1">
        <w:r>
          <w:rPr>
            <w:rStyle w:val="Hyperlink"/>
            <w:rFonts w:ascii="Arial" w:hAnsi="Arial" w:cs="Arial"/>
            <w:sz w:val="24"/>
            <w:szCs w:val="24"/>
            <w:shd w:val="clear" w:color="auto" w:fill="FFFFFF"/>
          </w:rPr>
          <w:t>https://www.pewresearch.org/fact-tank/2018/10/01/new-age-beliefs-common-among-both-religious-and-nonreligious-american</w:t>
        </w:r>
        <w:bookmarkStart w:id="5" w:name="_Hlt67059173"/>
        <w:bookmarkStart w:id="6" w:name="_Hlt67059174"/>
        <w:r>
          <w:rPr>
            <w:rStyle w:val="Hyperlink"/>
            <w:rFonts w:ascii="Arial" w:hAnsi="Arial" w:cs="Arial"/>
            <w:sz w:val="24"/>
            <w:szCs w:val="24"/>
            <w:shd w:val="clear" w:color="auto" w:fill="FFFFFF"/>
          </w:rPr>
          <w:t>s</w:t>
        </w:r>
        <w:bookmarkEnd w:id="5"/>
        <w:bookmarkEnd w:id="6"/>
        <w:r>
          <w:rPr>
            <w:rStyle w:val="Hyperlink"/>
            <w:rFonts w:ascii="Arial" w:hAnsi="Arial" w:cs="Arial"/>
            <w:sz w:val="24"/>
            <w:szCs w:val="24"/>
            <w:shd w:val="clear" w:color="auto" w:fill="FFFFFF"/>
          </w:rPr>
          <w:t>/</w:t>
        </w:r>
      </w:hyperlink>
      <w:r>
        <w:rPr>
          <w:rFonts w:ascii="Arial" w:hAnsi="Arial" w:cs="Arial"/>
          <w:color w:val="333333"/>
          <w:sz w:val="24"/>
          <w:szCs w:val="24"/>
          <w:shd w:val="clear" w:color="auto" w:fill="FFFFFF"/>
        </w:rPr>
        <w:t xml:space="preserve"> accessed 16 Mar 2021</w:t>
      </w:r>
      <w:bookmarkEnd w:id="4"/>
    </w:p>
    <w:p w14:paraId="2A18374E" w14:textId="7E0E8745" w:rsidR="00F30E77" w:rsidRDefault="00F30E77" w:rsidP="00F30E77">
      <w:pPr>
        <w:rPr>
          <w:rFonts w:ascii="Arial" w:hAnsi="Arial" w:cs="Arial"/>
          <w:sz w:val="24"/>
          <w:szCs w:val="24"/>
        </w:rPr>
      </w:pPr>
    </w:p>
    <w:p w14:paraId="0253D735" w14:textId="77777777" w:rsidR="00A836AB" w:rsidRDefault="00F30E77" w:rsidP="00F30E77">
      <w:pPr>
        <w:rPr>
          <w:rFonts w:ascii="Arial" w:hAnsi="Arial" w:cs="Arial"/>
          <w:sz w:val="24"/>
          <w:szCs w:val="24"/>
        </w:rPr>
      </w:pPr>
      <w:r>
        <w:rPr>
          <w:rFonts w:ascii="Arial" w:hAnsi="Arial" w:cs="Arial"/>
          <w:sz w:val="24"/>
          <w:szCs w:val="24"/>
        </w:rPr>
        <w:t>Piker, Steven. ‘The Problem of Inconsistency in Thai Religion’. Journal for the Scientific Study of Religion, Sep., 1972, Vol. 11, No. 3 (Sep., 1972), pp. 211-229 (pg.</w:t>
      </w:r>
    </w:p>
    <w:p w14:paraId="267DA45E" w14:textId="77777777" w:rsidR="00A836AB" w:rsidRDefault="00A836AB" w:rsidP="00F30E77">
      <w:pPr>
        <w:rPr>
          <w:rFonts w:ascii="Arial" w:hAnsi="Arial" w:cs="Arial"/>
          <w:sz w:val="24"/>
          <w:szCs w:val="24"/>
        </w:rPr>
      </w:pPr>
    </w:p>
    <w:p w14:paraId="3D1761E5" w14:textId="77777777" w:rsidR="00A836AB" w:rsidRDefault="00A836AB" w:rsidP="00A836AB">
      <w:pPr>
        <w:rPr>
          <w:rFonts w:ascii="Arial" w:hAnsi="Arial" w:cs="Arial"/>
          <w:sz w:val="24"/>
          <w:szCs w:val="24"/>
        </w:rPr>
      </w:pPr>
      <w:r>
        <w:rPr>
          <w:rFonts w:ascii="Arial" w:hAnsi="Arial" w:cs="Arial"/>
          <w:sz w:val="24"/>
          <w:szCs w:val="24"/>
        </w:rPr>
        <w:t xml:space="preserve">Steinke, Ines, Companion to Qualitative Research (eds Uwe Flick, Ernst von </w:t>
      </w:r>
      <w:proofErr w:type="gramStart"/>
      <w:r>
        <w:rPr>
          <w:rFonts w:ascii="Arial" w:hAnsi="Arial" w:cs="Arial"/>
          <w:sz w:val="24"/>
          <w:szCs w:val="24"/>
        </w:rPr>
        <w:t>Kardorff</w:t>
      </w:r>
      <w:proofErr w:type="gramEnd"/>
      <w:r>
        <w:rPr>
          <w:rFonts w:ascii="Arial" w:hAnsi="Arial" w:cs="Arial"/>
          <w:sz w:val="24"/>
          <w:szCs w:val="24"/>
        </w:rPr>
        <w:t xml:space="preserve"> and Ines Steinke) London: Sage, 2002 translated by Bryan Jenner (2004) Chapter 4.7 Quality Criteria in Qualitative Research p. 184-190</w:t>
      </w:r>
    </w:p>
    <w:p w14:paraId="79A4DC65" w14:textId="45136D6D" w:rsidR="00F30E77" w:rsidRDefault="00F30E77" w:rsidP="00F30E77">
      <w:pPr>
        <w:rPr>
          <w:rFonts w:ascii="Arial" w:hAnsi="Arial" w:cs="Arial"/>
          <w:sz w:val="24"/>
          <w:szCs w:val="24"/>
        </w:rPr>
      </w:pPr>
      <w:r>
        <w:rPr>
          <w:rFonts w:ascii="Arial" w:hAnsi="Arial" w:cs="Arial"/>
          <w:sz w:val="24"/>
          <w:szCs w:val="24"/>
        </w:rPr>
        <w:t xml:space="preserve"> </w:t>
      </w:r>
    </w:p>
    <w:p w14:paraId="7839496B" w14:textId="59D98295" w:rsidR="00B13A69" w:rsidRPr="00F30E77" w:rsidRDefault="000F2F88">
      <w:r>
        <w:rPr>
          <w:rFonts w:ascii="Arial" w:hAnsi="Arial" w:cs="Arial"/>
          <w:sz w:val="24"/>
          <w:szCs w:val="24"/>
        </w:rPr>
        <w:t>Walter, T. &amp; Waterhouse, H. 1999. ‘A Very Private Belief: Reincarnation in Contemporary England’. Sociology of Religion, 60, 187-197</w:t>
      </w:r>
      <w:r>
        <w:rPr>
          <w:rFonts w:ascii="Arial" w:hAnsi="Arial" w:cs="Arial"/>
          <w:color w:val="000000"/>
          <w:sz w:val="24"/>
          <w:szCs w:val="24"/>
        </w:rPr>
        <w:t>.</w:t>
      </w:r>
    </w:p>
    <w:sectPr w:rsidR="00B13A69" w:rsidRPr="00F30E7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E5929" w14:textId="77777777" w:rsidR="00EB393C" w:rsidRDefault="00EB393C">
      <w:r>
        <w:separator/>
      </w:r>
    </w:p>
  </w:endnote>
  <w:endnote w:type="continuationSeparator" w:id="0">
    <w:p w14:paraId="443D3288" w14:textId="77777777" w:rsidR="00EB393C" w:rsidRDefault="00EB3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de">
    <w:altName w:val="Calibri"/>
    <w:charset w:val="00"/>
    <w:family w:val="swiss"/>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09044" w14:textId="77777777" w:rsidR="00EB393C" w:rsidRDefault="00EB393C">
      <w:r>
        <w:rPr>
          <w:color w:val="000000"/>
        </w:rPr>
        <w:separator/>
      </w:r>
    </w:p>
  </w:footnote>
  <w:footnote w:type="continuationSeparator" w:id="0">
    <w:p w14:paraId="511F0337" w14:textId="77777777" w:rsidR="00EB393C" w:rsidRDefault="00EB393C">
      <w:r>
        <w:continuationSeparator/>
      </w:r>
    </w:p>
  </w:footnote>
  <w:footnote w:id="1">
    <w:p w14:paraId="0DA612FF" w14:textId="77777777" w:rsidR="000F2F88" w:rsidRDefault="000F2F88">
      <w:pPr>
        <w:pStyle w:val="FootnoteText"/>
      </w:pPr>
      <w:r>
        <w:rPr>
          <w:rStyle w:val="FootnoteReference"/>
        </w:rPr>
        <w:footnoteRef/>
      </w:r>
      <w:r>
        <w:t xml:space="preserve"> Walter, T. &amp; Waterhouse, H. 1999. ‘A Very Private Belief: Reincarnation in Contemporary England’. Sociology of Religion, 60, 187-197.</w:t>
      </w:r>
    </w:p>
  </w:footnote>
  <w:footnote w:id="2">
    <w:p w14:paraId="373383EC" w14:textId="77777777" w:rsidR="000F2F88" w:rsidRDefault="000F2F88">
      <w:pPr>
        <w:pStyle w:val="FootnoteText"/>
      </w:pPr>
      <w:r>
        <w:rPr>
          <w:rStyle w:val="FootnoteReference"/>
        </w:rPr>
        <w:footnoteRef/>
      </w:r>
      <w:r>
        <w:t xml:space="preserve"> Brink, T.L. 1978. ‘Inconsistency of Belief Among Roman Catholic Girls: Concerning Religion, Astrology and Reincarnation’, Review of Religious Research, Volume 20, No. 1, 82-85</w:t>
      </w:r>
    </w:p>
  </w:footnote>
  <w:footnote w:id="3">
    <w:p w14:paraId="4E58D2EB" w14:textId="77777777" w:rsidR="000F2F88" w:rsidRDefault="000F2F88">
      <w:pPr>
        <w:pStyle w:val="FootnoteText"/>
      </w:pPr>
      <w:r>
        <w:rPr>
          <w:rStyle w:val="FootnoteReference"/>
        </w:rPr>
        <w:footnoteRef/>
      </w:r>
      <w:r>
        <w:t xml:space="preserve"> Ines Steinke describes evaluating coherence as analysing: ‘The theory developed during the research process should be internally consistent. Accordingly, the following two points need to be checked. Is the generated theory coherent? Have any contradictions in the data and interpretations been processed? Unsolved questions and contradictions should be disclosed.’ (pg.190)</w:t>
      </w:r>
    </w:p>
  </w:footnote>
  <w:footnote w:id="4">
    <w:p w14:paraId="40A06793" w14:textId="77777777" w:rsidR="000F2F88" w:rsidRDefault="000F2F88">
      <w:pPr>
        <w:pStyle w:val="FootnoteText"/>
      </w:pPr>
      <w:r>
        <w:rPr>
          <w:rStyle w:val="FootnoteReference"/>
        </w:rPr>
        <w:footnoteRef/>
      </w:r>
      <w:r>
        <w:t xml:space="preserve"> Brink biography </w:t>
      </w:r>
      <w:hyperlink r:id="rId1" w:history="1">
        <w:r>
          <w:rPr>
            <w:rStyle w:val="Hyperlink"/>
          </w:rPr>
          <w:t>https://www.craftonhills.edu/this-is-crafton/profiles/tl-brink.php</w:t>
        </w:r>
      </w:hyperlink>
      <w:r>
        <w:t xml:space="preserve"> accessed 21/03/2021</w:t>
      </w:r>
    </w:p>
  </w:footnote>
  <w:footnote w:id="5">
    <w:p w14:paraId="64B242F3" w14:textId="77777777" w:rsidR="000F2F88" w:rsidRDefault="000F2F88">
      <w:pPr>
        <w:pStyle w:val="FootnoteText"/>
      </w:pPr>
      <w:r>
        <w:rPr>
          <w:rStyle w:val="FootnoteReference"/>
        </w:rPr>
        <w:footnoteRef/>
      </w:r>
      <w:r>
        <w:t xml:space="preserve"> </w:t>
      </w:r>
      <w:proofErr w:type="spellStart"/>
      <w:r>
        <w:t>Montorio</w:t>
      </w:r>
      <w:proofErr w:type="spellEnd"/>
      <w:r>
        <w:t xml:space="preserve"> and </w:t>
      </w:r>
      <w:proofErr w:type="spellStart"/>
      <w:r>
        <w:t>Izal</w:t>
      </w:r>
      <w:proofErr w:type="spellEnd"/>
      <w:r>
        <w:t>. The Geriatric Depression Scale: A Review of its Development and Utility. pg. 104</w:t>
      </w:r>
    </w:p>
  </w:footnote>
  <w:footnote w:id="6">
    <w:p w14:paraId="25BF483C" w14:textId="77777777" w:rsidR="000F2F88" w:rsidRDefault="000F2F88">
      <w:pPr>
        <w:pStyle w:val="FootnoteText"/>
      </w:pPr>
      <w:r>
        <w:rPr>
          <w:rStyle w:val="FootnoteReference"/>
        </w:rPr>
        <w:footnoteRef/>
      </w:r>
      <w:r>
        <w:t xml:space="preserve"> Brink, Brink, T.L., ‘Quantitative and/or Qualitative Methods in the Scientific Study of Religion’, </w:t>
      </w:r>
      <w:r>
        <w:rPr>
          <w:i/>
          <w:iCs/>
        </w:rPr>
        <w:t>Zygon</w:t>
      </w:r>
      <w:r>
        <w:t>, Journal of Religion and Science, Wiley-Blackwell (1995), pg. 461-475 (pg. 461)</w:t>
      </w:r>
    </w:p>
  </w:footnote>
  <w:footnote w:id="7">
    <w:p w14:paraId="3642E51D" w14:textId="77777777" w:rsidR="000F2F88" w:rsidRDefault="000F2F88">
      <w:pPr>
        <w:pStyle w:val="FootnoteText"/>
      </w:pPr>
      <w:r>
        <w:rPr>
          <w:rStyle w:val="FootnoteReference"/>
        </w:rPr>
        <w:footnoteRef/>
      </w:r>
      <w:r>
        <w:t xml:space="preserve"> Brink, </w:t>
      </w:r>
      <w:r>
        <w:rPr>
          <w:i/>
          <w:iCs/>
        </w:rPr>
        <w:t>Research Methods for Psychology</w:t>
      </w:r>
      <w:r>
        <w:t>, Crafton Hill College (2017) p. 8 accessed 20 March 2021 https://www.academia.edu/37278229/Research_Methods_for_Psychology</w:t>
      </w:r>
    </w:p>
  </w:footnote>
  <w:footnote w:id="8">
    <w:p w14:paraId="3F5C4FAB" w14:textId="77777777" w:rsidR="000F2F88" w:rsidRDefault="000F2F88">
      <w:pPr>
        <w:pStyle w:val="FootnoteText"/>
      </w:pPr>
      <w:r>
        <w:rPr>
          <w:rStyle w:val="FootnoteReference"/>
        </w:rPr>
        <w:footnoteRef/>
      </w:r>
      <w:r>
        <w:t xml:space="preserve"> Walter biography </w:t>
      </w:r>
      <w:hyperlink r:id="rId2" w:history="1">
        <w:r>
          <w:rPr>
            <w:rStyle w:val="Hyperlink"/>
          </w:rPr>
          <w:t>https://researchportal.bath.</w:t>
        </w:r>
        <w:bookmarkStart w:id="0" w:name="_Hlt67383831"/>
        <w:bookmarkStart w:id="1" w:name="_Hlt67383832"/>
        <w:r>
          <w:rPr>
            <w:rStyle w:val="Hyperlink"/>
          </w:rPr>
          <w:t>a</w:t>
        </w:r>
        <w:bookmarkEnd w:id="0"/>
        <w:bookmarkEnd w:id="1"/>
        <w:r>
          <w:rPr>
            <w:rStyle w:val="Hyperlink"/>
          </w:rPr>
          <w:t>c.uk/en/persons/tony-walter</w:t>
        </w:r>
      </w:hyperlink>
      <w:r>
        <w:t xml:space="preserve"> accessed 15 March 2021</w:t>
      </w:r>
    </w:p>
  </w:footnote>
  <w:footnote w:id="9">
    <w:p w14:paraId="53692D8F" w14:textId="77777777" w:rsidR="000F2F88" w:rsidRDefault="000F2F88">
      <w:pPr>
        <w:pStyle w:val="FootnoteText"/>
      </w:pPr>
      <w:r>
        <w:rPr>
          <w:rStyle w:val="FootnoteReference"/>
        </w:rPr>
        <w:footnoteRef/>
      </w:r>
      <w:r>
        <w:t xml:space="preserve"> IPR </w:t>
      </w:r>
      <w:hyperlink r:id="rId3" w:history="1">
        <w:r>
          <w:rPr>
            <w:rStyle w:val="Hyperlink"/>
          </w:rPr>
          <w:t>https://www.bath.ac.uk/research-institutes/institute-for-policy-research/</w:t>
        </w:r>
      </w:hyperlink>
      <w:r>
        <w:t xml:space="preserve"> accessed 23 March 2021</w:t>
      </w:r>
    </w:p>
  </w:footnote>
  <w:footnote w:id="10">
    <w:p w14:paraId="0505AA02" w14:textId="77777777" w:rsidR="000F2F88" w:rsidRDefault="000F2F88">
      <w:pPr>
        <w:pStyle w:val="FootnoteText"/>
      </w:pPr>
      <w:r>
        <w:rPr>
          <w:rStyle w:val="FootnoteReference"/>
        </w:rPr>
        <w:footnoteRef/>
      </w:r>
      <w:r>
        <w:t xml:space="preserve"> </w:t>
      </w:r>
      <w:hyperlink r:id="rId4" w:history="1">
        <w:r>
          <w:rPr>
            <w:rStyle w:val="Hyperlink"/>
          </w:rPr>
          <w:t>https://www.bath.ac.uk/research-centres/centre-for-death-society/</w:t>
        </w:r>
      </w:hyperlink>
      <w:r>
        <w:t xml:space="preserve"> accessed 23 March 2021</w:t>
      </w:r>
    </w:p>
  </w:footnote>
  <w:footnote w:id="11">
    <w:p w14:paraId="4557C726" w14:textId="77777777" w:rsidR="000F2F88" w:rsidRDefault="000F2F88">
      <w:pPr>
        <w:pStyle w:val="FootnoteText"/>
      </w:pPr>
      <w:r>
        <w:rPr>
          <w:rStyle w:val="FootnoteReference"/>
        </w:rPr>
        <w:footnoteRef/>
      </w:r>
      <w:r>
        <w:t xml:space="preserve"> Waterhouse biography </w:t>
      </w:r>
      <w:hyperlink r:id="rId5" w:history="1">
        <w:r>
          <w:rPr>
            <w:rStyle w:val="Hyperlink"/>
          </w:rPr>
          <w:t>http://www.open.ac.uk/pe</w:t>
        </w:r>
        <w:bookmarkStart w:id="2" w:name="_Hlt67386792"/>
        <w:bookmarkStart w:id="3" w:name="_Hlt67386793"/>
        <w:r>
          <w:rPr>
            <w:rStyle w:val="Hyperlink"/>
          </w:rPr>
          <w:t>o</w:t>
        </w:r>
        <w:bookmarkEnd w:id="2"/>
        <w:bookmarkEnd w:id="3"/>
        <w:r>
          <w:rPr>
            <w:rStyle w:val="Hyperlink"/>
          </w:rPr>
          <w:t>ple/hjw26</w:t>
        </w:r>
      </w:hyperlink>
      <w:r>
        <w:t xml:space="preserve"> accessed 15 March 2021</w:t>
      </w:r>
    </w:p>
  </w:footnote>
  <w:footnote w:id="12">
    <w:p w14:paraId="537FCE07" w14:textId="77777777" w:rsidR="000F2F88" w:rsidRDefault="000F2F88">
      <w:pPr>
        <w:pStyle w:val="FootnoteText"/>
      </w:pPr>
      <w:r>
        <w:rPr>
          <w:rStyle w:val="FootnoteReference"/>
        </w:rPr>
        <w:footnoteRef/>
      </w:r>
      <w:r>
        <w:t xml:space="preserve"> Insider outsider problem citation</w:t>
      </w:r>
    </w:p>
  </w:footnote>
  <w:footnote w:id="13">
    <w:p w14:paraId="690FB87C" w14:textId="77777777" w:rsidR="000F2F88" w:rsidRDefault="000F2F88">
      <w:pPr>
        <w:pStyle w:val="FootnoteText"/>
      </w:pPr>
      <w:r>
        <w:rPr>
          <w:rStyle w:val="FootnoteReference"/>
        </w:rPr>
        <w:footnoteRef/>
      </w:r>
      <w:r>
        <w:t xml:space="preserve"> Walter and Waterhouse, p.189</w:t>
      </w:r>
    </w:p>
  </w:footnote>
  <w:footnote w:id="14">
    <w:p w14:paraId="1B255400" w14:textId="77777777" w:rsidR="000F2F88" w:rsidRDefault="000F2F88">
      <w:pPr>
        <w:pStyle w:val="FootnoteText"/>
      </w:pPr>
      <w:r>
        <w:rPr>
          <w:rStyle w:val="FootnoteReference"/>
        </w:rPr>
        <w:footnoteRef/>
      </w:r>
      <w:r>
        <w:t xml:space="preserve"> Walter and Waterhouse, pg. 192</w:t>
      </w:r>
    </w:p>
  </w:footnote>
  <w:footnote w:id="15">
    <w:p w14:paraId="02144D82" w14:textId="77777777" w:rsidR="000F2F88" w:rsidRDefault="000F2F88">
      <w:pPr>
        <w:pStyle w:val="FootnoteText"/>
      </w:pPr>
      <w:r>
        <w:rPr>
          <w:rStyle w:val="FootnoteReference"/>
        </w:rPr>
        <w:footnoteRef/>
      </w:r>
      <w:r>
        <w:t xml:space="preserve"> Walter and Waterhouse, pg. 189</w:t>
      </w:r>
    </w:p>
  </w:footnote>
  <w:footnote w:id="16">
    <w:p w14:paraId="5FEE2EF8" w14:textId="77777777" w:rsidR="000F2F88" w:rsidRDefault="000F2F88">
      <w:pPr>
        <w:pStyle w:val="FootnoteText"/>
      </w:pPr>
      <w:r>
        <w:rPr>
          <w:rStyle w:val="FootnoteReference"/>
        </w:rPr>
        <w:footnoteRef/>
      </w:r>
      <w:r>
        <w:t xml:space="preserve"> Walter and Waterhouse, pg. 192</w:t>
      </w:r>
    </w:p>
  </w:footnote>
  <w:footnote w:id="17">
    <w:p w14:paraId="4F8CC985" w14:textId="77777777" w:rsidR="000F2F88" w:rsidRDefault="000F2F88">
      <w:pPr>
        <w:pStyle w:val="FootnoteText"/>
      </w:pPr>
      <w:r>
        <w:rPr>
          <w:rStyle w:val="FootnoteReference"/>
        </w:rPr>
        <w:footnoteRef/>
      </w:r>
      <w:r>
        <w:t xml:space="preserve"> Tony Walter and Helen Waterhouse, ‘A Very Private Belief: Reincarnation in Contempory England’, pg.187</w:t>
      </w:r>
    </w:p>
  </w:footnote>
  <w:footnote w:id="18">
    <w:p w14:paraId="671BD399" w14:textId="77777777" w:rsidR="000F2F88" w:rsidRDefault="000F2F88">
      <w:pPr>
        <w:pStyle w:val="FootnoteText"/>
      </w:pPr>
      <w:r>
        <w:rPr>
          <w:rStyle w:val="FootnoteReference"/>
        </w:rPr>
        <w:footnoteRef/>
      </w:r>
      <w:r>
        <w:t xml:space="preserve"> ‘Karl Popper’s principle of falsifiability: scientific theories must be capable of generating empirically testable hypotheses. A hypothesis that could not conceivably be tested by empirical data would not be scientific. (Claims about religious doctrines would be beyond the realm of scientific investigation.)</w:t>
      </w:r>
      <w:r>
        <w:rPr>
          <w:rFonts w:ascii="Arial" w:hAnsi="Arial" w:cs="Arial"/>
          <w:bCs/>
          <w:sz w:val="24"/>
          <w:szCs w:val="24"/>
        </w:rPr>
        <w:t>’</w:t>
      </w:r>
      <w:r>
        <w:t xml:space="preserve">Brink, </w:t>
      </w:r>
      <w:r>
        <w:rPr>
          <w:i/>
          <w:iCs/>
        </w:rPr>
        <w:t>Research Methods for Psychology</w:t>
      </w:r>
      <w:r>
        <w:t>, Crafton Hill College (2017) p. 8 accessed 20 March 2021 https://www.academia.edu/37278229/Research_Methods_for_Psychology</w:t>
      </w:r>
    </w:p>
  </w:footnote>
  <w:footnote w:id="19">
    <w:p w14:paraId="31917E15" w14:textId="77777777" w:rsidR="000F2F88" w:rsidRDefault="000F2F88">
      <w:pPr>
        <w:pStyle w:val="FootnoteText"/>
      </w:pPr>
      <w:r>
        <w:rPr>
          <w:rStyle w:val="FootnoteReference"/>
        </w:rPr>
        <w:footnoteRef/>
      </w:r>
      <w:r>
        <w:t xml:space="preserve"> T.L. Brink, Inconsistency (pg. 82)</w:t>
      </w:r>
    </w:p>
  </w:footnote>
  <w:footnote w:id="20">
    <w:p w14:paraId="359EBBE1" w14:textId="77777777" w:rsidR="000F2F88" w:rsidRDefault="000F2F88">
      <w:pPr>
        <w:pStyle w:val="FootnoteText"/>
      </w:pPr>
      <w:r>
        <w:rPr>
          <w:rStyle w:val="FootnoteReference"/>
        </w:rPr>
        <w:footnoteRef/>
      </w:r>
      <w:r>
        <w:t xml:space="preserve"> McKinnon, pg. 302</w:t>
      </w:r>
    </w:p>
  </w:footnote>
  <w:footnote w:id="21">
    <w:p w14:paraId="259A6ED2" w14:textId="77777777" w:rsidR="000F2F88" w:rsidRDefault="000F2F88">
      <w:pPr>
        <w:pStyle w:val="FootnoteText"/>
      </w:pPr>
      <w:r>
        <w:rPr>
          <w:rStyle w:val="FootnoteReference"/>
        </w:rPr>
        <w:footnoteRef/>
      </w:r>
      <w:r>
        <w:t xml:space="preserve"> Firestone, </w:t>
      </w:r>
      <w:proofErr w:type="spellStart"/>
      <w:r>
        <w:t>pg</w:t>
      </w:r>
      <w:proofErr w:type="spellEnd"/>
      <w:r>
        <w:t xml:space="preserve"> 16(19)</w:t>
      </w:r>
    </w:p>
  </w:footnote>
  <w:footnote w:id="22">
    <w:p w14:paraId="309A3E17" w14:textId="77777777" w:rsidR="000F2F88" w:rsidRDefault="000F2F88">
      <w:pPr>
        <w:pStyle w:val="FootnoteText"/>
      </w:pPr>
      <w:r>
        <w:rPr>
          <w:rStyle w:val="FootnoteReference"/>
        </w:rPr>
        <w:footnoteRef/>
      </w:r>
      <w:r>
        <w:t xml:space="preserve"> Brink, pg. 82</w:t>
      </w:r>
    </w:p>
  </w:footnote>
  <w:footnote w:id="23">
    <w:p w14:paraId="284CBCFE" w14:textId="77777777" w:rsidR="000F2F88" w:rsidRDefault="000F2F88">
      <w:pPr>
        <w:pStyle w:val="FootnoteText"/>
      </w:pPr>
      <w:r>
        <w:rPr>
          <w:rStyle w:val="FootnoteReference"/>
        </w:rPr>
        <w:footnoteRef/>
      </w:r>
      <w:r>
        <w:t xml:space="preserve"> Walter and Waterhouse, pg. 191</w:t>
      </w:r>
    </w:p>
  </w:footnote>
  <w:footnote w:id="24">
    <w:p w14:paraId="22FB1E70" w14:textId="77777777" w:rsidR="000F2F88" w:rsidRDefault="000F2F88">
      <w:pPr>
        <w:pStyle w:val="FootnoteText"/>
      </w:pPr>
      <w:r>
        <w:rPr>
          <w:rStyle w:val="FootnoteReference"/>
        </w:rPr>
        <w:footnoteRef/>
      </w:r>
      <w:r>
        <w:t xml:space="preserve"> Hennink, p. 323</w:t>
      </w:r>
    </w:p>
  </w:footnote>
  <w:footnote w:id="25">
    <w:p w14:paraId="5038A816" w14:textId="77777777" w:rsidR="000F2F88" w:rsidRDefault="000F2F88" w:rsidP="004F102B">
      <w:pPr>
        <w:pStyle w:val="FootnoteText"/>
      </w:pPr>
      <w:r>
        <w:rPr>
          <w:rStyle w:val="FootnoteReference"/>
        </w:rPr>
        <w:footnoteRef/>
      </w:r>
      <w:r>
        <w:t xml:space="preserve"> Walter, p.187</w:t>
      </w:r>
    </w:p>
  </w:footnote>
  <w:footnote w:id="26">
    <w:p w14:paraId="289536F9" w14:textId="77777777" w:rsidR="000F2F88" w:rsidRDefault="000F2F88" w:rsidP="004F102B">
      <w:pPr>
        <w:pStyle w:val="FootnoteText"/>
      </w:pPr>
      <w:r>
        <w:rPr>
          <w:rStyle w:val="FootnoteReference"/>
        </w:rPr>
        <w:footnoteRef/>
      </w:r>
      <w:r>
        <w:t xml:space="preserve"> Brink, p.82</w:t>
      </w:r>
    </w:p>
  </w:footnote>
  <w:footnote w:id="27">
    <w:p w14:paraId="5DF1807D" w14:textId="3F5383BD" w:rsidR="000F2F88" w:rsidRDefault="000F2F88">
      <w:pPr>
        <w:pStyle w:val="FootnoteText"/>
      </w:pPr>
      <w:r>
        <w:rPr>
          <w:rStyle w:val="FootnoteReference"/>
        </w:rPr>
        <w:footnoteRef/>
      </w:r>
      <w:r>
        <w:t xml:space="preserve"> Pew Research 2018</w:t>
      </w:r>
    </w:p>
  </w:footnote>
  <w:footnote w:id="28">
    <w:p w14:paraId="56BD82AC" w14:textId="77777777" w:rsidR="000F2F88" w:rsidRDefault="000F2F88" w:rsidP="004F102B">
      <w:pPr>
        <w:pStyle w:val="FootnoteText"/>
      </w:pPr>
      <w:r>
        <w:rPr>
          <w:rStyle w:val="FootnoteReference"/>
        </w:rPr>
        <w:footnoteRef/>
      </w:r>
      <w:r>
        <w:t xml:space="preserve"> Campion, p.188</w:t>
      </w:r>
    </w:p>
  </w:footnote>
  <w:footnote w:id="29">
    <w:p w14:paraId="38B07CBD" w14:textId="28B24559" w:rsidR="000F2F88" w:rsidRDefault="000F2F88">
      <w:pPr>
        <w:pStyle w:val="FootnoteText"/>
      </w:pPr>
      <w:r>
        <w:rPr>
          <w:rStyle w:val="FootnoteReference"/>
        </w:rPr>
        <w:footnoteRef/>
      </w:r>
      <w:r>
        <w:t xml:space="preserve"> McKinnon, pg. 302</w:t>
      </w:r>
    </w:p>
  </w:footnote>
  <w:footnote w:id="30">
    <w:p w14:paraId="2419B3A1" w14:textId="77777777" w:rsidR="000F2F88" w:rsidRDefault="000F2F88">
      <w:pPr>
        <w:pStyle w:val="FootnoteText"/>
      </w:pPr>
      <w:r>
        <w:rPr>
          <w:rStyle w:val="FootnoteReference"/>
        </w:rPr>
        <w:footnoteRef/>
      </w:r>
      <w:r>
        <w:t xml:space="preserve"> Piker, </w:t>
      </w:r>
    </w:p>
  </w:footnote>
  <w:footnote w:id="31">
    <w:p w14:paraId="53F99535" w14:textId="77777777" w:rsidR="000F2F88" w:rsidRDefault="000F2F88">
      <w:pPr>
        <w:pStyle w:val="FootnoteText"/>
      </w:pPr>
      <w:r>
        <w:rPr>
          <w:rStyle w:val="FootnoteReference"/>
        </w:rPr>
        <w:footnoteRef/>
      </w:r>
      <w:r>
        <w:t xml:space="preserve"> Hennink, p.17</w:t>
      </w:r>
    </w:p>
  </w:footnote>
  <w:footnote w:id="32">
    <w:p w14:paraId="1A31B61B" w14:textId="66AC416F" w:rsidR="000F2F88" w:rsidRDefault="000F2F88">
      <w:pPr>
        <w:pStyle w:val="FootnoteText"/>
      </w:pPr>
      <w:r>
        <w:rPr>
          <w:rStyle w:val="FootnoteReference"/>
        </w:rPr>
        <w:footnoteRef/>
      </w:r>
      <w:r>
        <w:t xml:space="preserve"> Walter and Waterhouse, pg. 18</w:t>
      </w:r>
    </w:p>
  </w:footnote>
  <w:footnote w:id="33">
    <w:p w14:paraId="67EAFE67" w14:textId="77777777" w:rsidR="000F2F88" w:rsidRDefault="000F2F88" w:rsidP="008A6593">
      <w:pPr>
        <w:pStyle w:val="FootnoteText"/>
      </w:pPr>
      <w:r>
        <w:rPr>
          <w:rStyle w:val="FootnoteReference"/>
        </w:rPr>
        <w:footnoteRef/>
      </w:r>
      <w:r>
        <w:t xml:space="preserve"> Hennink, pg. 323</w:t>
      </w:r>
    </w:p>
  </w:footnote>
  <w:footnote w:id="34">
    <w:p w14:paraId="28DDF636" w14:textId="77777777" w:rsidR="000F2F88" w:rsidRDefault="000F2F88">
      <w:pPr>
        <w:pStyle w:val="FootnoteText"/>
      </w:pPr>
      <w:r>
        <w:rPr>
          <w:rStyle w:val="FootnoteReference"/>
        </w:rPr>
        <w:footnoteRef/>
      </w:r>
      <w:r>
        <w:t xml:space="preserve"> Moser and Kalton, p.1 (quoted in Bell, p.13)</w:t>
      </w:r>
    </w:p>
  </w:footnote>
  <w:footnote w:id="35">
    <w:p w14:paraId="111A8913" w14:textId="77777777" w:rsidR="000F2F88" w:rsidRDefault="000F2F88" w:rsidP="003A5BA6">
      <w:pPr>
        <w:pStyle w:val="FootnoteText"/>
      </w:pPr>
      <w:r>
        <w:rPr>
          <w:rStyle w:val="FootnoteReference"/>
        </w:rPr>
        <w:footnoteRef/>
      </w:r>
      <w:r>
        <w:t xml:space="preserve"> Gaede, Religious Participation Socioeconomic Status and Belief Orthodoxy (p.246)</w:t>
      </w:r>
    </w:p>
  </w:footnote>
  <w:footnote w:id="36">
    <w:p w14:paraId="42096084" w14:textId="77777777" w:rsidR="000F2F88" w:rsidRDefault="000F2F88" w:rsidP="003A5BA6">
      <w:pPr>
        <w:pStyle w:val="FootnoteText"/>
      </w:pPr>
      <w:r>
        <w:rPr>
          <w:rStyle w:val="FootnoteReference"/>
        </w:rPr>
        <w:footnoteRef/>
      </w:r>
      <w:r>
        <w:t xml:space="preserve"> </w:t>
      </w:r>
      <w:proofErr w:type="spellStart"/>
      <w:r>
        <w:t>Sigelman</w:t>
      </w:r>
      <w:proofErr w:type="spellEnd"/>
      <w:r>
        <w:t>, Multinational Survey of Religious Beliefs (Table 3, pg. 292)</w:t>
      </w:r>
    </w:p>
  </w:footnote>
  <w:footnote w:id="37">
    <w:p w14:paraId="086A7AF6" w14:textId="77777777" w:rsidR="000F2F88" w:rsidRDefault="000F2F88">
      <w:pPr>
        <w:pStyle w:val="FootnoteText"/>
      </w:pPr>
      <w:r>
        <w:rPr>
          <w:rStyle w:val="FootnoteReference"/>
        </w:rPr>
        <w:footnoteRef/>
      </w:r>
      <w:r>
        <w:t xml:space="preserve"> Brink, T.L., ‘Quantitative and/or Qualitative Methods in the Scientific Study of Religion’, </w:t>
      </w:r>
      <w:r>
        <w:rPr>
          <w:i/>
          <w:iCs/>
        </w:rPr>
        <w:t>Zygon</w:t>
      </w:r>
      <w:r>
        <w:t>, Journal of Religion and Science, Wiley-Blackwell (1995), pg. 461-475 (pg. 461)</w:t>
      </w:r>
    </w:p>
  </w:footnote>
  <w:footnote w:id="38">
    <w:p w14:paraId="77FBE370" w14:textId="3A5619D3" w:rsidR="000F2F88" w:rsidRDefault="000F2F88">
      <w:pPr>
        <w:pStyle w:val="FootnoteText"/>
      </w:pPr>
      <w:r>
        <w:rPr>
          <w:rStyle w:val="FootnoteReference"/>
        </w:rPr>
        <w:footnoteRef/>
      </w:r>
      <w:r>
        <w:t xml:space="preserve"> Campion, pg. 158</w:t>
      </w:r>
      <w:r w:rsidR="00B76A67">
        <w:t xml:space="preserve">. Note that Campion </w:t>
      </w:r>
      <w:r w:rsidR="00C16463">
        <w:t xml:space="preserve">refers to </w:t>
      </w:r>
      <w:r w:rsidR="00C16463">
        <w:t>Walter and Waterhouse pg. 187</w:t>
      </w:r>
      <w:r w:rsidR="00C16463">
        <w:t xml:space="preserve"> </w:t>
      </w:r>
      <w:r w:rsidR="00B76A67">
        <w:t>as the basis for this position.</w:t>
      </w:r>
    </w:p>
  </w:footnote>
  <w:footnote w:id="39">
    <w:p w14:paraId="1290F29B" w14:textId="77777777" w:rsidR="000F2F88" w:rsidRDefault="000F2F88" w:rsidP="0014118B">
      <w:pPr>
        <w:pStyle w:val="FootnoteText"/>
      </w:pPr>
      <w:r>
        <w:rPr>
          <w:rStyle w:val="FootnoteReference"/>
        </w:rPr>
        <w:footnoteRef/>
      </w:r>
      <w:r>
        <w:t xml:space="preserve"> Or as described by Hennink, Hutter and Bailey as ‘mixing research methods where researchers combine several research methods, either across paradigms (</w:t>
      </w:r>
      <w:proofErr w:type="gramStart"/>
      <w:r>
        <w:t>e.g.</w:t>
      </w:r>
      <w:proofErr w:type="gramEnd"/>
      <w:r>
        <w:t xml:space="preserve"> qualitative and quantitative or within the interpretive paradigm (e.g. mixing qualitative methods). Pg.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134D0B"/>
    <w:multiLevelType w:val="hybridMultilevel"/>
    <w:tmpl w:val="D4FC7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13A69"/>
    <w:rsid w:val="00034AF6"/>
    <w:rsid w:val="000D2286"/>
    <w:rsid w:val="000F2F88"/>
    <w:rsid w:val="0014118B"/>
    <w:rsid w:val="002548B2"/>
    <w:rsid w:val="002D25E7"/>
    <w:rsid w:val="002E365A"/>
    <w:rsid w:val="003A5BA6"/>
    <w:rsid w:val="004F102B"/>
    <w:rsid w:val="005A1502"/>
    <w:rsid w:val="006E3487"/>
    <w:rsid w:val="00731960"/>
    <w:rsid w:val="007E68A6"/>
    <w:rsid w:val="00895522"/>
    <w:rsid w:val="008A6593"/>
    <w:rsid w:val="008B3078"/>
    <w:rsid w:val="008E0DB0"/>
    <w:rsid w:val="009606AD"/>
    <w:rsid w:val="009F6C33"/>
    <w:rsid w:val="00A836AB"/>
    <w:rsid w:val="00B13A69"/>
    <w:rsid w:val="00B701A3"/>
    <w:rsid w:val="00B76A67"/>
    <w:rsid w:val="00B94D9A"/>
    <w:rsid w:val="00C16463"/>
    <w:rsid w:val="00C222AD"/>
    <w:rsid w:val="00CC44DE"/>
    <w:rsid w:val="00CD7CEC"/>
    <w:rsid w:val="00CF6AC9"/>
    <w:rsid w:val="00D17576"/>
    <w:rsid w:val="00E3759A"/>
    <w:rsid w:val="00EB393C"/>
    <w:rsid w:val="00F30E77"/>
    <w:rsid w:val="00F5630D"/>
    <w:rsid w:val="00F901C9"/>
    <w:rsid w:val="00F93BED"/>
    <w:rsid w:val="00FF0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AB2F"/>
  <w15:docId w15:val="{81BB7CEC-9790-42CD-A9B2-95E8A9B7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sz w:val="20"/>
      <w:szCs w:val="20"/>
      <w:lang w:eastAsia="en-GB"/>
    </w:rPr>
  </w:style>
  <w:style w:type="paragraph" w:styleId="Heading1">
    <w:name w:val="heading 1"/>
    <w:basedOn w:val="Normal"/>
    <w:uiPriority w:val="9"/>
    <w:qFormat/>
    <w:pPr>
      <w:spacing w:before="100" w:after="100"/>
      <w:outlineLvl w:val="0"/>
    </w:pPr>
    <w:rPr>
      <w:b/>
      <w:bCs/>
      <w:kern w:val="3"/>
      <w:sz w:val="48"/>
      <w:szCs w:val="48"/>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rPr>
      <w:lang w:eastAsia="en-GB"/>
    </w:rPr>
  </w:style>
  <w:style w:type="paragraph" w:styleId="ListParagraph">
    <w:name w:val="List Paragraph"/>
    <w:basedOn w:val="Normal"/>
    <w:pPr>
      <w:ind w:left="720"/>
    </w:pPr>
    <w:rPr>
      <w:rFonts w:ascii="Calibri" w:eastAsia="Calibri" w:hAnsi="Calibri"/>
      <w:sz w:val="22"/>
      <w:szCs w:val="22"/>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sz w:val="20"/>
      <w:szCs w:val="20"/>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cs="Times New Roman"/>
      <w:sz w:val="20"/>
      <w:szCs w:val="20"/>
      <w:lang w:eastAsia="en-GB"/>
    </w:rPr>
  </w:style>
  <w:style w:type="paragraph" w:styleId="Title">
    <w:name w:val="Title"/>
    <w:basedOn w:val="Normal"/>
    <w:next w:val="Normal"/>
    <w:uiPriority w:val="10"/>
    <w:qFormat/>
    <w:rPr>
      <w:rFonts w:ascii="Calibri Light"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eastAsia="en-GB"/>
    </w:rPr>
  </w:style>
  <w:style w:type="paragraph" w:customStyle="1" w:styleId="Default">
    <w:name w:val="Default"/>
    <w:pPr>
      <w:suppressAutoHyphens/>
      <w:autoSpaceDE w:val="0"/>
      <w:spacing w:after="0"/>
    </w:pPr>
    <w:rPr>
      <w:rFonts w:ascii="Code" w:hAnsi="Code" w:cs="Code"/>
      <w:color w:val="000000"/>
      <w:sz w:val="24"/>
      <w:szCs w:val="24"/>
    </w:rPr>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styleId="Emphasis">
    <w:name w:val="Emphasis"/>
    <w:basedOn w:val="DefaultParagraphFont"/>
    <w:rPr>
      <w:i/>
      <w:iCs/>
    </w:rPr>
  </w:style>
  <w:style w:type="paragraph" w:styleId="FootnoteText">
    <w:name w:val="footnote text"/>
    <w:basedOn w:val="Normal"/>
  </w:style>
  <w:style w:type="character" w:customStyle="1" w:styleId="FootnoteTextChar">
    <w:name w:val="Footnote Text Char"/>
    <w:basedOn w:val="DefaultParagraphFont"/>
    <w:rPr>
      <w:rFonts w:ascii="Times New Roman" w:eastAsia="Times New Roman" w:hAnsi="Times New Roman"/>
      <w:sz w:val="20"/>
      <w:szCs w:val="20"/>
      <w:lang w:eastAsia="en-GB"/>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Calibri Light" w:eastAsia="Times New Roman" w:hAnsi="Calibri Light" w:cs="Times New Roman"/>
      <w:color w:val="2F5496"/>
      <w:sz w:val="26"/>
      <w:szCs w:val="26"/>
      <w:lang w:eastAsia="en-GB"/>
    </w:rPr>
  </w:style>
  <w:style w:type="character" w:styleId="FollowedHyperlink">
    <w:name w:val="FollowedHyperlink"/>
    <w:basedOn w:val="DefaultParagraphFont"/>
    <w:rPr>
      <w:color w:val="954F72"/>
      <w:u w:val="single"/>
    </w:rPr>
  </w:style>
  <w:style w:type="character" w:styleId="CommentReference">
    <w:name w:val="annotation reference"/>
    <w:basedOn w:val="DefaultParagraphFont"/>
    <w:rPr>
      <w:sz w:val="16"/>
      <w:szCs w:val="16"/>
    </w:rPr>
  </w:style>
  <w:style w:type="paragraph" w:styleId="CommentText">
    <w:name w:val="annotation text"/>
    <w:basedOn w:val="Normal"/>
  </w:style>
  <w:style w:type="character" w:customStyle="1" w:styleId="CommentTextChar">
    <w:name w:val="Comment Text Char"/>
    <w:basedOn w:val="DefaultParagraphFont"/>
    <w:rPr>
      <w:rFonts w:ascii="Times New Roman" w:eastAsia="Times New Roman" w:hAnsi="Times New Roman"/>
      <w:sz w:val="20"/>
      <w:szCs w:val="20"/>
      <w:lang w:eastAsia="en-GB"/>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Times New Roman" w:hAnsi="Times New Roman"/>
      <w:b/>
      <w:bCs/>
      <w:sz w:val="20"/>
      <w:szCs w:val="20"/>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pewresearch.org/fact-tank/2018/10/01/new-age-beliefs-common-among-both-religious-and-nonreligious-america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ath.ac.uk/research-institutes/institute-for-policy-research/" TargetMode="External"/><Relationship Id="rId2" Type="http://schemas.openxmlformats.org/officeDocument/2006/relationships/hyperlink" Target="https://researchportal.bath.ac.uk/en/persons/tony-walter" TargetMode="External"/><Relationship Id="rId1" Type="http://schemas.openxmlformats.org/officeDocument/2006/relationships/hyperlink" Target="https://www.craftonhills.edu/this-is-crafton/profiles/tl-brink.php" TargetMode="External"/><Relationship Id="rId5" Type="http://schemas.openxmlformats.org/officeDocument/2006/relationships/hyperlink" Target="http://www.open.ac.uk/people/hjw26" TargetMode="External"/><Relationship Id="rId4" Type="http://schemas.openxmlformats.org/officeDocument/2006/relationships/hyperlink" Target="https://www.bath.ac.uk/research-centres/centre-for-death-socie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A3F48-4FC9-47CD-A35F-67F4A557C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10</Pages>
  <Words>4128</Words>
  <Characters>23122</Characters>
  <Application>Microsoft Office Word</Application>
  <DocSecurity>0</DocSecurity>
  <Lines>398</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Zielstra</dc:creator>
  <dc:description/>
  <cp:lastModifiedBy>Julie Zielstra</cp:lastModifiedBy>
  <cp:revision>2</cp:revision>
  <dcterms:created xsi:type="dcterms:W3CDTF">2021-03-24T19:29:00Z</dcterms:created>
  <dcterms:modified xsi:type="dcterms:W3CDTF">2021-03-24T19:29:00Z</dcterms:modified>
</cp:coreProperties>
</file>