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7563A" w14:textId="243D6DF8" w:rsidR="00DC5FA3" w:rsidRDefault="00DC5FA3" w:rsidP="00DC5FA3">
      <w:pPr>
        <w:spacing w:before="200"/>
        <w:jc w:val="center"/>
        <w:rPr>
          <w:rFonts w:cs="Arial"/>
          <w:b/>
        </w:rPr>
      </w:pPr>
      <w:r>
        <w:rPr>
          <w:b/>
          <w:noProof/>
          <w:sz w:val="56"/>
        </w:rPr>
        <w:drawing>
          <wp:inline distT="0" distB="0" distL="0" distR="0" wp14:anchorId="0D15445C" wp14:editId="113DF921">
            <wp:extent cx="3524324" cy="1404938"/>
            <wp:effectExtent l="0" t="0" r="0" b="5080"/>
            <wp:docPr id="726759203" name="Picture 72675920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759203" name="Picture 726759203"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5E43BBDF" w14:textId="77777777" w:rsidR="00DC5FA3" w:rsidRDefault="00DC5FA3" w:rsidP="00DC5FA3">
      <w:pPr>
        <w:spacing w:before="200"/>
        <w:ind w:firstLine="720"/>
        <w:jc w:val="center"/>
        <w:rPr>
          <w:rFonts w:cs="Arial"/>
          <w:b/>
        </w:rPr>
      </w:pPr>
    </w:p>
    <w:p w14:paraId="678B3AD1" w14:textId="755D879C" w:rsidR="00DC5FA3" w:rsidRDefault="00DC5FA3" w:rsidP="00DC5FA3">
      <w:pPr>
        <w:tabs>
          <w:tab w:val="left" w:pos="7056"/>
        </w:tabs>
        <w:spacing w:before="212"/>
        <w:rPr>
          <w:b/>
          <w:sz w:val="48"/>
          <w:szCs w:val="48"/>
        </w:rPr>
      </w:pPr>
      <w:r w:rsidRPr="00DD5969">
        <w:rPr>
          <w:b/>
          <w:sz w:val="48"/>
          <w:szCs w:val="48"/>
        </w:rPr>
        <w:t xml:space="preserve">MODULE </w:t>
      </w:r>
      <w:proofErr w:type="gramStart"/>
      <w:r w:rsidRPr="00DD5969">
        <w:rPr>
          <w:b/>
          <w:sz w:val="48"/>
          <w:szCs w:val="48"/>
        </w:rPr>
        <w:t>CODE:</w:t>
      </w:r>
      <w:r>
        <w:rPr>
          <w:b/>
          <w:sz w:val="48"/>
          <w:szCs w:val="48"/>
        </w:rPr>
        <w:t>ECDE</w:t>
      </w:r>
      <w:proofErr w:type="gramEnd"/>
      <w:r>
        <w:rPr>
          <w:b/>
          <w:sz w:val="48"/>
          <w:szCs w:val="48"/>
        </w:rPr>
        <w:t>701</w:t>
      </w:r>
      <w:r w:rsidR="00465007">
        <w:rPr>
          <w:b/>
          <w:sz w:val="48"/>
          <w:szCs w:val="48"/>
        </w:rPr>
        <w:t>8</w:t>
      </w:r>
      <w:r>
        <w:rPr>
          <w:b/>
          <w:sz w:val="48"/>
          <w:szCs w:val="48"/>
        </w:rPr>
        <w:tab/>
      </w:r>
    </w:p>
    <w:p w14:paraId="635C57D7" w14:textId="77777777" w:rsidR="00DC5FA3" w:rsidRDefault="00DC5FA3" w:rsidP="00DC5FA3">
      <w:pPr>
        <w:spacing w:before="212"/>
        <w:rPr>
          <w:b/>
          <w:sz w:val="48"/>
          <w:szCs w:val="48"/>
        </w:rPr>
      </w:pPr>
    </w:p>
    <w:p w14:paraId="43CEB1B7" w14:textId="599D8301" w:rsidR="00DC5FA3" w:rsidRDefault="00DC5FA3" w:rsidP="00DC5FA3">
      <w:pPr>
        <w:spacing w:before="212"/>
        <w:rPr>
          <w:b/>
          <w:sz w:val="44"/>
        </w:rPr>
      </w:pPr>
      <w:r>
        <w:rPr>
          <w:b/>
          <w:sz w:val="48"/>
          <w:szCs w:val="48"/>
        </w:rPr>
        <w:t xml:space="preserve">ASSESSMENT COMPONENT: </w:t>
      </w:r>
      <w:r w:rsidR="00465007">
        <w:rPr>
          <w:b/>
          <w:sz w:val="48"/>
          <w:szCs w:val="48"/>
        </w:rPr>
        <w:t>3</w:t>
      </w:r>
    </w:p>
    <w:p w14:paraId="6B8496FD" w14:textId="792C0FA7" w:rsidR="00DC5FA3" w:rsidRPr="00DD5969" w:rsidRDefault="00DC5FA3" w:rsidP="00DC5FA3">
      <w:pPr>
        <w:spacing w:before="3"/>
        <w:rPr>
          <w:b/>
          <w:sz w:val="48"/>
          <w:szCs w:val="48"/>
        </w:rPr>
      </w:pPr>
      <w:r w:rsidRPr="00DD5969">
        <w:rPr>
          <w:b/>
          <w:sz w:val="48"/>
          <w:szCs w:val="48"/>
        </w:rPr>
        <w:t>STUDENT NAME:</w:t>
      </w:r>
      <w:r w:rsidR="00BA3C89">
        <w:rPr>
          <w:b/>
          <w:sz w:val="48"/>
          <w:szCs w:val="48"/>
        </w:rPr>
        <w:t xml:space="preserve"> </w:t>
      </w:r>
      <w:r>
        <w:rPr>
          <w:b/>
          <w:sz w:val="48"/>
          <w:szCs w:val="48"/>
        </w:rPr>
        <w:t>Inam Alsalim</w:t>
      </w:r>
    </w:p>
    <w:p w14:paraId="58A15C1F" w14:textId="77777777" w:rsidR="00DC5FA3" w:rsidRPr="00DD5969" w:rsidRDefault="00DC5FA3" w:rsidP="00DC5FA3">
      <w:pPr>
        <w:spacing w:before="3"/>
        <w:rPr>
          <w:b/>
          <w:sz w:val="48"/>
          <w:szCs w:val="48"/>
        </w:rPr>
      </w:pPr>
    </w:p>
    <w:p w14:paraId="415806F9" w14:textId="77777777" w:rsidR="00DC5FA3" w:rsidRPr="00DD5969" w:rsidRDefault="00DC5FA3" w:rsidP="00DC5FA3">
      <w:pPr>
        <w:spacing w:before="3"/>
        <w:rPr>
          <w:b/>
          <w:sz w:val="48"/>
          <w:szCs w:val="48"/>
        </w:rPr>
      </w:pPr>
      <w:r w:rsidRPr="00DD5969">
        <w:rPr>
          <w:b/>
          <w:sz w:val="48"/>
          <w:szCs w:val="48"/>
        </w:rPr>
        <w:t xml:space="preserve">STUDENT </w:t>
      </w:r>
      <w:r>
        <w:rPr>
          <w:b/>
          <w:sz w:val="48"/>
          <w:szCs w:val="48"/>
        </w:rPr>
        <w:t>NUMBER</w:t>
      </w:r>
      <w:r w:rsidRPr="00DD5969">
        <w:rPr>
          <w:b/>
          <w:sz w:val="48"/>
          <w:szCs w:val="48"/>
        </w:rPr>
        <w:t>:</w:t>
      </w:r>
      <w:r>
        <w:rPr>
          <w:b/>
          <w:sz w:val="48"/>
          <w:szCs w:val="48"/>
        </w:rPr>
        <w:t>2502495</w:t>
      </w:r>
    </w:p>
    <w:p w14:paraId="69106601" w14:textId="77777777" w:rsidR="00DC5FA3" w:rsidRPr="00E243A8" w:rsidRDefault="00DC5FA3" w:rsidP="00DC5FA3">
      <w:pPr>
        <w:rPr>
          <w:b/>
          <w:bCs/>
          <w:sz w:val="32"/>
          <w:szCs w:val="32"/>
          <w:u w:val="single"/>
        </w:rPr>
      </w:pPr>
      <w:r w:rsidRPr="00E243A8">
        <w:rPr>
          <w:b/>
          <w:bCs/>
          <w:sz w:val="32"/>
          <w:szCs w:val="32"/>
          <w:u w:val="single"/>
        </w:rPr>
        <w:t>AI Acknowledgement</w:t>
      </w:r>
    </w:p>
    <w:p w14:paraId="3526359E" w14:textId="77777777" w:rsidR="00DC5FA3" w:rsidRDefault="00DC5FA3" w:rsidP="00DC5FA3"/>
    <w:p w14:paraId="15E3AE8A" w14:textId="77777777" w:rsidR="00DC5FA3" w:rsidRDefault="00DC5FA3" w:rsidP="00DC5FA3">
      <w:r w:rsidRPr="00E243A8">
        <w:t xml:space="preserve">I confirm that I have not used any AI tools in the research and creation of this assignment. </w:t>
      </w:r>
    </w:p>
    <w:p w14:paraId="5AABAA31" w14:textId="77777777" w:rsidR="00DC5FA3" w:rsidRDefault="00DC5FA3" w:rsidP="00DC5FA3">
      <w:r w:rsidRPr="00E243A8">
        <w:t xml:space="preserve">I confirm that I have not presented any AI generated materials as my own work. </w:t>
      </w:r>
    </w:p>
    <w:p w14:paraId="06ACED46" w14:textId="77777777" w:rsidR="00DC5FA3" w:rsidRPr="00E243A8" w:rsidRDefault="00DC5FA3" w:rsidP="00DC5FA3">
      <w:r w:rsidRPr="00E243A8">
        <w:t xml:space="preserve">I confirm </w:t>
      </w:r>
      <w:r>
        <w:t xml:space="preserve">that </w:t>
      </w:r>
      <w:r w:rsidRPr="00E243A8">
        <w:t>I have copies of my drafts, notes, and other resources I used, which I may be asked to provide in evidence.</w:t>
      </w:r>
    </w:p>
    <w:p w14:paraId="3317573E" w14:textId="77777777" w:rsidR="00DC5FA3" w:rsidRPr="00C2550A" w:rsidRDefault="00DC5FA3" w:rsidP="00DC5FA3">
      <w:pPr>
        <w:rPr>
          <w:b/>
          <w:bCs/>
        </w:rPr>
      </w:pPr>
      <w:r w:rsidRPr="00C2550A">
        <w:rPr>
          <w:b/>
          <w:bCs/>
        </w:rPr>
        <w:t>OR:</w:t>
      </w:r>
    </w:p>
    <w:p w14:paraId="217AC3EF" w14:textId="77777777" w:rsidR="00DC5FA3" w:rsidRDefault="00DC5FA3" w:rsidP="00DC5FA3"/>
    <w:p w14:paraId="7DBB7C91" w14:textId="77777777" w:rsidR="00DC5FA3" w:rsidRPr="00DD5969" w:rsidRDefault="00DC5FA3" w:rsidP="00DC5FA3">
      <w:r w:rsidRPr="00DD5969">
        <w:t xml:space="preserve">I acknowledge the use of [AI Tool] [(AI Tool </w:t>
      </w:r>
      <w:proofErr w:type="spellStart"/>
      <w:r w:rsidRPr="00DD5969">
        <w:t>url</w:t>
      </w:r>
      <w:proofErr w:type="spellEnd"/>
      <w:r w:rsidRPr="00DD5969">
        <w:t xml:space="preserve">)] on [Date] to [Purpose my work]. I used the prompt(s): </w:t>
      </w:r>
    </w:p>
    <w:p w14:paraId="1CA6B13A" w14:textId="7AE5F61F" w:rsidR="00DC5FA3" w:rsidRPr="00DD5969" w:rsidRDefault="00DC5FA3" w:rsidP="00DC5FA3">
      <w:r w:rsidRPr="00DD5969">
        <w:t>1. [</w:t>
      </w:r>
      <w:r>
        <w:t>Grammarly for proof reading and punctuation</w:t>
      </w:r>
      <w:r w:rsidRPr="00DD5969">
        <w:t xml:space="preserve">] </w:t>
      </w:r>
      <w:r>
        <w:t>24/</w:t>
      </w:r>
      <w:r w:rsidR="00465007">
        <w:t>12</w:t>
      </w:r>
      <w:r>
        <w:t>/2025</w:t>
      </w:r>
    </w:p>
    <w:p w14:paraId="078E11C1" w14:textId="4582098B" w:rsidR="00DC5FA3" w:rsidRDefault="00DC5FA3" w:rsidP="00DC5FA3">
      <w:r w:rsidRPr="00DD5969">
        <w:t>2. [</w:t>
      </w:r>
      <w:proofErr w:type="spellStart"/>
      <w:r>
        <w:t>quillbot</w:t>
      </w:r>
      <w:proofErr w:type="spellEnd"/>
      <w:r>
        <w:t xml:space="preserve"> to search for resources</w:t>
      </w:r>
      <w:r w:rsidRPr="00DD5969">
        <w:t xml:space="preserve">] </w:t>
      </w:r>
      <w:r>
        <w:t>2411/2025</w:t>
      </w:r>
      <w:r w:rsidRPr="00DD5969">
        <w:t>3. [</w:t>
      </w:r>
      <w:r>
        <w:t>CHAT GPT summarise some articles]</w:t>
      </w:r>
      <w:r w:rsidRPr="00DD5969">
        <w:t xml:space="preserve"> </w:t>
      </w:r>
      <w:r>
        <w:t>24/</w:t>
      </w:r>
      <w:r w:rsidR="00465007">
        <w:t>12</w:t>
      </w:r>
      <w:r>
        <w:t>/2025</w:t>
      </w:r>
      <w:r w:rsidRPr="00DD5969">
        <w:t xml:space="preserve">I confirm that I have not presented any AI generated text as my own work. I confirm </w:t>
      </w:r>
      <w:r>
        <w:t xml:space="preserve">that </w:t>
      </w:r>
      <w:r w:rsidRPr="00DD5969">
        <w:t xml:space="preserve">I have copies of my drafts, notes, and other resources I used before and after the use of AI tools which I may be asked to provide in evidence. </w:t>
      </w:r>
    </w:p>
    <w:p w14:paraId="6258F59C" w14:textId="77777777" w:rsidR="000D7845" w:rsidRPr="00160382" w:rsidRDefault="000D7845" w:rsidP="000D7845">
      <w:pPr>
        <w:spacing w:after="242" w:line="240" w:lineRule="auto"/>
        <w:jc w:val="center"/>
        <w:rPr>
          <w:rFonts w:eastAsia="Times New Roman" w:cstheme="minorHAnsi"/>
          <w:color w:val="000000"/>
          <w:sz w:val="24"/>
          <w:szCs w:val="24"/>
          <w:lang w:eastAsia="en-GB"/>
        </w:rPr>
      </w:pPr>
      <w:r w:rsidRPr="00160382">
        <w:rPr>
          <w:rFonts w:eastAsia="Times New Roman" w:cstheme="minorHAnsi"/>
          <w:b/>
          <w:bCs/>
          <w:color w:val="000000"/>
          <w:sz w:val="24"/>
          <w:szCs w:val="24"/>
          <w:lang w:eastAsia="en-GB"/>
        </w:rPr>
        <w:lastRenderedPageBreak/>
        <w:t>Ethical Considerations in Researching Teachers’ and Teaching Assistants’ Perceptions of the Additional Learning Needs (ALN) Code for Wales (2021)</w:t>
      </w:r>
    </w:p>
    <w:p w14:paraId="09D33CB7" w14:textId="77777777" w:rsidR="000D7845" w:rsidRPr="00160382" w:rsidRDefault="000D7845" w:rsidP="000D7845">
      <w:pPr>
        <w:spacing w:after="180" w:line="240" w:lineRule="auto"/>
        <w:jc w:val="center"/>
        <w:rPr>
          <w:rFonts w:eastAsia="Times New Roman" w:cstheme="minorHAnsi"/>
          <w:color w:val="000000"/>
          <w:sz w:val="24"/>
          <w:szCs w:val="24"/>
          <w:lang w:eastAsia="en-GB"/>
        </w:rPr>
      </w:pPr>
    </w:p>
    <w:p w14:paraId="07CCE032" w14:textId="77777777" w:rsidR="000D7845" w:rsidRPr="00160382" w:rsidRDefault="000D7845" w:rsidP="000D7845">
      <w:pPr>
        <w:spacing w:after="180" w:line="240" w:lineRule="auto"/>
        <w:rPr>
          <w:rFonts w:ascii="Times New Roman" w:eastAsia="Times New Roman" w:hAnsi="Times New Roman" w:cs="Times New Roman"/>
          <w:color w:val="000000"/>
          <w:sz w:val="18"/>
          <w:szCs w:val="18"/>
          <w:lang w:eastAsia="en-GB"/>
        </w:rPr>
      </w:pPr>
    </w:p>
    <w:p w14:paraId="59C19BFB" w14:textId="77777777" w:rsidR="000D7845" w:rsidRPr="00160382" w:rsidRDefault="000D7845" w:rsidP="000D7845">
      <w:pPr>
        <w:spacing w:after="180" w:line="240" w:lineRule="auto"/>
        <w:rPr>
          <w:rFonts w:ascii="Times New Roman" w:eastAsia="Times New Roman" w:hAnsi="Times New Roman" w:cs="Times New Roman"/>
          <w:color w:val="000000"/>
          <w:sz w:val="18"/>
          <w:szCs w:val="18"/>
          <w:lang w:eastAsia="en-GB"/>
        </w:rPr>
      </w:pPr>
    </w:p>
    <w:p w14:paraId="7389C066" w14:textId="77777777" w:rsidR="000D7845" w:rsidRPr="00160382" w:rsidRDefault="000D7845" w:rsidP="000D7845">
      <w:pPr>
        <w:spacing w:after="224" w:line="240" w:lineRule="auto"/>
        <w:rPr>
          <w:rFonts w:eastAsia="Times New Roman" w:cstheme="minorHAnsi"/>
          <w:color w:val="000000"/>
          <w:lang w:eastAsia="en-GB"/>
        </w:rPr>
      </w:pPr>
      <w:r w:rsidRPr="00160382">
        <w:rPr>
          <w:rFonts w:eastAsia="Times New Roman" w:cstheme="minorHAnsi"/>
          <w:b/>
          <w:bCs/>
          <w:color w:val="000000"/>
          <w:lang w:eastAsia="en-GB"/>
        </w:rPr>
        <w:t>Introduction</w:t>
      </w:r>
    </w:p>
    <w:p w14:paraId="06A70F8E" w14:textId="77777777" w:rsidR="000D7845" w:rsidRPr="00160382" w:rsidRDefault="000D7845" w:rsidP="000D7845">
      <w:pPr>
        <w:spacing w:after="180" w:line="240" w:lineRule="auto"/>
        <w:rPr>
          <w:rFonts w:eastAsia="Times New Roman" w:cstheme="minorHAnsi"/>
          <w:color w:val="000000"/>
          <w:lang w:eastAsia="en-GB"/>
        </w:rPr>
      </w:pPr>
    </w:p>
    <w:p w14:paraId="520C6FDC" w14:textId="77777777" w:rsidR="000D7845" w:rsidRPr="00160382" w:rsidRDefault="000D7845" w:rsidP="000D7845">
      <w:pPr>
        <w:spacing w:after="180" w:line="240" w:lineRule="auto"/>
        <w:rPr>
          <w:rFonts w:eastAsia="Times New Roman" w:cstheme="minorHAnsi"/>
          <w:color w:val="000000"/>
          <w:lang w:eastAsia="en-GB"/>
        </w:rPr>
      </w:pPr>
    </w:p>
    <w:p w14:paraId="422C2A61"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This study investigates how teachers and Teaching Assistants (TAs) perceive the implementation of the Additional Learning Needs (ALN) Code for Wales (2021), with particular focus on their preparedness to deliver inclusive education, the enablers and challenges associated with Individual Development Plans (IDPs), and opportunities for improving policy and school-level guidance. The research adopts a mixed-methods design, combining quantitative and qualitative data to generate both breadth and depth of understanding. Although the study does not involve children or vulnerable adults directly, it raises significant ethical considerations due to its engagement with professional participants reflecting on policy enactment within hierarchical educational contexts.</w:t>
      </w:r>
    </w:p>
    <w:p w14:paraId="3362B4D0" w14:textId="77777777" w:rsidR="000D7845" w:rsidRPr="00160382" w:rsidRDefault="000D7845" w:rsidP="000D7845">
      <w:pPr>
        <w:spacing w:after="180" w:line="240" w:lineRule="auto"/>
        <w:rPr>
          <w:rFonts w:eastAsia="Times New Roman" w:cstheme="minorHAnsi"/>
          <w:color w:val="000000"/>
          <w:lang w:eastAsia="en-GB"/>
        </w:rPr>
      </w:pPr>
    </w:p>
    <w:p w14:paraId="6CBF66C7"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Ethical research in education extends beyond procedural compliance to encompass reflexive engagement with power relations, professional vulnerability, and the potential consequences of participation. This is particularly pertinent in policy-focused research, where practitioners may feel exposed when articulating critical perspectives on systemic reform. Using the UWTSD Ethics Form as a guiding framework, this discussion critically examines the ethical implications of the research process, focusing on Section H (Anticipated Risks), Section I (Feedback, Consent and Confidentiality), and Section J (Data Protection and Storage). In doing so, it conceptualises ethics as an ongoing, situated practice rather than a static set of requirements.</w:t>
      </w:r>
    </w:p>
    <w:p w14:paraId="05D6CA9F" w14:textId="77777777" w:rsidR="000D7845" w:rsidRPr="00160382" w:rsidRDefault="000D7845" w:rsidP="000D7845">
      <w:pPr>
        <w:spacing w:after="180" w:line="240" w:lineRule="auto"/>
        <w:rPr>
          <w:rFonts w:eastAsia="Times New Roman" w:cstheme="minorHAnsi"/>
          <w:color w:val="000000"/>
          <w:lang w:eastAsia="en-GB"/>
        </w:rPr>
      </w:pPr>
    </w:p>
    <w:p w14:paraId="1C27DFA6" w14:textId="77777777" w:rsidR="000D7845" w:rsidRPr="00160382" w:rsidRDefault="000D7845" w:rsidP="000D7845">
      <w:pPr>
        <w:spacing w:after="0" w:line="240" w:lineRule="auto"/>
        <w:rPr>
          <w:rFonts w:eastAsia="Times New Roman" w:cstheme="minorHAnsi"/>
          <w:color w:val="9F9F9F"/>
          <w:lang w:eastAsia="en-GB"/>
        </w:rPr>
      </w:pPr>
    </w:p>
    <w:p w14:paraId="40BBAB63" w14:textId="77777777" w:rsidR="000D7845" w:rsidRPr="00160382" w:rsidRDefault="000D7845" w:rsidP="000D7845">
      <w:pPr>
        <w:spacing w:after="180" w:line="240" w:lineRule="auto"/>
        <w:rPr>
          <w:rFonts w:eastAsia="Times New Roman" w:cstheme="minorHAnsi"/>
          <w:color w:val="000000"/>
          <w:lang w:eastAsia="en-GB"/>
        </w:rPr>
      </w:pPr>
    </w:p>
    <w:p w14:paraId="7AAAC4C3" w14:textId="77777777" w:rsidR="000D7845" w:rsidRPr="00160382" w:rsidRDefault="000D7845" w:rsidP="000D7845">
      <w:pPr>
        <w:spacing w:after="180" w:line="240" w:lineRule="auto"/>
        <w:rPr>
          <w:rFonts w:eastAsia="Times New Roman" w:cstheme="minorHAnsi"/>
          <w:color w:val="000000"/>
          <w:lang w:eastAsia="en-GB"/>
        </w:rPr>
      </w:pPr>
    </w:p>
    <w:p w14:paraId="044B57D7" w14:textId="77777777" w:rsidR="000D7845" w:rsidRPr="00160382" w:rsidRDefault="000D7845" w:rsidP="000D7845">
      <w:pPr>
        <w:spacing w:after="224" w:line="240" w:lineRule="auto"/>
        <w:rPr>
          <w:rFonts w:eastAsia="Times New Roman" w:cstheme="minorHAnsi"/>
          <w:color w:val="000000"/>
          <w:lang w:eastAsia="en-GB"/>
        </w:rPr>
      </w:pPr>
      <w:r w:rsidRPr="00160382">
        <w:rPr>
          <w:rFonts w:eastAsia="Times New Roman" w:cstheme="minorHAnsi"/>
          <w:b/>
          <w:bCs/>
          <w:color w:val="000000"/>
          <w:lang w:eastAsia="en-GB"/>
        </w:rPr>
        <w:t>Section H – Anticipated Risks</w:t>
      </w:r>
    </w:p>
    <w:p w14:paraId="59759544" w14:textId="77777777" w:rsidR="000D7845" w:rsidRPr="00160382" w:rsidRDefault="000D7845" w:rsidP="000D7845">
      <w:pPr>
        <w:spacing w:after="180" w:line="240" w:lineRule="auto"/>
        <w:rPr>
          <w:rFonts w:eastAsia="Times New Roman" w:cstheme="minorHAnsi"/>
          <w:color w:val="000000"/>
          <w:lang w:eastAsia="en-GB"/>
        </w:rPr>
      </w:pPr>
    </w:p>
    <w:p w14:paraId="0EEC3A75" w14:textId="77777777" w:rsidR="000D7845" w:rsidRPr="00160382" w:rsidRDefault="000D7845" w:rsidP="000D7845">
      <w:pPr>
        <w:spacing w:after="180" w:line="240" w:lineRule="auto"/>
        <w:rPr>
          <w:rFonts w:ascii="Times New Roman" w:eastAsia="Times New Roman" w:hAnsi="Times New Roman" w:cs="Times New Roman"/>
          <w:color w:val="000000"/>
          <w:sz w:val="18"/>
          <w:szCs w:val="18"/>
          <w:lang w:eastAsia="en-GB"/>
        </w:rPr>
      </w:pPr>
    </w:p>
    <w:p w14:paraId="178B4B6F" w14:textId="77777777" w:rsidR="000D7845" w:rsidRPr="00160382" w:rsidRDefault="000D7845" w:rsidP="000D7845">
      <w:pPr>
        <w:spacing w:after="180" w:line="240" w:lineRule="auto"/>
        <w:rPr>
          <w:rFonts w:ascii="Times New Roman" w:eastAsia="Times New Roman" w:hAnsi="Times New Roman" w:cs="Times New Roman"/>
          <w:color w:val="000000"/>
          <w:sz w:val="18"/>
          <w:szCs w:val="18"/>
          <w:lang w:eastAsia="en-GB"/>
        </w:rPr>
      </w:pPr>
    </w:p>
    <w:p w14:paraId="55D9AC40" w14:textId="77777777"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Understanding Risk in Mixed-Methods Professional Research</w:t>
      </w:r>
    </w:p>
    <w:p w14:paraId="1AB205AB" w14:textId="77777777" w:rsidR="000D7845" w:rsidRPr="00160382" w:rsidRDefault="000D7845" w:rsidP="000D7845">
      <w:pPr>
        <w:spacing w:after="180" w:line="240" w:lineRule="auto"/>
        <w:rPr>
          <w:rFonts w:eastAsia="Times New Roman" w:cstheme="minorHAnsi"/>
          <w:color w:val="000000"/>
          <w:lang w:eastAsia="en-GB"/>
        </w:rPr>
      </w:pPr>
    </w:p>
    <w:p w14:paraId="3A90329C" w14:textId="77777777" w:rsidR="000D7845" w:rsidRPr="00160382" w:rsidRDefault="000D7845" w:rsidP="000D7845">
      <w:pPr>
        <w:spacing w:after="180" w:line="240" w:lineRule="auto"/>
        <w:rPr>
          <w:rFonts w:eastAsia="Times New Roman" w:cstheme="minorHAnsi"/>
          <w:color w:val="000000"/>
          <w:lang w:eastAsia="en-GB"/>
        </w:rPr>
      </w:pPr>
    </w:p>
    <w:p w14:paraId="48F25B12"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 xml:space="preserve">Within the UWTSD ethics framework, anticipated risks are often associated with physical harm or safeguarding. However, in research involving teachers and TAs as professional participants, risk is </w:t>
      </w:r>
      <w:r w:rsidRPr="00160382">
        <w:rPr>
          <w:rFonts w:eastAsia="Times New Roman" w:cstheme="minorHAnsi"/>
          <w:color w:val="000000"/>
          <w:lang w:eastAsia="en-GB"/>
        </w:rPr>
        <w:lastRenderedPageBreak/>
        <w:t>more likely to manifest in professional, reputational, emotional, and relational forms. This mixed-methods study invites participants to reflect on their preparedness, confidence, and experiences of implementing the ALN Code, potentially surfacing tensions between policy expectations and everyday practice. Such reflection can carry ethical risk, particularly within a reform context characterised by accountability pressures and evolving professional roles.</w:t>
      </w:r>
    </w:p>
    <w:p w14:paraId="149C978F" w14:textId="77777777" w:rsidR="000D7845" w:rsidRPr="00160382" w:rsidRDefault="000D7845" w:rsidP="000D7845">
      <w:pPr>
        <w:spacing w:after="180" w:line="240" w:lineRule="auto"/>
        <w:rPr>
          <w:rFonts w:eastAsia="Times New Roman" w:cstheme="minorHAnsi"/>
          <w:color w:val="000000"/>
          <w:lang w:eastAsia="en-GB"/>
        </w:rPr>
      </w:pPr>
    </w:p>
    <w:p w14:paraId="566F1081" w14:textId="77777777" w:rsidR="000D7845" w:rsidRPr="00160382" w:rsidRDefault="000D7845" w:rsidP="000D7845">
      <w:pPr>
        <w:spacing w:after="180" w:line="240" w:lineRule="auto"/>
        <w:rPr>
          <w:rFonts w:eastAsia="Times New Roman" w:cstheme="minorHAnsi"/>
          <w:color w:val="000000"/>
          <w:lang w:eastAsia="en-GB"/>
        </w:rPr>
      </w:pPr>
    </w:p>
    <w:p w14:paraId="7DD9109B" w14:textId="77777777"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Professional and Reputational Risk</w:t>
      </w:r>
    </w:p>
    <w:p w14:paraId="0B5F1228" w14:textId="77777777" w:rsidR="000D7845" w:rsidRPr="00160382" w:rsidRDefault="000D7845" w:rsidP="000D7845">
      <w:pPr>
        <w:spacing w:after="180" w:line="240" w:lineRule="auto"/>
        <w:rPr>
          <w:rFonts w:eastAsia="Times New Roman" w:cstheme="minorHAnsi"/>
          <w:color w:val="000000"/>
          <w:lang w:eastAsia="en-GB"/>
        </w:rPr>
      </w:pPr>
    </w:p>
    <w:p w14:paraId="59484825" w14:textId="77777777" w:rsidR="000D7845" w:rsidRPr="00160382" w:rsidRDefault="000D7845" w:rsidP="000D7845">
      <w:pPr>
        <w:spacing w:after="180" w:line="240" w:lineRule="auto"/>
        <w:rPr>
          <w:rFonts w:eastAsia="Times New Roman" w:cstheme="minorHAnsi"/>
          <w:color w:val="000000"/>
          <w:lang w:eastAsia="en-GB"/>
        </w:rPr>
      </w:pPr>
    </w:p>
    <w:p w14:paraId="45049573"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A key ethical concern relates to the possibility that participants’ responses could be interpreted as indicative of professional inadequacy or non-compliance with statutory requirements. Teachers and TAs may be reluctant to express critical views on the ALN reforms, IDP processes, or multi-agency collaboration if they fear negative professional repercussions. This risk is heightened for TAs, whose roles are often</w:t>
      </w:r>
      <w:r w:rsidRPr="00160382">
        <w:rPr>
          <w:rFonts w:ascii="Times New Roman" w:eastAsia="Times New Roman" w:hAnsi="Times New Roman" w:cs="Times New Roman"/>
          <w:color w:val="000000"/>
          <w:sz w:val="30"/>
          <w:szCs w:val="30"/>
          <w:lang w:eastAsia="en-GB"/>
        </w:rPr>
        <w:t xml:space="preserve"> </w:t>
      </w:r>
      <w:r w:rsidRPr="00160382">
        <w:rPr>
          <w:rFonts w:eastAsia="Times New Roman" w:cstheme="minorHAnsi"/>
          <w:color w:val="000000"/>
          <w:lang w:eastAsia="en-GB"/>
        </w:rPr>
        <w:t>positioned hierarchically beneath teachers and who may experience greater precarity or reduced professional voice.</w:t>
      </w:r>
    </w:p>
    <w:p w14:paraId="5BE626BB" w14:textId="77777777" w:rsidR="000D7845" w:rsidRPr="00160382" w:rsidRDefault="000D7845" w:rsidP="000D7845">
      <w:pPr>
        <w:spacing w:after="180" w:line="240" w:lineRule="auto"/>
        <w:rPr>
          <w:rFonts w:eastAsia="Times New Roman" w:cstheme="minorHAnsi"/>
          <w:color w:val="000000"/>
          <w:lang w:eastAsia="en-GB"/>
        </w:rPr>
      </w:pPr>
    </w:p>
    <w:p w14:paraId="2768B87D"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To mitigate these risks, the research design explicitly avoids evaluative or performance-based framings. Data collection tools are constructed to elicit perceptions of policy enactment rather than compliance, recognising that practitioners operate within constraints shaped by training, resourcing, leadership, and inter-agency structures. The study does not seek to compare teachers and TAs in ways that imply deficit or judgement; instead, it treats both groups as expert informants offering complementary perspectives on inclusive practice.</w:t>
      </w:r>
    </w:p>
    <w:p w14:paraId="777A641B" w14:textId="77777777" w:rsidR="000D7845" w:rsidRPr="00160382" w:rsidRDefault="000D7845" w:rsidP="000D7845">
      <w:pPr>
        <w:spacing w:after="180" w:line="240" w:lineRule="auto"/>
        <w:rPr>
          <w:rFonts w:eastAsia="Times New Roman" w:cstheme="minorHAnsi"/>
          <w:color w:val="000000"/>
          <w:lang w:eastAsia="en-GB"/>
        </w:rPr>
      </w:pPr>
    </w:p>
    <w:p w14:paraId="2D5F51B3"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Anonymity is further protected by avoiding the collection of identifiable institutional data, such as school names or local authority affiliations. Findings are reported in aggregated and thematic form, ensuring that no individual, school, or professional group can be indirectly identified.</w:t>
      </w:r>
    </w:p>
    <w:p w14:paraId="3CCE1D77" w14:textId="77777777" w:rsidR="000D7845" w:rsidRPr="00160382" w:rsidRDefault="000D7845" w:rsidP="000D7845">
      <w:pPr>
        <w:spacing w:after="180" w:line="240" w:lineRule="auto"/>
        <w:rPr>
          <w:rFonts w:eastAsia="Times New Roman" w:cstheme="minorHAnsi"/>
          <w:color w:val="000000"/>
          <w:lang w:eastAsia="en-GB"/>
        </w:rPr>
      </w:pPr>
    </w:p>
    <w:p w14:paraId="4A4D251D" w14:textId="77777777" w:rsidR="000D7845" w:rsidRPr="00160382" w:rsidRDefault="000D7845" w:rsidP="000D7845">
      <w:pPr>
        <w:spacing w:after="180" w:line="240" w:lineRule="auto"/>
        <w:rPr>
          <w:rFonts w:ascii="Times New Roman" w:eastAsia="Times New Roman" w:hAnsi="Times New Roman" w:cs="Times New Roman"/>
          <w:color w:val="000000"/>
          <w:sz w:val="18"/>
          <w:szCs w:val="18"/>
          <w:lang w:eastAsia="en-GB"/>
        </w:rPr>
      </w:pPr>
    </w:p>
    <w:p w14:paraId="0C959CEF" w14:textId="77777777"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Emotional and Psychological Risk</w:t>
      </w:r>
    </w:p>
    <w:p w14:paraId="62B236AB" w14:textId="77777777" w:rsidR="000D7845" w:rsidRPr="00160382" w:rsidRDefault="000D7845" w:rsidP="000D7845">
      <w:pPr>
        <w:spacing w:after="180" w:line="240" w:lineRule="auto"/>
        <w:rPr>
          <w:rFonts w:eastAsia="Times New Roman" w:cstheme="minorHAnsi"/>
          <w:color w:val="000000"/>
          <w:lang w:eastAsia="en-GB"/>
        </w:rPr>
      </w:pPr>
    </w:p>
    <w:p w14:paraId="69E820A6" w14:textId="77777777" w:rsidR="000D7845" w:rsidRPr="00160382" w:rsidRDefault="000D7845" w:rsidP="000D7845">
      <w:pPr>
        <w:spacing w:after="180" w:line="240" w:lineRule="auto"/>
        <w:rPr>
          <w:rFonts w:eastAsia="Times New Roman" w:cstheme="minorHAnsi"/>
          <w:color w:val="000000"/>
          <w:lang w:eastAsia="en-GB"/>
        </w:rPr>
      </w:pPr>
    </w:p>
    <w:p w14:paraId="09397B0A"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Reflecting on preparedness and inclusive practice under a significant legislative reform may evoke emotional discomfort, frustration, or anxiety. Participants may become aware of perceived gaps in training, inconsistencies in guidance, or tensions within multi-agency working arrangements. While such reflection is integral to the research aims, it nevertheless constitutes an ethical risk that must be acknowledged.</w:t>
      </w:r>
    </w:p>
    <w:p w14:paraId="7D31F656" w14:textId="77777777" w:rsidR="000D7845" w:rsidRPr="00160382" w:rsidRDefault="000D7845" w:rsidP="000D7845">
      <w:pPr>
        <w:spacing w:after="180" w:line="240" w:lineRule="auto"/>
        <w:rPr>
          <w:rFonts w:eastAsia="Times New Roman" w:cstheme="minorHAnsi"/>
          <w:color w:val="000000"/>
          <w:lang w:eastAsia="en-GB"/>
        </w:rPr>
      </w:pPr>
    </w:p>
    <w:p w14:paraId="00C43AEE"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lastRenderedPageBreak/>
        <w:t>To address this, participation is entirely voluntary, and participants are reminded that they may decline to answer any question or withdraw from the study at any point without consequence. Questions are phrased sensitively and professionally, avoiding language that could be perceived as accusatory or judgemental. The research does not seek disclosure of safeguarding concerns, illegal activity, or sensitive personal information, thereby limiting the likelihood of significant distress.</w:t>
      </w:r>
    </w:p>
    <w:p w14:paraId="03156F57" w14:textId="77777777" w:rsidR="000D7845" w:rsidRPr="00160382" w:rsidRDefault="000D7845" w:rsidP="000D7845">
      <w:pPr>
        <w:spacing w:after="180" w:line="240" w:lineRule="auto"/>
        <w:rPr>
          <w:rFonts w:eastAsia="Times New Roman" w:cstheme="minorHAnsi"/>
          <w:color w:val="000000"/>
          <w:lang w:eastAsia="en-GB"/>
        </w:rPr>
      </w:pPr>
    </w:p>
    <w:p w14:paraId="685D1CE5" w14:textId="77777777" w:rsidR="000D7845" w:rsidRPr="00160382" w:rsidRDefault="000D7845" w:rsidP="000D7845">
      <w:pPr>
        <w:spacing w:after="180" w:line="240" w:lineRule="auto"/>
        <w:rPr>
          <w:rFonts w:ascii="Times New Roman" w:eastAsia="Times New Roman" w:hAnsi="Times New Roman" w:cs="Times New Roman"/>
          <w:color w:val="000000"/>
          <w:sz w:val="18"/>
          <w:szCs w:val="18"/>
          <w:lang w:eastAsia="en-GB"/>
        </w:rPr>
      </w:pPr>
    </w:p>
    <w:p w14:paraId="572A5CAF" w14:textId="77777777"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Power Relations and Role Sensitivity</w:t>
      </w:r>
    </w:p>
    <w:p w14:paraId="0F328EDA" w14:textId="77777777" w:rsidR="000D7845" w:rsidRPr="00160382" w:rsidRDefault="000D7845" w:rsidP="000D7845">
      <w:pPr>
        <w:spacing w:after="180" w:line="240" w:lineRule="auto"/>
        <w:rPr>
          <w:rFonts w:eastAsia="Times New Roman" w:cstheme="minorHAnsi"/>
          <w:color w:val="000000"/>
          <w:lang w:eastAsia="en-GB"/>
        </w:rPr>
      </w:pPr>
    </w:p>
    <w:p w14:paraId="219EFC8A" w14:textId="77777777" w:rsidR="000D7845" w:rsidRPr="00160382" w:rsidRDefault="000D7845" w:rsidP="000D7845">
      <w:pPr>
        <w:spacing w:after="180" w:line="240" w:lineRule="auto"/>
        <w:rPr>
          <w:rFonts w:eastAsia="Times New Roman" w:cstheme="minorHAnsi"/>
          <w:color w:val="000000"/>
          <w:lang w:eastAsia="en-GB"/>
        </w:rPr>
      </w:pPr>
    </w:p>
    <w:p w14:paraId="6B4B0E93"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The inclusion of both teachers and TAs introduces additional ethical complexity related to power dynamics. TAs may feel less empowered to articulate critical perspectives, particularly if they perceive that their views could be subordinated or misrepresented. The research explicitly recognises this risk and addresses it by ensuring that data from different participant groups are analysed and reported in ways that respect their distinct professional roles and experiences, without reinforcing hierarchical assumptions.</w:t>
      </w:r>
    </w:p>
    <w:p w14:paraId="397B1271" w14:textId="77777777" w:rsidR="000D7845" w:rsidRPr="00160382" w:rsidRDefault="000D7845" w:rsidP="000D7845">
      <w:pPr>
        <w:spacing w:after="180" w:line="240" w:lineRule="auto"/>
        <w:rPr>
          <w:rFonts w:eastAsia="Times New Roman" w:cstheme="minorHAnsi"/>
          <w:color w:val="000000"/>
          <w:lang w:eastAsia="en-GB"/>
        </w:rPr>
      </w:pPr>
    </w:p>
    <w:p w14:paraId="417F4840"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Overall, the anticipated risks associated with this research are considered low to moderate and proportionate to the potential benefits. Nevertheless, they are taken seriously and addressed through careful design, reflexive awareness, and adherence to ethical best practice.</w:t>
      </w:r>
    </w:p>
    <w:p w14:paraId="4B0398DD" w14:textId="77777777" w:rsidR="000D7845" w:rsidRPr="00160382" w:rsidRDefault="000D7845" w:rsidP="000D7845">
      <w:pPr>
        <w:spacing w:after="180" w:line="240" w:lineRule="auto"/>
        <w:rPr>
          <w:rFonts w:ascii="Times New Roman" w:eastAsia="Times New Roman" w:hAnsi="Times New Roman" w:cs="Times New Roman"/>
          <w:color w:val="000000"/>
          <w:sz w:val="18"/>
          <w:szCs w:val="18"/>
          <w:lang w:eastAsia="en-GB"/>
        </w:rPr>
      </w:pPr>
    </w:p>
    <w:p w14:paraId="640C396A" w14:textId="77777777" w:rsidR="000D7845" w:rsidRPr="00160382" w:rsidRDefault="000D7845" w:rsidP="000D7845">
      <w:pPr>
        <w:spacing w:after="0" w:line="240" w:lineRule="auto"/>
        <w:rPr>
          <w:rFonts w:ascii="Times New Roman" w:eastAsia="Times New Roman" w:hAnsi="Times New Roman" w:cs="Times New Roman"/>
          <w:color w:val="9F9F9F"/>
          <w:sz w:val="18"/>
          <w:szCs w:val="18"/>
          <w:lang w:eastAsia="en-GB"/>
        </w:rPr>
      </w:pPr>
    </w:p>
    <w:p w14:paraId="44037D43" w14:textId="77777777" w:rsidR="000D7845" w:rsidRPr="00160382" w:rsidRDefault="000D7845" w:rsidP="000D7845">
      <w:pPr>
        <w:spacing w:after="180" w:line="240" w:lineRule="auto"/>
        <w:rPr>
          <w:rFonts w:ascii="Times New Roman" w:eastAsia="Times New Roman" w:hAnsi="Times New Roman" w:cs="Times New Roman"/>
          <w:color w:val="000000"/>
          <w:sz w:val="18"/>
          <w:szCs w:val="18"/>
          <w:lang w:eastAsia="en-GB"/>
        </w:rPr>
      </w:pPr>
    </w:p>
    <w:p w14:paraId="54E94071" w14:textId="77777777" w:rsidR="000D7845" w:rsidRPr="00160382" w:rsidRDefault="000D7845" w:rsidP="000D7845">
      <w:pPr>
        <w:spacing w:after="180" w:line="240" w:lineRule="auto"/>
        <w:rPr>
          <w:rFonts w:ascii="Times New Roman" w:eastAsia="Times New Roman" w:hAnsi="Times New Roman" w:cs="Times New Roman"/>
          <w:color w:val="000000"/>
          <w:sz w:val="18"/>
          <w:szCs w:val="18"/>
          <w:lang w:eastAsia="en-GB"/>
        </w:rPr>
      </w:pPr>
    </w:p>
    <w:p w14:paraId="135A055F" w14:textId="77777777" w:rsidR="000D7845" w:rsidRPr="00160382" w:rsidRDefault="000D7845" w:rsidP="000D7845">
      <w:pPr>
        <w:spacing w:after="224" w:line="240" w:lineRule="auto"/>
        <w:rPr>
          <w:rFonts w:eastAsia="Times New Roman" w:cstheme="minorHAnsi"/>
          <w:color w:val="000000"/>
          <w:lang w:eastAsia="en-GB"/>
        </w:rPr>
      </w:pPr>
      <w:r w:rsidRPr="00160382">
        <w:rPr>
          <w:rFonts w:eastAsia="Times New Roman" w:cstheme="minorHAnsi"/>
          <w:b/>
          <w:bCs/>
          <w:color w:val="000000"/>
          <w:lang w:eastAsia="en-GB"/>
        </w:rPr>
        <w:t>Section I – Feedback, Consent and Confidentiality</w:t>
      </w:r>
    </w:p>
    <w:p w14:paraId="7F8CCA93" w14:textId="77777777" w:rsidR="000D7845" w:rsidRPr="00160382" w:rsidRDefault="000D7845" w:rsidP="000D7845">
      <w:pPr>
        <w:spacing w:after="180" w:line="240" w:lineRule="auto"/>
        <w:rPr>
          <w:rFonts w:eastAsia="Times New Roman" w:cstheme="minorHAnsi"/>
          <w:color w:val="000000"/>
          <w:lang w:eastAsia="en-GB"/>
        </w:rPr>
      </w:pPr>
    </w:p>
    <w:p w14:paraId="57446B07" w14:textId="77777777" w:rsidR="000D7845" w:rsidRPr="00160382" w:rsidRDefault="000D7845" w:rsidP="000D7845">
      <w:pPr>
        <w:spacing w:after="180" w:line="240" w:lineRule="auto"/>
        <w:rPr>
          <w:rFonts w:eastAsia="Times New Roman" w:cstheme="minorHAnsi"/>
          <w:color w:val="000000"/>
          <w:lang w:eastAsia="en-GB"/>
        </w:rPr>
      </w:pPr>
    </w:p>
    <w:p w14:paraId="76CACE85" w14:textId="77777777" w:rsidR="000D7845" w:rsidRPr="00160382" w:rsidRDefault="000D7845" w:rsidP="000D7845">
      <w:pPr>
        <w:spacing w:after="180" w:line="240" w:lineRule="auto"/>
        <w:rPr>
          <w:rFonts w:eastAsia="Times New Roman" w:cstheme="minorHAnsi"/>
          <w:color w:val="000000"/>
          <w:lang w:eastAsia="en-GB"/>
        </w:rPr>
      </w:pPr>
    </w:p>
    <w:p w14:paraId="5D61C27F" w14:textId="77777777"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Informed Consent in a Mixed-Methods Design</w:t>
      </w:r>
    </w:p>
    <w:p w14:paraId="0A6F577C" w14:textId="77777777" w:rsidR="000D7845" w:rsidRPr="00160382" w:rsidRDefault="000D7845" w:rsidP="000D7845">
      <w:pPr>
        <w:spacing w:after="180" w:line="240" w:lineRule="auto"/>
        <w:rPr>
          <w:rFonts w:eastAsia="Times New Roman" w:cstheme="minorHAnsi"/>
          <w:color w:val="000000"/>
          <w:lang w:eastAsia="en-GB"/>
        </w:rPr>
      </w:pPr>
    </w:p>
    <w:p w14:paraId="6C7BDF40" w14:textId="77777777" w:rsidR="000D7845" w:rsidRPr="00160382" w:rsidRDefault="000D7845" w:rsidP="000D7845">
      <w:pPr>
        <w:spacing w:after="180" w:line="240" w:lineRule="auto"/>
        <w:rPr>
          <w:rFonts w:eastAsia="Times New Roman" w:cstheme="minorHAnsi"/>
          <w:color w:val="000000"/>
          <w:lang w:eastAsia="en-GB"/>
        </w:rPr>
      </w:pPr>
    </w:p>
    <w:p w14:paraId="673084B9"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Informed consent is central to ethical research practice, particularly in mixed-methods studies where participation may involve multiple stages (e.g. questionnaire completion followed by interviews). Consent in this study is conceptualised as an ongoing process rather than a one-time event. Participants are provided with a detailed Participant Information Sheet outlining the purpose of the research, the nature of participation at each stage, and their rights as participants.</w:t>
      </w:r>
    </w:p>
    <w:p w14:paraId="4B608B64" w14:textId="77777777" w:rsidR="000D7845" w:rsidRPr="00160382" w:rsidRDefault="000D7845" w:rsidP="000D7845">
      <w:pPr>
        <w:spacing w:after="180" w:line="240" w:lineRule="auto"/>
        <w:rPr>
          <w:rFonts w:eastAsia="Times New Roman" w:cstheme="minorHAnsi"/>
          <w:color w:val="000000"/>
          <w:lang w:eastAsia="en-GB"/>
        </w:rPr>
      </w:pPr>
    </w:p>
    <w:p w14:paraId="51D06188"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lastRenderedPageBreak/>
        <w:t>Written informed consent is obtained prior to data collection. Participants are informed that participation is voluntary and that they may withdraw from either or both phases of the study without providing a reason. This approach respects participant autonomy and acknowledges the evolving nature of consent in longitudinal or multi-phase research designs.</w:t>
      </w:r>
    </w:p>
    <w:p w14:paraId="08692EE6" w14:textId="77777777"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Voluntariness and Professional Contexts</w:t>
      </w:r>
    </w:p>
    <w:p w14:paraId="461522EE"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Teachers and TAs are recruited through professional networks rather than through managerial or institutional gatekeeping structures, reducing the risk of perceived coercion. The research is clearly distinguished from performance management, inspection, or professional evaluation processes. This distinction is crucial in ensuring that consent is genuinely voluntary and not influenced by workplace hierarchies or expectations.</w:t>
      </w:r>
    </w:p>
    <w:p w14:paraId="0C2D3D1E" w14:textId="77777777"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Confidentiality and Anonymity</w:t>
      </w:r>
    </w:p>
    <w:p w14:paraId="7BD28E1D"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Confidentiality is a central ethical concern in this study due to the professional status of participants and the policy-focused nature of the research. While participants are identifiable at the point of data collection, all data is anonymised at the earliest possible stage. Pseudonyms or numerical codes are used during transcription and analysis, and any contextual details that could enable indirect identification are removed.</w:t>
      </w:r>
    </w:p>
    <w:p w14:paraId="57A2D7F5" w14:textId="77777777" w:rsidR="000D7845" w:rsidRPr="00160382" w:rsidRDefault="000D7845" w:rsidP="000D7845">
      <w:pPr>
        <w:spacing w:after="180" w:line="240" w:lineRule="auto"/>
        <w:rPr>
          <w:rFonts w:eastAsia="Times New Roman" w:cstheme="minorHAnsi"/>
          <w:color w:val="000000"/>
          <w:lang w:eastAsia="en-GB"/>
        </w:rPr>
      </w:pPr>
    </w:p>
    <w:p w14:paraId="1D43C1B9"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The research adopts a principle of maximum feasible confidentiality, recognising that absolute anonymity cannot be guaranteed but can be robustly protected. Participants are informed of the limits of confidentiality, including the unlikely scenario in which disclosure of serious harm or illegal activity would necessitate further action. However, given the focus of the research, such disclosures are not anticipated.</w:t>
      </w:r>
    </w:p>
    <w:p w14:paraId="0D839AB4" w14:textId="77777777" w:rsidR="000D7845"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Feedback and Ethical Reciprocity</w:t>
      </w:r>
    </w:p>
    <w:p w14:paraId="4DF17D71" w14:textId="24814011"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color w:val="000000"/>
          <w:lang w:eastAsia="en-GB"/>
        </w:rPr>
        <w:t>Ethical research practice also involves consideration of reciprocity. Participants contribute time, expertise, and reflective labour, and it is ethically appropriate to acknowledge this contribution. Participants are therefore offered access to a summary of the research findings upon completion of the study. This feedback is provided in a non-attributable, aggregated form, ensuring that individual responses remain confidential.</w:t>
      </w:r>
    </w:p>
    <w:p w14:paraId="1EA6343D"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 xml:space="preserve">Individualised feedback or role-specific comparisons are not provided, as these could compromise anonymity or reinforce professional hierarchies between teachers and </w:t>
      </w:r>
      <w:proofErr w:type="spellStart"/>
      <w:r w:rsidRPr="00160382">
        <w:rPr>
          <w:rFonts w:eastAsia="Times New Roman" w:cstheme="minorHAnsi"/>
          <w:color w:val="000000"/>
          <w:lang w:eastAsia="en-GB"/>
        </w:rPr>
        <w:t>TAs.</w:t>
      </w:r>
      <w:proofErr w:type="spellEnd"/>
      <w:r w:rsidRPr="00160382">
        <w:rPr>
          <w:rFonts w:eastAsia="Times New Roman" w:cstheme="minorHAnsi"/>
          <w:color w:val="000000"/>
          <w:lang w:eastAsia="en-GB"/>
        </w:rPr>
        <w:t xml:space="preserve"> This approach balances ethical reciprocity with the obligation to protect participants’ professional identities.</w:t>
      </w:r>
    </w:p>
    <w:p w14:paraId="692EB7F6" w14:textId="77777777" w:rsidR="000D7845" w:rsidRPr="00160382" w:rsidRDefault="000D7845" w:rsidP="000D7845">
      <w:pPr>
        <w:spacing w:after="180" w:line="240" w:lineRule="auto"/>
        <w:rPr>
          <w:rFonts w:ascii="Times New Roman" w:eastAsia="Times New Roman" w:hAnsi="Times New Roman" w:cs="Times New Roman"/>
          <w:color w:val="000000"/>
          <w:sz w:val="18"/>
          <w:szCs w:val="18"/>
          <w:lang w:eastAsia="en-GB"/>
        </w:rPr>
      </w:pPr>
    </w:p>
    <w:p w14:paraId="1610DAC5" w14:textId="77777777" w:rsidR="000D7845" w:rsidRPr="00160382" w:rsidRDefault="000D7845" w:rsidP="000D7845">
      <w:pPr>
        <w:spacing w:after="224" w:line="240" w:lineRule="auto"/>
        <w:rPr>
          <w:rFonts w:eastAsia="Times New Roman" w:cstheme="minorHAnsi"/>
          <w:color w:val="000000"/>
          <w:lang w:eastAsia="en-GB"/>
        </w:rPr>
      </w:pPr>
      <w:r w:rsidRPr="00160382">
        <w:rPr>
          <w:rFonts w:eastAsia="Times New Roman" w:cstheme="minorHAnsi"/>
          <w:b/>
          <w:bCs/>
          <w:color w:val="000000"/>
          <w:lang w:eastAsia="en-GB"/>
        </w:rPr>
        <w:t>Section J – Data Protection and Storage</w:t>
      </w:r>
    </w:p>
    <w:p w14:paraId="1FA5705D" w14:textId="77777777" w:rsidR="000D7845" w:rsidRPr="00160382" w:rsidRDefault="000D7845" w:rsidP="000D7845">
      <w:pPr>
        <w:spacing w:after="180" w:line="240" w:lineRule="auto"/>
        <w:rPr>
          <w:rFonts w:eastAsia="Times New Roman" w:cstheme="minorHAnsi"/>
          <w:color w:val="000000"/>
          <w:lang w:eastAsia="en-GB"/>
        </w:rPr>
      </w:pPr>
    </w:p>
    <w:p w14:paraId="58442936" w14:textId="77777777"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Lawful Basis and GDPR Compliance</w:t>
      </w:r>
    </w:p>
    <w:p w14:paraId="1BB2212E"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This research involves the processing of personal data as defined by the General Data Protection Regulation (GDPR) and the Data Protection Act (2018). The lawful basis for processing is the University’s public task in conducting research. Participants are informed clearly about how their data will be collected, used, stored, and retained, in line with principles of transparency and fairness.</w:t>
      </w:r>
    </w:p>
    <w:p w14:paraId="3B9BF15C"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Although the research does not involve special category data, it nevertheless requires careful handling due to the professional sensitivity of participants’ accounts.</w:t>
      </w:r>
    </w:p>
    <w:p w14:paraId="5ECD6763" w14:textId="77777777" w:rsidR="000D7845"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lastRenderedPageBreak/>
        <w:t>Data Minimisation and Purpose Limitation</w:t>
      </w:r>
    </w:p>
    <w:p w14:paraId="090437E1" w14:textId="77777777"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color w:val="000000"/>
          <w:lang w:eastAsia="en-GB"/>
        </w:rPr>
        <w:t>In accordance with GDPR principles, the research is designed to collect only the minimum amount of data necessary to address the research questions. Questionnaire data focuses on perceptions of preparedness, enablers, and challenges, while interview data explores these themes in greater depth. Contextual data is limited to information necessary for analytic interpretation (e.g. professional role), avoiding unnecessary demographic or institutional identifiers.</w:t>
      </w:r>
    </w:p>
    <w:p w14:paraId="01E07055" w14:textId="77777777" w:rsidR="000D7845" w:rsidRPr="00160382" w:rsidRDefault="000D7845" w:rsidP="000D7845">
      <w:pPr>
        <w:spacing w:after="180" w:line="240" w:lineRule="auto"/>
        <w:rPr>
          <w:rFonts w:eastAsia="Times New Roman" w:cstheme="minorHAnsi"/>
          <w:color w:val="000000"/>
          <w:lang w:eastAsia="en-GB"/>
        </w:rPr>
      </w:pPr>
    </w:p>
    <w:p w14:paraId="1A422C32"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Data will not be used for purposes beyond those outlined in the ethics application, and no secondary use will occur without further ethical approval.</w:t>
      </w:r>
    </w:p>
    <w:p w14:paraId="09D27B0A" w14:textId="77777777" w:rsidR="000D7845" w:rsidRDefault="000D7845" w:rsidP="000D7845">
      <w:pPr>
        <w:spacing w:after="210" w:line="240" w:lineRule="auto"/>
        <w:rPr>
          <w:rFonts w:eastAsia="Times New Roman" w:cstheme="minorHAnsi"/>
          <w:b/>
          <w:bCs/>
          <w:color w:val="000000"/>
          <w:lang w:eastAsia="en-GB"/>
        </w:rPr>
      </w:pPr>
    </w:p>
    <w:p w14:paraId="6D302312" w14:textId="77777777" w:rsidR="000D7845" w:rsidRDefault="000D7845" w:rsidP="000D7845">
      <w:pPr>
        <w:spacing w:after="210" w:line="240" w:lineRule="auto"/>
        <w:rPr>
          <w:rFonts w:eastAsia="Times New Roman" w:cstheme="minorHAnsi"/>
          <w:b/>
          <w:bCs/>
          <w:color w:val="000000"/>
          <w:lang w:eastAsia="en-GB"/>
        </w:rPr>
      </w:pPr>
    </w:p>
    <w:p w14:paraId="77A6404C" w14:textId="6AC6F19E"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Secure Storage and Restricted Access</w:t>
      </w:r>
    </w:p>
    <w:p w14:paraId="3FFD950D"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All digital data is stored on encrypted, password-protected University systems, in accordance with UWTSD data security policies. Access to data is restricted to the researcher and academic supervisor, ensuring both confidentiality and appropriate oversight. Hard copy materials, such as consent forms, are stored securely and separately from research data to reduce the risk of identification.</w:t>
      </w:r>
    </w:p>
    <w:p w14:paraId="7E4BEDB5" w14:textId="77777777" w:rsidR="000D7845" w:rsidRPr="00160382" w:rsidRDefault="000D7845" w:rsidP="000D7845">
      <w:pPr>
        <w:spacing w:after="180" w:line="240" w:lineRule="auto"/>
        <w:rPr>
          <w:rFonts w:eastAsia="Times New Roman" w:cstheme="minorHAnsi"/>
          <w:color w:val="000000"/>
          <w:lang w:eastAsia="en-GB"/>
        </w:rPr>
      </w:pPr>
    </w:p>
    <w:p w14:paraId="41EB3EBA"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Audio recordings, where used, are treated as transient data sources and are deleted once transcription accuracy has been verified. This practice reflects an ethical commitment to minimising the lifespan of identifiable data.</w:t>
      </w:r>
    </w:p>
    <w:p w14:paraId="5027DFFF" w14:textId="77777777" w:rsidR="000D7845" w:rsidRPr="00160382" w:rsidRDefault="000D7845" w:rsidP="000D7845">
      <w:pPr>
        <w:spacing w:after="210" w:line="240" w:lineRule="auto"/>
        <w:rPr>
          <w:rFonts w:eastAsia="Times New Roman" w:cstheme="minorHAnsi"/>
          <w:color w:val="000000"/>
          <w:lang w:eastAsia="en-GB"/>
        </w:rPr>
      </w:pPr>
      <w:r w:rsidRPr="00160382">
        <w:rPr>
          <w:rFonts w:eastAsia="Times New Roman" w:cstheme="minorHAnsi"/>
          <w:b/>
          <w:bCs/>
          <w:color w:val="000000"/>
          <w:lang w:eastAsia="en-GB"/>
        </w:rPr>
        <w:t>Anonymisation, Retention and Destruction</w:t>
      </w:r>
    </w:p>
    <w:p w14:paraId="12997411"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 xml:space="preserve">Anonymisation occurs at the earliest possible stage, typically during transcription. Identifiable data is retained only for the minimum period required to meet academic and regulatory requirements. At the end of this period, all data will be securely destroyed in accordance with </w:t>
      </w:r>
      <w:proofErr w:type="gramStart"/>
      <w:r w:rsidRPr="00160382">
        <w:rPr>
          <w:rFonts w:eastAsia="Times New Roman" w:cstheme="minorHAnsi"/>
          <w:color w:val="000000"/>
          <w:lang w:eastAsia="en-GB"/>
        </w:rPr>
        <w:t>University</w:t>
      </w:r>
      <w:proofErr w:type="gramEnd"/>
      <w:r w:rsidRPr="00160382">
        <w:rPr>
          <w:rFonts w:eastAsia="Times New Roman" w:cstheme="minorHAnsi"/>
          <w:color w:val="000000"/>
          <w:lang w:eastAsia="en-GB"/>
        </w:rPr>
        <w:t xml:space="preserve"> policies. Participants are informed of these retention and destruction arrangements, reinforcing transparency and trust.</w:t>
      </w:r>
    </w:p>
    <w:p w14:paraId="36836693" w14:textId="77777777" w:rsidR="000D7845" w:rsidRDefault="000D7845" w:rsidP="000D7845">
      <w:pPr>
        <w:spacing w:after="224" w:line="240" w:lineRule="auto"/>
        <w:rPr>
          <w:rFonts w:eastAsia="Times New Roman" w:cstheme="minorHAnsi"/>
          <w:color w:val="000000"/>
          <w:lang w:eastAsia="en-GB"/>
        </w:rPr>
      </w:pPr>
      <w:r w:rsidRPr="00160382">
        <w:rPr>
          <w:rFonts w:eastAsia="Times New Roman" w:cstheme="minorHAnsi"/>
          <w:b/>
          <w:bCs/>
          <w:color w:val="000000"/>
          <w:lang w:eastAsia="en-GB"/>
        </w:rPr>
        <w:t>Conclusion</w:t>
      </w:r>
    </w:p>
    <w:p w14:paraId="4649DA69" w14:textId="2D808537" w:rsidR="000D7845" w:rsidRPr="00160382" w:rsidRDefault="000D7845" w:rsidP="000D7845">
      <w:pPr>
        <w:spacing w:after="224" w:line="240" w:lineRule="auto"/>
        <w:rPr>
          <w:rFonts w:eastAsia="Times New Roman" w:cstheme="minorHAnsi"/>
          <w:color w:val="000000"/>
          <w:lang w:eastAsia="en-GB"/>
        </w:rPr>
      </w:pPr>
      <w:r w:rsidRPr="00160382">
        <w:rPr>
          <w:rFonts w:eastAsia="Times New Roman" w:cstheme="minorHAnsi"/>
          <w:color w:val="000000"/>
          <w:lang w:eastAsia="en-GB"/>
        </w:rPr>
        <w:t>This mixed-methods study exploring teachers’ and Teaching Assistants’ perceptions of the ALN Code for Wales (2021) demonstrates that ethical considerations in educational research extend far beyond procedural approval. By engaging professional participants in reflective discussion of policy enactment, the research navigates issues of professional risk, power relations, consent, confidentiality, and data stewardship.</w:t>
      </w:r>
    </w:p>
    <w:p w14:paraId="1A4CD8C5" w14:textId="77777777" w:rsidR="000D7845" w:rsidRPr="00160382" w:rsidRDefault="000D7845" w:rsidP="000D7845">
      <w:pPr>
        <w:spacing w:after="180" w:line="240" w:lineRule="auto"/>
        <w:rPr>
          <w:rFonts w:eastAsia="Times New Roman" w:cstheme="minorHAnsi"/>
          <w:color w:val="000000"/>
          <w:lang w:eastAsia="en-GB"/>
        </w:rPr>
      </w:pPr>
    </w:p>
    <w:p w14:paraId="1124C341" w14:textId="77777777" w:rsidR="000D7845" w:rsidRPr="00160382" w:rsidRDefault="000D7845" w:rsidP="000D7845">
      <w:pPr>
        <w:spacing w:after="180" w:line="240" w:lineRule="auto"/>
        <w:rPr>
          <w:rFonts w:eastAsia="Times New Roman" w:cstheme="minorHAnsi"/>
          <w:color w:val="000000"/>
          <w:lang w:eastAsia="en-GB"/>
        </w:rPr>
      </w:pPr>
      <w:r w:rsidRPr="00160382">
        <w:rPr>
          <w:rFonts w:eastAsia="Times New Roman" w:cstheme="minorHAnsi"/>
          <w:color w:val="000000"/>
          <w:lang w:eastAsia="en-GB"/>
        </w:rPr>
        <w:t>Through critical engagement with Sections H, I and J of the UWTSD Ethics Form, the study embeds ethical reflexivity throughout the research process. This approach not only safeguards participants and institutions but also enhances the quality and credibility of the research itself. Ethical attentiveness enables the generation of nuanced, authentic insights into inclusive practice under the ALN framework, supporting the study’s contribution to both policy understanding and professional practice.</w:t>
      </w:r>
    </w:p>
    <w:p w14:paraId="4A63453E" w14:textId="77777777" w:rsidR="000D7845" w:rsidRPr="00160382" w:rsidRDefault="000D7845" w:rsidP="000D7845">
      <w:pPr>
        <w:spacing w:after="0" w:line="240" w:lineRule="auto"/>
        <w:rPr>
          <w:rFonts w:ascii="Times New Roman" w:eastAsia="Times New Roman" w:hAnsi="Times New Roman" w:cs="Times New Roman"/>
          <w:sz w:val="24"/>
          <w:szCs w:val="24"/>
          <w:lang w:eastAsia="en-GB"/>
        </w:rPr>
      </w:pPr>
    </w:p>
    <w:p w14:paraId="13767B72" w14:textId="77777777" w:rsidR="00553ADA" w:rsidRPr="00553ADA" w:rsidRDefault="00553ADA" w:rsidP="00553ADA">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r w:rsidRPr="00553ADA">
        <w:rPr>
          <w:rFonts w:ascii="Times New Roman" w:eastAsia="Times New Roman" w:hAnsi="Times New Roman" w:cs="Times New Roman"/>
          <w:b/>
          <w:bCs/>
          <w:color w:val="000000"/>
          <w:sz w:val="36"/>
          <w:szCs w:val="36"/>
          <w:lang w:eastAsia="en-GB"/>
        </w:rPr>
        <w:lastRenderedPageBreak/>
        <w:t>References</w:t>
      </w:r>
    </w:p>
    <w:p w14:paraId="436A8082" w14:textId="77777777" w:rsidR="00553ADA" w:rsidRPr="00553ADA" w:rsidRDefault="00553ADA" w:rsidP="00553AD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53ADA">
        <w:rPr>
          <w:rFonts w:ascii="Times New Roman" w:eastAsia="Times New Roman" w:hAnsi="Times New Roman" w:cs="Times New Roman"/>
          <w:color w:val="000000"/>
          <w:sz w:val="24"/>
          <w:szCs w:val="24"/>
          <w:lang w:eastAsia="en-GB"/>
        </w:rPr>
        <w:t>European Union (2016) </w:t>
      </w:r>
      <w:r w:rsidRPr="00553ADA">
        <w:rPr>
          <w:rFonts w:ascii="Times New Roman" w:eastAsia="Times New Roman" w:hAnsi="Times New Roman" w:cs="Times New Roman"/>
          <w:i/>
          <w:iCs/>
          <w:color w:val="000000"/>
          <w:sz w:val="24"/>
          <w:szCs w:val="24"/>
          <w:lang w:eastAsia="en-GB"/>
        </w:rPr>
        <w:t>General Data Protection Regulation (EU) 2016/679</w:t>
      </w:r>
      <w:r w:rsidRPr="00553ADA">
        <w:rPr>
          <w:rFonts w:ascii="Times New Roman" w:eastAsia="Times New Roman" w:hAnsi="Times New Roman" w:cs="Times New Roman"/>
          <w:color w:val="000000"/>
          <w:sz w:val="24"/>
          <w:szCs w:val="24"/>
          <w:lang w:eastAsia="en-GB"/>
        </w:rPr>
        <w:t>. Official Journal of the European Union, L119, pp. 1–88. Available at: </w:t>
      </w:r>
      <w:hyperlink r:id="rId7" w:tgtFrame="_new" w:history="1">
        <w:r w:rsidRPr="00553ADA">
          <w:rPr>
            <w:rFonts w:ascii="Times New Roman" w:eastAsia="Times New Roman" w:hAnsi="Times New Roman" w:cs="Times New Roman"/>
            <w:color w:val="0000FF"/>
            <w:sz w:val="24"/>
            <w:szCs w:val="24"/>
            <w:u w:val="single"/>
            <w:lang w:eastAsia="en-GB"/>
          </w:rPr>
          <w:t>https://eur-lex.europa.eu/eli/reg/2016/679/oj</w:t>
        </w:r>
      </w:hyperlink>
      <w:r w:rsidRPr="00553ADA">
        <w:rPr>
          <w:rFonts w:ascii="Times New Roman" w:eastAsia="Times New Roman" w:hAnsi="Times New Roman" w:cs="Times New Roman"/>
          <w:color w:val="000000"/>
          <w:sz w:val="24"/>
          <w:szCs w:val="24"/>
          <w:lang w:eastAsia="en-GB"/>
        </w:rPr>
        <w:t> (Accessed: 24 December 2025).</w:t>
      </w:r>
    </w:p>
    <w:p w14:paraId="67D0C8A0" w14:textId="77777777" w:rsidR="00553ADA" w:rsidRPr="00553ADA" w:rsidRDefault="00553ADA" w:rsidP="00553AD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53ADA">
        <w:rPr>
          <w:rFonts w:ascii="Times New Roman" w:eastAsia="Times New Roman" w:hAnsi="Times New Roman" w:cs="Times New Roman"/>
          <w:color w:val="000000"/>
          <w:sz w:val="24"/>
          <w:szCs w:val="24"/>
          <w:lang w:eastAsia="en-GB"/>
        </w:rPr>
        <w:t>UK Government (2018) </w:t>
      </w:r>
      <w:r w:rsidRPr="00553ADA">
        <w:rPr>
          <w:rFonts w:ascii="Times New Roman" w:eastAsia="Times New Roman" w:hAnsi="Times New Roman" w:cs="Times New Roman"/>
          <w:i/>
          <w:iCs/>
          <w:color w:val="000000"/>
          <w:sz w:val="24"/>
          <w:szCs w:val="24"/>
          <w:lang w:eastAsia="en-GB"/>
        </w:rPr>
        <w:t>Data Protection Act 2018</w:t>
      </w:r>
      <w:r w:rsidRPr="00553ADA">
        <w:rPr>
          <w:rFonts w:ascii="Times New Roman" w:eastAsia="Times New Roman" w:hAnsi="Times New Roman" w:cs="Times New Roman"/>
          <w:color w:val="000000"/>
          <w:sz w:val="24"/>
          <w:szCs w:val="24"/>
          <w:lang w:eastAsia="en-GB"/>
        </w:rPr>
        <w:t>. London: The Stationery Office. Available at: </w:t>
      </w:r>
      <w:hyperlink r:id="rId8" w:tgtFrame="_new" w:history="1">
        <w:r w:rsidRPr="00553ADA">
          <w:rPr>
            <w:rFonts w:ascii="Times New Roman" w:eastAsia="Times New Roman" w:hAnsi="Times New Roman" w:cs="Times New Roman"/>
            <w:color w:val="0000FF"/>
            <w:sz w:val="24"/>
            <w:szCs w:val="24"/>
            <w:u w:val="single"/>
            <w:lang w:eastAsia="en-GB"/>
          </w:rPr>
          <w:t>https://www.legislation.gov.uk/ukpga/2018/12/contents/enacted</w:t>
        </w:r>
      </w:hyperlink>
      <w:r w:rsidRPr="00553ADA">
        <w:rPr>
          <w:rFonts w:ascii="Times New Roman" w:eastAsia="Times New Roman" w:hAnsi="Times New Roman" w:cs="Times New Roman"/>
          <w:color w:val="000000"/>
          <w:sz w:val="24"/>
          <w:szCs w:val="24"/>
          <w:lang w:eastAsia="en-GB"/>
        </w:rPr>
        <w:t> (Accessed: 24 December 2025).</w:t>
      </w:r>
    </w:p>
    <w:p w14:paraId="4FAD9451" w14:textId="77777777" w:rsidR="00553ADA" w:rsidRPr="00553ADA" w:rsidRDefault="00553ADA" w:rsidP="00553AD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53ADA">
        <w:rPr>
          <w:rFonts w:ascii="Times New Roman" w:eastAsia="Times New Roman" w:hAnsi="Times New Roman" w:cs="Times New Roman"/>
          <w:color w:val="000000"/>
          <w:sz w:val="24"/>
          <w:szCs w:val="24"/>
          <w:lang w:eastAsia="en-GB"/>
        </w:rPr>
        <w:t>University of Wales Trinity Saint David (UWTSD) (n.d.) </w:t>
      </w:r>
      <w:r w:rsidRPr="00553ADA">
        <w:rPr>
          <w:rFonts w:ascii="Times New Roman" w:eastAsia="Times New Roman" w:hAnsi="Times New Roman" w:cs="Times New Roman"/>
          <w:i/>
          <w:iCs/>
          <w:color w:val="000000"/>
          <w:sz w:val="24"/>
          <w:szCs w:val="24"/>
          <w:lang w:eastAsia="en-GB"/>
        </w:rPr>
        <w:t>Ethics application form and guidance for student research</w:t>
      </w:r>
      <w:r w:rsidRPr="00553ADA">
        <w:rPr>
          <w:rFonts w:ascii="Times New Roman" w:eastAsia="Times New Roman" w:hAnsi="Times New Roman" w:cs="Times New Roman"/>
          <w:color w:val="000000"/>
          <w:sz w:val="24"/>
          <w:szCs w:val="24"/>
          <w:lang w:eastAsia="en-GB"/>
        </w:rPr>
        <w:t>. Carmarthen: University of Wales Trinity Saint David.</w:t>
      </w:r>
    </w:p>
    <w:p w14:paraId="511FBA5F" w14:textId="77777777" w:rsidR="00553ADA" w:rsidRPr="00553ADA" w:rsidRDefault="00553ADA" w:rsidP="00553AD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53ADA">
        <w:rPr>
          <w:rFonts w:ascii="Times New Roman" w:eastAsia="Times New Roman" w:hAnsi="Times New Roman" w:cs="Times New Roman"/>
          <w:color w:val="000000"/>
          <w:sz w:val="24"/>
          <w:szCs w:val="24"/>
          <w:lang w:eastAsia="en-GB"/>
        </w:rPr>
        <w:t>Welsh Government (2021) </w:t>
      </w:r>
      <w:r w:rsidRPr="00553ADA">
        <w:rPr>
          <w:rFonts w:ascii="Times New Roman" w:eastAsia="Times New Roman" w:hAnsi="Times New Roman" w:cs="Times New Roman"/>
          <w:i/>
          <w:iCs/>
          <w:color w:val="000000"/>
          <w:sz w:val="24"/>
          <w:szCs w:val="24"/>
          <w:lang w:eastAsia="en-GB"/>
        </w:rPr>
        <w:t>Additional Learning Needs Code for Wales 2021</w:t>
      </w:r>
      <w:r w:rsidRPr="00553ADA">
        <w:rPr>
          <w:rFonts w:ascii="Times New Roman" w:eastAsia="Times New Roman" w:hAnsi="Times New Roman" w:cs="Times New Roman"/>
          <w:color w:val="000000"/>
          <w:sz w:val="24"/>
          <w:szCs w:val="24"/>
          <w:lang w:eastAsia="en-GB"/>
        </w:rPr>
        <w:t>. Cardiff: Welsh Government. Available at: https://www.gov.wales/additional-learning-needs-code-2021 (Accessed: 24 December 2025).</w:t>
      </w:r>
    </w:p>
    <w:p w14:paraId="5D6430F1" w14:textId="77777777" w:rsidR="000D7845" w:rsidRPr="00160382" w:rsidRDefault="000D7845" w:rsidP="000D7845">
      <w:pPr>
        <w:pStyle w:val="ListParagraph"/>
        <w:rPr>
          <w:rFonts w:cstheme="minorHAnsi"/>
          <w:sz w:val="24"/>
          <w:szCs w:val="24"/>
          <w:lang w:val="en-GB"/>
        </w:rPr>
      </w:pPr>
    </w:p>
    <w:p w14:paraId="67B66A16" w14:textId="77777777" w:rsidR="000D7845" w:rsidRPr="001054AE" w:rsidRDefault="000D7845" w:rsidP="000D7845"/>
    <w:p w14:paraId="5C10B458" w14:textId="77777777" w:rsidR="000D7845" w:rsidRDefault="000D7845" w:rsidP="000D7845">
      <w:pPr>
        <w:pStyle w:val="NormalWeb"/>
        <w:spacing w:before="0" w:beforeAutospacing="0" w:after="180" w:afterAutospacing="0"/>
        <w:rPr>
          <w:color w:val="FFFFFF"/>
          <w:sz w:val="30"/>
          <w:szCs w:val="30"/>
        </w:rPr>
      </w:pPr>
      <w:r>
        <w:rPr>
          <w:color w:val="FFFFFF"/>
          <w:sz w:val="30"/>
          <w:szCs w:val="30"/>
        </w:rPr>
        <w:t>statutory emphasis on inclusive practice within mainstream settings. These reforms aim to ensure greater consistency, equity, and learner-centred provision across educational contexts.</w:t>
      </w:r>
    </w:p>
    <w:p w14:paraId="07E37275" w14:textId="77777777" w:rsidR="000D7845" w:rsidRDefault="000D7845" w:rsidP="000D7845">
      <w:pPr>
        <w:pStyle w:val="NormalWeb"/>
        <w:spacing w:before="0" w:beforeAutospacing="0" w:after="180" w:afterAutospacing="0"/>
        <w:rPr>
          <w:color w:val="FFFFFF"/>
          <w:sz w:val="18"/>
          <w:szCs w:val="18"/>
        </w:rPr>
      </w:pPr>
    </w:p>
    <w:p w14:paraId="3BAAA7DA" w14:textId="77777777" w:rsidR="000D7845" w:rsidRDefault="000D7845" w:rsidP="000D7845">
      <w:pPr>
        <w:pStyle w:val="NormalWeb"/>
        <w:spacing w:before="0" w:beforeAutospacing="0" w:after="180" w:afterAutospacing="0"/>
        <w:rPr>
          <w:color w:val="FFFFFF"/>
          <w:sz w:val="30"/>
          <w:szCs w:val="30"/>
        </w:rPr>
      </w:pPr>
      <w:r>
        <w:rPr>
          <w:color w:val="FFFFFF"/>
          <w:sz w:val="30"/>
          <w:szCs w:val="30"/>
        </w:rPr>
        <w:t>However, successful implementation of the ALN Code relies heavily on teachers’ understanding, confidence, and preparedness to enact its principles in daily practice. Existing literature highlights that large-scale policy reforms can present significant challenges for practitioners, particularly when expectations shift towards greater accountability, collaboration, and pedagogical adaptation. Teachers’ perceptions therefore provide critical insight into how policy intentions translate into practice at school level.</w:t>
      </w:r>
    </w:p>
    <w:p w14:paraId="704BC757" w14:textId="77777777" w:rsidR="00DC5FA3" w:rsidRDefault="00DC5FA3" w:rsidP="00DC5FA3"/>
    <w:p w14:paraId="262B5795" w14:textId="77777777" w:rsidR="00DC5FA3" w:rsidRDefault="00DC5FA3" w:rsidP="00DC5FA3"/>
    <w:p w14:paraId="33BD164D" w14:textId="67CBB615" w:rsidR="00DC5FA3" w:rsidRDefault="00DC5FA3">
      <w:pPr>
        <w:rPr>
          <w:rFonts w:ascii="Times New Roman" w:hAnsi="Times New Roman" w:cs="Times New Roman"/>
          <w:b/>
          <w:sz w:val="24"/>
          <w:szCs w:val="24"/>
        </w:rPr>
      </w:pPr>
    </w:p>
    <w:p w14:paraId="6F19806F" w14:textId="77777777" w:rsidR="006B5417" w:rsidRPr="00976425" w:rsidRDefault="006B5417" w:rsidP="006B5417">
      <w:pPr>
        <w:spacing w:line="480" w:lineRule="auto"/>
        <w:rPr>
          <w:rFonts w:ascii="Times New Roman" w:hAnsi="Times New Roman" w:cs="Times New Roman"/>
          <w:sz w:val="24"/>
          <w:szCs w:val="24"/>
        </w:rPr>
      </w:pPr>
    </w:p>
    <w:sectPr w:rsidR="006B5417" w:rsidRPr="0097642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FFFEE" w14:textId="77777777" w:rsidR="006E7DB5" w:rsidRDefault="006E7DB5" w:rsidP="00A0238F">
      <w:pPr>
        <w:spacing w:after="0" w:line="240" w:lineRule="auto"/>
      </w:pPr>
      <w:r>
        <w:separator/>
      </w:r>
    </w:p>
  </w:endnote>
  <w:endnote w:type="continuationSeparator" w:id="0">
    <w:p w14:paraId="1EA12651" w14:textId="77777777" w:rsidR="006E7DB5" w:rsidRDefault="006E7DB5" w:rsidP="00A02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0617917"/>
      <w:docPartObj>
        <w:docPartGallery w:val="Page Numbers (Bottom of Page)"/>
        <w:docPartUnique/>
      </w:docPartObj>
    </w:sdtPr>
    <w:sdtEndPr>
      <w:rPr>
        <w:noProof/>
      </w:rPr>
    </w:sdtEndPr>
    <w:sdtContent>
      <w:p w14:paraId="16324A48" w14:textId="77777777" w:rsidR="00A0238F" w:rsidRDefault="00A0238F">
        <w:pPr>
          <w:pStyle w:val="Footer"/>
          <w:jc w:val="right"/>
        </w:pPr>
        <w:r>
          <w:fldChar w:fldCharType="begin"/>
        </w:r>
        <w:r>
          <w:instrText xml:space="preserve"> PAGE   \* MERGEFORMAT </w:instrText>
        </w:r>
        <w:r>
          <w:fldChar w:fldCharType="separate"/>
        </w:r>
        <w:r w:rsidR="00C31741">
          <w:rPr>
            <w:noProof/>
          </w:rPr>
          <w:t>16</w:t>
        </w:r>
        <w:r>
          <w:rPr>
            <w:noProof/>
          </w:rPr>
          <w:fldChar w:fldCharType="end"/>
        </w:r>
      </w:p>
    </w:sdtContent>
  </w:sdt>
  <w:p w14:paraId="22585DC3" w14:textId="77777777" w:rsidR="00A0238F" w:rsidRDefault="00A02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DE8C5" w14:textId="77777777" w:rsidR="006E7DB5" w:rsidRDefault="006E7DB5" w:rsidP="00A0238F">
      <w:pPr>
        <w:spacing w:after="0" w:line="240" w:lineRule="auto"/>
      </w:pPr>
      <w:r>
        <w:separator/>
      </w:r>
    </w:p>
  </w:footnote>
  <w:footnote w:type="continuationSeparator" w:id="0">
    <w:p w14:paraId="5BC515AB" w14:textId="77777777" w:rsidR="006E7DB5" w:rsidRDefault="006E7DB5" w:rsidP="00A023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417"/>
    <w:rsid w:val="00084957"/>
    <w:rsid w:val="000D68A5"/>
    <w:rsid w:val="000D7845"/>
    <w:rsid w:val="00164F92"/>
    <w:rsid w:val="00177D66"/>
    <w:rsid w:val="00186FBD"/>
    <w:rsid w:val="001C4B16"/>
    <w:rsid w:val="002A1722"/>
    <w:rsid w:val="003B6BFC"/>
    <w:rsid w:val="00452E4C"/>
    <w:rsid w:val="00465007"/>
    <w:rsid w:val="00471129"/>
    <w:rsid w:val="00553ADA"/>
    <w:rsid w:val="00580C99"/>
    <w:rsid w:val="005E5952"/>
    <w:rsid w:val="006B5417"/>
    <w:rsid w:val="006E7DB5"/>
    <w:rsid w:val="006F06F3"/>
    <w:rsid w:val="0081398B"/>
    <w:rsid w:val="008247B4"/>
    <w:rsid w:val="00851F00"/>
    <w:rsid w:val="00862621"/>
    <w:rsid w:val="00884217"/>
    <w:rsid w:val="008E4A26"/>
    <w:rsid w:val="00976425"/>
    <w:rsid w:val="00A0238F"/>
    <w:rsid w:val="00AF5E5D"/>
    <w:rsid w:val="00B123CC"/>
    <w:rsid w:val="00B85681"/>
    <w:rsid w:val="00BA3C89"/>
    <w:rsid w:val="00BB7368"/>
    <w:rsid w:val="00BC1FB8"/>
    <w:rsid w:val="00BD79BC"/>
    <w:rsid w:val="00BF79DA"/>
    <w:rsid w:val="00C31741"/>
    <w:rsid w:val="00C63D9B"/>
    <w:rsid w:val="00CB0F7B"/>
    <w:rsid w:val="00CD1809"/>
    <w:rsid w:val="00D13A62"/>
    <w:rsid w:val="00D67C9B"/>
    <w:rsid w:val="00D931D0"/>
    <w:rsid w:val="00DC5FA3"/>
    <w:rsid w:val="00E323BC"/>
    <w:rsid w:val="00E7526A"/>
    <w:rsid w:val="00E77279"/>
    <w:rsid w:val="00F30134"/>
    <w:rsid w:val="00F70E07"/>
    <w:rsid w:val="00FC220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F87BC"/>
  <w15:chartTrackingRefBased/>
  <w15:docId w15:val="{4917FC26-0F88-421A-BF40-98D928B97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2">
    <w:name w:val="heading 2"/>
    <w:basedOn w:val="Normal"/>
    <w:link w:val="Heading2Char"/>
    <w:uiPriority w:val="9"/>
    <w:qFormat/>
    <w:rsid w:val="00553AD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38F"/>
    <w:rPr>
      <w:lang w:val="en-GB"/>
    </w:rPr>
  </w:style>
  <w:style w:type="paragraph" w:styleId="Footer">
    <w:name w:val="footer"/>
    <w:basedOn w:val="Normal"/>
    <w:link w:val="FooterChar"/>
    <w:uiPriority w:val="99"/>
    <w:unhideWhenUsed/>
    <w:rsid w:val="00A02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38F"/>
    <w:rPr>
      <w:lang w:val="en-GB"/>
    </w:rPr>
  </w:style>
  <w:style w:type="paragraph" w:styleId="ListParagraph">
    <w:name w:val="List Paragraph"/>
    <w:basedOn w:val="Normal"/>
    <w:uiPriority w:val="34"/>
    <w:qFormat/>
    <w:rsid w:val="000D7845"/>
    <w:pPr>
      <w:spacing w:after="200" w:line="276" w:lineRule="auto"/>
      <w:ind w:left="720"/>
      <w:contextualSpacing/>
    </w:pPr>
    <w:rPr>
      <w:rFonts w:eastAsiaTheme="minorEastAsia"/>
      <w:lang w:val="en-US"/>
    </w:rPr>
  </w:style>
  <w:style w:type="paragraph" w:styleId="NormalWeb">
    <w:name w:val="Normal (Web)"/>
    <w:basedOn w:val="Normal"/>
    <w:uiPriority w:val="99"/>
    <w:semiHidden/>
    <w:unhideWhenUsed/>
    <w:rsid w:val="000D78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53ADA"/>
    <w:rPr>
      <w:rFonts w:ascii="Times New Roman" w:eastAsia="Times New Roman" w:hAnsi="Times New Roman" w:cs="Times New Roman"/>
      <w:b/>
      <w:bCs/>
      <w:sz w:val="36"/>
      <w:szCs w:val="36"/>
      <w:lang w:val="en-GB" w:eastAsia="en-GB"/>
    </w:rPr>
  </w:style>
  <w:style w:type="character" w:customStyle="1" w:styleId="apple-converted-space">
    <w:name w:val="apple-converted-space"/>
    <w:basedOn w:val="DefaultParagraphFont"/>
    <w:rsid w:val="00553ADA"/>
  </w:style>
  <w:style w:type="character" w:styleId="Emphasis">
    <w:name w:val="Emphasis"/>
    <w:basedOn w:val="DefaultParagraphFont"/>
    <w:uiPriority w:val="20"/>
    <w:qFormat/>
    <w:rsid w:val="00553ADA"/>
    <w:rPr>
      <w:i/>
      <w:iCs/>
    </w:rPr>
  </w:style>
  <w:style w:type="character" w:styleId="Hyperlink">
    <w:name w:val="Hyperlink"/>
    <w:basedOn w:val="DefaultParagraphFont"/>
    <w:uiPriority w:val="99"/>
    <w:semiHidden/>
    <w:unhideWhenUsed/>
    <w:rsid w:val="00553A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651667">
      <w:bodyDiv w:val="1"/>
      <w:marLeft w:val="0"/>
      <w:marRight w:val="0"/>
      <w:marTop w:val="0"/>
      <w:marBottom w:val="0"/>
      <w:divBdr>
        <w:top w:val="none" w:sz="0" w:space="0" w:color="auto"/>
        <w:left w:val="none" w:sz="0" w:space="0" w:color="auto"/>
        <w:bottom w:val="none" w:sz="0" w:space="0" w:color="auto"/>
        <w:right w:val="none" w:sz="0" w:space="0" w:color="auto"/>
      </w:divBdr>
    </w:div>
    <w:div w:id="755133775">
      <w:bodyDiv w:val="1"/>
      <w:marLeft w:val="0"/>
      <w:marRight w:val="0"/>
      <w:marTop w:val="0"/>
      <w:marBottom w:val="0"/>
      <w:divBdr>
        <w:top w:val="none" w:sz="0" w:space="0" w:color="auto"/>
        <w:left w:val="none" w:sz="0" w:space="0" w:color="auto"/>
        <w:bottom w:val="none" w:sz="0" w:space="0" w:color="auto"/>
        <w:right w:val="none" w:sz="0" w:space="0" w:color="auto"/>
      </w:divBdr>
    </w:div>
    <w:div w:id="932670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enacted" TargetMode="External"/><Relationship Id="rId3" Type="http://schemas.openxmlformats.org/officeDocument/2006/relationships/webSettings" Target="webSettings.xml"/><Relationship Id="rId7" Type="http://schemas.openxmlformats.org/officeDocument/2006/relationships/hyperlink" Target="https://eur-lex.europa.eu/eli/reg/2016/679/oj"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7</Pages>
  <Words>2174</Words>
  <Characters>12397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Inam Alsalim (2502495)</cp:lastModifiedBy>
  <cp:revision>5</cp:revision>
  <dcterms:created xsi:type="dcterms:W3CDTF">2026-01-03T20:43:00Z</dcterms:created>
  <dcterms:modified xsi:type="dcterms:W3CDTF">2026-01-05T13:50:00Z</dcterms:modified>
</cp:coreProperties>
</file>