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CF0C31C" w:rsidP="1ED50CE0" w:rsidRDefault="5CF0C31C" w14:paraId="1E18C106" w14:textId="0BC14BBE">
      <w:pPr>
        <w:pStyle w:val="Heading2"/>
        <w:spacing w:before="299" w:beforeAutospacing="off" w:after="299"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Case Study</w:t>
      </w:r>
    </w:p>
    <w:p w:rsidR="5CF0C31C" w:rsidP="1ED50CE0" w:rsidRDefault="5CF0C31C" w14:paraId="1A8A301A" w14:textId="2F86F91C">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Name:</w:t>
      </w:r>
      <w:r w:rsidRPr="1ED50CE0" w:rsidR="5CF0C31C">
        <w:rPr>
          <w:rFonts w:ascii="Arial" w:hAnsi="Arial" w:eastAsia="Arial" w:cs="Arial"/>
          <w:b w:val="0"/>
          <w:bCs w:val="0"/>
          <w:noProof w:val="0"/>
          <w:sz w:val="22"/>
          <w:szCs w:val="22"/>
          <w:lang w:val="en-US"/>
        </w:rPr>
        <w:t xml:space="preserve"> Dariush Nezamalmolki</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Student Number:</w:t>
      </w:r>
      <w:r w:rsidRPr="1ED50CE0" w:rsidR="5CF0C31C">
        <w:rPr>
          <w:rFonts w:ascii="Arial" w:hAnsi="Arial" w:eastAsia="Arial" w:cs="Arial"/>
          <w:b w:val="0"/>
          <w:bCs w:val="0"/>
          <w:noProof w:val="0"/>
          <w:sz w:val="22"/>
          <w:szCs w:val="22"/>
          <w:lang w:val="en-US"/>
        </w:rPr>
        <w:t xml:space="preserve"> 2407310</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Module Code:</w:t>
      </w:r>
      <w:r w:rsidRPr="1ED50CE0" w:rsidR="5CF0C31C">
        <w:rPr>
          <w:rFonts w:ascii="Arial" w:hAnsi="Arial" w:eastAsia="Arial" w:cs="Arial"/>
          <w:b w:val="0"/>
          <w:bCs w:val="0"/>
          <w:noProof w:val="0"/>
          <w:sz w:val="22"/>
          <w:szCs w:val="22"/>
          <w:lang w:val="en-US"/>
        </w:rPr>
        <w:t xml:space="preserve"> LCLM5001</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Module Title:</w:t>
      </w:r>
      <w:r w:rsidRPr="1ED50CE0" w:rsidR="5CF0C31C">
        <w:rPr>
          <w:rFonts w:ascii="Arial" w:hAnsi="Arial" w:eastAsia="Arial" w:cs="Arial"/>
          <w:b w:val="0"/>
          <w:bCs w:val="0"/>
          <w:noProof w:val="0"/>
          <w:sz w:val="22"/>
          <w:szCs w:val="22"/>
          <w:lang w:val="en-US"/>
        </w:rPr>
        <w:t xml:space="preserve"> Understanding and Engaging Stakeholders</w:t>
      </w:r>
    </w:p>
    <w:p w:rsidR="1ED50CE0" w:rsidP="1ED50CE0" w:rsidRDefault="1ED50CE0" w14:paraId="4D36605C" w14:textId="74FB68A4">
      <w:pPr>
        <w:rPr>
          <w:rFonts w:ascii="Arial" w:hAnsi="Arial" w:eastAsia="Arial" w:cs="Arial"/>
          <w:b w:val="0"/>
          <w:bCs w:val="0"/>
          <w:sz w:val="22"/>
          <w:szCs w:val="22"/>
        </w:rPr>
      </w:pPr>
    </w:p>
    <w:p w:rsidR="5CF0C31C" w:rsidP="1ED50CE0" w:rsidRDefault="5CF0C31C" w14:paraId="2C766AC9" w14:textId="761AB37A">
      <w:pPr>
        <w:pStyle w:val="Heading3"/>
        <w:spacing w:before="281" w:beforeAutospacing="off" w:after="281"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Executive Summary</w:t>
      </w:r>
    </w:p>
    <w:p w:rsidR="5CF0C31C" w:rsidP="1ED50CE0" w:rsidRDefault="5CF0C31C" w14:paraId="52670E32" w14:textId="5B4771D6">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 xml:space="preserve">This report provides a comprehensive analysis of stakeholder engagement strategies for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a UK-based health technology company launching a next-generation wearable device. </w:t>
      </w:r>
      <w:r w:rsidRPr="1ED50CE0" w:rsidR="5CF0C31C">
        <w:rPr>
          <w:rFonts w:ascii="Arial" w:hAnsi="Arial" w:eastAsia="Arial" w:cs="Arial"/>
          <w:b w:val="0"/>
          <w:bCs w:val="0"/>
          <w:noProof w:val="0"/>
          <w:sz w:val="22"/>
          <w:szCs w:val="22"/>
          <w:lang w:val="en-US"/>
        </w:rPr>
        <w:t>BioSync’s</w:t>
      </w:r>
      <w:r w:rsidRPr="1ED50CE0" w:rsidR="5CF0C31C">
        <w:rPr>
          <w:rFonts w:ascii="Arial" w:hAnsi="Arial" w:eastAsia="Arial" w:cs="Arial"/>
          <w:b w:val="0"/>
          <w:bCs w:val="0"/>
          <w:noProof w:val="0"/>
          <w:sz w:val="22"/>
          <w:szCs w:val="22"/>
          <w:lang w:val="en-US"/>
        </w:rPr>
        <w:t xml:space="preserve"> mission is to empower individuals to take control of their health and wellbeing by integrating physiological, emotional, and environmental data into one seamless ecosystem powered by artificial intelligence (AI). Unlike traditional fitness trackers, </w:t>
      </w:r>
      <w:r w:rsidRPr="1ED50CE0" w:rsidR="5CF0C31C">
        <w:rPr>
          <w:rFonts w:ascii="Arial" w:hAnsi="Arial" w:eastAsia="Arial" w:cs="Arial"/>
          <w:b w:val="0"/>
          <w:bCs w:val="0"/>
          <w:noProof w:val="0"/>
          <w:sz w:val="22"/>
          <w:szCs w:val="22"/>
          <w:lang w:val="en-US"/>
        </w:rPr>
        <w:t>BioSync’s</w:t>
      </w:r>
      <w:r w:rsidRPr="1ED50CE0" w:rsidR="5CF0C31C">
        <w:rPr>
          <w:rFonts w:ascii="Arial" w:hAnsi="Arial" w:eastAsia="Arial" w:cs="Arial"/>
          <w:b w:val="0"/>
          <w:bCs w:val="0"/>
          <w:noProof w:val="0"/>
          <w:sz w:val="22"/>
          <w:szCs w:val="22"/>
          <w:lang w:val="en-US"/>
        </w:rPr>
        <w:t xml:space="preserve"> wearable device interprets data to predict potential health risks, offering proactive insights for mental wellness and preventive care.</w:t>
      </w:r>
    </w:p>
    <w:p w:rsidR="5CF0C31C" w:rsidP="1ED50CE0" w:rsidRDefault="5CF0C31C" w14:paraId="51F863DB" w14:textId="6A4CAD01">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 xml:space="preserve">As the appointed project manager, I explore how effective stakeholder engagement contributes to </w:t>
      </w:r>
      <w:r w:rsidRPr="1ED50CE0" w:rsidR="5CF0C31C">
        <w:rPr>
          <w:rFonts w:ascii="Arial" w:hAnsi="Arial" w:eastAsia="Arial" w:cs="Arial"/>
          <w:b w:val="0"/>
          <w:bCs w:val="0"/>
          <w:noProof w:val="0"/>
          <w:sz w:val="22"/>
          <w:szCs w:val="22"/>
          <w:lang w:val="en-US"/>
        </w:rPr>
        <w:t>BioSync’s</w:t>
      </w:r>
      <w:r w:rsidRPr="1ED50CE0" w:rsidR="5CF0C31C">
        <w:rPr>
          <w:rFonts w:ascii="Arial" w:hAnsi="Arial" w:eastAsia="Arial" w:cs="Arial"/>
          <w:b w:val="0"/>
          <w:bCs w:val="0"/>
          <w:noProof w:val="0"/>
          <w:sz w:val="22"/>
          <w:szCs w:val="22"/>
          <w:lang w:val="en-US"/>
        </w:rPr>
        <w:t xml:space="preserve"> success. Using frameworks such as SWOT, Mendelow’s Matrix, RACI, and the 4Cs model, this report </w:t>
      </w:r>
      <w:r w:rsidRPr="1ED50CE0" w:rsidR="5CF0C31C">
        <w:rPr>
          <w:rFonts w:ascii="Arial" w:hAnsi="Arial" w:eastAsia="Arial" w:cs="Arial"/>
          <w:b w:val="0"/>
          <w:bCs w:val="0"/>
          <w:noProof w:val="0"/>
          <w:sz w:val="22"/>
          <w:szCs w:val="22"/>
          <w:lang w:val="en-US"/>
        </w:rPr>
        <w:t>identifies</w:t>
      </w:r>
      <w:r w:rsidRPr="1ED50CE0" w:rsidR="5CF0C31C">
        <w:rPr>
          <w:rFonts w:ascii="Arial" w:hAnsi="Arial" w:eastAsia="Arial" w:cs="Arial"/>
          <w:b w:val="0"/>
          <w:bCs w:val="0"/>
          <w:noProof w:val="0"/>
          <w:sz w:val="22"/>
          <w:szCs w:val="22"/>
          <w:lang w:val="en-US"/>
        </w:rPr>
        <w:t xml:space="preserve"> the roles, interests, and challenges of internal and external stakeholders, proposing strategies to strengthen collaboration and manage conflict.</w:t>
      </w:r>
    </w:p>
    <w:p w:rsidR="5CF0C31C" w:rsidP="1ED50CE0" w:rsidRDefault="5CF0C31C" w14:paraId="6BD2036F" w14:textId="262599F1">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 xml:space="preserve">The findings reveal that successful engagement is not only an operational necessity but a strategic enabler for innovation, ethical compliance, and sustainable growth. By fostering transparency, trust, and inclusion,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can position itself as a responsible leader in digital health innovation. Recommendations focus on structured communication, cross-sector partnerships, and ethical governance to </w:t>
      </w:r>
      <w:r w:rsidRPr="1ED50CE0" w:rsidR="5CF0C31C">
        <w:rPr>
          <w:rFonts w:ascii="Arial" w:hAnsi="Arial" w:eastAsia="Arial" w:cs="Arial"/>
          <w:b w:val="0"/>
          <w:bCs w:val="0"/>
          <w:noProof w:val="0"/>
          <w:sz w:val="22"/>
          <w:szCs w:val="22"/>
          <w:lang w:val="en-US"/>
        </w:rPr>
        <w:t>maintain</w:t>
      </w:r>
      <w:r w:rsidRPr="1ED50CE0" w:rsidR="5CF0C31C">
        <w:rPr>
          <w:rFonts w:ascii="Arial" w:hAnsi="Arial" w:eastAsia="Arial" w:cs="Arial"/>
          <w:b w:val="0"/>
          <w:bCs w:val="0"/>
          <w:noProof w:val="0"/>
          <w:sz w:val="22"/>
          <w:szCs w:val="22"/>
          <w:lang w:val="en-US"/>
        </w:rPr>
        <w:t xml:space="preserve"> stakeholder confidence and ensure long-term business performance.</w:t>
      </w:r>
    </w:p>
    <w:p w:rsidR="1ED50CE0" w:rsidP="1ED50CE0" w:rsidRDefault="1ED50CE0" w14:paraId="04C2E05F" w14:textId="585FB5F5">
      <w:pPr>
        <w:rPr>
          <w:rFonts w:ascii="Arial" w:hAnsi="Arial" w:eastAsia="Arial" w:cs="Arial"/>
          <w:b w:val="0"/>
          <w:bCs w:val="0"/>
          <w:sz w:val="22"/>
          <w:szCs w:val="22"/>
        </w:rPr>
      </w:pPr>
    </w:p>
    <w:p w:rsidR="5709800A" w:rsidP="1ED50CE0" w:rsidRDefault="5709800A" w14:paraId="0884C6F2" w14:textId="33F6995C">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5709800A">
        <w:rPr>
          <w:rFonts w:ascii="Arial" w:hAnsi="Arial" w:eastAsia="Arial" w:cs="Arial"/>
          <w:b w:val="0"/>
          <w:bCs w:val="0"/>
          <w:noProof w:val="0"/>
          <w:color w:val="3A7C22" w:themeColor="accent6" w:themeTint="FF" w:themeShade="BF"/>
          <w:sz w:val="22"/>
          <w:szCs w:val="22"/>
          <w:lang w:val="en-US"/>
        </w:rPr>
        <w:t xml:space="preserve">1. </w:t>
      </w:r>
      <w:r w:rsidRPr="1ED50CE0" w:rsidR="5709800A">
        <w:rPr>
          <w:rFonts w:ascii="Arial" w:hAnsi="Arial" w:eastAsia="Arial" w:cs="Arial"/>
          <w:b w:val="0"/>
          <w:bCs w:val="0"/>
          <w:noProof w:val="0"/>
          <w:color w:val="3A7C22" w:themeColor="accent6" w:themeTint="FF" w:themeShade="BF"/>
          <w:sz w:val="22"/>
          <w:szCs w:val="22"/>
          <w:lang w:val="en-US"/>
        </w:rPr>
        <w:t>Introduction</w:t>
      </w:r>
    </w:p>
    <w:p w:rsidR="3B4CBFC0" w:rsidP="1ED50CE0" w:rsidRDefault="3B4CBFC0" w14:paraId="431F6160" w14:textId="13A8DF74">
      <w:pPr>
        <w:spacing w:before="0" w:beforeAutospacing="off" w:after="160" w:afterAutospacing="off" w:line="257" w:lineRule="auto"/>
        <w:rPr>
          <w:rFonts w:ascii="Arial" w:hAnsi="Arial" w:eastAsia="Arial" w:cs="Arial"/>
          <w:b w:val="0"/>
          <w:bCs w:val="0"/>
          <w:noProof w:val="0"/>
          <w:sz w:val="22"/>
          <w:szCs w:val="22"/>
          <w:lang w:val="en-US"/>
        </w:rPr>
      </w:pPr>
      <w:r w:rsidRPr="1ED50CE0" w:rsidR="3B4CBFC0">
        <w:rPr>
          <w:rFonts w:ascii="Arial" w:hAnsi="Arial" w:eastAsia="Arial" w:cs="Arial"/>
          <w:b w:val="0"/>
          <w:bCs w:val="0"/>
          <w:noProof w:val="0"/>
          <w:sz w:val="22"/>
          <w:szCs w:val="22"/>
          <w:lang w:val="en-US"/>
        </w:rPr>
        <w:t>BioSync is a British health technology company redefining preventive healthcare through intelligent, data-driven innovation. Established to integrate science, technology, and wellbeing, BioSync develops advanced wearable devices that enable individuals to manage their health proactively. Unlike traditional fitness trackers, its device combines physiological, emotional, and environmental data to deliver a holistic understanding of wellbeing (NHS Digital, 2023).</w:t>
      </w:r>
    </w:p>
    <w:p w:rsidR="3B4CBFC0" w:rsidP="1ED50CE0" w:rsidRDefault="3B4CBFC0" w14:paraId="2ED61BCB" w14:textId="4A614CEF">
      <w:pPr>
        <w:spacing w:before="0" w:beforeAutospacing="off" w:after="160" w:afterAutospacing="off" w:line="257" w:lineRule="auto"/>
        <w:rPr>
          <w:rFonts w:ascii="Arial" w:hAnsi="Arial" w:eastAsia="Arial" w:cs="Arial"/>
          <w:b w:val="0"/>
          <w:bCs w:val="0"/>
          <w:noProof w:val="0"/>
          <w:sz w:val="22"/>
          <w:szCs w:val="22"/>
          <w:lang w:val="en-US"/>
        </w:rPr>
      </w:pPr>
      <w:r w:rsidRPr="1ED50CE0" w:rsidR="3B4CBFC0">
        <w:rPr>
          <w:rFonts w:ascii="Arial" w:hAnsi="Arial" w:eastAsia="Arial" w:cs="Arial"/>
          <w:b w:val="0"/>
          <w:bCs w:val="0"/>
          <w:noProof w:val="0"/>
          <w:sz w:val="22"/>
          <w:szCs w:val="22"/>
          <w:lang w:val="en-US"/>
        </w:rPr>
        <w:t>Powered by artificial intelligence (AI) and machine learning, the BioSync wearable analyses real-time biometric and behavioural patterns to detect early signs of stress, fatigue, or potential health risks. This predictive insight supports informed lifestyle adjustments, enhancing sleep, resilience, and overall wellness while contributing to broader preventive health objectives (UK Government, 2024).</w:t>
      </w:r>
    </w:p>
    <w:p w:rsidR="3B4CBFC0" w:rsidP="1ED50CE0" w:rsidRDefault="3B4CBFC0" w14:paraId="07023BE8" w14:textId="09189BA7">
      <w:pPr>
        <w:spacing w:before="0" w:beforeAutospacing="off" w:after="160" w:afterAutospacing="off" w:line="257" w:lineRule="auto"/>
        <w:rPr>
          <w:rFonts w:ascii="Arial" w:hAnsi="Arial" w:eastAsia="Arial" w:cs="Arial"/>
          <w:b w:val="0"/>
          <w:bCs w:val="0"/>
          <w:noProof w:val="0"/>
          <w:sz w:val="22"/>
          <w:szCs w:val="22"/>
          <w:lang w:val="en-US"/>
        </w:rPr>
      </w:pPr>
      <w:r w:rsidRPr="1ED50CE0" w:rsidR="3B4CBFC0">
        <w:rPr>
          <w:rFonts w:ascii="Arial" w:hAnsi="Arial" w:eastAsia="Arial" w:cs="Arial"/>
          <w:b w:val="0"/>
          <w:bCs w:val="0"/>
          <w:noProof w:val="0"/>
          <w:sz w:val="22"/>
          <w:szCs w:val="22"/>
          <w:lang w:val="en-US"/>
        </w:rPr>
        <w:t>The UK provides a strong environment for BioSync’s growth, driven by government support for digital health and rising public awareness of mental wellbeing (NHS Digital, 2023). However, managing sensitive biometric and emotional data introduces ethical and legal complexities that demand compliance with GDPR and transparent governance (Information Commissioner’s Office, 2024).</w:t>
      </w:r>
    </w:p>
    <w:p w:rsidR="3B4CBFC0" w:rsidP="1ED50CE0" w:rsidRDefault="3B4CBFC0" w14:paraId="3B1B4CA3" w14:textId="1F1016CA">
      <w:pPr>
        <w:spacing w:before="0" w:beforeAutospacing="off" w:after="160" w:afterAutospacing="off" w:line="257" w:lineRule="auto"/>
        <w:rPr>
          <w:rFonts w:ascii="Arial" w:hAnsi="Arial" w:eastAsia="Arial" w:cs="Arial"/>
          <w:b w:val="0"/>
          <w:bCs w:val="0"/>
          <w:noProof w:val="0"/>
          <w:sz w:val="22"/>
          <w:szCs w:val="22"/>
          <w:lang w:val="en-US"/>
        </w:rPr>
      </w:pPr>
      <w:r w:rsidRPr="1ED50CE0" w:rsidR="3B4CBFC0">
        <w:rPr>
          <w:rFonts w:ascii="Arial" w:hAnsi="Arial" w:eastAsia="Arial" w:cs="Arial"/>
          <w:b w:val="0"/>
          <w:bCs w:val="0"/>
          <w:noProof w:val="0"/>
          <w:sz w:val="22"/>
          <w:szCs w:val="22"/>
          <w:lang w:val="en-US"/>
        </w:rPr>
        <w:t>This case study examines how effective stakeholder engagement supports BioSync’s mission. Applying frameworks including SWOT analysis, Mendelow’s Matrix (Mendelow, 1991), the RACI model, and the 4Cs framework (Freeman, 1984), it explores how strategic, ethical collaboration drives innovation, credibility, and sustainable growth.</w:t>
      </w:r>
    </w:p>
    <w:p w:rsidR="1ED50CE0" w:rsidP="1ED50CE0" w:rsidRDefault="1ED50CE0" w14:paraId="3DC8AAD1" w14:textId="519E3D42">
      <w:pPr>
        <w:spacing w:before="0" w:beforeAutospacing="off" w:after="160" w:afterAutospacing="off" w:line="257" w:lineRule="auto"/>
        <w:rPr>
          <w:rFonts w:ascii="Arial" w:hAnsi="Arial" w:eastAsia="Arial" w:cs="Arial"/>
          <w:b w:val="0"/>
          <w:bCs w:val="0"/>
          <w:noProof w:val="0"/>
          <w:sz w:val="22"/>
          <w:szCs w:val="22"/>
          <w:lang w:val="en-US"/>
        </w:rPr>
      </w:pPr>
    </w:p>
    <w:p w:rsidR="1ED50CE0" w:rsidP="1ED50CE0" w:rsidRDefault="1ED50CE0" w14:paraId="0196CD7A" w14:textId="27BC6707">
      <w:pPr>
        <w:spacing w:before="0" w:beforeAutospacing="off" w:after="160" w:afterAutospacing="off" w:line="257" w:lineRule="auto"/>
        <w:rPr>
          <w:rFonts w:ascii="Arial" w:hAnsi="Arial" w:eastAsia="Arial" w:cs="Arial"/>
          <w:b w:val="0"/>
          <w:bCs w:val="0"/>
          <w:noProof w:val="0"/>
          <w:sz w:val="22"/>
          <w:szCs w:val="22"/>
          <w:lang w:val="en-US"/>
        </w:rPr>
      </w:pPr>
    </w:p>
    <w:p w:rsidR="1ED50CE0" w:rsidP="1ED50CE0" w:rsidRDefault="1ED50CE0" w14:paraId="10882198" w14:textId="4E3605E0">
      <w:pPr>
        <w:rPr>
          <w:rFonts w:ascii="Arial" w:hAnsi="Arial" w:eastAsia="Arial" w:cs="Arial"/>
          <w:b w:val="0"/>
          <w:bCs w:val="0"/>
          <w:sz w:val="22"/>
          <w:szCs w:val="22"/>
        </w:rPr>
      </w:pPr>
    </w:p>
    <w:p w:rsidR="0179BA99" w:rsidP="1ED50CE0" w:rsidRDefault="0179BA99" w14:paraId="667E030D" w14:textId="55454D4B">
      <w:pPr>
        <w:spacing w:before="0" w:beforeAutospacing="off" w:after="160" w:afterAutospacing="off" w:line="257" w:lineRule="auto"/>
        <w:rPr>
          <w:rFonts w:ascii="Arial" w:hAnsi="Arial" w:eastAsia="Arial" w:cs="Arial"/>
          <w:b w:val="0"/>
          <w:bCs w:val="0"/>
          <w:noProof w:val="0"/>
          <w:color w:val="0F4761" w:themeColor="accent1" w:themeTint="FF" w:themeShade="BF"/>
          <w:sz w:val="22"/>
          <w:szCs w:val="22"/>
          <w:lang w:val="en-US"/>
        </w:rPr>
      </w:pPr>
      <w:r w:rsidRPr="1ED50CE0" w:rsidR="0179BA99">
        <w:rPr>
          <w:rFonts w:ascii="Arial" w:hAnsi="Arial" w:eastAsia="Arial" w:cs="Arial"/>
          <w:b w:val="0"/>
          <w:bCs w:val="0"/>
          <w:noProof w:val="0"/>
          <w:color w:val="0F4761" w:themeColor="accent1" w:themeTint="FF" w:themeShade="BF"/>
          <w:sz w:val="22"/>
          <w:szCs w:val="22"/>
          <w:lang w:val="en-US"/>
        </w:rPr>
        <w:t>2. Company Appraisal Using SWOT</w:t>
      </w:r>
    </w:p>
    <w:p w:rsidR="0179BA99" w:rsidP="1ED50CE0" w:rsidRDefault="0179BA99" w14:paraId="5904EBC0" w14:textId="34BC4F50">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A critical appraisal of </w:t>
      </w:r>
      <w:r w:rsidRPr="1ED50CE0" w:rsidR="0179BA99">
        <w:rPr>
          <w:rFonts w:ascii="Arial" w:hAnsi="Arial" w:eastAsia="Arial" w:cs="Arial"/>
          <w:b w:val="0"/>
          <w:bCs w:val="0"/>
          <w:noProof w:val="0"/>
          <w:sz w:val="22"/>
          <w:szCs w:val="22"/>
          <w:lang w:val="en-US"/>
        </w:rPr>
        <w:t>BioSync’s</w:t>
      </w:r>
      <w:r w:rsidRPr="1ED50CE0" w:rsidR="0179BA99">
        <w:rPr>
          <w:rFonts w:ascii="Arial" w:hAnsi="Arial" w:eastAsia="Arial" w:cs="Arial"/>
          <w:b w:val="0"/>
          <w:bCs w:val="0"/>
          <w:noProof w:val="0"/>
          <w:sz w:val="22"/>
          <w:szCs w:val="22"/>
          <w:lang w:val="en-US"/>
        </w:rPr>
        <w:t xml:space="preserve"> strategic position is essential to understanding its internal strengths and weaknesses, as well as the external opportunities and threats that shape its competitive environment. The SWOT framework provides a structured method for evaluating how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can </w:t>
      </w:r>
      <w:r w:rsidRPr="1ED50CE0" w:rsidR="0179BA99">
        <w:rPr>
          <w:rFonts w:ascii="Arial" w:hAnsi="Arial" w:eastAsia="Arial" w:cs="Arial"/>
          <w:b w:val="0"/>
          <w:bCs w:val="0"/>
          <w:noProof w:val="0"/>
          <w:sz w:val="22"/>
          <w:szCs w:val="22"/>
          <w:lang w:val="en-US"/>
        </w:rPr>
        <w:t>leverage</w:t>
      </w:r>
      <w:r w:rsidRPr="1ED50CE0" w:rsidR="0179BA99">
        <w:rPr>
          <w:rFonts w:ascii="Arial" w:hAnsi="Arial" w:eastAsia="Arial" w:cs="Arial"/>
          <w:b w:val="0"/>
          <w:bCs w:val="0"/>
          <w:noProof w:val="0"/>
          <w:sz w:val="22"/>
          <w:szCs w:val="22"/>
          <w:lang w:val="en-US"/>
        </w:rPr>
        <w:t xml:space="preserve"> its core capabilities to achieve a successful product launch in the dynamic health technology market.</w:t>
      </w:r>
    </w:p>
    <w:p w:rsidR="0179BA99" w:rsidP="1ED50CE0" w:rsidRDefault="0179BA99" w14:paraId="798ED050" w14:textId="624052C2">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179BA99">
        <w:rPr>
          <w:rFonts w:ascii="Arial" w:hAnsi="Arial" w:eastAsia="Arial" w:cs="Arial"/>
          <w:b w:val="0"/>
          <w:bCs w:val="0"/>
          <w:noProof w:val="0"/>
          <w:color w:val="3A7C22" w:themeColor="accent6" w:themeTint="FF" w:themeShade="BF"/>
          <w:sz w:val="22"/>
          <w:szCs w:val="22"/>
          <w:lang w:val="en-US"/>
        </w:rPr>
        <w:t>Strengths</w:t>
      </w:r>
    </w:p>
    <w:p w:rsidR="0179BA99" w:rsidP="1ED50CE0" w:rsidRDefault="0179BA99" w14:paraId="12B8A986" w14:textId="0F7412A0">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BioSync’s</w:t>
      </w:r>
      <w:r w:rsidRPr="1ED50CE0" w:rsidR="0179BA99">
        <w:rPr>
          <w:rFonts w:ascii="Arial" w:hAnsi="Arial" w:eastAsia="Arial" w:cs="Arial"/>
          <w:b w:val="0"/>
          <w:bCs w:val="0"/>
          <w:noProof w:val="0"/>
          <w:sz w:val="22"/>
          <w:szCs w:val="22"/>
          <w:lang w:val="en-US"/>
        </w:rPr>
        <w:t xml:space="preserve"> principal strength lies in its </w:t>
      </w:r>
      <w:r w:rsidRPr="1ED50CE0" w:rsidR="0179BA99">
        <w:rPr>
          <w:rFonts w:ascii="Arial" w:hAnsi="Arial" w:eastAsia="Arial" w:cs="Arial"/>
          <w:b w:val="0"/>
          <w:bCs w:val="0"/>
          <w:noProof w:val="0"/>
          <w:sz w:val="22"/>
          <w:szCs w:val="22"/>
          <w:lang w:val="en-US"/>
        </w:rPr>
        <w:t>holistic approach</w:t>
      </w:r>
      <w:r w:rsidRPr="1ED50CE0" w:rsidR="0179BA99">
        <w:rPr>
          <w:rFonts w:ascii="Arial" w:hAnsi="Arial" w:eastAsia="Arial" w:cs="Arial"/>
          <w:b w:val="0"/>
          <w:bCs w:val="0"/>
          <w:noProof w:val="0"/>
          <w:sz w:val="22"/>
          <w:szCs w:val="22"/>
          <w:lang w:val="en-US"/>
        </w:rPr>
        <w:t xml:space="preserve"> to health monitoring, which differentiates it from conventional wearable brands. By integrating physical, emotional, and environmental data, the device </w:t>
      </w:r>
      <w:r w:rsidRPr="1ED50CE0" w:rsidR="0179BA99">
        <w:rPr>
          <w:rFonts w:ascii="Arial" w:hAnsi="Arial" w:eastAsia="Arial" w:cs="Arial"/>
          <w:b w:val="0"/>
          <w:bCs w:val="0"/>
          <w:noProof w:val="0"/>
          <w:sz w:val="22"/>
          <w:szCs w:val="22"/>
          <w:lang w:val="en-US"/>
        </w:rPr>
        <w:t>provides</w:t>
      </w:r>
      <w:r w:rsidRPr="1ED50CE0" w:rsidR="0179BA99">
        <w:rPr>
          <w:rFonts w:ascii="Arial" w:hAnsi="Arial" w:eastAsia="Arial" w:cs="Arial"/>
          <w:b w:val="0"/>
          <w:bCs w:val="0"/>
          <w:noProof w:val="0"/>
          <w:sz w:val="22"/>
          <w:szCs w:val="22"/>
          <w:lang w:val="en-US"/>
        </w:rPr>
        <w:t xml:space="preserve"> a multi-dimensional view of wellbeing rather than simple fitness tracking. This enables early identification of potential health risks, supporting the UK’s public health goals on digital transformation and preventive medicine (NHS Digital, 2023).</w:t>
      </w:r>
    </w:p>
    <w:p w:rsidR="0179BA99" w:rsidP="1ED50CE0" w:rsidRDefault="0179BA99" w14:paraId="5FF372EB" w14:textId="160C75FD">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The company’s interdisciplinary research and development (R&amp;D) team—</w:t>
      </w:r>
      <w:r w:rsidRPr="1ED50CE0" w:rsidR="0179BA99">
        <w:rPr>
          <w:rFonts w:ascii="Arial" w:hAnsi="Arial" w:eastAsia="Arial" w:cs="Arial"/>
          <w:b w:val="0"/>
          <w:bCs w:val="0"/>
          <w:noProof w:val="0"/>
          <w:sz w:val="22"/>
          <w:szCs w:val="22"/>
          <w:lang w:val="en-US"/>
        </w:rPr>
        <w:t>comprising</w:t>
      </w:r>
      <w:r w:rsidRPr="1ED50CE0" w:rsidR="0179BA99">
        <w:rPr>
          <w:rFonts w:ascii="Arial" w:hAnsi="Arial" w:eastAsia="Arial" w:cs="Arial"/>
          <w:b w:val="0"/>
          <w:bCs w:val="0"/>
          <w:noProof w:val="0"/>
          <w:sz w:val="22"/>
          <w:szCs w:val="22"/>
          <w:lang w:val="en-US"/>
        </w:rPr>
        <w:t xml:space="preserve"> AI engineers, biomedical scientists, and psychologists—enhances innovation and shortens the time from concept to market. </w:t>
      </w:r>
      <w:r w:rsidRPr="1ED50CE0" w:rsidR="0179BA99">
        <w:rPr>
          <w:rFonts w:ascii="Arial" w:hAnsi="Arial" w:eastAsia="Arial" w:cs="Arial"/>
          <w:b w:val="0"/>
          <w:bCs w:val="0"/>
          <w:noProof w:val="0"/>
          <w:sz w:val="22"/>
          <w:szCs w:val="22"/>
          <w:lang w:val="en-US"/>
        </w:rPr>
        <w:t>BioSync’s</w:t>
      </w:r>
      <w:r w:rsidRPr="1ED50CE0" w:rsidR="0179BA99">
        <w:rPr>
          <w:rFonts w:ascii="Arial" w:hAnsi="Arial" w:eastAsia="Arial" w:cs="Arial"/>
          <w:b w:val="0"/>
          <w:bCs w:val="0"/>
          <w:noProof w:val="0"/>
          <w:sz w:val="22"/>
          <w:szCs w:val="22"/>
          <w:lang w:val="en-US"/>
        </w:rPr>
        <w:t xml:space="preserve"> strong ethical stance on data security and user privacy further strengthens its reputation, aligning with GDPR principles and addressing public concerns over data misuse. This commitment to responsible technology creates a foundation of trust that is essential for user adoption in the sensitive field of digital health.</w:t>
      </w:r>
    </w:p>
    <w:p w:rsidR="0179BA99" w:rsidP="1ED50CE0" w:rsidRDefault="0179BA99" w14:paraId="6C8A3267" w14:textId="6A4CC171">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179BA99">
        <w:rPr>
          <w:rFonts w:ascii="Arial" w:hAnsi="Arial" w:eastAsia="Arial" w:cs="Arial"/>
          <w:b w:val="0"/>
          <w:bCs w:val="0"/>
          <w:noProof w:val="0"/>
          <w:color w:val="3A7C22" w:themeColor="accent6" w:themeTint="FF" w:themeShade="BF"/>
          <w:sz w:val="22"/>
          <w:szCs w:val="22"/>
          <w:lang w:val="en-US"/>
        </w:rPr>
        <w:t>Weaknesses</w:t>
      </w:r>
    </w:p>
    <w:p w:rsidR="0179BA99" w:rsidP="1ED50CE0" w:rsidRDefault="0179BA99" w14:paraId="7845602C" w14:textId="1385C848">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Despite its potential,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faces several internal challenges. The integration of multi-sensory AI systems involves significant technical complexity and financial cost, which can strain resources and slow development. As a </w:t>
      </w:r>
      <w:r w:rsidRPr="1ED50CE0" w:rsidR="0179BA99">
        <w:rPr>
          <w:rFonts w:ascii="Arial" w:hAnsi="Arial" w:eastAsia="Arial" w:cs="Arial"/>
          <w:b w:val="0"/>
          <w:bCs w:val="0"/>
          <w:noProof w:val="0"/>
          <w:sz w:val="22"/>
          <w:szCs w:val="22"/>
          <w:lang w:val="en-US"/>
        </w:rPr>
        <w:t>relatively new</w:t>
      </w:r>
      <w:r w:rsidRPr="1ED50CE0" w:rsidR="0179BA99">
        <w:rPr>
          <w:rFonts w:ascii="Arial" w:hAnsi="Arial" w:eastAsia="Arial" w:cs="Arial"/>
          <w:b w:val="0"/>
          <w:bCs w:val="0"/>
          <w:noProof w:val="0"/>
          <w:sz w:val="22"/>
          <w:szCs w:val="22"/>
          <w:lang w:val="en-US"/>
        </w:rPr>
        <w:t xml:space="preserve"> entrant in the market,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also lacks the brand recognition and market presence enjoyed by </w:t>
      </w:r>
      <w:r w:rsidRPr="1ED50CE0" w:rsidR="0179BA99">
        <w:rPr>
          <w:rFonts w:ascii="Arial" w:hAnsi="Arial" w:eastAsia="Arial" w:cs="Arial"/>
          <w:b w:val="0"/>
          <w:bCs w:val="0"/>
          <w:noProof w:val="0"/>
          <w:sz w:val="22"/>
          <w:szCs w:val="22"/>
          <w:lang w:val="en-US"/>
        </w:rPr>
        <w:t>established</w:t>
      </w:r>
      <w:r w:rsidRPr="1ED50CE0" w:rsidR="0179BA99">
        <w:rPr>
          <w:rFonts w:ascii="Arial" w:hAnsi="Arial" w:eastAsia="Arial" w:cs="Arial"/>
          <w:b w:val="0"/>
          <w:bCs w:val="0"/>
          <w:noProof w:val="0"/>
          <w:sz w:val="22"/>
          <w:szCs w:val="22"/>
          <w:lang w:val="en-US"/>
        </w:rPr>
        <w:t xml:space="preserve"> competitors such as Apple and Fitbit. This makes gaining consumer confidence more difficult.</w:t>
      </w:r>
    </w:p>
    <w:p w:rsidR="0179BA99" w:rsidP="1ED50CE0" w:rsidRDefault="0179BA99" w14:paraId="3067429C" w14:textId="68BCBA48">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Additionally, the company’s use of emotional analytics—a </w:t>
      </w:r>
      <w:r w:rsidRPr="1ED50CE0" w:rsidR="0179BA99">
        <w:rPr>
          <w:rFonts w:ascii="Arial" w:hAnsi="Arial" w:eastAsia="Arial" w:cs="Arial"/>
          <w:b w:val="0"/>
          <w:bCs w:val="0"/>
          <w:noProof w:val="0"/>
          <w:sz w:val="22"/>
          <w:szCs w:val="22"/>
          <w:lang w:val="en-US"/>
        </w:rPr>
        <w:t>relatively novel</w:t>
      </w:r>
      <w:r w:rsidRPr="1ED50CE0" w:rsidR="0179BA99">
        <w:rPr>
          <w:rFonts w:ascii="Arial" w:hAnsi="Arial" w:eastAsia="Arial" w:cs="Arial"/>
          <w:b w:val="0"/>
          <w:bCs w:val="0"/>
          <w:noProof w:val="0"/>
          <w:sz w:val="22"/>
          <w:szCs w:val="22"/>
          <w:lang w:val="en-US"/>
        </w:rPr>
        <w:t xml:space="preserve"> concept in consumer technology—may generate public </w:t>
      </w:r>
      <w:r w:rsidRPr="1ED50CE0" w:rsidR="0179BA99">
        <w:rPr>
          <w:rFonts w:ascii="Arial" w:hAnsi="Arial" w:eastAsia="Arial" w:cs="Arial"/>
          <w:b w:val="0"/>
          <w:bCs w:val="0"/>
          <w:noProof w:val="0"/>
          <w:sz w:val="22"/>
          <w:szCs w:val="22"/>
          <w:lang w:val="en-US"/>
        </w:rPr>
        <w:t>scepticism</w:t>
      </w:r>
      <w:r w:rsidRPr="1ED50CE0" w:rsidR="0179BA99">
        <w:rPr>
          <w:rFonts w:ascii="Arial" w:hAnsi="Arial" w:eastAsia="Arial" w:cs="Arial"/>
          <w:b w:val="0"/>
          <w:bCs w:val="0"/>
          <w:noProof w:val="0"/>
          <w:sz w:val="22"/>
          <w:szCs w:val="22"/>
          <w:lang w:val="en-US"/>
        </w:rPr>
        <w:t xml:space="preserve">, particularly around privacy and data ethics. Without clear communication and education, this innovation could face resistance from users unfamiliar with its benefits or </w:t>
      </w:r>
      <w:r w:rsidRPr="1ED50CE0" w:rsidR="0179BA99">
        <w:rPr>
          <w:rFonts w:ascii="Arial" w:hAnsi="Arial" w:eastAsia="Arial" w:cs="Arial"/>
          <w:b w:val="0"/>
          <w:bCs w:val="0"/>
          <w:noProof w:val="0"/>
          <w:sz w:val="22"/>
          <w:szCs w:val="22"/>
          <w:lang w:val="en-US"/>
        </w:rPr>
        <w:t>concerned</w:t>
      </w:r>
      <w:r w:rsidRPr="1ED50CE0" w:rsidR="0179BA99">
        <w:rPr>
          <w:rFonts w:ascii="Arial" w:hAnsi="Arial" w:eastAsia="Arial" w:cs="Arial"/>
          <w:b w:val="0"/>
          <w:bCs w:val="0"/>
          <w:noProof w:val="0"/>
          <w:sz w:val="22"/>
          <w:szCs w:val="22"/>
          <w:lang w:val="en-US"/>
        </w:rPr>
        <w:t xml:space="preserve"> about emotional data interpretation.</w:t>
      </w:r>
    </w:p>
    <w:p w:rsidR="0179BA99" w:rsidP="1ED50CE0" w:rsidRDefault="0179BA99" w14:paraId="546E476D" w14:textId="159B6640">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179BA99">
        <w:rPr>
          <w:rFonts w:ascii="Arial" w:hAnsi="Arial" w:eastAsia="Arial" w:cs="Arial"/>
          <w:b w:val="0"/>
          <w:bCs w:val="0"/>
          <w:noProof w:val="0"/>
          <w:color w:val="3A7C22" w:themeColor="accent6" w:themeTint="FF" w:themeShade="BF"/>
          <w:sz w:val="22"/>
          <w:szCs w:val="22"/>
          <w:lang w:val="en-US"/>
        </w:rPr>
        <w:t>Opportunities</w:t>
      </w:r>
    </w:p>
    <w:p w:rsidR="0179BA99" w:rsidP="1ED50CE0" w:rsidRDefault="0179BA99" w14:paraId="4A50D8AA" w14:textId="097EDDD6">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The rising global demand for preventive healthcare and mental wellbeing presents significant opportunities for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Collaborations with healthcare providers, insurers, and corporate wellness </w:t>
      </w:r>
      <w:r w:rsidRPr="1ED50CE0" w:rsidR="0179BA99">
        <w:rPr>
          <w:rFonts w:ascii="Arial" w:hAnsi="Arial" w:eastAsia="Arial" w:cs="Arial"/>
          <w:b w:val="0"/>
          <w:bCs w:val="0"/>
          <w:noProof w:val="0"/>
          <w:sz w:val="22"/>
          <w:szCs w:val="22"/>
          <w:lang w:val="en-US"/>
        </w:rPr>
        <w:t>programmers</w:t>
      </w:r>
      <w:r w:rsidRPr="1ED50CE0" w:rsidR="0179BA99">
        <w:rPr>
          <w:rFonts w:ascii="Arial" w:hAnsi="Arial" w:eastAsia="Arial" w:cs="Arial"/>
          <w:b w:val="0"/>
          <w:bCs w:val="0"/>
          <w:noProof w:val="0"/>
          <w:sz w:val="22"/>
          <w:szCs w:val="22"/>
          <w:lang w:val="en-US"/>
        </w:rPr>
        <w:t xml:space="preserve"> could extend the device’s reach beyond the consumer market, integrating it into professional care and workplace health initiatives.</w:t>
      </w:r>
    </w:p>
    <w:p w:rsidR="0179BA99" w:rsidP="1ED50CE0" w:rsidRDefault="0179BA99" w14:paraId="1499C6DD" w14:textId="6AE94DC5">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The device’s AI-driven predictive capabilities also align with government strategies to reduce NHS expenditure on chronic illness management. Moreover, increasing environmental awareness creates scope for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to highlight its unique ability to </w:t>
      </w:r>
      <w:r w:rsidRPr="1ED50CE0" w:rsidR="0179BA99">
        <w:rPr>
          <w:rFonts w:ascii="Arial" w:hAnsi="Arial" w:eastAsia="Arial" w:cs="Arial"/>
          <w:b w:val="0"/>
          <w:bCs w:val="0"/>
          <w:noProof w:val="0"/>
          <w:sz w:val="22"/>
          <w:szCs w:val="22"/>
          <w:lang w:val="en-US"/>
        </w:rPr>
        <w:t>monitor</w:t>
      </w:r>
      <w:r w:rsidRPr="1ED50CE0" w:rsidR="0179BA99">
        <w:rPr>
          <w:rFonts w:ascii="Arial" w:hAnsi="Arial" w:eastAsia="Arial" w:cs="Arial"/>
          <w:b w:val="0"/>
          <w:bCs w:val="0"/>
          <w:noProof w:val="0"/>
          <w:sz w:val="22"/>
          <w:szCs w:val="22"/>
          <w:lang w:val="en-US"/>
        </w:rPr>
        <w:t xml:space="preserve"> air quality and UV exposure, reinforcing its role in both personal and environmental health.</w:t>
      </w:r>
    </w:p>
    <w:p w:rsidR="0179BA99" w:rsidP="1ED50CE0" w:rsidRDefault="0179BA99" w14:paraId="06132D75" w14:textId="75FD7EBC">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179BA99">
        <w:rPr>
          <w:rFonts w:ascii="Arial" w:hAnsi="Arial" w:eastAsia="Arial" w:cs="Arial"/>
          <w:b w:val="0"/>
          <w:bCs w:val="0"/>
          <w:noProof w:val="0"/>
          <w:color w:val="3A7C22" w:themeColor="accent6" w:themeTint="FF" w:themeShade="BF"/>
          <w:sz w:val="22"/>
          <w:szCs w:val="22"/>
          <w:lang w:val="en-US"/>
        </w:rPr>
        <w:t>Threats</w:t>
      </w:r>
    </w:p>
    <w:p w:rsidR="0179BA99" w:rsidP="1ED50CE0" w:rsidRDefault="0179BA99" w14:paraId="2496DE42" w14:textId="5DCF4718">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operates in a highly competitive and tightly regulated industry. Compliance with medical device standards, AI ethics, and data protection laws is complex and </w:t>
      </w:r>
      <w:r w:rsidRPr="1ED50CE0" w:rsidR="0179BA99">
        <w:rPr>
          <w:rFonts w:ascii="Arial" w:hAnsi="Arial" w:eastAsia="Arial" w:cs="Arial"/>
          <w:b w:val="0"/>
          <w:bCs w:val="0"/>
          <w:noProof w:val="0"/>
          <w:sz w:val="22"/>
          <w:szCs w:val="22"/>
          <w:lang w:val="en-US"/>
        </w:rPr>
        <w:t>resource-intensive</w:t>
      </w:r>
      <w:r w:rsidRPr="1ED50CE0" w:rsidR="0179BA99">
        <w:rPr>
          <w:rFonts w:ascii="Arial" w:hAnsi="Arial" w:eastAsia="Arial" w:cs="Arial"/>
          <w:b w:val="0"/>
          <w:bCs w:val="0"/>
          <w:noProof w:val="0"/>
          <w:sz w:val="22"/>
          <w:szCs w:val="22"/>
          <w:lang w:val="en-US"/>
        </w:rPr>
        <w:t xml:space="preserve">. Failure to meet these requirements could delay product launches or attract penalties. Competition from major tech companies and fast-moving start-ups poses </w:t>
      </w:r>
      <w:r w:rsidRPr="1ED50CE0" w:rsidR="0179BA99">
        <w:rPr>
          <w:rFonts w:ascii="Arial" w:hAnsi="Arial" w:eastAsia="Arial" w:cs="Arial"/>
          <w:b w:val="0"/>
          <w:bCs w:val="0"/>
          <w:noProof w:val="0"/>
          <w:sz w:val="22"/>
          <w:szCs w:val="22"/>
          <w:lang w:val="en-US"/>
        </w:rPr>
        <w:t>additional</w:t>
      </w:r>
      <w:r w:rsidRPr="1ED50CE0" w:rsidR="0179BA99">
        <w:rPr>
          <w:rFonts w:ascii="Arial" w:hAnsi="Arial" w:eastAsia="Arial" w:cs="Arial"/>
          <w:b w:val="0"/>
          <w:bCs w:val="0"/>
          <w:noProof w:val="0"/>
          <w:sz w:val="22"/>
          <w:szCs w:val="22"/>
          <w:lang w:val="en-US"/>
        </w:rPr>
        <w:t xml:space="preserve"> risks, as they </w:t>
      </w:r>
      <w:r w:rsidRPr="1ED50CE0" w:rsidR="0179BA99">
        <w:rPr>
          <w:rFonts w:ascii="Arial" w:hAnsi="Arial" w:eastAsia="Arial" w:cs="Arial"/>
          <w:b w:val="0"/>
          <w:bCs w:val="0"/>
          <w:noProof w:val="0"/>
          <w:sz w:val="22"/>
          <w:szCs w:val="22"/>
          <w:lang w:val="en-US"/>
        </w:rPr>
        <w:t>possess</w:t>
      </w:r>
      <w:r w:rsidRPr="1ED50CE0" w:rsidR="0179BA99">
        <w:rPr>
          <w:rFonts w:ascii="Arial" w:hAnsi="Arial" w:eastAsia="Arial" w:cs="Arial"/>
          <w:b w:val="0"/>
          <w:bCs w:val="0"/>
          <w:noProof w:val="0"/>
          <w:sz w:val="22"/>
          <w:szCs w:val="22"/>
          <w:lang w:val="en-US"/>
        </w:rPr>
        <w:t xml:space="preserve"> greater funding and brand loyalty.</w:t>
      </w:r>
    </w:p>
    <w:p w:rsidR="0179BA99" w:rsidP="1ED50CE0" w:rsidRDefault="0179BA99" w14:paraId="2975DDC2" w14:textId="6FB19C22">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 xml:space="preserve">Lastly, persistent data privacy concerns could limit adoption if </w:t>
      </w:r>
      <w:r w:rsidRPr="1ED50CE0" w:rsidR="0179BA99">
        <w:rPr>
          <w:rFonts w:ascii="Arial" w:hAnsi="Arial" w:eastAsia="Arial" w:cs="Arial"/>
          <w:b w:val="0"/>
          <w:bCs w:val="0"/>
          <w:noProof w:val="0"/>
          <w:sz w:val="22"/>
          <w:szCs w:val="22"/>
          <w:lang w:val="en-US"/>
        </w:rPr>
        <w:t>BioSync</w:t>
      </w:r>
      <w:r w:rsidRPr="1ED50CE0" w:rsidR="0179BA99">
        <w:rPr>
          <w:rFonts w:ascii="Arial" w:hAnsi="Arial" w:eastAsia="Arial" w:cs="Arial"/>
          <w:b w:val="0"/>
          <w:bCs w:val="0"/>
          <w:noProof w:val="0"/>
          <w:sz w:val="22"/>
          <w:szCs w:val="22"/>
          <w:lang w:val="en-US"/>
        </w:rPr>
        <w:t xml:space="preserve"> </w:t>
      </w:r>
      <w:r w:rsidRPr="1ED50CE0" w:rsidR="0179BA99">
        <w:rPr>
          <w:rFonts w:ascii="Arial" w:hAnsi="Arial" w:eastAsia="Arial" w:cs="Arial"/>
          <w:b w:val="0"/>
          <w:bCs w:val="0"/>
          <w:noProof w:val="0"/>
          <w:sz w:val="22"/>
          <w:szCs w:val="22"/>
          <w:lang w:val="en-US"/>
        </w:rPr>
        <w:t>fails to</w:t>
      </w:r>
      <w:r w:rsidRPr="1ED50CE0" w:rsidR="0179BA99">
        <w:rPr>
          <w:rFonts w:ascii="Arial" w:hAnsi="Arial" w:eastAsia="Arial" w:cs="Arial"/>
          <w:b w:val="0"/>
          <w:bCs w:val="0"/>
          <w:noProof w:val="0"/>
          <w:sz w:val="22"/>
          <w:szCs w:val="22"/>
          <w:lang w:val="en-US"/>
        </w:rPr>
        <w:t xml:space="preserve"> </w:t>
      </w:r>
      <w:r w:rsidRPr="1ED50CE0" w:rsidR="0179BA99">
        <w:rPr>
          <w:rFonts w:ascii="Arial" w:hAnsi="Arial" w:eastAsia="Arial" w:cs="Arial"/>
          <w:b w:val="0"/>
          <w:bCs w:val="0"/>
          <w:noProof w:val="0"/>
          <w:sz w:val="22"/>
          <w:szCs w:val="22"/>
          <w:lang w:val="en-US"/>
        </w:rPr>
        <w:t>maintain</w:t>
      </w:r>
      <w:r w:rsidRPr="1ED50CE0" w:rsidR="0179BA99">
        <w:rPr>
          <w:rFonts w:ascii="Arial" w:hAnsi="Arial" w:eastAsia="Arial" w:cs="Arial"/>
          <w:b w:val="0"/>
          <w:bCs w:val="0"/>
          <w:noProof w:val="0"/>
          <w:sz w:val="22"/>
          <w:szCs w:val="22"/>
          <w:lang w:val="en-US"/>
        </w:rPr>
        <w:t xml:space="preserve"> transparency. Any breach or misuse of data would severely damage its credibility.</w:t>
      </w:r>
    </w:p>
    <w:p w:rsidR="0179BA99" w:rsidP="1ED50CE0" w:rsidRDefault="0179BA99" w14:paraId="12B04CBD" w14:textId="554A273E">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179BA99">
        <w:rPr>
          <w:rFonts w:ascii="Arial" w:hAnsi="Arial" w:eastAsia="Arial" w:cs="Arial"/>
          <w:b w:val="0"/>
          <w:bCs w:val="0"/>
          <w:noProof w:val="0"/>
          <w:color w:val="3A7C22" w:themeColor="accent6" w:themeTint="FF" w:themeShade="BF"/>
          <w:sz w:val="22"/>
          <w:szCs w:val="22"/>
          <w:lang w:val="en-US"/>
        </w:rPr>
        <w:t>Summary</w:t>
      </w:r>
    </w:p>
    <w:p w:rsidR="0179BA99" w:rsidP="1ED50CE0" w:rsidRDefault="0179BA99" w14:paraId="19B3B513" w14:textId="2CC604AD">
      <w:pPr>
        <w:spacing w:before="0" w:beforeAutospacing="off" w:after="160" w:afterAutospacing="off" w:line="257" w:lineRule="auto"/>
        <w:rPr>
          <w:rFonts w:ascii="Arial" w:hAnsi="Arial" w:eastAsia="Arial" w:cs="Arial"/>
          <w:b w:val="0"/>
          <w:bCs w:val="0"/>
          <w:noProof w:val="0"/>
          <w:sz w:val="22"/>
          <w:szCs w:val="22"/>
          <w:lang w:val="en-US"/>
        </w:rPr>
      </w:pPr>
      <w:r w:rsidRPr="1ED50CE0" w:rsidR="0179BA99">
        <w:rPr>
          <w:rFonts w:ascii="Arial" w:hAnsi="Arial" w:eastAsia="Arial" w:cs="Arial"/>
          <w:b w:val="0"/>
          <w:bCs w:val="0"/>
          <w:noProof w:val="0"/>
          <w:sz w:val="22"/>
          <w:szCs w:val="22"/>
          <w:lang w:val="en-US"/>
        </w:rPr>
        <w:t>BioSync’s</w:t>
      </w:r>
      <w:r w:rsidRPr="1ED50CE0" w:rsidR="0179BA99">
        <w:rPr>
          <w:rFonts w:ascii="Arial" w:hAnsi="Arial" w:eastAsia="Arial" w:cs="Arial"/>
          <w:b w:val="0"/>
          <w:bCs w:val="0"/>
          <w:noProof w:val="0"/>
          <w:sz w:val="22"/>
          <w:szCs w:val="22"/>
          <w:lang w:val="en-US"/>
        </w:rPr>
        <w:t xml:space="preserve"> innovative capabilities and ethical focus offer strong competitive advantages. However, addressing regulatory, financial, and reputational risks through effective stakeholder engagement and collaboration will be vital to ensuring sustainable growth and long-term success.</w:t>
      </w:r>
    </w:p>
    <w:p w:rsidR="1ED50CE0" w:rsidP="1ED50CE0" w:rsidRDefault="1ED50CE0" w14:paraId="0348BCE6" w14:textId="03E3B1E5">
      <w:pPr>
        <w:spacing w:before="0" w:beforeAutospacing="off" w:after="160" w:afterAutospacing="off" w:line="257" w:lineRule="auto"/>
        <w:rPr>
          <w:rFonts w:ascii="Arial" w:hAnsi="Arial" w:eastAsia="Arial" w:cs="Arial"/>
          <w:b w:val="0"/>
          <w:bCs w:val="0"/>
          <w:noProof w:val="0"/>
          <w:sz w:val="22"/>
          <w:szCs w:val="22"/>
          <w:lang w:val="en-US"/>
        </w:rPr>
      </w:pPr>
    </w:p>
    <w:p w:rsidR="1ED50CE0" w:rsidP="1ED50CE0" w:rsidRDefault="1ED50CE0" w14:paraId="39EE51CA" w14:textId="242522CF">
      <w:pPr>
        <w:spacing w:before="240" w:beforeAutospacing="off" w:after="240" w:afterAutospacing="off"/>
        <w:rPr>
          <w:rFonts w:ascii="Arial" w:hAnsi="Arial" w:eastAsia="Arial" w:cs="Arial"/>
          <w:b w:val="0"/>
          <w:bCs w:val="0"/>
          <w:noProof w:val="0"/>
          <w:sz w:val="22"/>
          <w:szCs w:val="22"/>
          <w:lang w:val="en-US"/>
        </w:rPr>
      </w:pPr>
    </w:p>
    <w:p w:rsidR="1ED50CE0" w:rsidP="1ED50CE0" w:rsidRDefault="1ED50CE0" w14:paraId="28BCF917" w14:textId="588F2F37">
      <w:pPr>
        <w:rPr>
          <w:rFonts w:ascii="Arial" w:hAnsi="Arial" w:eastAsia="Arial" w:cs="Arial"/>
          <w:b w:val="0"/>
          <w:bCs w:val="0"/>
          <w:sz w:val="22"/>
          <w:szCs w:val="22"/>
        </w:rPr>
      </w:pPr>
    </w:p>
    <w:p w:rsidR="317790AF" w:rsidP="1ED50CE0" w:rsidRDefault="317790AF" w14:paraId="62130F0B" w14:textId="6E036CBD">
      <w:pPr>
        <w:spacing w:before="0" w:beforeAutospacing="off" w:after="160" w:afterAutospacing="off" w:line="257" w:lineRule="auto"/>
        <w:rPr>
          <w:rFonts w:ascii="Arial" w:hAnsi="Arial" w:eastAsia="Arial" w:cs="Arial"/>
          <w:b w:val="0"/>
          <w:bCs w:val="0"/>
          <w:noProof w:val="0"/>
          <w:color w:val="0F4761" w:themeColor="accent1" w:themeTint="FF" w:themeShade="BF"/>
          <w:sz w:val="22"/>
          <w:szCs w:val="22"/>
          <w:lang w:val="en-US"/>
        </w:rPr>
      </w:pPr>
      <w:r w:rsidRPr="1ED50CE0" w:rsidR="317790AF">
        <w:rPr>
          <w:rFonts w:ascii="Arial" w:hAnsi="Arial" w:eastAsia="Arial" w:cs="Arial"/>
          <w:b w:val="0"/>
          <w:bCs w:val="0"/>
          <w:noProof w:val="0"/>
          <w:color w:val="0F4761" w:themeColor="accent1" w:themeTint="FF" w:themeShade="BF"/>
          <w:sz w:val="22"/>
          <w:szCs w:val="22"/>
          <w:lang w:val="en-US"/>
        </w:rPr>
        <w:t>3. Key Internal and External Stakeholders</w:t>
      </w:r>
    </w:p>
    <w:p w:rsidR="3F57802C" w:rsidP="1ED50CE0" w:rsidRDefault="3F57802C" w14:paraId="33DFE3E7" w14:textId="52987E16">
      <w:pPr>
        <w:spacing w:before="0" w:beforeAutospacing="off" w:after="160" w:afterAutospacing="off" w:line="257" w:lineRule="auto"/>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BioSync’s</w:t>
      </w:r>
      <w:r w:rsidRPr="1ED50CE0" w:rsidR="3F57802C">
        <w:rPr>
          <w:rFonts w:ascii="Arial" w:hAnsi="Arial" w:eastAsia="Arial" w:cs="Arial"/>
          <w:b w:val="0"/>
          <w:bCs w:val="0"/>
          <w:noProof w:val="0"/>
          <w:sz w:val="22"/>
          <w:szCs w:val="22"/>
          <w:lang w:val="en-US"/>
        </w:rPr>
        <w:t xml:space="preserve"> success in launching its wearable health device depends on collaboration among a diverse network of internal and external stakeholders. Each group contributes expertise, resources, and influence across the </w:t>
      </w:r>
      <w:r w:rsidRPr="1ED50CE0" w:rsidR="3F57802C">
        <w:rPr>
          <w:rFonts w:ascii="Arial" w:hAnsi="Arial" w:eastAsia="Arial" w:cs="Arial"/>
          <w:b w:val="0"/>
          <w:bCs w:val="0"/>
          <w:noProof w:val="0"/>
          <w:sz w:val="22"/>
          <w:szCs w:val="22"/>
          <w:lang w:val="en-US"/>
        </w:rPr>
        <w:t>project</w:t>
      </w:r>
      <w:r w:rsidRPr="1ED50CE0" w:rsidR="3F57802C">
        <w:rPr>
          <w:rFonts w:ascii="Arial" w:hAnsi="Arial" w:eastAsia="Arial" w:cs="Arial"/>
          <w:b w:val="0"/>
          <w:bCs w:val="0"/>
          <w:noProof w:val="0"/>
          <w:sz w:val="22"/>
          <w:szCs w:val="22"/>
          <w:lang w:val="en-US"/>
        </w:rPr>
        <w:t xml:space="preserve"> lifecycle—from design to </w:t>
      </w:r>
      <w:r w:rsidRPr="1ED50CE0" w:rsidR="3F57802C">
        <w:rPr>
          <w:rFonts w:ascii="Arial" w:hAnsi="Arial" w:eastAsia="Arial" w:cs="Arial"/>
          <w:b w:val="0"/>
          <w:bCs w:val="0"/>
          <w:noProof w:val="0"/>
          <w:sz w:val="22"/>
          <w:szCs w:val="22"/>
          <w:lang w:val="en-US"/>
        </w:rPr>
        <w:t>commercialisation</w:t>
      </w:r>
      <w:r w:rsidRPr="1ED50CE0" w:rsidR="3F57802C">
        <w:rPr>
          <w:rFonts w:ascii="Arial" w:hAnsi="Arial" w:eastAsia="Arial" w:cs="Arial"/>
          <w:b w:val="0"/>
          <w:bCs w:val="0"/>
          <w:noProof w:val="0"/>
          <w:sz w:val="22"/>
          <w:szCs w:val="22"/>
          <w:lang w:val="en-US"/>
        </w:rPr>
        <w:t xml:space="preserve"> and post-launch evaluation (Freeman, 1984; Mendelow, 1991). Effective engagement ensures alignment with </w:t>
      </w:r>
      <w:r w:rsidRPr="1ED50CE0" w:rsidR="3F57802C">
        <w:rPr>
          <w:rFonts w:ascii="Arial" w:hAnsi="Arial" w:eastAsia="Arial" w:cs="Arial"/>
          <w:b w:val="0"/>
          <w:bCs w:val="0"/>
          <w:noProof w:val="0"/>
          <w:sz w:val="22"/>
          <w:szCs w:val="22"/>
          <w:lang w:val="en-US"/>
        </w:rPr>
        <w:t>BioSync’s</w:t>
      </w:r>
      <w:r w:rsidRPr="1ED50CE0" w:rsidR="3F57802C">
        <w:rPr>
          <w:rFonts w:ascii="Arial" w:hAnsi="Arial" w:eastAsia="Arial" w:cs="Arial"/>
          <w:b w:val="0"/>
          <w:bCs w:val="0"/>
          <w:noProof w:val="0"/>
          <w:sz w:val="22"/>
          <w:szCs w:val="22"/>
          <w:lang w:val="en-US"/>
        </w:rPr>
        <w:t xml:space="preserve"> strategic vision and regulatory obligations while fostering innovation and accountability (Smith &amp; McBride, 2022).</w:t>
      </w:r>
    </w:p>
    <w:p w:rsidR="3F57802C" w:rsidP="1ED50CE0" w:rsidRDefault="3F57802C" w14:paraId="30F1338A" w14:textId="1600074C">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F57802C">
        <w:rPr>
          <w:rFonts w:ascii="Arial" w:hAnsi="Arial" w:eastAsia="Arial" w:cs="Arial"/>
          <w:b w:val="0"/>
          <w:bCs w:val="0"/>
          <w:noProof w:val="0"/>
          <w:color w:val="3A7C22" w:themeColor="accent6" w:themeTint="FF" w:themeShade="BF"/>
          <w:sz w:val="22"/>
          <w:szCs w:val="22"/>
          <w:lang w:val="en-US"/>
        </w:rPr>
        <w:t>Internal Stakeholders</w:t>
      </w:r>
    </w:p>
    <w:p w:rsidR="3F57802C" w:rsidP="1ED50CE0" w:rsidRDefault="3F57802C" w14:paraId="3AD27318" w14:textId="67476059">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The executive leadership team defines strategic direction, allocates resources, and ensures projects align with corporate goals, shaping priorities, budgets, and ethical governance (Freeman, 1984).</w:t>
      </w:r>
    </w:p>
    <w:p w:rsidR="3F57802C" w:rsidP="1ED50CE0" w:rsidRDefault="3F57802C" w14:paraId="6CAFDE15" w14:textId="062F2698">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R&amp;D and AI development teams form the technological backbone, designing sensors, refining algorithms, and integrating systems to deliver market-ready products (Smith &amp; McBride, 2022).</w:t>
      </w:r>
    </w:p>
    <w:p w:rsidR="3F57802C" w:rsidP="1ED50CE0" w:rsidRDefault="3F57802C" w14:paraId="36D4D866" w14:textId="4732A823">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Marketing and communications translate complex technical features into consumer-friendly messaging and build awareness through digital campaigns (Apple Inc., 2023).</w:t>
      </w:r>
    </w:p>
    <w:p w:rsidR="3F57802C" w:rsidP="1ED50CE0" w:rsidRDefault="3F57802C" w14:paraId="454285C8" w14:textId="57BCD765">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Customer support manages onboarding, troubleshooting, and feedback, informing iterative improvements (NHS Digital, 2023).</w:t>
      </w:r>
    </w:p>
    <w:p w:rsidR="3F57802C" w:rsidP="1ED50CE0" w:rsidRDefault="3F57802C" w14:paraId="54F49815" w14:textId="2A34E848">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The finance department maintains cost control, forecasts, and evaluates ROI to sustain long-term viability (Apple Inc., 2023).</w:t>
      </w:r>
    </w:p>
    <w:p w:rsidR="3F57802C" w:rsidP="1ED50CE0" w:rsidRDefault="3F57802C" w14:paraId="3A7E3ECB" w14:textId="36277D29">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F57802C">
        <w:rPr>
          <w:rFonts w:ascii="Arial" w:hAnsi="Arial" w:eastAsia="Arial" w:cs="Arial"/>
          <w:b w:val="0"/>
          <w:bCs w:val="0"/>
          <w:noProof w:val="0"/>
          <w:color w:val="3A7C22" w:themeColor="accent6" w:themeTint="FF" w:themeShade="BF"/>
          <w:sz w:val="22"/>
          <w:szCs w:val="22"/>
          <w:lang w:val="en-US"/>
        </w:rPr>
        <w:t>External Stakeholders</w:t>
      </w:r>
    </w:p>
    <w:p w:rsidR="3F57802C" w:rsidP="1ED50CE0" w:rsidRDefault="3F57802C" w14:paraId="5B3EFC3A" w14:textId="598EC3F9">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Regulatory authorities such as the MHRA and ICO govern device certification and data protection, ensuring legal compliance before launch (Information Commissioner’s Office, 2024).</w:t>
      </w:r>
    </w:p>
    <w:p w:rsidR="3F57802C" w:rsidP="1ED50CE0" w:rsidRDefault="3F57802C" w14:paraId="07CBF286" w14:textId="7E345052">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Healthcare providers validate clinical relevance and integrate the device into preventive care and remote monitoring (NHS Digital, 2023). Insurers design wellness incentives and personalised coverage schemes using BioSync analytics (UK Government, 2024).</w:t>
      </w:r>
    </w:p>
    <w:p w:rsidR="3F57802C" w:rsidP="1ED50CE0" w:rsidRDefault="3F57802C" w14:paraId="4F413CBF" w14:textId="42AAF18F">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Consumers provide behavioural and biometric data to refine AI algorithms, while environmental agencies verify data accuracy and sustainability (Smith &amp; McBride, 2022). Technology partners supply components, cloud infrastructure, and cybersecurity systems (Apple Inc., 2023).</w:t>
      </w:r>
    </w:p>
    <w:p w:rsidR="3F57802C" w:rsidP="1ED50CE0" w:rsidRDefault="3F57802C" w14:paraId="2F82C4F5" w14:textId="15BFFC91">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Using Mendelow’s Matrix, stakeholders are categorised by power and interest (Mendelow, 1991). Regulators, executives, and R&amp;D teams are high-power, high-interest, requiring intensive collaboration. Insurers and environmental agencies hold high power but lower interest, receiving concise updates. Consumers and healthcare providers show high interest but lower power, needing transparent engagement. The wider public and peripheral suppliers are low power and interest, requiring periodic updates.</w:t>
      </w:r>
    </w:p>
    <w:p w:rsidR="3F57802C" w:rsidP="1ED50CE0" w:rsidRDefault="3F57802C" w14:paraId="41CEFC78" w14:textId="1F4A43F6">
      <w:pPr>
        <w:spacing w:before="240" w:beforeAutospacing="off" w:after="240" w:afterAutospacing="off"/>
        <w:rPr>
          <w:rFonts w:ascii="Arial" w:hAnsi="Arial" w:eastAsia="Arial" w:cs="Arial"/>
          <w:b w:val="0"/>
          <w:bCs w:val="0"/>
          <w:noProof w:val="0"/>
          <w:sz w:val="22"/>
          <w:szCs w:val="22"/>
          <w:lang w:val="en-US"/>
        </w:rPr>
      </w:pPr>
      <w:r w:rsidRPr="1ED50CE0" w:rsidR="3F57802C">
        <w:rPr>
          <w:rFonts w:ascii="Arial" w:hAnsi="Arial" w:eastAsia="Arial" w:cs="Arial"/>
          <w:b w:val="0"/>
          <w:bCs w:val="0"/>
          <w:noProof w:val="0"/>
          <w:sz w:val="22"/>
          <w:szCs w:val="22"/>
          <w:lang w:val="en-US"/>
        </w:rPr>
        <w:t>This classification enables BioSync to prioritise engagement, build trust, and coordinate stakeholder relationships strategically throughout the project lifecycle (Freeman, 1984; Mendelow, 1991).</w:t>
      </w:r>
      <w:r w:rsidRPr="1ED50CE0" w:rsidR="3F57802C">
        <w:rPr>
          <w:rFonts w:ascii="Arial" w:hAnsi="Arial" w:eastAsia="Arial" w:cs="Arial"/>
          <w:b w:val="0"/>
          <w:bCs w:val="0"/>
          <w:noProof w:val="0"/>
          <w:sz w:val="22"/>
          <w:szCs w:val="22"/>
          <w:lang w:val="en-US"/>
        </w:rPr>
        <w:t xml:space="preserve"> </w:t>
      </w:r>
    </w:p>
    <w:p w:rsidR="5CF0C31C" w:rsidP="1ED50CE0" w:rsidRDefault="5CF0C31C" w14:paraId="144D06FF" w14:textId="5B727265">
      <w:pPr>
        <w:pStyle w:val="Heading3"/>
        <w:spacing w:before="281" w:beforeAutospacing="off" w:after="281"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4. Roles, Responsibilities, Benefits, and Challenges</w:t>
      </w:r>
    </w:p>
    <w:p w:rsidR="5CF0C31C" w:rsidP="1ED50CE0" w:rsidRDefault="5CF0C31C" w14:paraId="1CBE89F2" w14:textId="1F0893F3">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 xml:space="preserve">Each stakeholder group contributes distinct value to </w:t>
      </w:r>
      <w:r w:rsidRPr="1ED50CE0" w:rsidR="5CF0C31C">
        <w:rPr>
          <w:rFonts w:ascii="Arial" w:hAnsi="Arial" w:eastAsia="Arial" w:cs="Arial"/>
          <w:b w:val="0"/>
          <w:bCs w:val="0"/>
          <w:noProof w:val="0"/>
          <w:sz w:val="22"/>
          <w:szCs w:val="22"/>
          <w:lang w:val="en-US"/>
        </w:rPr>
        <w:t>BioSync’s</w:t>
      </w:r>
      <w:r w:rsidRPr="1ED50CE0" w:rsidR="5CF0C31C">
        <w:rPr>
          <w:rFonts w:ascii="Arial" w:hAnsi="Arial" w:eastAsia="Arial" w:cs="Arial"/>
          <w:b w:val="0"/>
          <w:bCs w:val="0"/>
          <w:noProof w:val="0"/>
          <w:sz w:val="22"/>
          <w:szCs w:val="22"/>
          <w:lang w:val="en-US"/>
        </w:rPr>
        <w:t xml:space="preserve"> mission but also faces specific challenges in balancing innovation, compliance, and ethical considerations.</w:t>
      </w:r>
    </w:p>
    <w:p w:rsidR="5CF0C31C" w:rsidP="1ED50CE0" w:rsidRDefault="5CF0C31C" w14:paraId="528DC258" w14:textId="4A5D8AD9">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Executive Leadership</w:t>
      </w:r>
    </w:p>
    <w:p w:rsidR="5CF0C31C" w:rsidP="1ED50CE0" w:rsidRDefault="5CF0C31C" w14:paraId="6E5CE908" w14:textId="660C00C9">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Set strategic priorities, </w:t>
      </w:r>
      <w:r w:rsidRPr="1ED50CE0" w:rsidR="5CF0C31C">
        <w:rPr>
          <w:rFonts w:ascii="Arial" w:hAnsi="Arial" w:eastAsia="Arial" w:cs="Arial"/>
          <w:b w:val="0"/>
          <w:bCs w:val="0"/>
          <w:noProof w:val="0"/>
          <w:sz w:val="22"/>
          <w:szCs w:val="22"/>
          <w:lang w:val="en-US"/>
        </w:rPr>
        <w:t>allocate</w:t>
      </w:r>
      <w:r w:rsidRPr="1ED50CE0" w:rsidR="5CF0C31C">
        <w:rPr>
          <w:rFonts w:ascii="Arial" w:hAnsi="Arial" w:eastAsia="Arial" w:cs="Arial"/>
          <w:b w:val="0"/>
          <w:bCs w:val="0"/>
          <w:noProof w:val="0"/>
          <w:sz w:val="22"/>
          <w:szCs w:val="22"/>
          <w:lang w:val="en-US"/>
        </w:rPr>
        <w:t xml:space="preserve"> resources, and oversee risk management.</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Ensure brand growth and market leadership in digital health.</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Balancing innovation with regulatory caution and managing investor expectations.</w:t>
      </w:r>
    </w:p>
    <w:p w:rsidR="5CF0C31C" w:rsidP="1ED50CE0" w:rsidRDefault="5CF0C31C" w14:paraId="5EB12915" w14:textId="1D2CF7D1">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R&amp;D and AI Teams</w:t>
      </w:r>
    </w:p>
    <w:p w:rsidR="5CF0C31C" w:rsidP="1ED50CE0" w:rsidRDefault="5CF0C31C" w14:paraId="480D5BCB" w14:textId="0738F87D">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Develop device sensors, data algorithms, and AI prediction models.</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Recognition for technological breakthroughs and enhanced product credibility.</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Technical integration, data accuracy, and pressure to meet deadlines without compromising ethics.</w:t>
      </w:r>
    </w:p>
    <w:p w:rsidR="5CF0C31C" w:rsidP="1ED50CE0" w:rsidRDefault="5CF0C31C" w14:paraId="1516F05E" w14:textId="1FF9DCCA">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Marketing and Communications</w:t>
      </w:r>
    </w:p>
    <w:p w:rsidR="5CF0C31C" w:rsidP="1ED50CE0" w:rsidRDefault="5CF0C31C" w14:paraId="38549783" w14:textId="47C833EF">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Build awareness, manage campaigns, and promote ethical AI transparency.</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Strengthened brand trust and market differentiation.</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Addressing public </w:t>
      </w:r>
      <w:r w:rsidRPr="1ED50CE0" w:rsidR="5CF0C31C">
        <w:rPr>
          <w:rFonts w:ascii="Arial" w:hAnsi="Arial" w:eastAsia="Arial" w:cs="Arial"/>
          <w:b w:val="0"/>
          <w:bCs w:val="0"/>
          <w:noProof w:val="0"/>
          <w:sz w:val="22"/>
          <w:szCs w:val="22"/>
          <w:lang w:val="en-US"/>
        </w:rPr>
        <w:t>scepticism</w:t>
      </w:r>
      <w:r w:rsidRPr="1ED50CE0" w:rsidR="5CF0C31C">
        <w:rPr>
          <w:rFonts w:ascii="Arial" w:hAnsi="Arial" w:eastAsia="Arial" w:cs="Arial"/>
          <w:b w:val="0"/>
          <w:bCs w:val="0"/>
          <w:noProof w:val="0"/>
          <w:sz w:val="22"/>
          <w:szCs w:val="22"/>
          <w:lang w:val="en-US"/>
        </w:rPr>
        <w:t xml:space="preserve"> around emotional monitoring and data usage.</w:t>
      </w:r>
    </w:p>
    <w:p w:rsidR="5CF0C31C" w:rsidP="1ED50CE0" w:rsidRDefault="5CF0C31C" w14:paraId="24B1A807" w14:textId="58B56945">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Healthcare Providers</w:t>
      </w:r>
    </w:p>
    <w:p w:rsidR="5CF0C31C" w:rsidP="1ED50CE0" w:rsidRDefault="5CF0C31C" w14:paraId="1CE6EF5D" w14:textId="0E8BAD42">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Partner in trials, </w:t>
      </w:r>
      <w:r w:rsidRPr="1ED50CE0" w:rsidR="5CF0C31C">
        <w:rPr>
          <w:rFonts w:ascii="Arial" w:hAnsi="Arial" w:eastAsia="Arial" w:cs="Arial"/>
          <w:b w:val="0"/>
          <w:bCs w:val="0"/>
          <w:noProof w:val="0"/>
          <w:sz w:val="22"/>
          <w:szCs w:val="22"/>
          <w:lang w:val="en-US"/>
        </w:rPr>
        <w:t>validate</w:t>
      </w:r>
      <w:r w:rsidRPr="1ED50CE0" w:rsidR="5CF0C31C">
        <w:rPr>
          <w:rFonts w:ascii="Arial" w:hAnsi="Arial" w:eastAsia="Arial" w:cs="Arial"/>
          <w:b w:val="0"/>
          <w:bCs w:val="0"/>
          <w:noProof w:val="0"/>
          <w:sz w:val="22"/>
          <w:szCs w:val="22"/>
          <w:lang w:val="en-US"/>
        </w:rPr>
        <w:t xml:space="preserve"> health outcomes, and integrate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into patient care.</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Access to advanced health insights for preventive care.</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Aligning </w:t>
      </w:r>
      <w:r w:rsidRPr="1ED50CE0" w:rsidR="5CF0C31C">
        <w:rPr>
          <w:rFonts w:ascii="Arial" w:hAnsi="Arial" w:eastAsia="Arial" w:cs="Arial"/>
          <w:b w:val="0"/>
          <w:bCs w:val="0"/>
          <w:noProof w:val="0"/>
          <w:sz w:val="22"/>
          <w:szCs w:val="22"/>
          <w:lang w:val="en-US"/>
        </w:rPr>
        <w:t>new technologies</w:t>
      </w:r>
      <w:r w:rsidRPr="1ED50CE0" w:rsidR="5CF0C31C">
        <w:rPr>
          <w:rFonts w:ascii="Arial" w:hAnsi="Arial" w:eastAsia="Arial" w:cs="Arial"/>
          <w:b w:val="0"/>
          <w:bCs w:val="0"/>
          <w:noProof w:val="0"/>
          <w:sz w:val="22"/>
          <w:szCs w:val="22"/>
          <w:lang w:val="en-US"/>
        </w:rPr>
        <w:t xml:space="preserve"> with existing clinical workflows and addressing staff training needs.</w:t>
      </w:r>
    </w:p>
    <w:p w:rsidR="5CF0C31C" w:rsidP="1ED50CE0" w:rsidRDefault="5CF0C31C" w14:paraId="331628EA" w14:textId="119B5105">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Regulatory Authorities</w:t>
      </w:r>
    </w:p>
    <w:p w:rsidR="5CF0C31C" w:rsidP="1ED50CE0" w:rsidRDefault="5CF0C31C" w14:paraId="58A6936E" w14:textId="34829E3E">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Ensure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meets medical device and data compliance standards.</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Public protection and technological </w:t>
      </w:r>
      <w:r w:rsidRPr="1ED50CE0" w:rsidR="5CF0C31C">
        <w:rPr>
          <w:rFonts w:ascii="Arial" w:hAnsi="Arial" w:eastAsia="Arial" w:cs="Arial"/>
          <w:b w:val="0"/>
          <w:bCs w:val="0"/>
          <w:noProof w:val="0"/>
          <w:sz w:val="22"/>
          <w:szCs w:val="22"/>
          <w:lang w:val="en-US"/>
        </w:rPr>
        <w:t>standardisation</w:t>
      </w:r>
      <w:r w:rsidRPr="1ED50CE0" w:rsidR="5CF0C31C">
        <w:rPr>
          <w:rFonts w:ascii="Arial" w:hAnsi="Arial" w:eastAsia="Arial" w:cs="Arial"/>
          <w:b w:val="0"/>
          <w:bCs w:val="0"/>
          <w:noProof w:val="0"/>
          <w:sz w:val="22"/>
          <w:szCs w:val="22"/>
          <w:lang w:val="en-US"/>
        </w:rPr>
        <w:t>.</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Rapid technological change often outpaces regulatory adaptation, delaying approvals.</w:t>
      </w:r>
    </w:p>
    <w:p w:rsidR="5CF0C31C" w:rsidP="1ED50CE0" w:rsidRDefault="5CF0C31C" w14:paraId="58B4365C" w14:textId="19C764A5">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Insurers</w:t>
      </w:r>
    </w:p>
    <w:p w:rsidR="5CF0C31C" w:rsidP="1ED50CE0" w:rsidRDefault="5CF0C31C" w14:paraId="1B5FF843" w14:textId="041A0DEB">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Collaborate on wellness incentives and reimbursement programs.</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Reduced claim costs and improved policyholder health.</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Assessing data reliability and user consent compliance.</w:t>
      </w:r>
    </w:p>
    <w:p w:rsidR="5CF0C31C" w:rsidP="1ED50CE0" w:rsidRDefault="5CF0C31C" w14:paraId="15927EF6" w14:textId="126CFA9F">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Consumers</w:t>
      </w:r>
    </w:p>
    <w:p w:rsidR="5CF0C31C" w:rsidP="1ED50CE0" w:rsidRDefault="5CF0C31C" w14:paraId="312456A9" w14:textId="62E1BE50">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Adopt and use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providing feedback and </w:t>
      </w:r>
      <w:r w:rsidRPr="1ED50CE0" w:rsidR="5CF0C31C">
        <w:rPr>
          <w:rFonts w:ascii="Arial" w:hAnsi="Arial" w:eastAsia="Arial" w:cs="Arial"/>
          <w:b w:val="0"/>
          <w:bCs w:val="0"/>
          <w:noProof w:val="0"/>
          <w:sz w:val="22"/>
          <w:szCs w:val="22"/>
          <w:lang w:val="en-US"/>
        </w:rPr>
        <w:t>behavioural</w:t>
      </w:r>
      <w:r w:rsidRPr="1ED50CE0" w:rsidR="5CF0C31C">
        <w:rPr>
          <w:rFonts w:ascii="Arial" w:hAnsi="Arial" w:eastAsia="Arial" w:cs="Arial"/>
          <w:b w:val="0"/>
          <w:bCs w:val="0"/>
          <w:noProof w:val="0"/>
          <w:sz w:val="22"/>
          <w:szCs w:val="22"/>
          <w:lang w:val="en-US"/>
        </w:rPr>
        <w:t xml:space="preserve"> data.</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Improved self-awareness and preventive health insights.</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Privacy concerns and technology adoption barriers among older users.</w:t>
      </w:r>
    </w:p>
    <w:p w:rsidR="5CF0C31C" w:rsidP="1ED50CE0" w:rsidRDefault="5CF0C31C" w14:paraId="26B508B4" w14:textId="26C9B55F">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Environmental Agencies</w:t>
      </w:r>
    </w:p>
    <w:p w:rsidR="5CF0C31C" w:rsidP="1ED50CE0" w:rsidRDefault="5CF0C31C" w14:paraId="592DEBBA" w14:textId="2A4A0D48">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Role:</w:t>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Validate</w:t>
      </w:r>
      <w:r w:rsidRPr="1ED50CE0" w:rsidR="5CF0C31C">
        <w:rPr>
          <w:rFonts w:ascii="Arial" w:hAnsi="Arial" w:eastAsia="Arial" w:cs="Arial"/>
          <w:b w:val="0"/>
          <w:bCs w:val="0"/>
          <w:noProof w:val="0"/>
          <w:sz w:val="22"/>
          <w:szCs w:val="22"/>
          <w:lang w:val="en-US"/>
        </w:rPr>
        <w:t xml:space="preserve"> environmental sensor accuracy and sustainability claims.</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Benefit:</w:t>
      </w:r>
      <w:r w:rsidRPr="1ED50CE0" w:rsidR="5CF0C31C">
        <w:rPr>
          <w:rFonts w:ascii="Arial" w:hAnsi="Arial" w:eastAsia="Arial" w:cs="Arial"/>
          <w:b w:val="0"/>
          <w:bCs w:val="0"/>
          <w:noProof w:val="0"/>
          <w:sz w:val="22"/>
          <w:szCs w:val="22"/>
          <w:lang w:val="en-US"/>
        </w:rPr>
        <w:t xml:space="preserve"> Enhanced public health monitoring and green innovation.</w:t>
      </w:r>
      <w:r>
        <w:br/>
      </w:r>
      <w:r w:rsidRPr="1ED50CE0" w:rsidR="5CF0C31C">
        <w:rPr>
          <w:rFonts w:ascii="Arial" w:hAnsi="Arial" w:eastAsia="Arial" w:cs="Arial"/>
          <w:b w:val="0"/>
          <w:bCs w:val="0"/>
          <w:noProof w:val="0"/>
          <w:sz w:val="22"/>
          <w:szCs w:val="22"/>
          <w:lang w:val="en-US"/>
        </w:rPr>
        <w:t xml:space="preserve"> </w:t>
      </w:r>
      <w:r w:rsidRPr="1ED50CE0" w:rsidR="5CF0C31C">
        <w:rPr>
          <w:rFonts w:ascii="Arial" w:hAnsi="Arial" w:eastAsia="Arial" w:cs="Arial"/>
          <w:b w:val="0"/>
          <w:bCs w:val="0"/>
          <w:noProof w:val="0"/>
          <w:sz w:val="22"/>
          <w:szCs w:val="22"/>
          <w:lang w:val="en-US"/>
        </w:rPr>
        <w:t>Challenges:</w:t>
      </w:r>
      <w:r w:rsidRPr="1ED50CE0" w:rsidR="5CF0C31C">
        <w:rPr>
          <w:rFonts w:ascii="Arial" w:hAnsi="Arial" w:eastAsia="Arial" w:cs="Arial"/>
          <w:b w:val="0"/>
          <w:bCs w:val="0"/>
          <w:noProof w:val="0"/>
          <w:sz w:val="22"/>
          <w:szCs w:val="22"/>
          <w:lang w:val="en-US"/>
        </w:rPr>
        <w:t xml:space="preserve"> Ensuring transparency in data reporting and environmental compliance.</w:t>
      </w:r>
    </w:p>
    <w:p w:rsidR="1ED50CE0" w:rsidP="1ED50CE0" w:rsidRDefault="1ED50CE0" w14:paraId="27F70782" w14:textId="185F3BE9">
      <w:pPr>
        <w:spacing w:before="240" w:beforeAutospacing="off" w:after="240" w:afterAutospacing="off"/>
        <w:rPr>
          <w:rFonts w:ascii="Arial" w:hAnsi="Arial" w:eastAsia="Arial" w:cs="Arial"/>
          <w:b w:val="0"/>
          <w:bCs w:val="0"/>
          <w:noProof w:val="0"/>
          <w:sz w:val="22"/>
          <w:szCs w:val="22"/>
          <w:lang w:val="en-US"/>
        </w:rPr>
      </w:pPr>
    </w:p>
    <w:p w:rsidR="1ED50CE0" w:rsidP="1ED50CE0" w:rsidRDefault="1ED50CE0" w14:paraId="2ACA7DB5" w14:textId="7F211A96">
      <w:pPr>
        <w:spacing w:before="240" w:beforeAutospacing="off" w:after="240" w:afterAutospacing="off"/>
        <w:rPr>
          <w:rFonts w:ascii="Arial" w:hAnsi="Arial" w:eastAsia="Arial" w:cs="Arial"/>
          <w:b w:val="0"/>
          <w:bCs w:val="0"/>
          <w:noProof w:val="0"/>
          <w:sz w:val="22"/>
          <w:szCs w:val="22"/>
          <w:lang w:val="en-US"/>
        </w:rPr>
      </w:pPr>
    </w:p>
    <w:p w:rsidR="1ED50CE0" w:rsidP="1ED50CE0" w:rsidRDefault="1ED50CE0" w14:paraId="4FF10A31" w14:textId="75CC3FA1">
      <w:pPr>
        <w:spacing w:before="240" w:beforeAutospacing="off" w:after="240" w:afterAutospacing="off"/>
        <w:rPr>
          <w:rFonts w:ascii="Arial" w:hAnsi="Arial" w:eastAsia="Arial" w:cs="Arial"/>
          <w:b w:val="0"/>
          <w:bCs w:val="0"/>
          <w:noProof w:val="0"/>
          <w:sz w:val="22"/>
          <w:szCs w:val="22"/>
          <w:lang w:val="en-US"/>
        </w:rPr>
      </w:pPr>
    </w:p>
    <w:p w:rsidR="049DE958" w:rsidP="1ED50CE0" w:rsidRDefault="049DE958" w14:paraId="373BB6E9" w14:textId="1C005E18">
      <w:pPr>
        <w:spacing w:before="0" w:beforeAutospacing="off" w:after="160" w:afterAutospacing="off" w:line="257" w:lineRule="auto"/>
        <w:rPr>
          <w:rFonts w:ascii="Arial" w:hAnsi="Arial" w:eastAsia="Arial" w:cs="Arial"/>
          <w:b w:val="0"/>
          <w:bCs w:val="0"/>
          <w:noProof w:val="0"/>
          <w:sz w:val="22"/>
          <w:szCs w:val="22"/>
          <w:lang w:val="en-US"/>
        </w:rPr>
      </w:pPr>
      <w:r w:rsidRPr="1ED50CE0" w:rsidR="049DE958">
        <w:rPr>
          <w:rFonts w:ascii="Arial" w:hAnsi="Arial" w:eastAsia="Arial" w:cs="Arial"/>
          <w:b w:val="0"/>
          <w:bCs w:val="0"/>
          <w:noProof w:val="0"/>
          <w:sz w:val="22"/>
          <w:szCs w:val="22"/>
          <w:lang w:val="en-US"/>
        </w:rPr>
        <w:t>4. Roles, Responsibilities, Benefits, and Challenges</w:t>
      </w:r>
    </w:p>
    <w:tbl>
      <w:tblPr>
        <w:tblStyle w:val="GridTable5Dark-Accent1"/>
        <w:bidiVisual w:val="0"/>
        <w:tblW w:w="0" w:type="auto"/>
        <w:tblLayout w:type="fixed"/>
        <w:tblLook w:val="04A0" w:firstRow="1" w:lastRow="0" w:firstColumn="1" w:lastColumn="0" w:noHBand="0" w:noVBand="1"/>
      </w:tblPr>
      <w:tblGrid>
        <w:gridCol w:w="1522"/>
        <w:gridCol w:w="2587"/>
        <w:gridCol w:w="2644"/>
        <w:gridCol w:w="2608"/>
      </w:tblGrid>
      <w:tr w:rsidR="1ED50CE0" w:rsidTr="1ED50CE0" w14:paraId="593B93AF">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0AC41447" w14:textId="7004B61A">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Stakeholder Group</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1093465A" w14:textId="021DC38A">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Roles and Responsibilities</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2734C5CB" w14:textId="704E5CAF">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Benefits</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22054E16" w14:textId="0D471798">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Challenges</w:t>
            </w:r>
          </w:p>
        </w:tc>
      </w:tr>
      <w:tr w:rsidR="1ED50CE0" w:rsidTr="1ED50CE0" w14:paraId="729E836F">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7DEDD049" w14:textId="2097C68A">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Executive Leadership</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0B2CDC0D" w14:textId="3F56D95F">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Strategic direction and risk management</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6AEF17F4" w14:textId="6DF7D8C9">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Market leadership and investor confidence</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19102D54" w14:textId="61D06D12">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Balancing innovation with compliance</w:t>
            </w:r>
          </w:p>
        </w:tc>
      </w:tr>
      <w:tr w:rsidR="1ED50CE0" w:rsidTr="1ED50CE0" w14:paraId="28937507">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7CE4BB07" w14:textId="657AA521">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R&amp;D and AI Teams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32164C5D" w14:textId="5F24C4B8">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Develop algorithms and sensors</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7532EAC6" w14:textId="7404A049">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Professional recognition and innovation</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67C6F184" w14:textId="0062A553">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Technical complexity and time pressure</w:t>
            </w:r>
          </w:p>
        </w:tc>
      </w:tr>
      <w:tr w:rsidR="1ED50CE0" w:rsidTr="1ED50CE0" w14:paraId="2F49B0EB">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2F2A8F24" w14:textId="47F0FBEB">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Marketing</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11CB4DDA" w14:textId="3CC25A88">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Build brand trust and communicate ethics</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4111FAC2" w14:textId="72D62A32">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Brand growth and differentiation</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648E40CE" w14:textId="5000F55B">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 xml:space="preserve">Public </w:t>
            </w:r>
            <w:r w:rsidRPr="1ED50CE0" w:rsidR="1ED50CE0">
              <w:rPr>
                <w:rFonts w:ascii="Arial" w:hAnsi="Arial" w:eastAsia="Arial" w:cs="Arial"/>
                <w:b w:val="0"/>
                <w:bCs w:val="0"/>
                <w:sz w:val="22"/>
                <w:szCs w:val="22"/>
              </w:rPr>
              <w:t>scepticism</w:t>
            </w:r>
            <w:r w:rsidRPr="1ED50CE0" w:rsidR="1ED50CE0">
              <w:rPr>
                <w:rFonts w:ascii="Arial" w:hAnsi="Arial" w:eastAsia="Arial" w:cs="Arial"/>
                <w:b w:val="0"/>
                <w:bCs w:val="0"/>
                <w:sz w:val="22"/>
                <w:szCs w:val="22"/>
              </w:rPr>
              <w:t xml:space="preserve"> over emotional analytics</w:t>
            </w:r>
          </w:p>
        </w:tc>
      </w:tr>
      <w:tr w:rsidR="1ED50CE0" w:rsidTr="1ED50CE0" w14:paraId="05AAC905">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04F22BC8" w14:textId="6004E616">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Healthcare Providers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55830187" w14:textId="7E641E23">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Validate clinical relevance</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5E7158F6" w14:textId="712B024B">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Improved patient care</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234C1622" w14:textId="21BB3435">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Integration into existing systems</w:t>
            </w:r>
          </w:p>
        </w:tc>
      </w:tr>
      <w:tr w:rsidR="1ED50CE0" w:rsidTr="1ED50CE0" w14:paraId="7E75F753">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00CFA69B" w14:textId="6A4A8A5B">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Regulators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05A8553E" w14:textId="2FA17106">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Ensure legal compliance</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3F34B5C1" w14:textId="2CE16B9C">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Public safety</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28512E60" w14:textId="68D0C67B">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Adapting to rapid innovation</w:t>
            </w:r>
          </w:p>
        </w:tc>
      </w:tr>
      <w:tr w:rsidR="1ED50CE0" w:rsidTr="1ED50CE0" w14:paraId="5889CC57">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50642E8F" w14:textId="459EEF16">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Insurers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1D97C323" w14:textId="4E77AB36">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Develop wellness schemes</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2130FD35" w14:textId="7D134B0D">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Reduced claims and improved health data</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2196D909" w14:textId="53A54B61">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Ensuring ethical data use</w:t>
            </w:r>
          </w:p>
        </w:tc>
      </w:tr>
      <w:tr w:rsidR="1ED50CE0" w:rsidTr="1ED50CE0" w14:paraId="2D367718">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6FB8C81C" w14:textId="3484E604">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Consumers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30167729" w14:textId="38D5402F">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Adopt and test device</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77F8C64A" w14:textId="32278F1E">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Health insights and empowerment</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368D844A" w14:textId="05E883F7">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Privacy and usability concerns</w:t>
            </w:r>
          </w:p>
        </w:tc>
      </w:tr>
      <w:tr w:rsidR="1ED50CE0" w:rsidTr="1ED50CE0" w14:paraId="7454A003">
        <w:trPr>
          <w:trHeight w:val="300"/>
        </w:trPr>
        <w:tc>
          <w:tcPr>
            <w:cnfStyle w:val="001000000000" w:firstRow="0" w:lastRow="0" w:firstColumn="1" w:lastColumn="0" w:oddVBand="0" w:evenVBand="0" w:oddHBand="0" w:evenHBand="0" w:firstRowFirstColumn="0" w:firstRowLastColumn="0" w:lastRowFirstColumn="0" w:lastRowLastColumn="0"/>
            <w:tcW w:w="1522" w:type="dxa"/>
            <w:tcMar/>
          </w:tcPr>
          <w:p w:rsidR="1ED50CE0" w:rsidP="1ED50CE0" w:rsidRDefault="1ED50CE0" w14:paraId="280ED5BD" w14:textId="7C8675D9">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Environmental Agencies</w:t>
            </w:r>
          </w:p>
        </w:tc>
        <w:tc>
          <w:tcPr>
            <w:cnfStyle w:val="000000000000" w:firstRow="0" w:lastRow="0" w:firstColumn="0" w:lastColumn="0" w:oddVBand="0" w:evenVBand="0" w:oddHBand="0" w:evenHBand="0" w:firstRowFirstColumn="0" w:firstRowLastColumn="0" w:lastRowFirstColumn="0" w:lastRowLastColumn="0"/>
            <w:tcW w:w="2587" w:type="dxa"/>
            <w:tcMar/>
          </w:tcPr>
          <w:p w:rsidR="1ED50CE0" w:rsidP="1ED50CE0" w:rsidRDefault="1ED50CE0" w14:paraId="308C02EF" w14:textId="0662F487">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Verify environmental data</w:t>
            </w:r>
          </w:p>
        </w:tc>
        <w:tc>
          <w:tcPr>
            <w:cnfStyle w:val="000000000000" w:firstRow="0" w:lastRow="0" w:firstColumn="0" w:lastColumn="0" w:oddVBand="0" w:evenVBand="0" w:oddHBand="0" w:evenHBand="0" w:firstRowFirstColumn="0" w:firstRowLastColumn="0" w:lastRowFirstColumn="0" w:lastRowLastColumn="0"/>
            <w:tcW w:w="2644" w:type="dxa"/>
            <w:tcMar/>
          </w:tcPr>
          <w:p w:rsidR="1ED50CE0" w:rsidP="1ED50CE0" w:rsidRDefault="1ED50CE0" w14:paraId="6C49C210" w14:textId="233D213D">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Public health benefits</w:t>
            </w:r>
          </w:p>
        </w:tc>
        <w:tc>
          <w:tcPr>
            <w:cnfStyle w:val="000000000000" w:firstRow="0" w:lastRow="0" w:firstColumn="0" w:lastColumn="0" w:oddVBand="0" w:evenVBand="0" w:oddHBand="0" w:evenHBand="0" w:firstRowFirstColumn="0" w:firstRowLastColumn="0" w:lastRowFirstColumn="0" w:lastRowLastColumn="0"/>
            <w:tcW w:w="2608" w:type="dxa"/>
            <w:tcMar/>
          </w:tcPr>
          <w:p w:rsidR="1ED50CE0" w:rsidP="1ED50CE0" w:rsidRDefault="1ED50CE0" w14:paraId="5233FAF8" w14:textId="4D8E2668">
            <w:pPr>
              <w:spacing w:before="0" w:beforeAutospacing="off" w:after="160" w:afterAutospacing="off" w:line="257" w:lineRule="auto"/>
              <w:rPr>
                <w:rFonts w:ascii="Arial" w:hAnsi="Arial" w:eastAsia="Arial" w:cs="Arial"/>
                <w:b w:val="0"/>
                <w:bCs w:val="0"/>
                <w:sz w:val="22"/>
                <w:szCs w:val="22"/>
              </w:rPr>
            </w:pPr>
            <w:r w:rsidRPr="1ED50CE0" w:rsidR="1ED50CE0">
              <w:rPr>
                <w:rFonts w:ascii="Arial" w:hAnsi="Arial" w:eastAsia="Arial" w:cs="Arial"/>
                <w:b w:val="0"/>
                <w:bCs w:val="0"/>
                <w:sz w:val="22"/>
                <w:szCs w:val="22"/>
              </w:rPr>
              <w:t>Ensuring transparency</w:t>
            </w:r>
          </w:p>
        </w:tc>
      </w:tr>
    </w:tbl>
    <w:p w:rsidR="1ED50CE0" w:rsidP="1ED50CE0" w:rsidRDefault="1ED50CE0" w14:paraId="4C029853" w14:textId="0F5E6495">
      <w:pPr>
        <w:spacing w:before="240" w:beforeAutospacing="off" w:after="240" w:afterAutospacing="off"/>
        <w:rPr>
          <w:rFonts w:ascii="Arial" w:hAnsi="Arial" w:eastAsia="Arial" w:cs="Arial"/>
          <w:b w:val="0"/>
          <w:bCs w:val="0"/>
          <w:noProof w:val="0"/>
          <w:sz w:val="22"/>
          <w:szCs w:val="22"/>
          <w:lang w:val="en-US"/>
        </w:rPr>
      </w:pPr>
    </w:p>
    <w:p w:rsidR="5CF0C31C" w:rsidP="1ED50CE0" w:rsidRDefault="5CF0C31C" w14:paraId="0C02B689" w14:textId="33CE1BFD">
      <w:pPr>
        <w:pStyle w:val="Heading4"/>
        <w:spacing w:before="319" w:beforeAutospacing="off" w:after="319" w:afterAutospacing="off"/>
        <w:rPr>
          <w:rFonts w:ascii="Arial" w:hAnsi="Arial" w:eastAsia="Arial" w:cs="Arial"/>
          <w:b w:val="0"/>
          <w:bCs w:val="0"/>
          <w:noProof w:val="0"/>
          <w:color w:val="3A7C22" w:themeColor="accent6" w:themeTint="FF" w:themeShade="BF"/>
          <w:sz w:val="22"/>
          <w:szCs w:val="22"/>
          <w:lang w:val="en-US"/>
        </w:rPr>
      </w:pPr>
      <w:r w:rsidRPr="1ED50CE0" w:rsidR="5CF0C31C">
        <w:rPr>
          <w:rFonts w:ascii="Arial" w:hAnsi="Arial" w:eastAsia="Arial" w:cs="Arial"/>
          <w:b w:val="0"/>
          <w:bCs w:val="0"/>
          <w:noProof w:val="0"/>
          <w:color w:val="3A7C22" w:themeColor="accent6" w:themeTint="FF" w:themeShade="BF"/>
          <w:sz w:val="22"/>
          <w:szCs w:val="22"/>
          <w:lang w:val="en-US"/>
        </w:rPr>
        <w:t>Summary</w:t>
      </w:r>
    </w:p>
    <w:p w:rsidR="5CF0C31C" w:rsidP="1ED50CE0" w:rsidRDefault="5CF0C31C" w14:paraId="2C8ADE5E" w14:textId="3E9AF2ED">
      <w:pPr>
        <w:spacing w:before="240" w:beforeAutospacing="off" w:after="240" w:afterAutospacing="off"/>
        <w:rPr>
          <w:rFonts w:ascii="Arial" w:hAnsi="Arial" w:eastAsia="Arial" w:cs="Arial"/>
          <w:b w:val="0"/>
          <w:bCs w:val="0"/>
          <w:noProof w:val="0"/>
          <w:sz w:val="22"/>
          <w:szCs w:val="22"/>
          <w:lang w:val="en-US"/>
        </w:rPr>
      </w:pPr>
      <w:r w:rsidRPr="1ED50CE0" w:rsidR="5CF0C31C">
        <w:rPr>
          <w:rFonts w:ascii="Arial" w:hAnsi="Arial" w:eastAsia="Arial" w:cs="Arial"/>
          <w:b w:val="0"/>
          <w:bCs w:val="0"/>
          <w:noProof w:val="0"/>
          <w:sz w:val="22"/>
          <w:szCs w:val="22"/>
          <w:lang w:val="en-US"/>
        </w:rPr>
        <w:t xml:space="preserve">The success of </w:t>
      </w:r>
      <w:r w:rsidRPr="1ED50CE0" w:rsidR="5CF0C31C">
        <w:rPr>
          <w:rFonts w:ascii="Arial" w:hAnsi="Arial" w:eastAsia="Arial" w:cs="Arial"/>
          <w:b w:val="0"/>
          <w:bCs w:val="0"/>
          <w:noProof w:val="0"/>
          <w:sz w:val="22"/>
          <w:szCs w:val="22"/>
          <w:lang w:val="en-US"/>
        </w:rPr>
        <w:t>BioSync</w:t>
      </w:r>
      <w:r w:rsidRPr="1ED50CE0" w:rsidR="5CF0C31C">
        <w:rPr>
          <w:rFonts w:ascii="Arial" w:hAnsi="Arial" w:eastAsia="Arial" w:cs="Arial"/>
          <w:b w:val="0"/>
          <w:bCs w:val="0"/>
          <w:noProof w:val="0"/>
          <w:sz w:val="22"/>
          <w:szCs w:val="22"/>
          <w:lang w:val="en-US"/>
        </w:rPr>
        <w:t xml:space="preserve"> relies on a delicate balance of stakeholder collaboration. While each group </w:t>
      </w:r>
      <w:r w:rsidRPr="1ED50CE0" w:rsidR="5CF0C31C">
        <w:rPr>
          <w:rFonts w:ascii="Arial" w:hAnsi="Arial" w:eastAsia="Arial" w:cs="Arial"/>
          <w:b w:val="0"/>
          <w:bCs w:val="0"/>
          <w:noProof w:val="0"/>
          <w:sz w:val="22"/>
          <w:szCs w:val="22"/>
          <w:lang w:val="en-US"/>
        </w:rPr>
        <w:t>benefits</w:t>
      </w:r>
      <w:r w:rsidRPr="1ED50CE0" w:rsidR="5CF0C31C">
        <w:rPr>
          <w:rFonts w:ascii="Arial" w:hAnsi="Arial" w:eastAsia="Arial" w:cs="Arial"/>
          <w:b w:val="0"/>
          <w:bCs w:val="0"/>
          <w:noProof w:val="0"/>
          <w:sz w:val="22"/>
          <w:szCs w:val="22"/>
          <w:lang w:val="en-US"/>
        </w:rPr>
        <w:t xml:space="preserve"> from innovation and health outcomes, shared challenges—particularly around data ethics, privacy, and integration—</w:t>
      </w:r>
      <w:r w:rsidRPr="1ED50CE0" w:rsidR="5CF0C31C">
        <w:rPr>
          <w:rFonts w:ascii="Arial" w:hAnsi="Arial" w:eastAsia="Arial" w:cs="Arial"/>
          <w:b w:val="0"/>
          <w:bCs w:val="0"/>
          <w:noProof w:val="0"/>
          <w:sz w:val="22"/>
          <w:szCs w:val="22"/>
          <w:lang w:val="en-US"/>
        </w:rPr>
        <w:t>require</w:t>
      </w:r>
      <w:r w:rsidRPr="1ED50CE0" w:rsidR="5CF0C31C">
        <w:rPr>
          <w:rFonts w:ascii="Arial" w:hAnsi="Arial" w:eastAsia="Arial" w:cs="Arial"/>
          <w:b w:val="0"/>
          <w:bCs w:val="0"/>
          <w:noProof w:val="0"/>
          <w:sz w:val="22"/>
          <w:szCs w:val="22"/>
          <w:lang w:val="en-US"/>
        </w:rPr>
        <w:t xml:space="preserve"> open communication, continuous engagement, and adaptive governance.</w:t>
      </w:r>
    </w:p>
    <w:p w:rsidR="1ED50CE0" w:rsidP="1ED50CE0" w:rsidRDefault="1ED50CE0" w14:paraId="507970AB" w14:textId="4CCF9F44">
      <w:pPr>
        <w:rPr>
          <w:rFonts w:ascii="Arial" w:hAnsi="Arial" w:eastAsia="Arial" w:cs="Arial"/>
          <w:b w:val="0"/>
          <w:bCs w:val="0"/>
          <w:sz w:val="22"/>
          <w:szCs w:val="22"/>
        </w:rPr>
      </w:pPr>
    </w:p>
    <w:p w:rsidR="1ED50CE0" w:rsidP="1ED50CE0" w:rsidRDefault="1ED50CE0" w14:paraId="6FE0929A" w14:textId="4A0E8DBC">
      <w:pPr>
        <w:rPr>
          <w:rFonts w:ascii="Arial" w:hAnsi="Arial" w:eastAsia="Arial" w:cs="Arial"/>
          <w:b w:val="0"/>
          <w:bCs w:val="0"/>
          <w:sz w:val="22"/>
          <w:szCs w:val="22"/>
        </w:rPr>
      </w:pPr>
    </w:p>
    <w:p w:rsidR="398A4B6F" w:rsidP="1ED50CE0" w:rsidRDefault="398A4B6F" w14:paraId="1FC5BD4A" w14:textId="4E7CA5EA">
      <w:pPr>
        <w:spacing w:before="240" w:beforeAutospacing="off" w:after="240" w:afterAutospacing="off"/>
        <w:rPr>
          <w:rFonts w:ascii="Arial" w:hAnsi="Arial" w:eastAsia="Arial" w:cs="Arial"/>
          <w:b w:val="0"/>
          <w:bCs w:val="0"/>
          <w:noProof w:val="0"/>
          <w:color w:val="0F4761" w:themeColor="accent1" w:themeTint="FF" w:themeShade="BF"/>
          <w:sz w:val="22"/>
          <w:szCs w:val="22"/>
          <w:lang w:val="en-US"/>
        </w:rPr>
      </w:pPr>
      <w:r w:rsidRPr="1ED50CE0" w:rsidR="398A4B6F">
        <w:rPr>
          <w:rFonts w:ascii="Arial" w:hAnsi="Arial" w:eastAsia="Arial" w:cs="Arial"/>
          <w:b w:val="0"/>
          <w:bCs w:val="0"/>
          <w:noProof w:val="0"/>
          <w:color w:val="0F4761" w:themeColor="accent1" w:themeTint="FF" w:themeShade="BF"/>
          <w:sz w:val="22"/>
          <w:szCs w:val="22"/>
          <w:lang w:val="en-US"/>
        </w:rPr>
        <w:t>5. Frameworks, Models, and Theories</w:t>
      </w:r>
    </w:p>
    <w:p w:rsidR="398A4B6F" w:rsidP="1ED50CE0" w:rsidRDefault="398A4B6F" w14:paraId="6A29499A" w14:textId="04332706">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To manage stakeholder relationships effectively and ensure successful delivery of the </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wearable device, several well-established frameworks and models are applied. These tools help structure communication, define responsibilities, and build collaboration across diverse</w:t>
      </w:r>
    </w:p>
    <w:p w:rsidR="1ED50CE0" w:rsidP="1ED50CE0" w:rsidRDefault="1ED50CE0" w14:paraId="4A11437F" w14:textId="564619F5">
      <w:pPr>
        <w:spacing w:before="240" w:beforeAutospacing="off" w:after="240" w:afterAutospacing="off"/>
        <w:rPr>
          <w:rFonts w:ascii="Arial" w:hAnsi="Arial" w:eastAsia="Arial" w:cs="Arial"/>
          <w:b w:val="0"/>
          <w:bCs w:val="0"/>
          <w:noProof w:val="0"/>
          <w:sz w:val="22"/>
          <w:szCs w:val="22"/>
          <w:lang w:val="en-US"/>
        </w:rPr>
      </w:pPr>
    </w:p>
    <w:tbl>
      <w:tblPr>
        <w:tblStyle w:val="GridTable5Dark-Accent1"/>
        <w:bidiVisual w:val="0"/>
        <w:tblW w:w="0" w:type="auto"/>
        <w:tblLayout w:type="fixed"/>
        <w:tblLook w:val="0620" w:firstRow="1" w:lastRow="0" w:firstColumn="0" w:lastColumn="0" w:noHBand="1" w:noVBand="1"/>
      </w:tblPr>
      <w:tblGrid>
        <w:gridCol w:w="1779"/>
        <w:gridCol w:w="1846"/>
        <w:gridCol w:w="1280"/>
        <w:gridCol w:w="2019"/>
        <w:gridCol w:w="1620"/>
      </w:tblGrid>
      <w:tr w:rsidR="1ED50CE0" w:rsidTr="1ED50CE0" w14:paraId="496DB353">
        <w:trPr>
          <w:trHeight w:val="300"/>
        </w:trPr>
        <w:tc>
          <w:tcPr>
            <w:cnfStyle w:val="000000000000" w:firstRow="0" w:lastRow="0" w:firstColumn="0" w:lastColumn="0" w:oddVBand="0" w:evenVBand="0" w:oddHBand="0" w:evenHBand="0" w:firstRowFirstColumn="0" w:firstRowLastColumn="0" w:lastRowFirstColumn="0" w:lastRowLastColumn="0"/>
            <w:tcW w:w="1779" w:type="dxa"/>
            <w:tcMar/>
          </w:tcPr>
          <w:p w:rsidR="1ED50CE0" w:rsidP="1ED50CE0" w:rsidRDefault="1ED50CE0" w14:paraId="50317E79" w14:textId="7144B85E">
            <w:pPr>
              <w:spacing w:before="0" w:beforeAutospacing="off" w:after="0" w:afterAutospacing="off"/>
              <w:jc w:val="center"/>
              <w:rPr>
                <w:rFonts w:ascii="Arial" w:hAnsi="Arial" w:eastAsia="Arial" w:cs="Arial"/>
                <w:b w:val="0"/>
                <w:bCs w:val="0"/>
                <w:sz w:val="22"/>
                <w:szCs w:val="22"/>
              </w:rPr>
            </w:pPr>
            <w:r w:rsidRPr="1ED50CE0" w:rsidR="1ED50CE0">
              <w:rPr>
                <w:rFonts w:ascii="Arial" w:hAnsi="Arial" w:eastAsia="Arial" w:cs="Arial"/>
                <w:b w:val="0"/>
                <w:bCs w:val="0"/>
                <w:sz w:val="22"/>
                <w:szCs w:val="22"/>
              </w:rPr>
              <w:t>Task</w:t>
            </w:r>
          </w:p>
        </w:tc>
        <w:tc>
          <w:tcPr>
            <w:cnfStyle w:val="000000000000" w:firstRow="0" w:lastRow="0" w:firstColumn="0" w:lastColumn="0" w:oddVBand="0" w:evenVBand="0" w:oddHBand="0" w:evenHBand="0" w:firstRowFirstColumn="0" w:firstRowLastColumn="0" w:lastRowFirstColumn="0" w:lastRowLastColumn="0"/>
            <w:tcW w:w="1846" w:type="dxa"/>
            <w:tcMar/>
          </w:tcPr>
          <w:p w:rsidR="1ED50CE0" w:rsidP="1ED50CE0" w:rsidRDefault="1ED50CE0" w14:paraId="36550EC5" w14:textId="3B975570">
            <w:pPr>
              <w:spacing w:before="0" w:beforeAutospacing="off" w:after="0" w:afterAutospacing="off"/>
              <w:jc w:val="center"/>
              <w:rPr>
                <w:rFonts w:ascii="Arial" w:hAnsi="Arial" w:eastAsia="Arial" w:cs="Arial"/>
                <w:b w:val="0"/>
                <w:bCs w:val="0"/>
                <w:sz w:val="22"/>
                <w:szCs w:val="22"/>
              </w:rPr>
            </w:pPr>
            <w:r w:rsidRPr="1ED50CE0" w:rsidR="1ED50CE0">
              <w:rPr>
                <w:rFonts w:ascii="Arial" w:hAnsi="Arial" w:eastAsia="Arial" w:cs="Arial"/>
                <w:b w:val="0"/>
                <w:bCs w:val="0"/>
                <w:sz w:val="22"/>
                <w:szCs w:val="22"/>
              </w:rPr>
              <w:t>Responsible</w:t>
            </w:r>
          </w:p>
        </w:tc>
        <w:tc>
          <w:tcPr>
            <w:cnfStyle w:val="000000000000" w:firstRow="0" w:lastRow="0" w:firstColumn="0" w:lastColumn="0" w:oddVBand="0" w:evenVBand="0" w:oddHBand="0" w:evenHBand="0" w:firstRowFirstColumn="0" w:firstRowLastColumn="0" w:lastRowFirstColumn="0" w:lastRowLastColumn="0"/>
            <w:tcW w:w="1280" w:type="dxa"/>
            <w:tcMar/>
          </w:tcPr>
          <w:p w:rsidR="1ED50CE0" w:rsidP="1ED50CE0" w:rsidRDefault="1ED50CE0" w14:paraId="0C420507" w14:textId="09065342">
            <w:pPr>
              <w:spacing w:before="0" w:beforeAutospacing="off" w:after="0" w:afterAutospacing="off"/>
              <w:jc w:val="center"/>
              <w:rPr>
                <w:rFonts w:ascii="Arial" w:hAnsi="Arial" w:eastAsia="Arial" w:cs="Arial"/>
                <w:b w:val="0"/>
                <w:bCs w:val="0"/>
                <w:sz w:val="22"/>
                <w:szCs w:val="22"/>
              </w:rPr>
            </w:pPr>
            <w:r w:rsidRPr="1ED50CE0" w:rsidR="1ED50CE0">
              <w:rPr>
                <w:rFonts w:ascii="Arial" w:hAnsi="Arial" w:eastAsia="Arial" w:cs="Arial"/>
                <w:b w:val="0"/>
                <w:bCs w:val="0"/>
                <w:sz w:val="22"/>
                <w:szCs w:val="22"/>
              </w:rPr>
              <w:t>Accountable</w:t>
            </w:r>
          </w:p>
        </w:tc>
        <w:tc>
          <w:tcPr>
            <w:cnfStyle w:val="000000000000" w:firstRow="0" w:lastRow="0" w:firstColumn="0" w:lastColumn="0" w:oddVBand="0" w:evenVBand="0" w:oddHBand="0" w:evenHBand="0" w:firstRowFirstColumn="0" w:firstRowLastColumn="0" w:lastRowFirstColumn="0" w:lastRowLastColumn="0"/>
            <w:tcW w:w="2019" w:type="dxa"/>
            <w:tcMar/>
          </w:tcPr>
          <w:p w:rsidR="1ED50CE0" w:rsidP="1ED50CE0" w:rsidRDefault="1ED50CE0" w14:paraId="2945D322" w14:textId="5390D312">
            <w:pPr>
              <w:spacing w:before="0" w:beforeAutospacing="off" w:after="0" w:afterAutospacing="off"/>
              <w:jc w:val="center"/>
              <w:rPr>
                <w:rFonts w:ascii="Arial" w:hAnsi="Arial" w:eastAsia="Arial" w:cs="Arial"/>
                <w:b w:val="0"/>
                <w:bCs w:val="0"/>
                <w:sz w:val="22"/>
                <w:szCs w:val="22"/>
              </w:rPr>
            </w:pPr>
            <w:r w:rsidRPr="1ED50CE0" w:rsidR="1ED50CE0">
              <w:rPr>
                <w:rFonts w:ascii="Arial" w:hAnsi="Arial" w:eastAsia="Arial" w:cs="Arial"/>
                <w:b w:val="0"/>
                <w:bCs w:val="0"/>
                <w:sz w:val="22"/>
                <w:szCs w:val="22"/>
              </w:rPr>
              <w:t>Consulted</w:t>
            </w:r>
          </w:p>
        </w:tc>
        <w:tc>
          <w:tcPr>
            <w:cnfStyle w:val="000000000000" w:firstRow="0" w:lastRow="0" w:firstColumn="0" w:lastColumn="0" w:oddVBand="0" w:evenVBand="0" w:oddHBand="0" w:evenHBand="0" w:firstRowFirstColumn="0" w:firstRowLastColumn="0" w:lastRowFirstColumn="0" w:lastRowLastColumn="0"/>
            <w:tcW w:w="1620" w:type="dxa"/>
            <w:tcMar/>
          </w:tcPr>
          <w:p w:rsidR="1ED50CE0" w:rsidP="1ED50CE0" w:rsidRDefault="1ED50CE0" w14:paraId="4CCF5651" w14:textId="22E99AE8">
            <w:pPr>
              <w:spacing w:before="0" w:beforeAutospacing="off" w:after="0" w:afterAutospacing="off"/>
              <w:jc w:val="center"/>
              <w:rPr>
                <w:rFonts w:ascii="Arial" w:hAnsi="Arial" w:eastAsia="Arial" w:cs="Arial"/>
                <w:b w:val="0"/>
                <w:bCs w:val="0"/>
                <w:sz w:val="22"/>
                <w:szCs w:val="22"/>
              </w:rPr>
            </w:pPr>
            <w:r w:rsidRPr="1ED50CE0" w:rsidR="1ED50CE0">
              <w:rPr>
                <w:rFonts w:ascii="Arial" w:hAnsi="Arial" w:eastAsia="Arial" w:cs="Arial"/>
                <w:b w:val="0"/>
                <w:bCs w:val="0"/>
                <w:sz w:val="22"/>
                <w:szCs w:val="22"/>
              </w:rPr>
              <w:t>Informed</w:t>
            </w:r>
          </w:p>
        </w:tc>
      </w:tr>
      <w:tr w:rsidR="1ED50CE0" w:rsidTr="1ED50CE0" w14:paraId="20F988C8">
        <w:trPr>
          <w:trHeight w:val="300"/>
        </w:trPr>
        <w:tc>
          <w:tcPr>
            <w:cnfStyle w:val="000000000000" w:firstRow="0" w:lastRow="0" w:firstColumn="0" w:lastColumn="0" w:oddVBand="0" w:evenVBand="0" w:oddHBand="0" w:evenHBand="0" w:firstRowFirstColumn="0" w:firstRowLastColumn="0" w:lastRowFirstColumn="0" w:lastRowLastColumn="0"/>
            <w:tcW w:w="1779" w:type="dxa"/>
            <w:tcMar/>
          </w:tcPr>
          <w:p w:rsidR="1ED50CE0" w:rsidP="1ED50CE0" w:rsidRDefault="1ED50CE0" w14:paraId="342B5EC5" w14:textId="07DD78C5">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Product Design</w:t>
            </w:r>
          </w:p>
        </w:tc>
        <w:tc>
          <w:tcPr>
            <w:cnfStyle w:val="000000000000" w:firstRow="0" w:lastRow="0" w:firstColumn="0" w:lastColumn="0" w:oddVBand="0" w:evenVBand="0" w:oddHBand="0" w:evenHBand="0" w:firstRowFirstColumn="0" w:firstRowLastColumn="0" w:lastRowFirstColumn="0" w:lastRowLastColumn="0"/>
            <w:tcW w:w="1846" w:type="dxa"/>
            <w:tcMar/>
          </w:tcPr>
          <w:p w:rsidR="1ED50CE0" w:rsidP="1ED50CE0" w:rsidRDefault="1ED50CE0" w14:paraId="295B87F3" w14:textId="324C68DC">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R&amp;D Team</w:t>
            </w:r>
          </w:p>
        </w:tc>
        <w:tc>
          <w:tcPr>
            <w:cnfStyle w:val="000000000000" w:firstRow="0" w:lastRow="0" w:firstColumn="0" w:lastColumn="0" w:oddVBand="0" w:evenVBand="0" w:oddHBand="0" w:evenHBand="0" w:firstRowFirstColumn="0" w:firstRowLastColumn="0" w:lastRowFirstColumn="0" w:lastRowLastColumn="0"/>
            <w:tcW w:w="1280" w:type="dxa"/>
            <w:tcMar/>
          </w:tcPr>
          <w:p w:rsidR="1ED50CE0" w:rsidP="1ED50CE0" w:rsidRDefault="1ED50CE0" w14:paraId="2D4286F9" w14:textId="0E668EE3">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CTO</w:t>
            </w:r>
          </w:p>
        </w:tc>
        <w:tc>
          <w:tcPr>
            <w:cnfStyle w:val="000000000000" w:firstRow="0" w:lastRow="0" w:firstColumn="0" w:lastColumn="0" w:oddVBand="0" w:evenVBand="0" w:oddHBand="0" w:evenHBand="0" w:firstRowFirstColumn="0" w:firstRowLastColumn="0" w:lastRowFirstColumn="0" w:lastRowLastColumn="0"/>
            <w:tcW w:w="2019" w:type="dxa"/>
            <w:tcMar/>
          </w:tcPr>
          <w:p w:rsidR="1ED50CE0" w:rsidP="1ED50CE0" w:rsidRDefault="1ED50CE0" w14:paraId="3CE66D93" w14:textId="319F34D2">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Healthcare Providers</w:t>
            </w:r>
          </w:p>
        </w:tc>
        <w:tc>
          <w:tcPr>
            <w:cnfStyle w:val="000000000000" w:firstRow="0" w:lastRow="0" w:firstColumn="0" w:lastColumn="0" w:oddVBand="0" w:evenVBand="0" w:oddHBand="0" w:evenHBand="0" w:firstRowFirstColumn="0" w:firstRowLastColumn="0" w:lastRowFirstColumn="0" w:lastRowLastColumn="0"/>
            <w:tcW w:w="1620" w:type="dxa"/>
            <w:tcMar/>
          </w:tcPr>
          <w:p w:rsidR="1ED50CE0" w:rsidP="1ED50CE0" w:rsidRDefault="1ED50CE0" w14:paraId="0C955B0C" w14:textId="6F60C273">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Consumers</w:t>
            </w:r>
          </w:p>
        </w:tc>
      </w:tr>
      <w:tr w:rsidR="1ED50CE0" w:rsidTr="1ED50CE0" w14:paraId="4A350247">
        <w:trPr>
          <w:trHeight w:val="300"/>
        </w:trPr>
        <w:tc>
          <w:tcPr>
            <w:cnfStyle w:val="000000000000" w:firstRow="0" w:lastRow="0" w:firstColumn="0" w:lastColumn="0" w:oddVBand="0" w:evenVBand="0" w:oddHBand="0" w:evenHBand="0" w:firstRowFirstColumn="0" w:firstRowLastColumn="0" w:lastRowFirstColumn="0" w:lastRowLastColumn="0"/>
            <w:tcW w:w="1779" w:type="dxa"/>
            <w:tcMar/>
          </w:tcPr>
          <w:p w:rsidR="1ED50CE0" w:rsidP="1ED50CE0" w:rsidRDefault="1ED50CE0" w14:paraId="4151F41B" w14:textId="7AF882AE">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Compliance</w:t>
            </w:r>
          </w:p>
        </w:tc>
        <w:tc>
          <w:tcPr>
            <w:cnfStyle w:val="000000000000" w:firstRow="0" w:lastRow="0" w:firstColumn="0" w:lastColumn="0" w:oddVBand="0" w:evenVBand="0" w:oddHBand="0" w:evenHBand="0" w:firstRowFirstColumn="0" w:firstRowLastColumn="0" w:lastRowFirstColumn="0" w:lastRowLastColumn="0"/>
            <w:tcW w:w="1846" w:type="dxa"/>
            <w:tcMar/>
          </w:tcPr>
          <w:p w:rsidR="1ED50CE0" w:rsidP="1ED50CE0" w:rsidRDefault="1ED50CE0" w14:paraId="52C2FB05" w14:textId="002C6B3C">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Regulatory Liaison</w:t>
            </w:r>
          </w:p>
        </w:tc>
        <w:tc>
          <w:tcPr>
            <w:cnfStyle w:val="000000000000" w:firstRow="0" w:lastRow="0" w:firstColumn="0" w:lastColumn="0" w:oddVBand="0" w:evenVBand="0" w:oddHBand="0" w:evenHBand="0" w:firstRowFirstColumn="0" w:firstRowLastColumn="0" w:lastRowFirstColumn="0" w:lastRowLastColumn="0"/>
            <w:tcW w:w="1280" w:type="dxa"/>
            <w:tcMar/>
          </w:tcPr>
          <w:p w:rsidR="1ED50CE0" w:rsidP="1ED50CE0" w:rsidRDefault="1ED50CE0" w14:paraId="66B2DE5A" w14:textId="409C81CB">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CEO</w:t>
            </w:r>
          </w:p>
        </w:tc>
        <w:tc>
          <w:tcPr>
            <w:cnfStyle w:val="000000000000" w:firstRow="0" w:lastRow="0" w:firstColumn="0" w:lastColumn="0" w:oddVBand="0" w:evenVBand="0" w:oddHBand="0" w:evenHBand="0" w:firstRowFirstColumn="0" w:firstRowLastColumn="0" w:lastRowFirstColumn="0" w:lastRowLastColumn="0"/>
            <w:tcW w:w="2019" w:type="dxa"/>
            <w:tcMar/>
          </w:tcPr>
          <w:p w:rsidR="1ED50CE0" w:rsidP="1ED50CE0" w:rsidRDefault="1ED50CE0" w14:paraId="1A662490" w14:textId="5B36DDC1">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MHRA/ICO</w:t>
            </w:r>
          </w:p>
        </w:tc>
        <w:tc>
          <w:tcPr>
            <w:cnfStyle w:val="000000000000" w:firstRow="0" w:lastRow="0" w:firstColumn="0" w:lastColumn="0" w:oddVBand="0" w:evenVBand="0" w:oddHBand="0" w:evenHBand="0" w:firstRowFirstColumn="0" w:firstRowLastColumn="0" w:lastRowFirstColumn="0" w:lastRowLastColumn="0"/>
            <w:tcW w:w="1620" w:type="dxa"/>
            <w:tcMar/>
          </w:tcPr>
          <w:p w:rsidR="1ED50CE0" w:rsidP="1ED50CE0" w:rsidRDefault="1ED50CE0" w14:paraId="12134D50" w14:textId="00AA8761">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Board</w:t>
            </w:r>
          </w:p>
        </w:tc>
      </w:tr>
      <w:tr w:rsidR="1ED50CE0" w:rsidTr="1ED50CE0" w14:paraId="5635E37A">
        <w:trPr>
          <w:trHeight w:val="300"/>
        </w:trPr>
        <w:tc>
          <w:tcPr>
            <w:cnfStyle w:val="000000000000" w:firstRow="0" w:lastRow="0" w:firstColumn="0" w:lastColumn="0" w:oddVBand="0" w:evenVBand="0" w:oddHBand="0" w:evenHBand="0" w:firstRowFirstColumn="0" w:firstRowLastColumn="0" w:lastRowFirstColumn="0" w:lastRowLastColumn="0"/>
            <w:tcW w:w="1779" w:type="dxa"/>
            <w:tcMar/>
          </w:tcPr>
          <w:p w:rsidR="1ED50CE0" w:rsidP="1ED50CE0" w:rsidRDefault="1ED50CE0" w14:paraId="5F37551F" w14:textId="0D396442">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Marketing Launch</w:t>
            </w:r>
          </w:p>
        </w:tc>
        <w:tc>
          <w:tcPr>
            <w:cnfStyle w:val="000000000000" w:firstRow="0" w:lastRow="0" w:firstColumn="0" w:lastColumn="0" w:oddVBand="0" w:evenVBand="0" w:oddHBand="0" w:evenHBand="0" w:firstRowFirstColumn="0" w:firstRowLastColumn="0" w:lastRowFirstColumn="0" w:lastRowLastColumn="0"/>
            <w:tcW w:w="1846" w:type="dxa"/>
            <w:tcMar/>
          </w:tcPr>
          <w:p w:rsidR="1ED50CE0" w:rsidP="1ED50CE0" w:rsidRDefault="1ED50CE0" w14:paraId="622D27C6" w14:textId="6845A35A">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Marketing Dept</w:t>
            </w:r>
          </w:p>
        </w:tc>
        <w:tc>
          <w:tcPr>
            <w:cnfStyle w:val="000000000000" w:firstRow="0" w:lastRow="0" w:firstColumn="0" w:lastColumn="0" w:oddVBand="0" w:evenVBand="0" w:oddHBand="0" w:evenHBand="0" w:firstRowFirstColumn="0" w:firstRowLastColumn="0" w:lastRowFirstColumn="0" w:lastRowLastColumn="0"/>
            <w:tcW w:w="1280" w:type="dxa"/>
            <w:tcMar/>
          </w:tcPr>
          <w:p w:rsidR="1ED50CE0" w:rsidP="1ED50CE0" w:rsidRDefault="1ED50CE0" w14:paraId="6F0A91A8" w14:textId="450BA759">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CMO</w:t>
            </w:r>
          </w:p>
        </w:tc>
        <w:tc>
          <w:tcPr>
            <w:cnfStyle w:val="000000000000" w:firstRow="0" w:lastRow="0" w:firstColumn="0" w:lastColumn="0" w:oddVBand="0" w:evenVBand="0" w:oddHBand="0" w:evenHBand="0" w:firstRowFirstColumn="0" w:firstRowLastColumn="0" w:lastRowFirstColumn="0" w:lastRowLastColumn="0"/>
            <w:tcW w:w="2019" w:type="dxa"/>
            <w:tcMar/>
          </w:tcPr>
          <w:p w:rsidR="1ED50CE0" w:rsidP="1ED50CE0" w:rsidRDefault="1ED50CE0" w14:paraId="6BB05C1E" w14:textId="133F3960">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Executive Team</w:t>
            </w:r>
          </w:p>
        </w:tc>
        <w:tc>
          <w:tcPr>
            <w:cnfStyle w:val="000000000000" w:firstRow="0" w:lastRow="0" w:firstColumn="0" w:lastColumn="0" w:oddVBand="0" w:evenVBand="0" w:oddHBand="0" w:evenHBand="0" w:firstRowFirstColumn="0" w:firstRowLastColumn="0" w:lastRowFirstColumn="0" w:lastRowLastColumn="0"/>
            <w:tcW w:w="1620" w:type="dxa"/>
            <w:tcMar/>
          </w:tcPr>
          <w:p w:rsidR="1ED50CE0" w:rsidP="1ED50CE0" w:rsidRDefault="1ED50CE0" w14:paraId="1CFFDDBB" w14:textId="3F3569E6">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Public</w:t>
            </w:r>
          </w:p>
        </w:tc>
      </w:tr>
      <w:tr w:rsidR="1ED50CE0" w:rsidTr="1ED50CE0" w14:paraId="195A480B">
        <w:trPr>
          <w:trHeight w:val="300"/>
        </w:trPr>
        <w:tc>
          <w:tcPr>
            <w:cnfStyle w:val="000000000000" w:firstRow="0" w:lastRow="0" w:firstColumn="0" w:lastColumn="0" w:oddVBand="0" w:evenVBand="0" w:oddHBand="0" w:evenHBand="0" w:firstRowFirstColumn="0" w:firstRowLastColumn="0" w:lastRowFirstColumn="0" w:lastRowLastColumn="0"/>
            <w:tcW w:w="1779" w:type="dxa"/>
            <w:tcMar/>
          </w:tcPr>
          <w:p w:rsidR="1ED50CE0" w:rsidP="1ED50CE0" w:rsidRDefault="1ED50CE0" w14:paraId="0B15C442" w14:textId="0CC49075">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Data Governance</w:t>
            </w:r>
          </w:p>
        </w:tc>
        <w:tc>
          <w:tcPr>
            <w:cnfStyle w:val="000000000000" w:firstRow="0" w:lastRow="0" w:firstColumn="0" w:lastColumn="0" w:oddVBand="0" w:evenVBand="0" w:oddHBand="0" w:evenHBand="0" w:firstRowFirstColumn="0" w:firstRowLastColumn="0" w:lastRowFirstColumn="0" w:lastRowLastColumn="0"/>
            <w:tcW w:w="1846" w:type="dxa"/>
            <w:tcMar/>
          </w:tcPr>
          <w:p w:rsidR="1ED50CE0" w:rsidP="1ED50CE0" w:rsidRDefault="1ED50CE0" w14:paraId="2099E833" w14:textId="14A183A1">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IT &amp; Security</w:t>
            </w:r>
          </w:p>
        </w:tc>
        <w:tc>
          <w:tcPr>
            <w:cnfStyle w:val="000000000000" w:firstRow="0" w:lastRow="0" w:firstColumn="0" w:lastColumn="0" w:oddVBand="0" w:evenVBand="0" w:oddHBand="0" w:evenHBand="0" w:firstRowFirstColumn="0" w:firstRowLastColumn="0" w:lastRowFirstColumn="0" w:lastRowLastColumn="0"/>
            <w:tcW w:w="1280" w:type="dxa"/>
            <w:tcMar/>
          </w:tcPr>
          <w:p w:rsidR="1ED50CE0" w:rsidP="1ED50CE0" w:rsidRDefault="1ED50CE0" w14:paraId="5C2188FF" w14:textId="292CC41E">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CIO</w:t>
            </w:r>
          </w:p>
        </w:tc>
        <w:tc>
          <w:tcPr>
            <w:cnfStyle w:val="000000000000" w:firstRow="0" w:lastRow="0" w:firstColumn="0" w:lastColumn="0" w:oddVBand="0" w:evenVBand="0" w:oddHBand="0" w:evenHBand="0" w:firstRowFirstColumn="0" w:firstRowLastColumn="0" w:lastRowFirstColumn="0" w:lastRowLastColumn="0"/>
            <w:tcW w:w="2019" w:type="dxa"/>
            <w:tcMar/>
          </w:tcPr>
          <w:p w:rsidR="1ED50CE0" w:rsidP="1ED50CE0" w:rsidRDefault="1ED50CE0" w14:paraId="4E6A5EC8" w14:textId="48FF7357">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ICO</w:t>
            </w:r>
          </w:p>
        </w:tc>
        <w:tc>
          <w:tcPr>
            <w:cnfStyle w:val="000000000000" w:firstRow="0" w:lastRow="0" w:firstColumn="0" w:lastColumn="0" w:oddVBand="0" w:evenVBand="0" w:oddHBand="0" w:evenHBand="0" w:firstRowFirstColumn="0" w:firstRowLastColumn="0" w:lastRowFirstColumn="0" w:lastRowLastColumn="0"/>
            <w:tcW w:w="1620" w:type="dxa"/>
            <w:tcMar/>
          </w:tcPr>
          <w:p w:rsidR="1ED50CE0" w:rsidP="1ED50CE0" w:rsidRDefault="1ED50CE0" w14:paraId="7DAF1E54" w14:textId="3C967F85">
            <w:pPr>
              <w:spacing w:before="0" w:beforeAutospacing="off" w:after="0" w:afterAutospacing="off"/>
              <w:rPr>
                <w:rFonts w:ascii="Arial" w:hAnsi="Arial" w:eastAsia="Arial" w:cs="Arial"/>
                <w:b w:val="0"/>
                <w:bCs w:val="0"/>
                <w:sz w:val="22"/>
                <w:szCs w:val="22"/>
              </w:rPr>
            </w:pPr>
            <w:r w:rsidRPr="1ED50CE0" w:rsidR="1ED50CE0">
              <w:rPr>
                <w:rFonts w:ascii="Arial" w:hAnsi="Arial" w:eastAsia="Arial" w:cs="Arial"/>
                <w:b w:val="0"/>
                <w:bCs w:val="0"/>
                <w:sz w:val="22"/>
                <w:szCs w:val="22"/>
              </w:rPr>
              <w:t>Users</w:t>
            </w:r>
          </w:p>
        </w:tc>
      </w:tr>
    </w:tbl>
    <w:p w:rsidR="1ED50CE0" w:rsidP="1ED50CE0" w:rsidRDefault="1ED50CE0" w14:paraId="6DD8F1A5" w14:textId="0593ACD4">
      <w:pPr>
        <w:spacing w:before="240" w:beforeAutospacing="off" w:after="240" w:afterAutospacing="off"/>
        <w:rPr>
          <w:rFonts w:ascii="Arial" w:hAnsi="Arial" w:eastAsia="Arial" w:cs="Arial"/>
          <w:b w:val="0"/>
          <w:bCs w:val="0"/>
          <w:noProof w:val="0"/>
          <w:sz w:val="22"/>
          <w:szCs w:val="22"/>
          <w:lang w:val="en-US"/>
        </w:rPr>
      </w:pPr>
    </w:p>
    <w:p w:rsidR="398A4B6F" w:rsidP="1ED50CE0" w:rsidRDefault="398A4B6F" w14:paraId="1ECA48AC" w14:textId="6C8405B8">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 stakeholder groups.</w:t>
      </w:r>
    </w:p>
    <w:p w:rsidR="398A4B6F" w:rsidP="1ED50CE0" w:rsidRDefault="398A4B6F" w14:paraId="5BF9D968" w14:textId="72250694">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Stakeholder Engagement Plan</w:t>
      </w:r>
    </w:p>
    <w:p w:rsidR="398A4B6F" w:rsidP="1ED50CE0" w:rsidRDefault="398A4B6F" w14:paraId="0EE03DC2" w14:textId="3E9F2C81">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A comprehensive </w:t>
      </w:r>
      <w:r w:rsidRPr="1ED50CE0" w:rsidR="398A4B6F">
        <w:rPr>
          <w:rFonts w:ascii="Arial" w:hAnsi="Arial" w:eastAsia="Arial" w:cs="Arial"/>
          <w:b w:val="0"/>
          <w:bCs w:val="0"/>
          <w:noProof w:val="0"/>
          <w:sz w:val="22"/>
          <w:szCs w:val="22"/>
          <w:lang w:val="en-US"/>
        </w:rPr>
        <w:t>Stakeholder Engagement Plan</w:t>
      </w:r>
      <w:r w:rsidRPr="1ED50CE0" w:rsidR="398A4B6F">
        <w:rPr>
          <w:rFonts w:ascii="Arial" w:hAnsi="Arial" w:eastAsia="Arial" w:cs="Arial"/>
          <w:b w:val="0"/>
          <w:bCs w:val="0"/>
          <w:noProof w:val="0"/>
          <w:sz w:val="22"/>
          <w:szCs w:val="22"/>
          <w:lang w:val="en-US"/>
        </w:rPr>
        <w:t xml:space="preserve"> forms the foundation of </w:t>
      </w:r>
      <w:r w:rsidRPr="1ED50CE0" w:rsidR="398A4B6F">
        <w:rPr>
          <w:rFonts w:ascii="Arial" w:hAnsi="Arial" w:eastAsia="Arial" w:cs="Arial"/>
          <w:b w:val="0"/>
          <w:bCs w:val="0"/>
          <w:noProof w:val="0"/>
          <w:sz w:val="22"/>
          <w:szCs w:val="22"/>
          <w:lang w:val="en-US"/>
        </w:rPr>
        <w:t>BioSync’s</w:t>
      </w:r>
      <w:r w:rsidRPr="1ED50CE0" w:rsidR="398A4B6F">
        <w:rPr>
          <w:rFonts w:ascii="Arial" w:hAnsi="Arial" w:eastAsia="Arial" w:cs="Arial"/>
          <w:b w:val="0"/>
          <w:bCs w:val="0"/>
          <w:noProof w:val="0"/>
          <w:sz w:val="22"/>
          <w:szCs w:val="22"/>
          <w:lang w:val="en-US"/>
        </w:rPr>
        <w:t xml:space="preserve"> approach. It provides a structured process for </w:t>
      </w:r>
      <w:r w:rsidRPr="1ED50CE0" w:rsidR="398A4B6F">
        <w:rPr>
          <w:rFonts w:ascii="Arial" w:hAnsi="Arial" w:eastAsia="Arial" w:cs="Arial"/>
          <w:b w:val="0"/>
          <w:bCs w:val="0"/>
          <w:noProof w:val="0"/>
          <w:sz w:val="22"/>
          <w:szCs w:val="22"/>
          <w:lang w:val="en-US"/>
        </w:rPr>
        <w:t>identifying</w:t>
      </w:r>
      <w:r w:rsidRPr="1ED50CE0" w:rsidR="398A4B6F">
        <w:rPr>
          <w:rFonts w:ascii="Arial" w:hAnsi="Arial" w:eastAsia="Arial" w:cs="Arial"/>
          <w:b w:val="0"/>
          <w:bCs w:val="0"/>
          <w:noProof w:val="0"/>
          <w:sz w:val="22"/>
          <w:szCs w:val="22"/>
          <w:lang w:val="en-US"/>
        </w:rPr>
        <w:t xml:space="preserve">, </w:t>
      </w:r>
      <w:r w:rsidRPr="1ED50CE0" w:rsidR="398A4B6F">
        <w:rPr>
          <w:rFonts w:ascii="Arial" w:hAnsi="Arial" w:eastAsia="Arial" w:cs="Arial"/>
          <w:b w:val="0"/>
          <w:bCs w:val="0"/>
          <w:noProof w:val="0"/>
          <w:sz w:val="22"/>
          <w:szCs w:val="22"/>
          <w:lang w:val="en-US"/>
        </w:rPr>
        <w:t>analysing</w:t>
      </w:r>
      <w:r w:rsidRPr="1ED50CE0" w:rsidR="398A4B6F">
        <w:rPr>
          <w:rFonts w:ascii="Arial" w:hAnsi="Arial" w:eastAsia="Arial" w:cs="Arial"/>
          <w:b w:val="0"/>
          <w:bCs w:val="0"/>
          <w:noProof w:val="0"/>
          <w:sz w:val="22"/>
          <w:szCs w:val="22"/>
          <w:lang w:val="en-US"/>
        </w:rPr>
        <w:t xml:space="preserve">, and communicating with stakeholders throughout the project lifecycle. This plan promotes inclusivity, transparency, and mutual trust while ensuring that each stakeholder’s needs are considered. It aligns closely with </w:t>
      </w:r>
      <w:r w:rsidRPr="1ED50CE0" w:rsidR="398A4B6F">
        <w:rPr>
          <w:rFonts w:ascii="Arial" w:hAnsi="Arial" w:eastAsia="Arial" w:cs="Arial"/>
          <w:b w:val="0"/>
          <w:bCs w:val="0"/>
          <w:noProof w:val="0"/>
          <w:sz w:val="22"/>
          <w:szCs w:val="22"/>
          <w:lang w:val="en-US"/>
        </w:rPr>
        <w:t>Freeman’s (1984) Stakeholder Theory</w:t>
      </w:r>
      <w:r w:rsidRPr="1ED50CE0" w:rsidR="398A4B6F">
        <w:rPr>
          <w:rFonts w:ascii="Arial" w:hAnsi="Arial" w:eastAsia="Arial" w:cs="Arial"/>
          <w:b w:val="0"/>
          <w:bCs w:val="0"/>
          <w:noProof w:val="0"/>
          <w:sz w:val="22"/>
          <w:szCs w:val="22"/>
          <w:lang w:val="en-US"/>
        </w:rPr>
        <w:t xml:space="preserve">, which asserts that </w:t>
      </w:r>
      <w:r w:rsidRPr="1ED50CE0" w:rsidR="398A4B6F">
        <w:rPr>
          <w:rFonts w:ascii="Arial" w:hAnsi="Arial" w:eastAsia="Arial" w:cs="Arial"/>
          <w:b w:val="0"/>
          <w:bCs w:val="0"/>
          <w:noProof w:val="0"/>
          <w:sz w:val="22"/>
          <w:szCs w:val="22"/>
          <w:lang w:val="en-US"/>
        </w:rPr>
        <w:t>organisational</w:t>
      </w:r>
      <w:r w:rsidRPr="1ED50CE0" w:rsidR="398A4B6F">
        <w:rPr>
          <w:rFonts w:ascii="Arial" w:hAnsi="Arial" w:eastAsia="Arial" w:cs="Arial"/>
          <w:b w:val="0"/>
          <w:bCs w:val="0"/>
          <w:noProof w:val="0"/>
          <w:sz w:val="22"/>
          <w:szCs w:val="22"/>
          <w:lang w:val="en-US"/>
        </w:rPr>
        <w:t xml:space="preserve"> success depends on creating value for all involved parties rather than </w:t>
      </w:r>
      <w:r w:rsidRPr="1ED50CE0" w:rsidR="398A4B6F">
        <w:rPr>
          <w:rFonts w:ascii="Arial" w:hAnsi="Arial" w:eastAsia="Arial" w:cs="Arial"/>
          <w:b w:val="0"/>
          <w:bCs w:val="0"/>
          <w:noProof w:val="0"/>
          <w:sz w:val="22"/>
          <w:szCs w:val="22"/>
          <w:lang w:val="en-US"/>
        </w:rPr>
        <w:t>prioritising</w:t>
      </w:r>
      <w:r w:rsidRPr="1ED50CE0" w:rsidR="398A4B6F">
        <w:rPr>
          <w:rFonts w:ascii="Arial" w:hAnsi="Arial" w:eastAsia="Arial" w:cs="Arial"/>
          <w:b w:val="0"/>
          <w:bCs w:val="0"/>
          <w:noProof w:val="0"/>
          <w:sz w:val="22"/>
          <w:szCs w:val="22"/>
          <w:lang w:val="en-US"/>
        </w:rPr>
        <w:t xml:space="preserve"> shareholders alone. For </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this means </w:t>
      </w:r>
      <w:r w:rsidRPr="1ED50CE0" w:rsidR="398A4B6F">
        <w:rPr>
          <w:rFonts w:ascii="Arial" w:hAnsi="Arial" w:eastAsia="Arial" w:cs="Arial"/>
          <w:b w:val="0"/>
          <w:bCs w:val="0"/>
          <w:noProof w:val="0"/>
          <w:sz w:val="22"/>
          <w:szCs w:val="22"/>
          <w:lang w:val="en-US"/>
        </w:rPr>
        <w:t>recognising</w:t>
      </w:r>
      <w:r w:rsidRPr="1ED50CE0" w:rsidR="398A4B6F">
        <w:rPr>
          <w:rFonts w:ascii="Arial" w:hAnsi="Arial" w:eastAsia="Arial" w:cs="Arial"/>
          <w:b w:val="0"/>
          <w:bCs w:val="0"/>
          <w:noProof w:val="0"/>
          <w:sz w:val="22"/>
          <w:szCs w:val="22"/>
          <w:lang w:val="en-US"/>
        </w:rPr>
        <w:t xml:space="preserve"> regulators, healthcare providers, consumers, and partners as key contributors to innovation and ethical performance.</w:t>
      </w:r>
    </w:p>
    <w:p w:rsidR="398A4B6F" w:rsidP="1ED50CE0" w:rsidRDefault="398A4B6F" w14:paraId="248A9744" w14:textId="5CD9CD31">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The plan includes mechanisms such as stakeholder mapping, feedback loops, and progress reviews to </w:t>
      </w:r>
      <w:r w:rsidRPr="1ED50CE0" w:rsidR="398A4B6F">
        <w:rPr>
          <w:rFonts w:ascii="Arial" w:hAnsi="Arial" w:eastAsia="Arial" w:cs="Arial"/>
          <w:b w:val="0"/>
          <w:bCs w:val="0"/>
          <w:noProof w:val="0"/>
          <w:sz w:val="22"/>
          <w:szCs w:val="22"/>
          <w:lang w:val="en-US"/>
        </w:rPr>
        <w:t>maintain</w:t>
      </w:r>
      <w:r w:rsidRPr="1ED50CE0" w:rsidR="398A4B6F">
        <w:rPr>
          <w:rFonts w:ascii="Arial" w:hAnsi="Arial" w:eastAsia="Arial" w:cs="Arial"/>
          <w:b w:val="0"/>
          <w:bCs w:val="0"/>
          <w:noProof w:val="0"/>
          <w:sz w:val="22"/>
          <w:szCs w:val="22"/>
          <w:lang w:val="en-US"/>
        </w:rPr>
        <w:t xml:space="preserve"> consistent engagement. Through regular meetings, reports, and collaborative sessions, </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ensures that stakeholder input directly informs product design, regulatory compliance, and marketing strategies.</w:t>
      </w:r>
    </w:p>
    <w:p w:rsidR="398A4B6F" w:rsidP="1ED50CE0" w:rsidRDefault="398A4B6F" w14:paraId="455C15F4" w14:textId="2AB40B91">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Mendelow’s Matrix</w:t>
      </w:r>
    </w:p>
    <w:p w:rsidR="398A4B6F" w:rsidP="1ED50CE0" w:rsidRDefault="398A4B6F" w14:paraId="57CE8708" w14:textId="479CF7B8">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applies </w:t>
      </w:r>
      <w:r w:rsidRPr="1ED50CE0" w:rsidR="398A4B6F">
        <w:rPr>
          <w:rFonts w:ascii="Arial" w:hAnsi="Arial" w:eastAsia="Arial" w:cs="Arial"/>
          <w:b w:val="0"/>
          <w:bCs w:val="0"/>
          <w:noProof w:val="0"/>
          <w:sz w:val="22"/>
          <w:szCs w:val="22"/>
          <w:lang w:val="en-US"/>
        </w:rPr>
        <w:t>Mendelow’s Power–Interest Matrix</w:t>
      </w:r>
      <w:r w:rsidRPr="1ED50CE0" w:rsidR="398A4B6F">
        <w:rPr>
          <w:rFonts w:ascii="Arial" w:hAnsi="Arial" w:eastAsia="Arial" w:cs="Arial"/>
          <w:b w:val="0"/>
          <w:bCs w:val="0"/>
          <w:noProof w:val="0"/>
          <w:sz w:val="22"/>
          <w:szCs w:val="22"/>
          <w:lang w:val="en-US"/>
        </w:rPr>
        <w:t xml:space="preserve"> to </w:t>
      </w:r>
      <w:r w:rsidRPr="1ED50CE0" w:rsidR="398A4B6F">
        <w:rPr>
          <w:rFonts w:ascii="Arial" w:hAnsi="Arial" w:eastAsia="Arial" w:cs="Arial"/>
          <w:b w:val="0"/>
          <w:bCs w:val="0"/>
          <w:noProof w:val="0"/>
          <w:sz w:val="22"/>
          <w:szCs w:val="22"/>
          <w:lang w:val="en-US"/>
        </w:rPr>
        <w:t>categorise</w:t>
      </w:r>
      <w:r w:rsidRPr="1ED50CE0" w:rsidR="398A4B6F">
        <w:rPr>
          <w:rFonts w:ascii="Arial" w:hAnsi="Arial" w:eastAsia="Arial" w:cs="Arial"/>
          <w:b w:val="0"/>
          <w:bCs w:val="0"/>
          <w:noProof w:val="0"/>
          <w:sz w:val="22"/>
          <w:szCs w:val="22"/>
          <w:lang w:val="en-US"/>
        </w:rPr>
        <w:t xml:space="preserve"> stakeholders based on their influence and level of engagement interest. High-power, high-interest stakeholders—such as the executive leadership team, regulators, and R&amp;D leads—</w:t>
      </w:r>
      <w:r w:rsidRPr="1ED50CE0" w:rsidR="398A4B6F">
        <w:rPr>
          <w:rFonts w:ascii="Arial" w:hAnsi="Arial" w:eastAsia="Arial" w:cs="Arial"/>
          <w:b w:val="0"/>
          <w:bCs w:val="0"/>
          <w:noProof w:val="0"/>
          <w:sz w:val="22"/>
          <w:szCs w:val="22"/>
          <w:lang w:val="en-US"/>
        </w:rPr>
        <w:t>require</w:t>
      </w:r>
      <w:r w:rsidRPr="1ED50CE0" w:rsidR="398A4B6F">
        <w:rPr>
          <w:rFonts w:ascii="Arial" w:hAnsi="Arial" w:eastAsia="Arial" w:cs="Arial"/>
          <w:b w:val="0"/>
          <w:bCs w:val="0"/>
          <w:noProof w:val="0"/>
          <w:sz w:val="22"/>
          <w:szCs w:val="22"/>
          <w:lang w:val="en-US"/>
        </w:rPr>
        <w:t xml:space="preserve"> frequent consultation and co-decision-making. They are invited to strategic briefings and risk assessment sessions to ensure shared ownership of outcomes.</w:t>
      </w:r>
      <w:r>
        <w:br/>
      </w:r>
      <w:r w:rsidRPr="1ED50CE0" w:rsidR="398A4B6F">
        <w:rPr>
          <w:rFonts w:ascii="Arial" w:hAnsi="Arial" w:eastAsia="Arial" w:cs="Arial"/>
          <w:b w:val="0"/>
          <w:bCs w:val="0"/>
          <w:noProof w:val="0"/>
          <w:sz w:val="22"/>
          <w:szCs w:val="22"/>
          <w:lang w:val="en-US"/>
        </w:rPr>
        <w:t xml:space="preserve"> Stakeholders with high power but lower interest, such as insurers and environmental agencies, receive concise periodic updates to keep them informed without overwhelming them. Meanwhile, consumers and healthcare providers, who </w:t>
      </w:r>
      <w:r w:rsidRPr="1ED50CE0" w:rsidR="398A4B6F">
        <w:rPr>
          <w:rFonts w:ascii="Arial" w:hAnsi="Arial" w:eastAsia="Arial" w:cs="Arial"/>
          <w:b w:val="0"/>
          <w:bCs w:val="0"/>
          <w:noProof w:val="0"/>
          <w:sz w:val="22"/>
          <w:szCs w:val="22"/>
          <w:lang w:val="en-US"/>
        </w:rPr>
        <w:t>possess</w:t>
      </w:r>
      <w:r w:rsidRPr="1ED50CE0" w:rsidR="398A4B6F">
        <w:rPr>
          <w:rFonts w:ascii="Arial" w:hAnsi="Arial" w:eastAsia="Arial" w:cs="Arial"/>
          <w:b w:val="0"/>
          <w:bCs w:val="0"/>
          <w:noProof w:val="0"/>
          <w:sz w:val="22"/>
          <w:szCs w:val="22"/>
          <w:lang w:val="en-US"/>
        </w:rPr>
        <w:t xml:space="preserve"> lower power but high interest, are engaged through surveys, pilot </w:t>
      </w:r>
      <w:r w:rsidRPr="1ED50CE0" w:rsidR="398A4B6F">
        <w:rPr>
          <w:rFonts w:ascii="Arial" w:hAnsi="Arial" w:eastAsia="Arial" w:cs="Arial"/>
          <w:b w:val="0"/>
          <w:bCs w:val="0"/>
          <w:noProof w:val="0"/>
          <w:sz w:val="22"/>
          <w:szCs w:val="22"/>
          <w:lang w:val="en-US"/>
        </w:rPr>
        <w:t>programmes</w:t>
      </w:r>
      <w:r w:rsidRPr="1ED50CE0" w:rsidR="398A4B6F">
        <w:rPr>
          <w:rFonts w:ascii="Arial" w:hAnsi="Arial" w:eastAsia="Arial" w:cs="Arial"/>
          <w:b w:val="0"/>
          <w:bCs w:val="0"/>
          <w:noProof w:val="0"/>
          <w:sz w:val="22"/>
          <w:szCs w:val="22"/>
          <w:lang w:val="en-US"/>
        </w:rPr>
        <w:t>, and educational campaigns that encourage participative feedback.</w:t>
      </w:r>
    </w:p>
    <w:p w:rsidR="398A4B6F" w:rsidP="1ED50CE0" w:rsidRDefault="398A4B6F" w14:paraId="49C56F73" w14:textId="64FE3932">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RACI Matrix</w:t>
      </w:r>
    </w:p>
    <w:p w:rsidR="398A4B6F" w:rsidP="1ED50CE0" w:rsidRDefault="398A4B6F" w14:paraId="68C2F12C" w14:textId="791C6150">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The </w:t>
      </w:r>
      <w:r w:rsidRPr="1ED50CE0" w:rsidR="398A4B6F">
        <w:rPr>
          <w:rFonts w:ascii="Arial" w:hAnsi="Arial" w:eastAsia="Arial" w:cs="Arial"/>
          <w:b w:val="0"/>
          <w:bCs w:val="0"/>
          <w:noProof w:val="0"/>
          <w:sz w:val="22"/>
          <w:szCs w:val="22"/>
          <w:lang w:val="en-US"/>
        </w:rPr>
        <w:t>RACI (Responsible, Accountable, Consulted, Informed)</w:t>
      </w:r>
      <w:r w:rsidRPr="1ED50CE0" w:rsidR="398A4B6F">
        <w:rPr>
          <w:rFonts w:ascii="Arial" w:hAnsi="Arial" w:eastAsia="Arial" w:cs="Arial"/>
          <w:b w:val="0"/>
          <w:bCs w:val="0"/>
          <w:noProof w:val="0"/>
          <w:sz w:val="22"/>
          <w:szCs w:val="22"/>
          <w:lang w:val="en-US"/>
        </w:rPr>
        <w:t xml:space="preserve"> matrix further enhances project clarity by defining specific roles and responsibilities. The R&amp;D team </w:t>
      </w:r>
      <w:r w:rsidRPr="1ED50CE0" w:rsidR="398A4B6F">
        <w:rPr>
          <w:rFonts w:ascii="Arial" w:hAnsi="Arial" w:eastAsia="Arial" w:cs="Arial"/>
          <w:b w:val="0"/>
          <w:bCs w:val="0"/>
          <w:noProof w:val="0"/>
          <w:sz w:val="22"/>
          <w:szCs w:val="22"/>
          <w:lang w:val="en-US"/>
        </w:rPr>
        <w:t xml:space="preserve">is </w:t>
      </w:r>
      <w:r w:rsidRPr="1ED50CE0" w:rsidR="398A4B6F">
        <w:rPr>
          <w:rFonts w:ascii="Arial" w:hAnsi="Arial" w:eastAsia="Arial" w:cs="Arial"/>
          <w:b w:val="0"/>
          <w:bCs w:val="0"/>
          <w:noProof w:val="0"/>
          <w:sz w:val="22"/>
          <w:szCs w:val="22"/>
          <w:lang w:val="en-US"/>
        </w:rPr>
        <w:t>responsible</w:t>
      </w:r>
      <w:r w:rsidRPr="1ED50CE0" w:rsidR="398A4B6F">
        <w:rPr>
          <w:rFonts w:ascii="Arial" w:hAnsi="Arial" w:eastAsia="Arial" w:cs="Arial"/>
          <w:b w:val="0"/>
          <w:bCs w:val="0"/>
          <w:noProof w:val="0"/>
          <w:sz w:val="22"/>
          <w:szCs w:val="22"/>
          <w:lang w:val="en-US"/>
        </w:rPr>
        <w:t xml:space="preserve"> for</w:t>
      </w:r>
      <w:r w:rsidRPr="1ED50CE0" w:rsidR="398A4B6F">
        <w:rPr>
          <w:rFonts w:ascii="Arial" w:hAnsi="Arial" w:eastAsia="Arial" w:cs="Arial"/>
          <w:b w:val="0"/>
          <w:bCs w:val="0"/>
          <w:noProof w:val="0"/>
          <w:sz w:val="22"/>
          <w:szCs w:val="22"/>
          <w:lang w:val="en-US"/>
        </w:rPr>
        <w:t xml:space="preserve"> device design and functionality, while executive leadership </w:t>
      </w:r>
      <w:r w:rsidRPr="1ED50CE0" w:rsidR="398A4B6F">
        <w:rPr>
          <w:rFonts w:ascii="Arial" w:hAnsi="Arial" w:eastAsia="Arial" w:cs="Arial"/>
          <w:b w:val="0"/>
          <w:bCs w:val="0"/>
          <w:noProof w:val="0"/>
          <w:sz w:val="22"/>
          <w:szCs w:val="22"/>
          <w:lang w:val="en-US"/>
        </w:rPr>
        <w:t>remains</w:t>
      </w:r>
      <w:r w:rsidRPr="1ED50CE0" w:rsidR="398A4B6F">
        <w:rPr>
          <w:rFonts w:ascii="Arial" w:hAnsi="Arial" w:eastAsia="Arial" w:cs="Arial"/>
          <w:b w:val="0"/>
          <w:bCs w:val="0"/>
          <w:noProof w:val="0"/>
          <w:sz w:val="22"/>
          <w:szCs w:val="22"/>
          <w:lang w:val="en-US"/>
        </w:rPr>
        <w:t xml:space="preserve"> </w:t>
      </w:r>
      <w:r w:rsidRPr="1ED50CE0" w:rsidR="398A4B6F">
        <w:rPr>
          <w:rFonts w:ascii="Arial" w:hAnsi="Arial" w:eastAsia="Arial" w:cs="Arial"/>
          <w:b w:val="0"/>
          <w:bCs w:val="0"/>
          <w:noProof w:val="0"/>
          <w:sz w:val="22"/>
          <w:szCs w:val="22"/>
          <w:lang w:val="en-US"/>
        </w:rPr>
        <w:t>accountable</w:t>
      </w:r>
      <w:r w:rsidRPr="1ED50CE0" w:rsidR="398A4B6F">
        <w:rPr>
          <w:rFonts w:ascii="Arial" w:hAnsi="Arial" w:eastAsia="Arial" w:cs="Arial"/>
          <w:b w:val="0"/>
          <w:bCs w:val="0"/>
          <w:noProof w:val="0"/>
          <w:sz w:val="22"/>
          <w:szCs w:val="22"/>
          <w:lang w:val="en-US"/>
        </w:rPr>
        <w:t xml:space="preserve"> for strategic and financial outcomes. Regulators and healthcare providers are </w:t>
      </w:r>
      <w:r w:rsidRPr="1ED50CE0" w:rsidR="398A4B6F">
        <w:rPr>
          <w:rFonts w:ascii="Arial" w:hAnsi="Arial" w:eastAsia="Arial" w:cs="Arial"/>
          <w:b w:val="0"/>
          <w:bCs w:val="0"/>
          <w:noProof w:val="0"/>
          <w:sz w:val="22"/>
          <w:szCs w:val="22"/>
          <w:lang w:val="en-US"/>
        </w:rPr>
        <w:t>consulted</w:t>
      </w:r>
      <w:r w:rsidRPr="1ED50CE0" w:rsidR="398A4B6F">
        <w:rPr>
          <w:rFonts w:ascii="Arial" w:hAnsi="Arial" w:eastAsia="Arial" w:cs="Arial"/>
          <w:b w:val="0"/>
          <w:bCs w:val="0"/>
          <w:noProof w:val="0"/>
          <w:sz w:val="22"/>
          <w:szCs w:val="22"/>
          <w:lang w:val="en-US"/>
        </w:rPr>
        <w:t xml:space="preserve"> during validation and compliance processes, ensuring that all standards are met. Consumers and technology partners are </w:t>
      </w:r>
      <w:r w:rsidRPr="1ED50CE0" w:rsidR="398A4B6F">
        <w:rPr>
          <w:rFonts w:ascii="Arial" w:hAnsi="Arial" w:eastAsia="Arial" w:cs="Arial"/>
          <w:b w:val="0"/>
          <w:bCs w:val="0"/>
          <w:noProof w:val="0"/>
          <w:sz w:val="22"/>
          <w:szCs w:val="22"/>
          <w:lang w:val="en-US"/>
        </w:rPr>
        <w:t>informed</w:t>
      </w:r>
      <w:r w:rsidRPr="1ED50CE0" w:rsidR="398A4B6F">
        <w:rPr>
          <w:rFonts w:ascii="Arial" w:hAnsi="Arial" w:eastAsia="Arial" w:cs="Arial"/>
          <w:b w:val="0"/>
          <w:bCs w:val="0"/>
          <w:noProof w:val="0"/>
          <w:sz w:val="22"/>
          <w:szCs w:val="22"/>
          <w:lang w:val="en-US"/>
        </w:rPr>
        <w:t xml:space="preserve"> about updates and progress through transparent communication channels.</w:t>
      </w:r>
      <w:r>
        <w:br/>
      </w:r>
      <w:r w:rsidRPr="1ED50CE0" w:rsidR="398A4B6F">
        <w:rPr>
          <w:rFonts w:ascii="Arial" w:hAnsi="Arial" w:eastAsia="Arial" w:cs="Arial"/>
          <w:b w:val="0"/>
          <w:bCs w:val="0"/>
          <w:noProof w:val="0"/>
          <w:sz w:val="22"/>
          <w:szCs w:val="22"/>
          <w:lang w:val="en-US"/>
        </w:rPr>
        <w:t xml:space="preserve"> This framework reduces overlap, prevents confusion, and fosters efficiency by ensuring that every task has a clearly designated owner and decision authority.</w:t>
      </w:r>
    </w:p>
    <w:p w:rsidR="398A4B6F" w:rsidP="1ED50CE0" w:rsidRDefault="398A4B6F" w14:paraId="6170D45B" w14:textId="37387D17">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Communication Plan</w:t>
      </w:r>
    </w:p>
    <w:p w:rsidR="398A4B6F" w:rsidP="1ED50CE0" w:rsidRDefault="398A4B6F" w14:paraId="0119E92F" w14:textId="12B6796E">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An effective </w:t>
      </w:r>
      <w:r w:rsidRPr="1ED50CE0" w:rsidR="398A4B6F">
        <w:rPr>
          <w:rFonts w:ascii="Arial" w:hAnsi="Arial" w:eastAsia="Arial" w:cs="Arial"/>
          <w:b w:val="0"/>
          <w:bCs w:val="0"/>
          <w:noProof w:val="0"/>
          <w:sz w:val="22"/>
          <w:szCs w:val="22"/>
          <w:lang w:val="en-US"/>
        </w:rPr>
        <w:t>communication plan</w:t>
      </w:r>
      <w:r w:rsidRPr="1ED50CE0" w:rsidR="398A4B6F">
        <w:rPr>
          <w:rFonts w:ascii="Arial" w:hAnsi="Arial" w:eastAsia="Arial" w:cs="Arial"/>
          <w:b w:val="0"/>
          <w:bCs w:val="0"/>
          <w:noProof w:val="0"/>
          <w:sz w:val="22"/>
          <w:szCs w:val="22"/>
          <w:lang w:val="en-US"/>
        </w:rPr>
        <w:t xml:space="preserve"> ensures that information flows consistently and accurately among stakeholders. </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employs a combination of digital platforms—such as Microsoft Teams, Slack, and secure cloud dashboards—to share project milestones and performance data in real time. Regular newsletters, stakeholder meetings, and co-creation workshops foster collaboration, ensuring that feedback is captured and acted upon quickly. Transparent communication not only supports accountability but also strengthens stakeholder confidence in </w:t>
      </w:r>
      <w:r w:rsidRPr="1ED50CE0" w:rsidR="398A4B6F">
        <w:rPr>
          <w:rFonts w:ascii="Arial" w:hAnsi="Arial" w:eastAsia="Arial" w:cs="Arial"/>
          <w:b w:val="0"/>
          <w:bCs w:val="0"/>
          <w:noProof w:val="0"/>
          <w:sz w:val="22"/>
          <w:szCs w:val="22"/>
          <w:lang w:val="en-US"/>
        </w:rPr>
        <w:t>BioSync’s</w:t>
      </w:r>
      <w:r w:rsidRPr="1ED50CE0" w:rsidR="398A4B6F">
        <w:rPr>
          <w:rFonts w:ascii="Arial" w:hAnsi="Arial" w:eastAsia="Arial" w:cs="Arial"/>
          <w:b w:val="0"/>
          <w:bCs w:val="0"/>
          <w:noProof w:val="0"/>
          <w:sz w:val="22"/>
          <w:szCs w:val="22"/>
          <w:lang w:val="en-US"/>
        </w:rPr>
        <w:t xml:space="preserve"> ethical and operational integrity.</w:t>
      </w:r>
    </w:p>
    <w:p w:rsidR="398A4B6F" w:rsidP="1ED50CE0" w:rsidRDefault="398A4B6F" w14:paraId="46D419C0" w14:textId="243975F2">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Stakeholder Engagement Ladder (Arnstein, 1969)</w:t>
      </w:r>
    </w:p>
    <w:p w:rsidR="398A4B6F" w:rsidP="1ED50CE0" w:rsidRDefault="398A4B6F" w14:paraId="7B658F74" w14:textId="1EACE98F">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 xml:space="preserve">To deepen collaboration, </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uses </w:t>
      </w:r>
      <w:r w:rsidRPr="1ED50CE0" w:rsidR="398A4B6F">
        <w:rPr>
          <w:rFonts w:ascii="Arial" w:hAnsi="Arial" w:eastAsia="Arial" w:cs="Arial"/>
          <w:b w:val="0"/>
          <w:bCs w:val="0"/>
          <w:noProof w:val="0"/>
          <w:sz w:val="22"/>
          <w:szCs w:val="22"/>
          <w:lang w:val="en-US"/>
        </w:rPr>
        <w:t>Arnstein’s Ladder of Citizen Participation</w:t>
      </w:r>
      <w:r w:rsidRPr="1ED50CE0" w:rsidR="398A4B6F">
        <w:rPr>
          <w:rFonts w:ascii="Arial" w:hAnsi="Arial" w:eastAsia="Arial" w:cs="Arial"/>
          <w:b w:val="0"/>
          <w:bCs w:val="0"/>
          <w:noProof w:val="0"/>
          <w:sz w:val="22"/>
          <w:szCs w:val="22"/>
          <w:lang w:val="en-US"/>
        </w:rPr>
        <w:t>, progressing from basic consultation to active partnership and co-creation. Healthcare providers and consumers</w:t>
      </w:r>
      <w:r w:rsidRPr="1ED50CE0" w:rsidR="398A4B6F">
        <w:rPr>
          <w:rFonts w:ascii="Arial" w:hAnsi="Arial" w:eastAsia="Arial" w:cs="Arial"/>
          <w:b w:val="0"/>
          <w:bCs w:val="0"/>
          <w:noProof w:val="0"/>
          <w:sz w:val="22"/>
          <w:szCs w:val="22"/>
          <w:lang w:val="en-US"/>
        </w:rPr>
        <w:t>, in particular, are</w:t>
      </w:r>
      <w:r w:rsidRPr="1ED50CE0" w:rsidR="398A4B6F">
        <w:rPr>
          <w:rFonts w:ascii="Arial" w:hAnsi="Arial" w:eastAsia="Arial" w:cs="Arial"/>
          <w:b w:val="0"/>
          <w:bCs w:val="0"/>
          <w:noProof w:val="0"/>
          <w:sz w:val="22"/>
          <w:szCs w:val="22"/>
          <w:lang w:val="en-US"/>
        </w:rPr>
        <w:t xml:space="preserve"> encouraged to </w:t>
      </w:r>
      <w:r w:rsidRPr="1ED50CE0" w:rsidR="398A4B6F">
        <w:rPr>
          <w:rFonts w:ascii="Arial" w:hAnsi="Arial" w:eastAsia="Arial" w:cs="Arial"/>
          <w:b w:val="0"/>
          <w:bCs w:val="0"/>
          <w:noProof w:val="0"/>
          <w:sz w:val="22"/>
          <w:szCs w:val="22"/>
          <w:lang w:val="en-US"/>
        </w:rPr>
        <w:t>participate</w:t>
      </w:r>
      <w:r w:rsidRPr="1ED50CE0" w:rsidR="398A4B6F">
        <w:rPr>
          <w:rFonts w:ascii="Arial" w:hAnsi="Arial" w:eastAsia="Arial" w:cs="Arial"/>
          <w:b w:val="0"/>
          <w:bCs w:val="0"/>
          <w:noProof w:val="0"/>
          <w:sz w:val="22"/>
          <w:szCs w:val="22"/>
          <w:lang w:val="en-US"/>
        </w:rPr>
        <w:t xml:space="preserve"> in co-design workshops, where they can test prototypes, provide feedback, and influence design improvements. This participatory model cultivates a sense of shared ownership, resulting in products that are more user-</w:t>
      </w:r>
      <w:r w:rsidRPr="1ED50CE0" w:rsidR="398A4B6F">
        <w:rPr>
          <w:rFonts w:ascii="Arial" w:hAnsi="Arial" w:eastAsia="Arial" w:cs="Arial"/>
          <w:b w:val="0"/>
          <w:bCs w:val="0"/>
          <w:noProof w:val="0"/>
          <w:sz w:val="22"/>
          <w:szCs w:val="22"/>
          <w:lang w:val="en-US"/>
        </w:rPr>
        <w:t>centred</w:t>
      </w:r>
      <w:r w:rsidRPr="1ED50CE0" w:rsidR="398A4B6F">
        <w:rPr>
          <w:rFonts w:ascii="Arial" w:hAnsi="Arial" w:eastAsia="Arial" w:cs="Arial"/>
          <w:b w:val="0"/>
          <w:bCs w:val="0"/>
          <w:noProof w:val="0"/>
          <w:sz w:val="22"/>
          <w:szCs w:val="22"/>
          <w:lang w:val="en-US"/>
        </w:rPr>
        <w:t xml:space="preserve"> and ethically aligned with public expectations.</w:t>
      </w:r>
    </w:p>
    <w:p w:rsidR="398A4B6F" w:rsidP="1ED50CE0" w:rsidRDefault="398A4B6F" w14:paraId="51763002" w14:textId="7BAA1DA7">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98A4B6F">
        <w:rPr>
          <w:rFonts w:ascii="Arial" w:hAnsi="Arial" w:eastAsia="Arial" w:cs="Arial"/>
          <w:b w:val="0"/>
          <w:bCs w:val="0"/>
          <w:noProof w:val="0"/>
          <w:color w:val="3A7C22" w:themeColor="accent6" w:themeTint="FF" w:themeShade="BF"/>
          <w:sz w:val="22"/>
          <w:szCs w:val="22"/>
          <w:lang w:val="en-US"/>
        </w:rPr>
        <w:t>Summary</w:t>
      </w:r>
    </w:p>
    <w:p w:rsidR="398A4B6F" w:rsidP="1ED50CE0" w:rsidRDefault="398A4B6F" w14:paraId="382645F4" w14:textId="7588568F">
      <w:pPr>
        <w:spacing w:before="240" w:beforeAutospacing="off" w:after="240" w:afterAutospacing="off"/>
        <w:rPr>
          <w:rFonts w:ascii="Arial" w:hAnsi="Arial" w:eastAsia="Arial" w:cs="Arial"/>
          <w:b w:val="0"/>
          <w:bCs w:val="0"/>
          <w:noProof w:val="0"/>
          <w:sz w:val="22"/>
          <w:szCs w:val="22"/>
          <w:lang w:val="en-US"/>
        </w:rPr>
      </w:pPr>
      <w:r w:rsidRPr="1ED50CE0" w:rsidR="398A4B6F">
        <w:rPr>
          <w:rFonts w:ascii="Arial" w:hAnsi="Arial" w:eastAsia="Arial" w:cs="Arial"/>
          <w:b w:val="0"/>
          <w:bCs w:val="0"/>
          <w:noProof w:val="0"/>
          <w:sz w:val="22"/>
          <w:szCs w:val="22"/>
          <w:lang w:val="en-US"/>
        </w:rPr>
        <w:t>By integrating these frameworks—Stakeholder Engagement Plan, Mendelow’s Matrix, RACI Matrix, Communication Plan, and Arnstein’s Ladder—</w:t>
      </w:r>
      <w:r w:rsidRPr="1ED50CE0" w:rsidR="398A4B6F">
        <w:rPr>
          <w:rFonts w:ascii="Arial" w:hAnsi="Arial" w:eastAsia="Arial" w:cs="Arial"/>
          <w:b w:val="0"/>
          <w:bCs w:val="0"/>
          <w:noProof w:val="0"/>
          <w:sz w:val="22"/>
          <w:szCs w:val="22"/>
          <w:lang w:val="en-US"/>
        </w:rPr>
        <w:t>BioSync</w:t>
      </w:r>
      <w:r w:rsidRPr="1ED50CE0" w:rsidR="398A4B6F">
        <w:rPr>
          <w:rFonts w:ascii="Arial" w:hAnsi="Arial" w:eastAsia="Arial" w:cs="Arial"/>
          <w:b w:val="0"/>
          <w:bCs w:val="0"/>
          <w:noProof w:val="0"/>
          <w:sz w:val="22"/>
          <w:szCs w:val="22"/>
          <w:lang w:val="en-US"/>
        </w:rPr>
        <w:t xml:space="preserve"> creates a systematic, transparent, and adaptive approach to stakeholder management. These models collectively ensure that technical innovation </w:t>
      </w:r>
      <w:r w:rsidRPr="1ED50CE0" w:rsidR="398A4B6F">
        <w:rPr>
          <w:rFonts w:ascii="Arial" w:hAnsi="Arial" w:eastAsia="Arial" w:cs="Arial"/>
          <w:b w:val="0"/>
          <w:bCs w:val="0"/>
          <w:noProof w:val="0"/>
          <w:sz w:val="22"/>
          <w:szCs w:val="22"/>
          <w:lang w:val="en-US"/>
        </w:rPr>
        <w:t>remains</w:t>
      </w:r>
      <w:r w:rsidRPr="1ED50CE0" w:rsidR="398A4B6F">
        <w:rPr>
          <w:rFonts w:ascii="Arial" w:hAnsi="Arial" w:eastAsia="Arial" w:cs="Arial"/>
          <w:b w:val="0"/>
          <w:bCs w:val="0"/>
          <w:noProof w:val="0"/>
          <w:sz w:val="22"/>
          <w:szCs w:val="22"/>
          <w:lang w:val="en-US"/>
        </w:rPr>
        <w:t xml:space="preserve"> aligned with stakeholder expectations, ethical governance, and long-term </w:t>
      </w:r>
      <w:r w:rsidRPr="1ED50CE0" w:rsidR="398A4B6F">
        <w:rPr>
          <w:rFonts w:ascii="Arial" w:hAnsi="Arial" w:eastAsia="Arial" w:cs="Arial"/>
          <w:b w:val="0"/>
          <w:bCs w:val="0"/>
          <w:noProof w:val="0"/>
          <w:sz w:val="22"/>
          <w:szCs w:val="22"/>
          <w:lang w:val="en-US"/>
        </w:rPr>
        <w:t>organisational</w:t>
      </w:r>
      <w:r w:rsidRPr="1ED50CE0" w:rsidR="398A4B6F">
        <w:rPr>
          <w:rFonts w:ascii="Arial" w:hAnsi="Arial" w:eastAsia="Arial" w:cs="Arial"/>
          <w:b w:val="0"/>
          <w:bCs w:val="0"/>
          <w:noProof w:val="0"/>
          <w:sz w:val="22"/>
          <w:szCs w:val="22"/>
          <w:lang w:val="en-US"/>
        </w:rPr>
        <w:t xml:space="preserve"> sustainability.</w:t>
      </w:r>
    </w:p>
    <w:p w:rsidR="1ED50CE0" w:rsidP="1ED50CE0" w:rsidRDefault="1ED50CE0" w14:paraId="27A81970" w14:textId="5BF46690">
      <w:pPr>
        <w:rPr>
          <w:rFonts w:ascii="Arial" w:hAnsi="Arial" w:eastAsia="Arial" w:cs="Arial"/>
          <w:b w:val="0"/>
          <w:bCs w:val="0"/>
          <w:sz w:val="22"/>
          <w:szCs w:val="22"/>
        </w:rPr>
      </w:pPr>
    </w:p>
    <w:p w:rsidR="359D189B" w:rsidP="1ED50CE0" w:rsidRDefault="359D189B" w14:paraId="0AC78F9F" w14:textId="64A1122A">
      <w:pPr>
        <w:spacing w:before="240" w:beforeAutospacing="off" w:after="240" w:afterAutospacing="off"/>
        <w:rPr>
          <w:rFonts w:ascii="Arial" w:hAnsi="Arial" w:eastAsia="Arial" w:cs="Arial"/>
          <w:b w:val="0"/>
          <w:bCs w:val="0"/>
          <w:noProof w:val="0"/>
          <w:color w:val="0F4761" w:themeColor="accent1" w:themeTint="FF" w:themeShade="BF"/>
          <w:sz w:val="22"/>
          <w:szCs w:val="22"/>
          <w:lang w:val="en-US"/>
        </w:rPr>
      </w:pPr>
      <w:r w:rsidRPr="1ED50CE0" w:rsidR="359D189B">
        <w:rPr>
          <w:rFonts w:ascii="Arial" w:hAnsi="Arial" w:eastAsia="Arial" w:cs="Arial"/>
          <w:b w:val="0"/>
          <w:bCs w:val="0"/>
          <w:noProof w:val="0"/>
          <w:color w:val="0F4761" w:themeColor="accent1" w:themeTint="FF" w:themeShade="BF"/>
          <w:sz w:val="22"/>
          <w:szCs w:val="22"/>
          <w:lang w:val="en-US"/>
        </w:rPr>
        <w:t>6. Stakeholder Engagement and Conflict Management: The 4Cs Model</w:t>
      </w:r>
    </w:p>
    <w:p w:rsidR="359D189B" w:rsidP="1ED50CE0" w:rsidRDefault="359D189B" w14:paraId="4D446D40" w14:textId="2563E276">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Effective stakeholder engagement in a complex, innovation-driven project such as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requires a structured approach that promotes trust, accountability, and ethical collaboration. The **4Cs Model—Communication, Coordination, Cooperation, and </w:t>
      </w:r>
      <w:r w:rsidRPr="1ED50CE0" w:rsidR="359D189B">
        <w:rPr>
          <w:rFonts w:ascii="Arial" w:hAnsi="Arial" w:eastAsia="Arial" w:cs="Arial"/>
          <w:b w:val="0"/>
          <w:bCs w:val="0"/>
          <w:noProof w:val="0"/>
          <w:sz w:val="22"/>
          <w:szCs w:val="22"/>
          <w:lang w:val="en-US"/>
        </w:rPr>
        <w:t>Collaboration—*</w:t>
      </w:r>
      <w:r w:rsidRPr="1ED50CE0" w:rsidR="359D189B">
        <w:rPr>
          <w:rFonts w:ascii="Arial" w:hAnsi="Arial" w:eastAsia="Arial" w:cs="Arial"/>
          <w:b w:val="0"/>
          <w:bCs w:val="0"/>
          <w:noProof w:val="0"/>
          <w:sz w:val="22"/>
          <w:szCs w:val="22"/>
          <w:lang w:val="en-US"/>
        </w:rPr>
        <w:t xml:space="preserve">*offers an integrated framework through which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can manage relationships, prevent misunderstandings, and resolve conflicts constructively.</w:t>
      </w:r>
    </w:p>
    <w:p w:rsidR="359D189B" w:rsidP="1ED50CE0" w:rsidRDefault="359D189B" w14:paraId="1C12AB6C" w14:textId="1683259E">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Communication</w:t>
      </w:r>
    </w:p>
    <w:p w:rsidR="359D189B" w:rsidP="1ED50CE0" w:rsidRDefault="359D189B" w14:paraId="7CDFE5FC" w14:textId="0A21C3D3">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Transparent communication forms the foundation of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engagement strategy. Because the company handles sensitive biometric and emotional data, </w:t>
      </w:r>
      <w:r w:rsidRPr="1ED50CE0" w:rsidR="359D189B">
        <w:rPr>
          <w:rFonts w:ascii="Arial" w:hAnsi="Arial" w:eastAsia="Arial" w:cs="Arial"/>
          <w:b w:val="0"/>
          <w:bCs w:val="0"/>
          <w:noProof w:val="0"/>
          <w:sz w:val="22"/>
          <w:szCs w:val="22"/>
          <w:lang w:val="en-US"/>
        </w:rPr>
        <w:t>openness about</w:t>
      </w:r>
      <w:r w:rsidRPr="1ED50CE0" w:rsidR="359D189B">
        <w:rPr>
          <w:rFonts w:ascii="Arial" w:hAnsi="Arial" w:eastAsia="Arial" w:cs="Arial"/>
          <w:b w:val="0"/>
          <w:bCs w:val="0"/>
          <w:noProof w:val="0"/>
          <w:sz w:val="22"/>
          <w:szCs w:val="22"/>
          <w:lang w:val="en-US"/>
        </w:rPr>
        <w:t xml:space="preserve"> processes, goals, and safeguards is vital.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employs multiple communication channels tailored to stakeholder needs: policy briefings and compliance updates for regulators, webinars and technical sessions for healthcare professionals, and clear in-app messages for consumers.</w:t>
      </w:r>
    </w:p>
    <w:p w:rsidR="359D189B" w:rsidP="1ED50CE0" w:rsidRDefault="359D189B" w14:paraId="08CAA0EF" w14:textId="666E084E">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This approach enables </w:t>
      </w:r>
      <w:r w:rsidRPr="1ED50CE0" w:rsidR="359D189B">
        <w:rPr>
          <w:rFonts w:ascii="Arial" w:hAnsi="Arial" w:eastAsia="Arial" w:cs="Arial"/>
          <w:b w:val="0"/>
          <w:bCs w:val="0"/>
          <w:noProof w:val="0"/>
          <w:sz w:val="22"/>
          <w:szCs w:val="22"/>
          <w:lang w:val="en-US"/>
        </w:rPr>
        <w:t>two-way dialogue</w:t>
      </w:r>
      <w:r w:rsidRPr="1ED50CE0" w:rsidR="359D189B">
        <w:rPr>
          <w:rFonts w:ascii="Arial" w:hAnsi="Arial" w:eastAsia="Arial" w:cs="Arial"/>
          <w:b w:val="0"/>
          <w:bCs w:val="0"/>
          <w:noProof w:val="0"/>
          <w:sz w:val="22"/>
          <w:szCs w:val="22"/>
          <w:lang w:val="en-US"/>
        </w:rPr>
        <w:t xml:space="preserve">, not just one-way information flow. Feedback from pilot </w:t>
      </w:r>
      <w:r w:rsidRPr="1ED50CE0" w:rsidR="359D189B">
        <w:rPr>
          <w:rFonts w:ascii="Arial" w:hAnsi="Arial" w:eastAsia="Arial" w:cs="Arial"/>
          <w:b w:val="0"/>
          <w:bCs w:val="0"/>
          <w:noProof w:val="0"/>
          <w:sz w:val="22"/>
          <w:szCs w:val="22"/>
          <w:lang w:val="en-US"/>
        </w:rPr>
        <w:t>programmes</w:t>
      </w:r>
      <w:r w:rsidRPr="1ED50CE0" w:rsidR="359D189B">
        <w:rPr>
          <w:rFonts w:ascii="Arial" w:hAnsi="Arial" w:eastAsia="Arial" w:cs="Arial"/>
          <w:b w:val="0"/>
          <w:bCs w:val="0"/>
          <w:noProof w:val="0"/>
          <w:sz w:val="22"/>
          <w:szCs w:val="22"/>
          <w:lang w:val="en-US"/>
        </w:rPr>
        <w:t xml:space="preserve">, online surveys, and focus groups informs product refinement and marketing strategy. According to </w:t>
      </w:r>
      <w:r w:rsidRPr="1ED50CE0" w:rsidR="359D189B">
        <w:rPr>
          <w:rFonts w:ascii="Arial" w:hAnsi="Arial" w:eastAsia="Arial" w:cs="Arial"/>
          <w:b w:val="0"/>
          <w:bCs w:val="0"/>
          <w:noProof w:val="0"/>
          <w:sz w:val="22"/>
          <w:szCs w:val="22"/>
          <w:lang w:val="en-US"/>
        </w:rPr>
        <w:t>Freeman (1984)</w:t>
      </w:r>
      <w:r w:rsidRPr="1ED50CE0" w:rsidR="359D189B">
        <w:rPr>
          <w:rFonts w:ascii="Arial" w:hAnsi="Arial" w:eastAsia="Arial" w:cs="Arial"/>
          <w:b w:val="0"/>
          <w:bCs w:val="0"/>
          <w:noProof w:val="0"/>
          <w:sz w:val="22"/>
          <w:szCs w:val="22"/>
          <w:lang w:val="en-US"/>
        </w:rPr>
        <w:t xml:space="preserve">, continuous stakeholder dialogue strengthens legitimacy and value creation.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publication of data-handling reports, ethical statements, and AI-explainability guides also helps counter misconceptions that often generate conflict over privacy and emotional analytics.</w:t>
      </w:r>
    </w:p>
    <w:p w:rsidR="359D189B" w:rsidP="1ED50CE0" w:rsidRDefault="359D189B" w14:paraId="32B2EF75" w14:textId="2AE084FE">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Coordination</w:t>
      </w:r>
    </w:p>
    <w:p w:rsidR="359D189B" w:rsidP="1ED50CE0" w:rsidRDefault="359D189B" w14:paraId="4E6ADC1D" w14:textId="375678F3">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Coordination aligns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interdisciplinary teams—AI developers, biomedical engineers, marketing specialists, and healthcare collaborators—toward shared </w:t>
      </w:r>
      <w:r w:rsidRPr="1ED50CE0" w:rsidR="359D189B">
        <w:rPr>
          <w:rFonts w:ascii="Arial" w:hAnsi="Arial" w:eastAsia="Arial" w:cs="Arial"/>
          <w:b w:val="0"/>
          <w:bCs w:val="0"/>
          <w:noProof w:val="0"/>
          <w:sz w:val="22"/>
          <w:szCs w:val="22"/>
          <w:lang w:val="en-US"/>
        </w:rPr>
        <w:t>objectives</w:t>
      </w:r>
      <w:r w:rsidRPr="1ED50CE0" w:rsidR="359D189B">
        <w:rPr>
          <w:rFonts w:ascii="Arial" w:hAnsi="Arial" w:eastAsia="Arial" w:cs="Arial"/>
          <w:b w:val="0"/>
          <w:bCs w:val="0"/>
          <w:noProof w:val="0"/>
          <w:sz w:val="22"/>
          <w:szCs w:val="22"/>
          <w:lang w:val="en-US"/>
        </w:rPr>
        <w:t>. The company uses an integrated digital project platform to manage workflows, milestones, and responsibilities, ensuring visibility across departments and partners.</w:t>
      </w:r>
    </w:p>
    <w:p w:rsidR="359D189B" w:rsidP="1ED50CE0" w:rsidRDefault="359D189B" w14:paraId="6CEC44E1" w14:textId="7E0036B0">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Tensions can arise when departmental goals </w:t>
      </w:r>
      <w:r w:rsidRPr="1ED50CE0" w:rsidR="359D189B">
        <w:rPr>
          <w:rFonts w:ascii="Arial" w:hAnsi="Arial" w:eastAsia="Arial" w:cs="Arial"/>
          <w:b w:val="0"/>
          <w:bCs w:val="0"/>
          <w:noProof w:val="0"/>
          <w:sz w:val="22"/>
          <w:szCs w:val="22"/>
          <w:lang w:val="en-US"/>
        </w:rPr>
        <w:t>diverge:</w:t>
      </w:r>
      <w:r w:rsidRPr="1ED50CE0" w:rsidR="359D189B">
        <w:rPr>
          <w:rFonts w:ascii="Arial" w:hAnsi="Arial" w:eastAsia="Arial" w:cs="Arial"/>
          <w:b w:val="0"/>
          <w:bCs w:val="0"/>
          <w:noProof w:val="0"/>
          <w:sz w:val="22"/>
          <w:szCs w:val="22"/>
          <w:lang w:val="en-US"/>
        </w:rPr>
        <w:t xml:space="preserve"> marketing may push for rapid release, while R&amp;D </w:t>
      </w:r>
      <w:r w:rsidRPr="1ED50CE0" w:rsidR="359D189B">
        <w:rPr>
          <w:rFonts w:ascii="Arial" w:hAnsi="Arial" w:eastAsia="Arial" w:cs="Arial"/>
          <w:b w:val="0"/>
          <w:bCs w:val="0"/>
          <w:noProof w:val="0"/>
          <w:sz w:val="22"/>
          <w:szCs w:val="22"/>
          <w:lang w:val="en-US"/>
        </w:rPr>
        <w:t>emphasises</w:t>
      </w:r>
      <w:r w:rsidRPr="1ED50CE0" w:rsidR="359D189B">
        <w:rPr>
          <w:rFonts w:ascii="Arial" w:hAnsi="Arial" w:eastAsia="Arial" w:cs="Arial"/>
          <w:b w:val="0"/>
          <w:bCs w:val="0"/>
          <w:noProof w:val="0"/>
          <w:sz w:val="22"/>
          <w:szCs w:val="22"/>
          <w:lang w:val="en-US"/>
        </w:rPr>
        <w:t xml:space="preserve"> extended testing. The project manager mediates by applying </w:t>
      </w:r>
      <w:r w:rsidRPr="1ED50CE0" w:rsidR="359D189B">
        <w:rPr>
          <w:rFonts w:ascii="Arial" w:hAnsi="Arial" w:eastAsia="Arial" w:cs="Arial"/>
          <w:b w:val="0"/>
          <w:bCs w:val="0"/>
          <w:noProof w:val="0"/>
          <w:sz w:val="22"/>
          <w:szCs w:val="22"/>
          <w:lang w:val="en-US"/>
        </w:rPr>
        <w:t>shared success metrics</w:t>
      </w:r>
      <w:r w:rsidRPr="1ED50CE0" w:rsidR="359D189B">
        <w:rPr>
          <w:rFonts w:ascii="Arial" w:hAnsi="Arial" w:eastAsia="Arial" w:cs="Arial"/>
          <w:b w:val="0"/>
          <w:bCs w:val="0"/>
          <w:noProof w:val="0"/>
          <w:sz w:val="22"/>
          <w:szCs w:val="22"/>
          <w:lang w:val="en-US"/>
        </w:rPr>
        <w:t xml:space="preserve"> such as safety, compliance, and customer satisfaction, balancing innovation speed with ethical </w:t>
      </w:r>
      <w:r w:rsidRPr="1ED50CE0" w:rsidR="359D189B">
        <w:rPr>
          <w:rFonts w:ascii="Arial" w:hAnsi="Arial" w:eastAsia="Arial" w:cs="Arial"/>
          <w:b w:val="0"/>
          <w:bCs w:val="0"/>
          <w:noProof w:val="0"/>
          <w:sz w:val="22"/>
          <w:szCs w:val="22"/>
          <w:lang w:val="en-US"/>
        </w:rPr>
        <w:t>rigour</w:t>
      </w:r>
      <w:r w:rsidRPr="1ED50CE0" w:rsidR="359D189B">
        <w:rPr>
          <w:rFonts w:ascii="Arial" w:hAnsi="Arial" w:eastAsia="Arial" w:cs="Arial"/>
          <w:b w:val="0"/>
          <w:bCs w:val="0"/>
          <w:noProof w:val="0"/>
          <w:sz w:val="22"/>
          <w:szCs w:val="22"/>
          <w:lang w:val="en-US"/>
        </w:rPr>
        <w:t xml:space="preserve">. Regular cross-departmental meetings reinforce alignment and </w:t>
      </w:r>
      <w:r w:rsidRPr="1ED50CE0" w:rsidR="359D189B">
        <w:rPr>
          <w:rFonts w:ascii="Arial" w:hAnsi="Arial" w:eastAsia="Arial" w:cs="Arial"/>
          <w:b w:val="0"/>
          <w:bCs w:val="0"/>
          <w:noProof w:val="0"/>
          <w:sz w:val="22"/>
          <w:szCs w:val="22"/>
          <w:lang w:val="en-US"/>
        </w:rPr>
        <w:t>minimise</w:t>
      </w:r>
      <w:r w:rsidRPr="1ED50CE0" w:rsidR="359D189B">
        <w:rPr>
          <w:rFonts w:ascii="Arial" w:hAnsi="Arial" w:eastAsia="Arial" w:cs="Arial"/>
          <w:b w:val="0"/>
          <w:bCs w:val="0"/>
          <w:noProof w:val="0"/>
          <w:sz w:val="22"/>
          <w:szCs w:val="22"/>
          <w:lang w:val="en-US"/>
        </w:rPr>
        <w:t xml:space="preserve"> duplication, turning coordination into a continuous control mechanism rather than a reactive task.</w:t>
      </w:r>
    </w:p>
    <w:p w:rsidR="359D189B" w:rsidP="1ED50CE0" w:rsidRDefault="359D189B" w14:paraId="72694BE4" w14:textId="62259ABD">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Cooperation</w:t>
      </w:r>
    </w:p>
    <w:p w:rsidR="359D189B" w:rsidP="1ED50CE0" w:rsidRDefault="359D189B" w14:paraId="0CF56AB4" w14:textId="5D8BC9BF">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Cooperation goes beyond coordination by fostering goodwill and shared ownership.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builds cooperative relationships with </w:t>
      </w:r>
      <w:r w:rsidRPr="1ED50CE0" w:rsidR="359D189B">
        <w:rPr>
          <w:rFonts w:ascii="Arial" w:hAnsi="Arial" w:eastAsia="Arial" w:cs="Arial"/>
          <w:b w:val="0"/>
          <w:bCs w:val="0"/>
          <w:noProof w:val="0"/>
          <w:sz w:val="22"/>
          <w:szCs w:val="22"/>
          <w:lang w:val="en-US"/>
        </w:rPr>
        <w:t>healthcare providers, the NHS, and insurance partners</w:t>
      </w:r>
      <w:r w:rsidRPr="1ED50CE0" w:rsidR="359D189B">
        <w:rPr>
          <w:rFonts w:ascii="Arial" w:hAnsi="Arial" w:eastAsia="Arial" w:cs="Arial"/>
          <w:b w:val="0"/>
          <w:bCs w:val="0"/>
          <w:noProof w:val="0"/>
          <w:sz w:val="22"/>
          <w:szCs w:val="22"/>
          <w:lang w:val="en-US"/>
        </w:rPr>
        <w:t xml:space="preserve"> through joint pilot </w:t>
      </w:r>
      <w:r w:rsidRPr="1ED50CE0" w:rsidR="359D189B">
        <w:rPr>
          <w:rFonts w:ascii="Arial" w:hAnsi="Arial" w:eastAsia="Arial" w:cs="Arial"/>
          <w:b w:val="0"/>
          <w:bCs w:val="0"/>
          <w:noProof w:val="0"/>
          <w:sz w:val="22"/>
          <w:szCs w:val="22"/>
          <w:lang w:val="en-US"/>
        </w:rPr>
        <w:t>programmes</w:t>
      </w:r>
      <w:r w:rsidRPr="1ED50CE0" w:rsidR="359D189B">
        <w:rPr>
          <w:rFonts w:ascii="Arial" w:hAnsi="Arial" w:eastAsia="Arial" w:cs="Arial"/>
          <w:b w:val="0"/>
          <w:bCs w:val="0"/>
          <w:noProof w:val="0"/>
          <w:sz w:val="22"/>
          <w:szCs w:val="22"/>
          <w:lang w:val="en-US"/>
        </w:rPr>
        <w:t xml:space="preserve"> that test the wearable device in preventive-care contexts. These partnerships </w:t>
      </w:r>
      <w:r w:rsidRPr="1ED50CE0" w:rsidR="359D189B">
        <w:rPr>
          <w:rFonts w:ascii="Arial" w:hAnsi="Arial" w:eastAsia="Arial" w:cs="Arial"/>
          <w:b w:val="0"/>
          <w:bCs w:val="0"/>
          <w:noProof w:val="0"/>
          <w:sz w:val="22"/>
          <w:szCs w:val="22"/>
          <w:lang w:val="en-US"/>
        </w:rPr>
        <w:t>validate</w:t>
      </w:r>
      <w:r w:rsidRPr="1ED50CE0" w:rsidR="359D189B">
        <w:rPr>
          <w:rFonts w:ascii="Arial" w:hAnsi="Arial" w:eastAsia="Arial" w:cs="Arial"/>
          <w:b w:val="0"/>
          <w:bCs w:val="0"/>
          <w:noProof w:val="0"/>
          <w:sz w:val="22"/>
          <w:szCs w:val="22"/>
          <w:lang w:val="en-US"/>
        </w:rPr>
        <w:t xml:space="preserve"> the product’s effectiveness and create tangible value for all parties.</w:t>
      </w:r>
    </w:p>
    <w:p w:rsidR="359D189B" w:rsidP="1ED50CE0" w:rsidRDefault="359D189B" w14:paraId="559208CA" w14:textId="73D1C816">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However, cooperation can be hindered by differing </w:t>
      </w:r>
      <w:r w:rsidRPr="1ED50CE0" w:rsidR="359D189B">
        <w:rPr>
          <w:rFonts w:ascii="Arial" w:hAnsi="Arial" w:eastAsia="Arial" w:cs="Arial"/>
          <w:b w:val="0"/>
          <w:bCs w:val="0"/>
          <w:noProof w:val="0"/>
          <w:sz w:val="22"/>
          <w:szCs w:val="22"/>
          <w:lang w:val="en-US"/>
        </w:rPr>
        <w:t>organisational</w:t>
      </w:r>
      <w:r w:rsidRPr="1ED50CE0" w:rsidR="359D189B">
        <w:rPr>
          <w:rFonts w:ascii="Arial" w:hAnsi="Arial" w:eastAsia="Arial" w:cs="Arial"/>
          <w:b w:val="0"/>
          <w:bCs w:val="0"/>
          <w:noProof w:val="0"/>
          <w:sz w:val="22"/>
          <w:szCs w:val="22"/>
          <w:lang w:val="en-US"/>
        </w:rPr>
        <w:t xml:space="preserve"> cultures or concerns about data sharing. To address these,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establishes </w:t>
      </w:r>
      <w:r w:rsidRPr="1ED50CE0" w:rsidR="359D189B">
        <w:rPr>
          <w:rFonts w:ascii="Arial" w:hAnsi="Arial" w:eastAsia="Arial" w:cs="Arial"/>
          <w:b w:val="0"/>
          <w:bCs w:val="0"/>
          <w:noProof w:val="0"/>
          <w:sz w:val="22"/>
          <w:szCs w:val="22"/>
          <w:lang w:val="en-US"/>
        </w:rPr>
        <w:t>memoranda of understanding</w:t>
      </w:r>
      <w:r w:rsidRPr="1ED50CE0" w:rsidR="359D189B">
        <w:rPr>
          <w:rFonts w:ascii="Arial" w:hAnsi="Arial" w:eastAsia="Arial" w:cs="Arial"/>
          <w:b w:val="0"/>
          <w:bCs w:val="0"/>
          <w:noProof w:val="0"/>
          <w:sz w:val="22"/>
          <w:szCs w:val="22"/>
          <w:lang w:val="en-US"/>
        </w:rPr>
        <w:t xml:space="preserve"> and robust </w:t>
      </w:r>
      <w:r w:rsidRPr="1ED50CE0" w:rsidR="359D189B">
        <w:rPr>
          <w:rFonts w:ascii="Arial" w:hAnsi="Arial" w:eastAsia="Arial" w:cs="Arial"/>
          <w:b w:val="0"/>
          <w:bCs w:val="0"/>
          <w:noProof w:val="0"/>
          <w:sz w:val="22"/>
          <w:szCs w:val="22"/>
          <w:lang w:val="en-US"/>
        </w:rPr>
        <w:t>data-governance frameworks</w:t>
      </w:r>
      <w:r w:rsidRPr="1ED50CE0" w:rsidR="359D189B">
        <w:rPr>
          <w:rFonts w:ascii="Arial" w:hAnsi="Arial" w:eastAsia="Arial" w:cs="Arial"/>
          <w:b w:val="0"/>
          <w:bCs w:val="0"/>
          <w:noProof w:val="0"/>
          <w:sz w:val="22"/>
          <w:szCs w:val="22"/>
          <w:lang w:val="en-US"/>
        </w:rPr>
        <w:t xml:space="preserve"> aligned with </w:t>
      </w:r>
      <w:r w:rsidRPr="1ED50CE0" w:rsidR="359D189B">
        <w:rPr>
          <w:rFonts w:ascii="Arial" w:hAnsi="Arial" w:eastAsia="Arial" w:cs="Arial"/>
          <w:b w:val="0"/>
          <w:bCs w:val="0"/>
          <w:noProof w:val="0"/>
          <w:sz w:val="22"/>
          <w:szCs w:val="22"/>
          <w:lang w:val="en-US"/>
        </w:rPr>
        <w:t>Information Commissioner’s Office (2024)</w:t>
      </w:r>
      <w:r w:rsidRPr="1ED50CE0" w:rsidR="359D189B">
        <w:rPr>
          <w:rFonts w:ascii="Arial" w:hAnsi="Arial" w:eastAsia="Arial" w:cs="Arial"/>
          <w:b w:val="0"/>
          <w:bCs w:val="0"/>
          <w:noProof w:val="0"/>
          <w:sz w:val="22"/>
          <w:szCs w:val="22"/>
          <w:lang w:val="en-US"/>
        </w:rPr>
        <w:t xml:space="preserve"> guidance. These agreements define data ownership, privacy protections, and ethical boundaries, assuring partners that cooperation upholds compliance and integrity.</w:t>
      </w:r>
    </w:p>
    <w:p w:rsidR="359D189B" w:rsidP="1ED50CE0" w:rsidRDefault="359D189B" w14:paraId="426B451E" w14:textId="2760DC92">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Cooperation also relies on reciprocity.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provides partners with access to aggregated, </w:t>
      </w:r>
      <w:r w:rsidRPr="1ED50CE0" w:rsidR="359D189B">
        <w:rPr>
          <w:rFonts w:ascii="Arial" w:hAnsi="Arial" w:eastAsia="Arial" w:cs="Arial"/>
          <w:b w:val="0"/>
          <w:bCs w:val="0"/>
          <w:noProof w:val="0"/>
          <w:sz w:val="22"/>
          <w:szCs w:val="22"/>
          <w:lang w:val="en-US"/>
        </w:rPr>
        <w:t>anonymised</w:t>
      </w:r>
      <w:r w:rsidRPr="1ED50CE0" w:rsidR="359D189B">
        <w:rPr>
          <w:rFonts w:ascii="Arial" w:hAnsi="Arial" w:eastAsia="Arial" w:cs="Arial"/>
          <w:b w:val="0"/>
          <w:bCs w:val="0"/>
          <w:noProof w:val="0"/>
          <w:sz w:val="22"/>
          <w:szCs w:val="22"/>
          <w:lang w:val="en-US"/>
        </w:rPr>
        <w:t xml:space="preserve"> insights that improve </w:t>
      </w:r>
      <w:r w:rsidRPr="1ED50CE0" w:rsidR="359D189B">
        <w:rPr>
          <w:rFonts w:ascii="Arial" w:hAnsi="Arial" w:eastAsia="Arial" w:cs="Arial"/>
          <w:b w:val="0"/>
          <w:bCs w:val="0"/>
          <w:noProof w:val="0"/>
          <w:sz w:val="22"/>
          <w:szCs w:val="22"/>
          <w:lang w:val="en-US"/>
        </w:rPr>
        <w:t>public-health</w:t>
      </w:r>
      <w:r w:rsidRPr="1ED50CE0" w:rsidR="359D189B">
        <w:rPr>
          <w:rFonts w:ascii="Arial" w:hAnsi="Arial" w:eastAsia="Arial" w:cs="Arial"/>
          <w:b w:val="0"/>
          <w:bCs w:val="0"/>
          <w:noProof w:val="0"/>
          <w:sz w:val="22"/>
          <w:szCs w:val="22"/>
          <w:lang w:val="en-US"/>
        </w:rPr>
        <w:t xml:space="preserve"> outcomes, while receiving valuable clinical feedback to enhance algorithmic precision. This exchange reinforces trust and exemplifies the </w:t>
      </w:r>
      <w:r w:rsidRPr="1ED50CE0" w:rsidR="359D189B">
        <w:rPr>
          <w:rFonts w:ascii="Arial" w:hAnsi="Arial" w:eastAsia="Arial" w:cs="Arial"/>
          <w:b w:val="0"/>
          <w:bCs w:val="0"/>
          <w:noProof w:val="0"/>
          <w:sz w:val="22"/>
          <w:szCs w:val="22"/>
          <w:lang w:val="en-US"/>
        </w:rPr>
        <w:t>social-exchange principle</w:t>
      </w:r>
      <w:r w:rsidRPr="1ED50CE0" w:rsidR="359D189B">
        <w:rPr>
          <w:rFonts w:ascii="Arial" w:hAnsi="Arial" w:eastAsia="Arial" w:cs="Arial"/>
          <w:b w:val="0"/>
          <w:bCs w:val="0"/>
          <w:noProof w:val="0"/>
          <w:sz w:val="22"/>
          <w:szCs w:val="22"/>
          <w:lang w:val="en-US"/>
        </w:rPr>
        <w:t>, where mutual benefit strengthens long-term collaboration.</w:t>
      </w:r>
    </w:p>
    <w:p w:rsidR="359D189B" w:rsidP="1ED50CE0" w:rsidRDefault="359D189B" w14:paraId="5C0F30C5" w14:textId="4CBE623F">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Collaboration</w:t>
      </w:r>
    </w:p>
    <w:p w:rsidR="359D189B" w:rsidP="1ED50CE0" w:rsidRDefault="359D189B" w14:paraId="50714D82" w14:textId="1AF5900C">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Collaboration </w:t>
      </w:r>
      <w:r w:rsidRPr="1ED50CE0" w:rsidR="359D189B">
        <w:rPr>
          <w:rFonts w:ascii="Arial" w:hAnsi="Arial" w:eastAsia="Arial" w:cs="Arial"/>
          <w:b w:val="0"/>
          <w:bCs w:val="0"/>
          <w:noProof w:val="0"/>
          <w:sz w:val="22"/>
          <w:szCs w:val="22"/>
          <w:lang w:val="en-US"/>
        </w:rPr>
        <w:t>represents</w:t>
      </w:r>
      <w:r w:rsidRPr="1ED50CE0" w:rsidR="359D189B">
        <w:rPr>
          <w:rFonts w:ascii="Arial" w:hAnsi="Arial" w:eastAsia="Arial" w:cs="Arial"/>
          <w:b w:val="0"/>
          <w:bCs w:val="0"/>
          <w:noProof w:val="0"/>
          <w:sz w:val="22"/>
          <w:szCs w:val="22"/>
          <w:lang w:val="en-US"/>
        </w:rPr>
        <w:t xml:space="preserve"> the highest level of stakeholder engagement and lies at the heart of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innovation philosophy. It involves co-creation, collective problem-solving, and shared accountability.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hosts </w:t>
      </w:r>
      <w:r w:rsidRPr="1ED50CE0" w:rsidR="359D189B">
        <w:rPr>
          <w:rFonts w:ascii="Arial" w:hAnsi="Arial" w:eastAsia="Arial" w:cs="Arial"/>
          <w:b w:val="0"/>
          <w:bCs w:val="0"/>
          <w:noProof w:val="0"/>
          <w:sz w:val="22"/>
          <w:szCs w:val="22"/>
          <w:lang w:val="en-US"/>
        </w:rPr>
        <w:t>innovation workshops and co-design sessions</w:t>
      </w:r>
      <w:r w:rsidRPr="1ED50CE0" w:rsidR="359D189B">
        <w:rPr>
          <w:rFonts w:ascii="Arial" w:hAnsi="Arial" w:eastAsia="Arial" w:cs="Arial"/>
          <w:b w:val="0"/>
          <w:bCs w:val="0"/>
          <w:noProof w:val="0"/>
          <w:sz w:val="22"/>
          <w:szCs w:val="22"/>
          <w:lang w:val="en-US"/>
        </w:rPr>
        <w:t xml:space="preserve"> where engineers, psychologists, and clinicians work together to interpret data, prototype new features, and evaluate usability.</w:t>
      </w:r>
    </w:p>
    <w:p w:rsidR="359D189B" w:rsidP="1ED50CE0" w:rsidRDefault="359D189B" w14:paraId="21E9D27A" w14:textId="0D4491CE">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Consumers and patient advocates are invited to </w:t>
      </w:r>
      <w:r w:rsidRPr="1ED50CE0" w:rsidR="359D189B">
        <w:rPr>
          <w:rFonts w:ascii="Arial" w:hAnsi="Arial" w:eastAsia="Arial" w:cs="Arial"/>
          <w:b w:val="0"/>
          <w:bCs w:val="0"/>
          <w:noProof w:val="0"/>
          <w:sz w:val="22"/>
          <w:szCs w:val="22"/>
          <w:lang w:val="en-US"/>
        </w:rPr>
        <w:t>participate</w:t>
      </w:r>
      <w:r w:rsidRPr="1ED50CE0" w:rsidR="359D189B">
        <w:rPr>
          <w:rFonts w:ascii="Arial" w:hAnsi="Arial" w:eastAsia="Arial" w:cs="Arial"/>
          <w:b w:val="0"/>
          <w:bCs w:val="0"/>
          <w:noProof w:val="0"/>
          <w:sz w:val="22"/>
          <w:szCs w:val="22"/>
          <w:lang w:val="en-US"/>
        </w:rPr>
        <w:t xml:space="preserve"> in design reviews, ensuring inclusivity and accessibility in the final product. This aligns with </w:t>
      </w:r>
      <w:r w:rsidRPr="1ED50CE0" w:rsidR="359D189B">
        <w:rPr>
          <w:rFonts w:ascii="Arial" w:hAnsi="Arial" w:eastAsia="Arial" w:cs="Arial"/>
          <w:b w:val="0"/>
          <w:bCs w:val="0"/>
          <w:noProof w:val="0"/>
          <w:sz w:val="22"/>
          <w:szCs w:val="22"/>
          <w:lang w:val="en-US"/>
        </w:rPr>
        <w:t>Arnstein’s (1969) Ladder of Participation</w:t>
      </w:r>
      <w:r w:rsidRPr="1ED50CE0" w:rsidR="359D189B">
        <w:rPr>
          <w:rFonts w:ascii="Arial" w:hAnsi="Arial" w:eastAsia="Arial" w:cs="Arial"/>
          <w:b w:val="0"/>
          <w:bCs w:val="0"/>
          <w:noProof w:val="0"/>
          <w:sz w:val="22"/>
          <w:szCs w:val="22"/>
          <w:lang w:val="en-US"/>
        </w:rPr>
        <w:t>, moving stakeholders from consultation to genuine empowerment.</w:t>
      </w:r>
    </w:p>
    <w:p w:rsidR="359D189B" w:rsidP="1ED50CE0" w:rsidRDefault="359D189B" w14:paraId="40538A36" w14:textId="7C7B69F3">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Yet collaboration can also generate disputes about </w:t>
      </w:r>
      <w:r w:rsidRPr="1ED50CE0" w:rsidR="359D189B">
        <w:rPr>
          <w:rFonts w:ascii="Arial" w:hAnsi="Arial" w:eastAsia="Arial" w:cs="Arial"/>
          <w:b w:val="0"/>
          <w:bCs w:val="0"/>
          <w:noProof w:val="0"/>
          <w:sz w:val="22"/>
          <w:szCs w:val="22"/>
          <w:lang w:val="en-US"/>
        </w:rPr>
        <w:t>intellectual property, workload, or ethical priorities</w:t>
      </w:r>
      <w:r w:rsidRPr="1ED50CE0" w:rsidR="359D189B">
        <w:rPr>
          <w:rFonts w:ascii="Arial" w:hAnsi="Arial" w:eastAsia="Arial" w:cs="Arial"/>
          <w:b w:val="0"/>
          <w:bCs w:val="0"/>
          <w:noProof w:val="0"/>
          <w:sz w:val="22"/>
          <w:szCs w:val="22"/>
          <w:lang w:val="en-US"/>
        </w:rPr>
        <w:t xml:space="preserve">. To manage these,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applies </w:t>
      </w:r>
      <w:r w:rsidRPr="1ED50CE0" w:rsidR="359D189B">
        <w:rPr>
          <w:rFonts w:ascii="Arial" w:hAnsi="Arial" w:eastAsia="Arial" w:cs="Arial"/>
          <w:b w:val="0"/>
          <w:bCs w:val="0"/>
          <w:noProof w:val="0"/>
          <w:sz w:val="22"/>
          <w:szCs w:val="22"/>
          <w:lang w:val="en-US"/>
        </w:rPr>
        <w:t>Thomas and Kilmann’s (1974) Conflict-Mode Instrument</w:t>
      </w:r>
      <w:r w:rsidRPr="1ED50CE0" w:rsidR="359D189B">
        <w:rPr>
          <w:rFonts w:ascii="Arial" w:hAnsi="Arial" w:eastAsia="Arial" w:cs="Arial"/>
          <w:b w:val="0"/>
          <w:bCs w:val="0"/>
          <w:noProof w:val="0"/>
          <w:sz w:val="22"/>
          <w:szCs w:val="22"/>
          <w:lang w:val="en-US"/>
        </w:rPr>
        <w:t>, promoting problem-solving and compromise rather than avoidance. The company treats conflict as a learning process that surfaces diverse perspectives, thereby improving creativity and shared understanding.</w:t>
      </w:r>
    </w:p>
    <w:p w:rsidR="359D189B" w:rsidP="1ED50CE0" w:rsidRDefault="359D189B" w14:paraId="55E05BED" w14:textId="16CF8CCC">
      <w:pPr>
        <w:spacing w:before="240" w:beforeAutospacing="off" w:after="240" w:afterAutospacing="off"/>
        <w:rPr>
          <w:rFonts w:ascii="Arial" w:hAnsi="Arial" w:eastAsia="Arial" w:cs="Arial"/>
          <w:b w:val="0"/>
          <w:bCs w:val="0"/>
          <w:noProof w:val="0"/>
          <w:color w:val="3A7C22" w:themeColor="accent6" w:themeTint="FF" w:themeShade="BF"/>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Conflict Management and Evaluation</w:t>
      </w:r>
    </w:p>
    <w:p w:rsidR="359D189B" w:rsidP="1ED50CE0" w:rsidRDefault="359D189B" w14:paraId="3BF7242C" w14:textId="423EE19C">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Given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multidisciplinary nature, conflict is inevitable. The company integrates conflict-management processes into its engagement framework using the 4Cs principles:</w:t>
      </w:r>
    </w:p>
    <w:p w:rsidR="359D189B" w:rsidP="1ED50CE0" w:rsidRDefault="359D189B" w14:paraId="5055A242" w14:textId="06299CB0">
      <w:pPr>
        <w:pStyle w:val="ListParagraph"/>
        <w:numPr>
          <w:ilvl w:val="0"/>
          <w:numId w:val="38"/>
        </w:num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 xml:space="preserve">Identification </w:t>
      </w:r>
      <w:r w:rsidRPr="1ED50CE0" w:rsidR="359D189B">
        <w:rPr>
          <w:rFonts w:ascii="Arial" w:hAnsi="Arial" w:eastAsia="Arial" w:cs="Arial"/>
          <w:b w:val="0"/>
          <w:bCs w:val="0"/>
          <w:noProof w:val="0"/>
          <w:sz w:val="22"/>
          <w:szCs w:val="22"/>
          <w:lang w:val="en-US"/>
        </w:rPr>
        <w:t>–</w:t>
      </w:r>
      <w:r w:rsidRPr="1ED50CE0" w:rsidR="359D189B">
        <w:rPr>
          <w:rFonts w:ascii="Arial" w:hAnsi="Arial" w:eastAsia="Arial" w:cs="Arial"/>
          <w:b w:val="0"/>
          <w:bCs w:val="0"/>
          <w:noProof w:val="0"/>
          <w:sz w:val="22"/>
          <w:szCs w:val="22"/>
          <w:lang w:val="en-US"/>
        </w:rPr>
        <w:t xml:space="preserve"> Early recognition of potential disputes through surveys, meetings, or digital feedback tools.</w:t>
      </w:r>
    </w:p>
    <w:p w:rsidR="359D189B" w:rsidP="1ED50CE0" w:rsidRDefault="359D189B" w14:paraId="01D970FE" w14:textId="0F58FD93">
      <w:pPr>
        <w:pStyle w:val="ListParagraph"/>
        <w:numPr>
          <w:ilvl w:val="0"/>
          <w:numId w:val="38"/>
        </w:num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 xml:space="preserve">Analysis </w:t>
      </w:r>
      <w:r w:rsidRPr="1ED50CE0" w:rsidR="359D189B">
        <w:rPr>
          <w:rFonts w:ascii="Arial" w:hAnsi="Arial" w:eastAsia="Arial" w:cs="Arial"/>
          <w:b w:val="0"/>
          <w:bCs w:val="0"/>
          <w:noProof w:val="0"/>
          <w:sz w:val="22"/>
          <w:szCs w:val="22"/>
          <w:lang w:val="en-US"/>
        </w:rPr>
        <w:t>–</w:t>
      </w:r>
      <w:r w:rsidRPr="1ED50CE0" w:rsidR="359D189B">
        <w:rPr>
          <w:rFonts w:ascii="Arial" w:hAnsi="Arial" w:eastAsia="Arial" w:cs="Arial"/>
          <w:b w:val="0"/>
          <w:bCs w:val="0"/>
          <w:noProof w:val="0"/>
          <w:sz w:val="22"/>
          <w:szCs w:val="22"/>
          <w:lang w:val="en-US"/>
        </w:rPr>
        <w:t xml:space="preserve"> Determining root causes such as communication breakdowns, resource constraints, or differing values.</w:t>
      </w:r>
    </w:p>
    <w:p w:rsidR="359D189B" w:rsidP="1ED50CE0" w:rsidRDefault="359D189B" w14:paraId="0ACF9DFE" w14:textId="7F602464">
      <w:pPr>
        <w:pStyle w:val="ListParagraph"/>
        <w:numPr>
          <w:ilvl w:val="0"/>
          <w:numId w:val="38"/>
        </w:num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 xml:space="preserve">Resolution </w:t>
      </w:r>
      <w:r w:rsidRPr="1ED50CE0" w:rsidR="359D189B">
        <w:rPr>
          <w:rFonts w:ascii="Arial" w:hAnsi="Arial" w:eastAsia="Arial" w:cs="Arial"/>
          <w:b w:val="0"/>
          <w:bCs w:val="0"/>
          <w:noProof w:val="0"/>
          <w:sz w:val="22"/>
          <w:szCs w:val="22"/>
          <w:lang w:val="en-US"/>
        </w:rPr>
        <w:t>–</w:t>
      </w:r>
      <w:r w:rsidRPr="1ED50CE0" w:rsidR="359D189B">
        <w:rPr>
          <w:rFonts w:ascii="Arial" w:hAnsi="Arial" w:eastAsia="Arial" w:cs="Arial"/>
          <w:b w:val="0"/>
          <w:bCs w:val="0"/>
          <w:noProof w:val="0"/>
          <w:sz w:val="22"/>
          <w:szCs w:val="22"/>
          <w:lang w:val="en-US"/>
        </w:rPr>
        <w:t xml:space="preserve"> Employing mediation or structured negotiation that balances stakeholder needs with </w:t>
      </w:r>
      <w:r w:rsidRPr="1ED50CE0" w:rsidR="359D189B">
        <w:rPr>
          <w:rFonts w:ascii="Arial" w:hAnsi="Arial" w:eastAsia="Arial" w:cs="Arial"/>
          <w:b w:val="0"/>
          <w:bCs w:val="0"/>
          <w:noProof w:val="0"/>
          <w:sz w:val="22"/>
          <w:szCs w:val="22"/>
          <w:lang w:val="en-US"/>
        </w:rPr>
        <w:t>organisational</w:t>
      </w:r>
      <w:r w:rsidRPr="1ED50CE0" w:rsidR="359D189B">
        <w:rPr>
          <w:rFonts w:ascii="Arial" w:hAnsi="Arial" w:eastAsia="Arial" w:cs="Arial"/>
          <w:b w:val="0"/>
          <w:bCs w:val="0"/>
          <w:noProof w:val="0"/>
          <w:sz w:val="22"/>
          <w:szCs w:val="22"/>
          <w:lang w:val="en-US"/>
        </w:rPr>
        <w:t xml:space="preserve"> goals.</w:t>
      </w:r>
    </w:p>
    <w:p w:rsidR="359D189B" w:rsidP="1ED50CE0" w:rsidRDefault="359D189B" w14:paraId="6DB921EC" w14:textId="6A617023">
      <w:pPr>
        <w:pStyle w:val="ListParagraph"/>
        <w:numPr>
          <w:ilvl w:val="0"/>
          <w:numId w:val="38"/>
        </w:num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color w:val="3A7C22" w:themeColor="accent6" w:themeTint="FF" w:themeShade="BF"/>
          <w:sz w:val="22"/>
          <w:szCs w:val="22"/>
          <w:lang w:val="en-US"/>
        </w:rPr>
        <w:t xml:space="preserve">Review </w:t>
      </w:r>
      <w:r w:rsidRPr="1ED50CE0" w:rsidR="359D189B">
        <w:rPr>
          <w:rFonts w:ascii="Arial" w:hAnsi="Arial" w:eastAsia="Arial" w:cs="Arial"/>
          <w:b w:val="0"/>
          <w:bCs w:val="0"/>
          <w:noProof w:val="0"/>
          <w:sz w:val="22"/>
          <w:szCs w:val="22"/>
          <w:lang w:val="en-US"/>
        </w:rPr>
        <w:t>–</w:t>
      </w:r>
      <w:r w:rsidRPr="1ED50CE0" w:rsidR="359D189B">
        <w:rPr>
          <w:rFonts w:ascii="Arial" w:hAnsi="Arial" w:eastAsia="Arial" w:cs="Arial"/>
          <w:b w:val="0"/>
          <w:bCs w:val="0"/>
          <w:noProof w:val="0"/>
          <w:sz w:val="22"/>
          <w:szCs w:val="22"/>
          <w:lang w:val="en-US"/>
        </w:rPr>
        <w:t xml:space="preserve"> Evaluating outcomes and documenting lessons learned to strengthen future cooperation.</w:t>
      </w:r>
    </w:p>
    <w:p w:rsidR="359D189B" w:rsidP="1ED50CE0" w:rsidRDefault="359D189B" w14:paraId="6AD1C6A5" w14:textId="7D393647">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Embedding this process ensures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approaches conflict proactively. For instance, when tension arises between privacy advocates and AI engineers, </w:t>
      </w:r>
      <w:r w:rsidRPr="1ED50CE0" w:rsidR="359D189B">
        <w:rPr>
          <w:rFonts w:ascii="Arial" w:hAnsi="Arial" w:eastAsia="Arial" w:cs="Arial"/>
          <w:b w:val="0"/>
          <w:bCs w:val="0"/>
          <w:noProof w:val="0"/>
          <w:sz w:val="22"/>
          <w:szCs w:val="22"/>
          <w:lang w:val="en-US"/>
        </w:rPr>
        <w:t>facilitated</w:t>
      </w:r>
      <w:r w:rsidRPr="1ED50CE0" w:rsidR="359D189B">
        <w:rPr>
          <w:rFonts w:ascii="Arial" w:hAnsi="Arial" w:eastAsia="Arial" w:cs="Arial"/>
          <w:b w:val="0"/>
          <w:bCs w:val="0"/>
          <w:noProof w:val="0"/>
          <w:sz w:val="22"/>
          <w:szCs w:val="22"/>
          <w:lang w:val="en-US"/>
        </w:rPr>
        <w:t xml:space="preserve"> workshops allow both sides to explore solutions that preserve innovation while enhancing consent transparency.</w:t>
      </w:r>
    </w:p>
    <w:p w:rsidR="359D189B" w:rsidP="1ED50CE0" w:rsidRDefault="359D189B" w14:paraId="5B853307" w14:textId="32196E59">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Regular reviews also help </w:t>
      </w:r>
      <w:r w:rsidRPr="1ED50CE0" w:rsidR="359D189B">
        <w:rPr>
          <w:rFonts w:ascii="Arial" w:hAnsi="Arial" w:eastAsia="Arial" w:cs="Arial"/>
          <w:b w:val="0"/>
          <w:bCs w:val="0"/>
          <w:noProof w:val="0"/>
          <w:sz w:val="22"/>
          <w:szCs w:val="22"/>
          <w:lang w:val="en-US"/>
        </w:rPr>
        <w:t>institutionalise</w:t>
      </w:r>
      <w:r w:rsidRPr="1ED50CE0" w:rsidR="359D189B">
        <w:rPr>
          <w:rFonts w:ascii="Arial" w:hAnsi="Arial" w:eastAsia="Arial" w:cs="Arial"/>
          <w:b w:val="0"/>
          <w:bCs w:val="0"/>
          <w:noProof w:val="0"/>
          <w:sz w:val="22"/>
          <w:szCs w:val="22"/>
          <w:lang w:val="en-US"/>
        </w:rPr>
        <w:t xml:space="preserve"> learning. Post-project evaluations </w:t>
      </w:r>
      <w:r w:rsidRPr="1ED50CE0" w:rsidR="359D189B">
        <w:rPr>
          <w:rFonts w:ascii="Arial" w:hAnsi="Arial" w:eastAsia="Arial" w:cs="Arial"/>
          <w:b w:val="0"/>
          <w:bCs w:val="0"/>
          <w:noProof w:val="0"/>
          <w:sz w:val="22"/>
          <w:szCs w:val="22"/>
          <w:lang w:val="en-US"/>
        </w:rPr>
        <w:t>identify</w:t>
      </w:r>
      <w:r w:rsidRPr="1ED50CE0" w:rsidR="359D189B">
        <w:rPr>
          <w:rFonts w:ascii="Arial" w:hAnsi="Arial" w:eastAsia="Arial" w:cs="Arial"/>
          <w:b w:val="0"/>
          <w:bCs w:val="0"/>
          <w:noProof w:val="0"/>
          <w:sz w:val="22"/>
          <w:szCs w:val="22"/>
          <w:lang w:val="en-US"/>
        </w:rPr>
        <w:t xml:space="preserve"> communication patterns or procedural gaps that </w:t>
      </w:r>
      <w:r w:rsidRPr="1ED50CE0" w:rsidR="359D189B">
        <w:rPr>
          <w:rFonts w:ascii="Arial" w:hAnsi="Arial" w:eastAsia="Arial" w:cs="Arial"/>
          <w:b w:val="0"/>
          <w:bCs w:val="0"/>
          <w:noProof w:val="0"/>
          <w:sz w:val="22"/>
          <w:szCs w:val="22"/>
          <w:lang w:val="en-US"/>
        </w:rPr>
        <w:t>led</w:t>
      </w:r>
      <w:r w:rsidRPr="1ED50CE0" w:rsidR="359D189B">
        <w:rPr>
          <w:rFonts w:ascii="Arial" w:hAnsi="Arial" w:eastAsia="Arial" w:cs="Arial"/>
          <w:b w:val="0"/>
          <w:bCs w:val="0"/>
          <w:noProof w:val="0"/>
          <w:sz w:val="22"/>
          <w:szCs w:val="22"/>
          <w:lang w:val="en-US"/>
        </w:rPr>
        <w:t xml:space="preserve"> to friction, guiding policy </w:t>
      </w:r>
      <w:r w:rsidRPr="1ED50CE0" w:rsidR="359D189B">
        <w:rPr>
          <w:rFonts w:ascii="Arial" w:hAnsi="Arial" w:eastAsia="Arial" w:cs="Arial"/>
          <w:b w:val="0"/>
          <w:bCs w:val="0"/>
          <w:noProof w:val="0"/>
          <w:sz w:val="22"/>
          <w:szCs w:val="22"/>
          <w:lang w:val="en-US"/>
        </w:rPr>
        <w:t>updates</w:t>
      </w:r>
      <w:r w:rsidRPr="1ED50CE0" w:rsidR="359D189B">
        <w:rPr>
          <w:rFonts w:ascii="Arial" w:hAnsi="Arial" w:eastAsia="Arial" w:cs="Arial"/>
          <w:b w:val="0"/>
          <w:bCs w:val="0"/>
          <w:noProof w:val="0"/>
          <w:sz w:val="22"/>
          <w:szCs w:val="22"/>
          <w:lang w:val="en-US"/>
        </w:rPr>
        <w:t xml:space="preserve"> and training initiatives. Over time, this cyclical approach nurtures a culture of reflection, adaptability, and ethical accountability.</w:t>
      </w:r>
    </w:p>
    <w:p w:rsidR="3B13E6BD" w:rsidP="1ED50CE0" w:rsidRDefault="3B13E6BD" w14:paraId="2BF84DA3" w14:textId="661F4C5C">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3B13E6BD">
        <w:rPr>
          <w:rFonts w:ascii="Arial" w:hAnsi="Arial" w:eastAsia="Arial" w:cs="Arial"/>
          <w:b w:val="0"/>
          <w:bCs w:val="0"/>
          <w:noProof w:val="0"/>
          <w:color w:val="3A7C22" w:themeColor="accent6" w:themeTint="FF" w:themeShade="BF"/>
          <w:sz w:val="22"/>
          <w:szCs w:val="22"/>
          <w:lang w:val="en-US"/>
        </w:rPr>
        <w:t>Summary</w:t>
      </w:r>
    </w:p>
    <w:p w:rsidR="359D189B" w:rsidP="1ED50CE0" w:rsidRDefault="359D189B" w14:paraId="064C8745" w14:textId="1E422554">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 xml:space="preserve">Through the 4Cs Model,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transforms stakeholder engagement from a managerial obligation into a strategic advantage. Communication builds trust and </w:t>
      </w:r>
      <w:r w:rsidRPr="1ED50CE0" w:rsidR="359D189B">
        <w:rPr>
          <w:rFonts w:ascii="Arial" w:hAnsi="Arial" w:eastAsia="Arial" w:cs="Arial"/>
          <w:b w:val="0"/>
          <w:bCs w:val="0"/>
          <w:noProof w:val="0"/>
          <w:sz w:val="22"/>
          <w:szCs w:val="22"/>
          <w:lang w:val="en-US"/>
        </w:rPr>
        <w:t>dispels</w:t>
      </w:r>
      <w:r w:rsidRPr="1ED50CE0" w:rsidR="359D189B">
        <w:rPr>
          <w:rFonts w:ascii="Arial" w:hAnsi="Arial" w:eastAsia="Arial" w:cs="Arial"/>
          <w:b w:val="0"/>
          <w:bCs w:val="0"/>
          <w:noProof w:val="0"/>
          <w:sz w:val="22"/>
          <w:szCs w:val="22"/>
          <w:lang w:val="en-US"/>
        </w:rPr>
        <w:t xml:space="preserve"> uncertainty; coordination aligns internal teams; cooperation strengthens partnerships; and collaboration fuels innovation through shared </w:t>
      </w:r>
      <w:r w:rsidRPr="1ED50CE0" w:rsidR="359D189B">
        <w:rPr>
          <w:rFonts w:ascii="Arial" w:hAnsi="Arial" w:eastAsia="Arial" w:cs="Arial"/>
          <w:b w:val="0"/>
          <w:bCs w:val="0"/>
          <w:noProof w:val="0"/>
          <w:sz w:val="22"/>
          <w:szCs w:val="22"/>
          <w:lang w:val="en-US"/>
        </w:rPr>
        <w:t>expertise</w:t>
      </w:r>
      <w:r w:rsidRPr="1ED50CE0" w:rsidR="359D189B">
        <w:rPr>
          <w:rFonts w:ascii="Arial" w:hAnsi="Arial" w:eastAsia="Arial" w:cs="Arial"/>
          <w:b w:val="0"/>
          <w:bCs w:val="0"/>
          <w:noProof w:val="0"/>
          <w:sz w:val="22"/>
          <w:szCs w:val="22"/>
          <w:lang w:val="en-US"/>
        </w:rPr>
        <w:t xml:space="preserve">. When integrated with structured conflict-management practices, the model enables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to convert disputes into opportunities for improvement and innovation.</w:t>
      </w:r>
    </w:p>
    <w:p w:rsidR="359D189B" w:rsidP="1ED50CE0" w:rsidRDefault="359D189B" w14:paraId="65D39B91" w14:textId="53C07015">
      <w:pPr>
        <w:spacing w:before="240" w:beforeAutospacing="off" w:after="240" w:afterAutospacing="off"/>
        <w:rPr>
          <w:rFonts w:ascii="Arial" w:hAnsi="Arial" w:eastAsia="Arial" w:cs="Arial"/>
          <w:b w:val="0"/>
          <w:bCs w:val="0"/>
          <w:noProof w:val="0"/>
          <w:sz w:val="22"/>
          <w:szCs w:val="22"/>
          <w:lang w:val="en-US"/>
        </w:rPr>
      </w:pPr>
      <w:r w:rsidRPr="1ED50CE0" w:rsidR="359D189B">
        <w:rPr>
          <w:rFonts w:ascii="Arial" w:hAnsi="Arial" w:eastAsia="Arial" w:cs="Arial"/>
          <w:b w:val="0"/>
          <w:bCs w:val="0"/>
          <w:noProof w:val="0"/>
          <w:sz w:val="22"/>
          <w:szCs w:val="22"/>
          <w:lang w:val="en-US"/>
        </w:rPr>
        <w:t>Ultimately, the</w:t>
      </w:r>
      <w:r w:rsidRPr="1ED50CE0" w:rsidR="359D189B">
        <w:rPr>
          <w:rFonts w:ascii="Arial" w:hAnsi="Arial" w:eastAsia="Arial" w:cs="Arial"/>
          <w:b w:val="0"/>
          <w:bCs w:val="0"/>
          <w:noProof w:val="0"/>
          <w:sz w:val="22"/>
          <w:szCs w:val="22"/>
          <w:lang w:val="en-US"/>
        </w:rPr>
        <w:t xml:space="preserve"> 4Cs framework supports </w:t>
      </w:r>
      <w:r w:rsidRPr="1ED50CE0" w:rsidR="359D189B">
        <w:rPr>
          <w:rFonts w:ascii="Arial" w:hAnsi="Arial" w:eastAsia="Arial" w:cs="Arial"/>
          <w:b w:val="0"/>
          <w:bCs w:val="0"/>
          <w:noProof w:val="0"/>
          <w:sz w:val="22"/>
          <w:szCs w:val="22"/>
          <w:lang w:val="en-US"/>
        </w:rPr>
        <w:t>BioSync’s</w:t>
      </w:r>
      <w:r w:rsidRPr="1ED50CE0" w:rsidR="359D189B">
        <w:rPr>
          <w:rFonts w:ascii="Arial" w:hAnsi="Arial" w:eastAsia="Arial" w:cs="Arial"/>
          <w:b w:val="0"/>
          <w:bCs w:val="0"/>
          <w:noProof w:val="0"/>
          <w:sz w:val="22"/>
          <w:szCs w:val="22"/>
          <w:lang w:val="en-US"/>
        </w:rPr>
        <w:t xml:space="preserve"> broader mission—to deliver responsible digital-health solutions that combine technical excellence with social value. By fostering transparent relationships, balancing competing interests, and embedding continuous learning, </w:t>
      </w:r>
      <w:r w:rsidRPr="1ED50CE0" w:rsidR="359D189B">
        <w:rPr>
          <w:rFonts w:ascii="Arial" w:hAnsi="Arial" w:eastAsia="Arial" w:cs="Arial"/>
          <w:b w:val="0"/>
          <w:bCs w:val="0"/>
          <w:noProof w:val="0"/>
          <w:sz w:val="22"/>
          <w:szCs w:val="22"/>
          <w:lang w:val="en-US"/>
        </w:rPr>
        <w:t>BioSync</w:t>
      </w:r>
      <w:r w:rsidRPr="1ED50CE0" w:rsidR="359D189B">
        <w:rPr>
          <w:rFonts w:ascii="Arial" w:hAnsi="Arial" w:eastAsia="Arial" w:cs="Arial"/>
          <w:b w:val="0"/>
          <w:bCs w:val="0"/>
          <w:noProof w:val="0"/>
          <w:sz w:val="22"/>
          <w:szCs w:val="22"/>
          <w:lang w:val="en-US"/>
        </w:rPr>
        <w:t xml:space="preserve"> ensures its stakeholder ecosystem </w:t>
      </w:r>
      <w:r w:rsidRPr="1ED50CE0" w:rsidR="359D189B">
        <w:rPr>
          <w:rFonts w:ascii="Arial" w:hAnsi="Arial" w:eastAsia="Arial" w:cs="Arial"/>
          <w:b w:val="0"/>
          <w:bCs w:val="0"/>
          <w:noProof w:val="0"/>
          <w:sz w:val="22"/>
          <w:szCs w:val="22"/>
          <w:lang w:val="en-US"/>
        </w:rPr>
        <w:t>remains</w:t>
      </w:r>
      <w:r w:rsidRPr="1ED50CE0" w:rsidR="359D189B">
        <w:rPr>
          <w:rFonts w:ascii="Arial" w:hAnsi="Arial" w:eastAsia="Arial" w:cs="Arial"/>
          <w:b w:val="0"/>
          <w:bCs w:val="0"/>
          <w:noProof w:val="0"/>
          <w:sz w:val="22"/>
          <w:szCs w:val="22"/>
          <w:lang w:val="en-US"/>
        </w:rPr>
        <w:t xml:space="preserve"> cohesive, ethical, and resilient in the rapidly evolving landscape of health technology.</w:t>
      </w:r>
    </w:p>
    <w:p w:rsidR="075F433A" w:rsidP="1ED50CE0" w:rsidRDefault="075F433A" w14:paraId="7F293BF7" w14:textId="1AD7A66C">
      <w:pPr>
        <w:spacing w:before="0" w:beforeAutospacing="off" w:after="160" w:afterAutospacing="off" w:line="257" w:lineRule="auto"/>
        <w:rPr>
          <w:rFonts w:ascii="Arial" w:hAnsi="Arial" w:eastAsia="Arial" w:cs="Arial"/>
          <w:b w:val="0"/>
          <w:bCs w:val="0"/>
          <w:noProof w:val="0"/>
          <w:color w:val="0F4761" w:themeColor="accent1" w:themeTint="FF" w:themeShade="BF"/>
          <w:sz w:val="22"/>
          <w:szCs w:val="22"/>
          <w:lang w:val="en-US"/>
        </w:rPr>
      </w:pPr>
      <w:r w:rsidRPr="1ED50CE0" w:rsidR="075F433A">
        <w:rPr>
          <w:rFonts w:ascii="Arial" w:hAnsi="Arial" w:eastAsia="Arial" w:cs="Arial"/>
          <w:b w:val="0"/>
          <w:bCs w:val="0"/>
          <w:noProof w:val="0"/>
          <w:color w:val="0F4761" w:themeColor="accent1" w:themeTint="FF" w:themeShade="BF"/>
          <w:sz w:val="22"/>
          <w:szCs w:val="22"/>
          <w:lang w:val="en-US"/>
        </w:rPr>
        <w:t>7. Evaluation of Stakeholder Engagement Impact and Recommendations</w:t>
      </w:r>
    </w:p>
    <w:p w:rsidR="075F433A" w:rsidP="1ED50CE0" w:rsidRDefault="075F433A" w14:paraId="26A78D7C" w14:textId="310F65C4">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A comprehensive evaluation of stakeholder engagement reveals its vital role in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success. For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engagement is not just a procedural necessity but a strategic capability that drives innovation, enhances reputation, and sustains business growth within the competitive digital-health landscape.</w:t>
      </w:r>
    </w:p>
    <w:p w:rsidR="075F433A" w:rsidP="1ED50CE0" w:rsidRDefault="075F433A" w14:paraId="60D382F9" w14:textId="5669D28B">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Impact on Business Performance</w:t>
      </w:r>
    </w:p>
    <w:p w:rsidR="075F433A" w:rsidP="1ED50CE0" w:rsidRDefault="075F433A" w14:paraId="56643D21" w14:textId="191D9242">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Effective stakeholder engagement directly improves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business outcomes. Early collaboration with regulators such as the MHRA and ICO ensures that compliance and certification are built into product design rather than added later, accelerating time-to-market and reducing rework costs. Partnerships with healthcare providers enable clinical validation, increasing the wearable’s credibility and reliability.</w:t>
      </w:r>
    </w:p>
    <w:p w:rsidR="075F433A" w:rsidP="1ED50CE0" w:rsidRDefault="075F433A" w14:paraId="1973C794" w14:textId="45005342">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Equally, active participation from consumers helps refine usability and functionality. Through user trials and beta testing,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gathers insight into comfort, accuracy, and ease of use. These feedback loops improve satisfaction and encourage long-term adoption—vital in a health-tech sector where trust dictates </w:t>
      </w:r>
      <w:r w:rsidRPr="1ED50CE0" w:rsidR="075F433A">
        <w:rPr>
          <w:rFonts w:ascii="Arial" w:hAnsi="Arial" w:eastAsia="Arial" w:cs="Arial"/>
          <w:b w:val="0"/>
          <w:bCs w:val="0"/>
          <w:noProof w:val="0"/>
          <w:sz w:val="22"/>
          <w:szCs w:val="22"/>
          <w:lang w:val="en-US"/>
        </w:rPr>
        <w:t>purchasing</w:t>
      </w:r>
      <w:r w:rsidRPr="1ED50CE0" w:rsidR="075F433A">
        <w:rPr>
          <w:rFonts w:ascii="Arial" w:hAnsi="Arial" w:eastAsia="Arial" w:cs="Arial"/>
          <w:b w:val="0"/>
          <w:bCs w:val="0"/>
          <w:noProof w:val="0"/>
          <w:sz w:val="22"/>
          <w:szCs w:val="22"/>
          <w:lang w:val="en-US"/>
        </w:rPr>
        <w:t xml:space="preserve"> decisions. Transparent communication about data privacy and AI functions further enhances confidence, countering public </w:t>
      </w:r>
      <w:r w:rsidRPr="1ED50CE0" w:rsidR="075F433A">
        <w:rPr>
          <w:rFonts w:ascii="Arial" w:hAnsi="Arial" w:eastAsia="Arial" w:cs="Arial"/>
          <w:b w:val="0"/>
          <w:bCs w:val="0"/>
          <w:noProof w:val="0"/>
          <w:sz w:val="22"/>
          <w:szCs w:val="22"/>
          <w:lang w:val="en-US"/>
        </w:rPr>
        <w:t>scepticism</w:t>
      </w:r>
      <w:r w:rsidRPr="1ED50CE0" w:rsidR="075F433A">
        <w:rPr>
          <w:rFonts w:ascii="Arial" w:hAnsi="Arial" w:eastAsia="Arial" w:cs="Arial"/>
          <w:b w:val="0"/>
          <w:bCs w:val="0"/>
          <w:noProof w:val="0"/>
          <w:sz w:val="22"/>
          <w:szCs w:val="22"/>
          <w:lang w:val="en-US"/>
        </w:rPr>
        <w:t xml:space="preserve"> about emotional analytics.</w:t>
      </w:r>
    </w:p>
    <w:p w:rsidR="075F433A" w:rsidP="1ED50CE0" w:rsidRDefault="075F433A" w14:paraId="12498D7A" w14:textId="3F755D38">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Financially, engagement </w:t>
      </w:r>
      <w:r w:rsidRPr="1ED50CE0" w:rsidR="075F433A">
        <w:rPr>
          <w:rFonts w:ascii="Arial" w:hAnsi="Arial" w:eastAsia="Arial" w:cs="Arial"/>
          <w:b w:val="0"/>
          <w:bCs w:val="0"/>
          <w:noProof w:val="0"/>
          <w:sz w:val="22"/>
          <w:szCs w:val="22"/>
          <w:lang w:val="en-US"/>
        </w:rPr>
        <w:t>minimises</w:t>
      </w:r>
      <w:r w:rsidRPr="1ED50CE0" w:rsidR="075F433A">
        <w:rPr>
          <w:rFonts w:ascii="Arial" w:hAnsi="Arial" w:eastAsia="Arial" w:cs="Arial"/>
          <w:b w:val="0"/>
          <w:bCs w:val="0"/>
          <w:noProof w:val="0"/>
          <w:sz w:val="22"/>
          <w:szCs w:val="22"/>
          <w:lang w:val="en-US"/>
        </w:rPr>
        <w:t xml:space="preserve"> costly delays, mitigates reputational risk, and opens new income streams. Collaborations with insurers and employers support wellness incentive schemes, while integration into occupational wellbeing programs creates steady, contract-based revenue. Strong stakeholder relationships also make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more resilient to market and regulatory fluctuations, as trusted partners are more willing to collaborate during periods of change.</w:t>
      </w:r>
    </w:p>
    <w:p w:rsidR="075F433A" w:rsidP="1ED50CE0" w:rsidRDefault="075F433A" w14:paraId="79AD318D" w14:textId="51B3C165">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Innovation and Knowledge Sharing</w:t>
      </w:r>
    </w:p>
    <w:p w:rsidR="075F433A" w:rsidP="1ED50CE0" w:rsidRDefault="075F433A" w14:paraId="77475164" w14:textId="18D70C6A">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participative model nurtures a culture of shared learning and innovation. Cross-sector collaboration brings together AI engineers, healthcare professionals, policymakers, and environmental specialists to exchange </w:t>
      </w:r>
      <w:r w:rsidRPr="1ED50CE0" w:rsidR="075F433A">
        <w:rPr>
          <w:rFonts w:ascii="Arial" w:hAnsi="Arial" w:eastAsia="Arial" w:cs="Arial"/>
          <w:b w:val="0"/>
          <w:bCs w:val="0"/>
          <w:noProof w:val="0"/>
          <w:sz w:val="22"/>
          <w:szCs w:val="22"/>
          <w:lang w:val="en-US"/>
        </w:rPr>
        <w:t>expertise</w:t>
      </w:r>
      <w:r w:rsidRPr="1ED50CE0" w:rsidR="075F433A">
        <w:rPr>
          <w:rFonts w:ascii="Arial" w:hAnsi="Arial" w:eastAsia="Arial" w:cs="Arial"/>
          <w:b w:val="0"/>
          <w:bCs w:val="0"/>
          <w:noProof w:val="0"/>
          <w:sz w:val="22"/>
          <w:szCs w:val="22"/>
          <w:lang w:val="en-US"/>
        </w:rPr>
        <w:t xml:space="preserve"> and </w:t>
      </w:r>
      <w:r w:rsidRPr="1ED50CE0" w:rsidR="075F433A">
        <w:rPr>
          <w:rFonts w:ascii="Arial" w:hAnsi="Arial" w:eastAsia="Arial" w:cs="Arial"/>
          <w:b w:val="0"/>
          <w:bCs w:val="0"/>
          <w:noProof w:val="0"/>
          <w:sz w:val="22"/>
          <w:szCs w:val="22"/>
          <w:lang w:val="en-US"/>
        </w:rPr>
        <w:t>anticipate</w:t>
      </w:r>
      <w:r w:rsidRPr="1ED50CE0" w:rsidR="075F433A">
        <w:rPr>
          <w:rFonts w:ascii="Arial" w:hAnsi="Arial" w:eastAsia="Arial" w:cs="Arial"/>
          <w:b w:val="0"/>
          <w:bCs w:val="0"/>
          <w:noProof w:val="0"/>
          <w:sz w:val="22"/>
          <w:szCs w:val="22"/>
          <w:lang w:val="en-US"/>
        </w:rPr>
        <w:t xml:space="preserve"> emerging health trends. Regular stakeholder workshops and co-creation forums allow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to adapt rapidly to new insights about physical and emotional wellbeing.</w:t>
      </w:r>
    </w:p>
    <w:p w:rsidR="075F433A" w:rsidP="1ED50CE0" w:rsidRDefault="075F433A" w14:paraId="3EC5DA9B" w14:textId="129048BE">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Healthcare providers contribute medical knowledge that sharpens algorithmic precision, while environmental agencies help </w:t>
      </w:r>
      <w:r w:rsidRPr="1ED50CE0" w:rsidR="075F433A">
        <w:rPr>
          <w:rFonts w:ascii="Arial" w:hAnsi="Arial" w:eastAsia="Arial" w:cs="Arial"/>
          <w:b w:val="0"/>
          <w:bCs w:val="0"/>
          <w:noProof w:val="0"/>
          <w:sz w:val="22"/>
          <w:szCs w:val="22"/>
          <w:lang w:val="en-US"/>
        </w:rPr>
        <w:t>validate</w:t>
      </w:r>
      <w:r w:rsidRPr="1ED50CE0" w:rsidR="075F433A">
        <w:rPr>
          <w:rFonts w:ascii="Arial" w:hAnsi="Arial" w:eastAsia="Arial" w:cs="Arial"/>
          <w:b w:val="0"/>
          <w:bCs w:val="0"/>
          <w:noProof w:val="0"/>
          <w:sz w:val="22"/>
          <w:szCs w:val="22"/>
          <w:lang w:val="en-US"/>
        </w:rPr>
        <w:t xml:space="preserve"> data on air quality and UV exposure. Collaboration with universities advances research into ethical AI and data governance. These interactions strengthen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position as a responsible innovator—one that combines scientific </w:t>
      </w:r>
      <w:r w:rsidRPr="1ED50CE0" w:rsidR="075F433A">
        <w:rPr>
          <w:rFonts w:ascii="Arial" w:hAnsi="Arial" w:eastAsia="Arial" w:cs="Arial"/>
          <w:b w:val="0"/>
          <w:bCs w:val="0"/>
          <w:noProof w:val="0"/>
          <w:sz w:val="22"/>
          <w:szCs w:val="22"/>
          <w:lang w:val="en-US"/>
        </w:rPr>
        <w:t>rigour</w:t>
      </w:r>
      <w:r w:rsidRPr="1ED50CE0" w:rsidR="075F433A">
        <w:rPr>
          <w:rFonts w:ascii="Arial" w:hAnsi="Arial" w:eastAsia="Arial" w:cs="Arial"/>
          <w:b w:val="0"/>
          <w:bCs w:val="0"/>
          <w:noProof w:val="0"/>
          <w:sz w:val="22"/>
          <w:szCs w:val="22"/>
          <w:lang w:val="en-US"/>
        </w:rPr>
        <w:t xml:space="preserve"> with ethical foresight.</w:t>
      </w:r>
    </w:p>
    <w:p w:rsidR="075F433A" w:rsidP="1ED50CE0" w:rsidRDefault="075F433A" w14:paraId="0533DDA6" w14:textId="66F81472">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Open knowledge exchange also boosts adaptability. By encouraging constant feedback,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w:t>
      </w:r>
      <w:r w:rsidRPr="1ED50CE0" w:rsidR="075F433A">
        <w:rPr>
          <w:rFonts w:ascii="Arial" w:hAnsi="Arial" w:eastAsia="Arial" w:cs="Arial"/>
          <w:b w:val="0"/>
          <w:bCs w:val="0"/>
          <w:noProof w:val="0"/>
          <w:sz w:val="22"/>
          <w:szCs w:val="22"/>
          <w:lang w:val="en-US"/>
        </w:rPr>
        <w:t>becomes</w:t>
      </w:r>
      <w:r w:rsidRPr="1ED50CE0" w:rsidR="075F433A">
        <w:rPr>
          <w:rFonts w:ascii="Arial" w:hAnsi="Arial" w:eastAsia="Arial" w:cs="Arial"/>
          <w:b w:val="0"/>
          <w:bCs w:val="0"/>
          <w:noProof w:val="0"/>
          <w:sz w:val="22"/>
          <w:szCs w:val="22"/>
          <w:lang w:val="en-US"/>
        </w:rPr>
        <w:t xml:space="preserve"> a “learning </w:t>
      </w:r>
      <w:r w:rsidRPr="1ED50CE0" w:rsidR="075F433A">
        <w:rPr>
          <w:rFonts w:ascii="Arial" w:hAnsi="Arial" w:eastAsia="Arial" w:cs="Arial"/>
          <w:b w:val="0"/>
          <w:bCs w:val="0"/>
          <w:noProof w:val="0"/>
          <w:sz w:val="22"/>
          <w:szCs w:val="22"/>
          <w:lang w:val="en-US"/>
        </w:rPr>
        <w:t>organisation</w:t>
      </w:r>
      <w:r w:rsidRPr="1ED50CE0" w:rsidR="075F433A">
        <w:rPr>
          <w:rFonts w:ascii="Arial" w:hAnsi="Arial" w:eastAsia="Arial" w:cs="Arial"/>
          <w:b w:val="0"/>
          <w:bCs w:val="0"/>
          <w:noProof w:val="0"/>
          <w:sz w:val="22"/>
          <w:szCs w:val="22"/>
          <w:lang w:val="en-US"/>
        </w:rPr>
        <w:t xml:space="preserve">,” capable of evolving with the needs of users and the wider health ecosystem. This collaborative culture ensures that innovation </w:t>
      </w:r>
      <w:r w:rsidRPr="1ED50CE0" w:rsidR="075F433A">
        <w:rPr>
          <w:rFonts w:ascii="Arial" w:hAnsi="Arial" w:eastAsia="Arial" w:cs="Arial"/>
          <w:b w:val="0"/>
          <w:bCs w:val="0"/>
          <w:noProof w:val="0"/>
          <w:sz w:val="22"/>
          <w:szCs w:val="22"/>
          <w:lang w:val="en-US"/>
        </w:rPr>
        <w:t>remains</w:t>
      </w:r>
      <w:r w:rsidRPr="1ED50CE0" w:rsidR="075F433A">
        <w:rPr>
          <w:rFonts w:ascii="Arial" w:hAnsi="Arial" w:eastAsia="Arial" w:cs="Arial"/>
          <w:b w:val="0"/>
          <w:bCs w:val="0"/>
          <w:noProof w:val="0"/>
          <w:sz w:val="22"/>
          <w:szCs w:val="22"/>
          <w:lang w:val="en-US"/>
        </w:rPr>
        <w:t xml:space="preserve"> practical, inclusive, and grounded in social benefit rather than technological novelty alone.</w:t>
      </w:r>
    </w:p>
    <w:p w:rsidR="075F433A" w:rsidP="1ED50CE0" w:rsidRDefault="075F433A" w14:paraId="4D1DF6A5" w14:textId="33BE81DD">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Reputation and Ethics</w:t>
      </w:r>
    </w:p>
    <w:p w:rsidR="075F433A" w:rsidP="1ED50CE0" w:rsidRDefault="075F433A" w14:paraId="1F6E980B" w14:textId="1CF0B7AA">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In health technology, reputation depends on ethical integrity.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w:t>
      </w:r>
      <w:r w:rsidRPr="1ED50CE0" w:rsidR="075F433A">
        <w:rPr>
          <w:rFonts w:ascii="Arial" w:hAnsi="Arial" w:eastAsia="Arial" w:cs="Arial"/>
          <w:b w:val="0"/>
          <w:bCs w:val="0"/>
          <w:noProof w:val="0"/>
          <w:sz w:val="22"/>
          <w:szCs w:val="22"/>
          <w:lang w:val="en-US"/>
        </w:rPr>
        <w:t>recognises</w:t>
      </w:r>
      <w:r w:rsidRPr="1ED50CE0" w:rsidR="075F433A">
        <w:rPr>
          <w:rFonts w:ascii="Arial" w:hAnsi="Arial" w:eastAsia="Arial" w:cs="Arial"/>
          <w:b w:val="0"/>
          <w:bCs w:val="0"/>
          <w:noProof w:val="0"/>
          <w:sz w:val="22"/>
          <w:szCs w:val="22"/>
          <w:lang w:val="en-US"/>
        </w:rPr>
        <w:t xml:space="preserve"> that handling sensitive biometric and emotional data requires absolute transparency. The company clearly communicates how data are collected, processed, and stored, ensuring alignment with UK GDPR standards. Users are empowered to understand and control their information, reinforcing trust and accountability.</w:t>
      </w:r>
    </w:p>
    <w:p w:rsidR="075F433A" w:rsidP="1ED50CE0" w:rsidRDefault="075F433A" w14:paraId="17F9564B" w14:textId="3851DB7D">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Ethical engagement also means inclusivity. By involving individuals from different age groups, health conditions, and social backgrounds,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avoids bias in AI design and ensures </w:t>
      </w:r>
      <w:r w:rsidRPr="1ED50CE0" w:rsidR="075F433A">
        <w:rPr>
          <w:rFonts w:ascii="Arial" w:hAnsi="Arial" w:eastAsia="Arial" w:cs="Arial"/>
          <w:b w:val="0"/>
          <w:bCs w:val="0"/>
          <w:noProof w:val="0"/>
          <w:sz w:val="22"/>
          <w:szCs w:val="22"/>
          <w:lang w:val="en-US"/>
        </w:rPr>
        <w:t>equitable</w:t>
      </w:r>
      <w:r w:rsidRPr="1ED50CE0" w:rsidR="075F433A">
        <w:rPr>
          <w:rFonts w:ascii="Arial" w:hAnsi="Arial" w:eastAsia="Arial" w:cs="Arial"/>
          <w:b w:val="0"/>
          <w:bCs w:val="0"/>
          <w:noProof w:val="0"/>
          <w:sz w:val="22"/>
          <w:szCs w:val="22"/>
          <w:lang w:val="en-US"/>
        </w:rPr>
        <w:t xml:space="preserve"> outcomes. The company’s openness to scrutiny—through public consultations and independent audits—</w:t>
      </w:r>
      <w:r w:rsidRPr="1ED50CE0" w:rsidR="075F433A">
        <w:rPr>
          <w:rFonts w:ascii="Arial" w:hAnsi="Arial" w:eastAsia="Arial" w:cs="Arial"/>
          <w:b w:val="0"/>
          <w:bCs w:val="0"/>
          <w:noProof w:val="0"/>
          <w:sz w:val="22"/>
          <w:szCs w:val="22"/>
          <w:lang w:val="en-US"/>
        </w:rPr>
        <w:t>demonstrates</w:t>
      </w:r>
      <w:r w:rsidRPr="1ED50CE0" w:rsidR="075F433A">
        <w:rPr>
          <w:rFonts w:ascii="Arial" w:hAnsi="Arial" w:eastAsia="Arial" w:cs="Arial"/>
          <w:b w:val="0"/>
          <w:bCs w:val="0"/>
          <w:noProof w:val="0"/>
          <w:sz w:val="22"/>
          <w:szCs w:val="22"/>
          <w:lang w:val="en-US"/>
        </w:rPr>
        <w:t xml:space="preserve"> genuine commitment to doing what is right, not merely what is compliant.</w:t>
      </w:r>
    </w:p>
    <w:p w:rsidR="075F433A" w:rsidP="1ED50CE0" w:rsidRDefault="075F433A" w14:paraId="35E03BBF" w14:textId="34C43F90">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This ethical consistency strengthens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brand identity. Stakeholders view the company not just as a technology provider but as a trusted partner in improving human wellbeing. Such credibility attracts investment, fosters loyalty, and positions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as a leader in responsible digital health.</w:t>
      </w:r>
    </w:p>
    <w:p w:rsidR="075F433A" w:rsidP="1ED50CE0" w:rsidRDefault="075F433A" w14:paraId="22753010" w14:textId="12E0D78E">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Recommendations</w:t>
      </w:r>
    </w:p>
    <w:p w:rsidR="075F433A" w:rsidP="1ED50CE0" w:rsidRDefault="075F433A" w14:paraId="6D77982D" w14:textId="78897DD0">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To deepen the effectiveness of stakeholder engagement, several strategic actions are recommended:</w:t>
      </w:r>
    </w:p>
    <w:p w:rsidR="075F433A" w:rsidP="1ED50CE0" w:rsidRDefault="075F433A" w14:paraId="625FEC08" w14:textId="40FE32F8">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1. Digital Collaboration Tools</w:t>
      </w:r>
      <w:r>
        <w:br/>
      </w:r>
      <w:r w:rsidRPr="1ED50CE0" w:rsidR="075F433A">
        <w:rPr>
          <w:rFonts w:ascii="Arial" w:hAnsi="Arial" w:eastAsia="Arial" w:cs="Arial"/>
          <w:b w:val="0"/>
          <w:bCs w:val="0"/>
          <w:noProof w:val="0"/>
          <w:sz w:val="22"/>
          <w:szCs w:val="22"/>
          <w:lang w:val="en-US"/>
        </w:rPr>
        <w:t xml:space="preserve"> Adopt advanced AI-supported dashboards and blockchain-secured exchanges to streamline data sharing and ensure full traceability. Enhanced transparency will build further confidence among regulators and partners.</w:t>
      </w:r>
    </w:p>
    <w:p w:rsidR="075F433A" w:rsidP="1ED50CE0" w:rsidRDefault="075F433A" w14:paraId="752108B4" w14:textId="492FED7C">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 xml:space="preserve">2. </w:t>
      </w:r>
      <w:r w:rsidRPr="1ED50CE0" w:rsidR="075F433A">
        <w:rPr>
          <w:rFonts w:ascii="Arial" w:hAnsi="Arial" w:eastAsia="Arial" w:cs="Arial"/>
          <w:b w:val="0"/>
          <w:bCs w:val="0"/>
          <w:noProof w:val="0"/>
          <w:color w:val="3A7C22" w:themeColor="accent6" w:themeTint="FF" w:themeShade="BF"/>
          <w:sz w:val="22"/>
          <w:szCs w:val="22"/>
          <w:lang w:val="en-US"/>
        </w:rPr>
        <w:t>Formalised</w:t>
      </w:r>
      <w:r w:rsidRPr="1ED50CE0" w:rsidR="075F433A">
        <w:rPr>
          <w:rFonts w:ascii="Arial" w:hAnsi="Arial" w:eastAsia="Arial" w:cs="Arial"/>
          <w:b w:val="0"/>
          <w:bCs w:val="0"/>
          <w:noProof w:val="0"/>
          <w:color w:val="3A7C22" w:themeColor="accent6" w:themeTint="FF" w:themeShade="BF"/>
          <w:sz w:val="22"/>
          <w:szCs w:val="22"/>
          <w:lang w:val="en-US"/>
        </w:rPr>
        <w:t xml:space="preserve"> Feedback Loops</w:t>
      </w:r>
      <w:r>
        <w:br/>
      </w:r>
      <w:r w:rsidRPr="1ED50CE0" w:rsidR="075F433A">
        <w:rPr>
          <w:rFonts w:ascii="Arial" w:hAnsi="Arial" w:eastAsia="Arial" w:cs="Arial"/>
          <w:b w:val="0"/>
          <w:bCs w:val="0"/>
          <w:noProof w:val="0"/>
          <w:sz w:val="22"/>
          <w:szCs w:val="22"/>
          <w:lang w:val="en-US"/>
        </w:rPr>
        <w:t xml:space="preserve"> Establish </w:t>
      </w:r>
      <w:r w:rsidRPr="1ED50CE0" w:rsidR="075F433A">
        <w:rPr>
          <w:rFonts w:ascii="Arial" w:hAnsi="Arial" w:eastAsia="Arial" w:cs="Arial"/>
          <w:b w:val="0"/>
          <w:bCs w:val="0"/>
          <w:noProof w:val="0"/>
          <w:sz w:val="22"/>
          <w:szCs w:val="22"/>
          <w:lang w:val="en-US"/>
        </w:rPr>
        <w:t>quarterly</w:t>
      </w:r>
      <w:r w:rsidRPr="1ED50CE0" w:rsidR="075F433A">
        <w:rPr>
          <w:rFonts w:ascii="Arial" w:hAnsi="Arial" w:eastAsia="Arial" w:cs="Arial"/>
          <w:b w:val="0"/>
          <w:bCs w:val="0"/>
          <w:noProof w:val="0"/>
          <w:sz w:val="22"/>
          <w:szCs w:val="22"/>
          <w:lang w:val="en-US"/>
        </w:rPr>
        <w:t xml:space="preserve"> Stakeholder Advisory Panels bringing together regulators, healthcare experts, and consumer representatives. This consistent dialogue will surface issues early and support agile decision-making.</w:t>
      </w:r>
    </w:p>
    <w:p w:rsidR="075F433A" w:rsidP="1ED50CE0" w:rsidRDefault="075F433A" w14:paraId="5D3715B9" w14:textId="4AEB1B89">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3. Public Education Campaigns</w:t>
      </w:r>
      <w:r>
        <w:br/>
      </w:r>
      <w:r w:rsidRPr="1ED50CE0" w:rsidR="075F433A">
        <w:rPr>
          <w:rFonts w:ascii="Arial" w:hAnsi="Arial" w:eastAsia="Arial" w:cs="Arial"/>
          <w:b w:val="0"/>
          <w:bCs w:val="0"/>
          <w:noProof w:val="0"/>
          <w:sz w:val="22"/>
          <w:szCs w:val="22"/>
          <w:lang w:val="en-US"/>
        </w:rPr>
        <w:t xml:space="preserve"> Launch awareness programs explaining emotional analytics and data ethics in accessible terms. Interactive workshops, podcasts, and social media storytelling can demystify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technology and promote informed consent.</w:t>
      </w:r>
    </w:p>
    <w:p w:rsidR="075F433A" w:rsidP="1ED50CE0" w:rsidRDefault="075F433A" w14:paraId="42FDC6C0" w14:textId="70675885">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4. Expanded Healthcare Partnerships</w:t>
      </w:r>
      <w:r>
        <w:br/>
      </w:r>
      <w:r w:rsidRPr="1ED50CE0" w:rsidR="075F433A">
        <w:rPr>
          <w:rFonts w:ascii="Arial" w:hAnsi="Arial" w:eastAsia="Arial" w:cs="Arial"/>
          <w:b w:val="0"/>
          <w:bCs w:val="0"/>
          <w:noProof w:val="0"/>
          <w:sz w:val="22"/>
          <w:szCs w:val="22"/>
          <w:lang w:val="en-US"/>
        </w:rPr>
        <w:t xml:space="preserve"> Pilot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devices in NHS community-care projects and corporate wellness schemes. Such initiatives would generate real-world data, strengthen institutional trust, and </w:t>
      </w:r>
      <w:r w:rsidRPr="1ED50CE0" w:rsidR="075F433A">
        <w:rPr>
          <w:rFonts w:ascii="Arial" w:hAnsi="Arial" w:eastAsia="Arial" w:cs="Arial"/>
          <w:b w:val="0"/>
          <w:bCs w:val="0"/>
          <w:noProof w:val="0"/>
          <w:sz w:val="22"/>
          <w:szCs w:val="22"/>
          <w:lang w:val="en-US"/>
        </w:rPr>
        <w:t>demonstrate</w:t>
      </w:r>
      <w:r w:rsidRPr="1ED50CE0" w:rsidR="075F433A">
        <w:rPr>
          <w:rFonts w:ascii="Arial" w:hAnsi="Arial" w:eastAsia="Arial" w:cs="Arial"/>
          <w:b w:val="0"/>
          <w:bCs w:val="0"/>
          <w:noProof w:val="0"/>
          <w:sz w:val="22"/>
          <w:szCs w:val="22"/>
          <w:lang w:val="en-US"/>
        </w:rPr>
        <w:t xml:space="preserve"> measurable </w:t>
      </w:r>
      <w:r w:rsidRPr="1ED50CE0" w:rsidR="075F433A">
        <w:rPr>
          <w:rFonts w:ascii="Arial" w:hAnsi="Arial" w:eastAsia="Arial" w:cs="Arial"/>
          <w:b w:val="0"/>
          <w:bCs w:val="0"/>
          <w:noProof w:val="0"/>
          <w:sz w:val="22"/>
          <w:szCs w:val="22"/>
          <w:lang w:val="en-US"/>
        </w:rPr>
        <w:t>public-health</w:t>
      </w:r>
      <w:r w:rsidRPr="1ED50CE0" w:rsidR="075F433A">
        <w:rPr>
          <w:rFonts w:ascii="Arial" w:hAnsi="Arial" w:eastAsia="Arial" w:cs="Arial"/>
          <w:b w:val="0"/>
          <w:bCs w:val="0"/>
          <w:noProof w:val="0"/>
          <w:sz w:val="22"/>
          <w:szCs w:val="22"/>
          <w:lang w:val="en-US"/>
        </w:rPr>
        <w:t xml:space="preserve"> value.</w:t>
      </w:r>
    </w:p>
    <w:p w:rsidR="075F433A" w:rsidP="1ED50CE0" w:rsidRDefault="075F433A" w14:paraId="7047D6F1" w14:textId="6E39DE8F">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5. Sustainability Reporting</w:t>
      </w:r>
      <w:r>
        <w:br/>
      </w:r>
      <w:r w:rsidRPr="1ED50CE0" w:rsidR="075F433A">
        <w:rPr>
          <w:rFonts w:ascii="Arial" w:hAnsi="Arial" w:eastAsia="Arial" w:cs="Arial"/>
          <w:b w:val="0"/>
          <w:bCs w:val="0"/>
          <w:noProof w:val="0"/>
          <w:sz w:val="22"/>
          <w:szCs w:val="22"/>
          <w:lang w:val="en-US"/>
        </w:rPr>
        <w:t xml:space="preserve"> Publish annual sustainability and impact reports outlining supply-chain ethics, environmental monitoring accuracy, and energy efficiency. Visibility of environmental responsibility aligns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with national green objectives and investor expectations.</w:t>
      </w:r>
    </w:p>
    <w:p w:rsidR="075F433A" w:rsidP="1ED50CE0" w:rsidRDefault="075F433A" w14:paraId="766ADDF4" w14:textId="40725144">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color w:val="3A7C22" w:themeColor="accent6" w:themeTint="FF" w:themeShade="BF"/>
          <w:sz w:val="22"/>
          <w:szCs w:val="22"/>
          <w:lang w:val="en-US"/>
        </w:rPr>
        <w:t>6. Continuous Ethical Oversight</w:t>
      </w:r>
      <w:r>
        <w:br/>
      </w:r>
      <w:r w:rsidRPr="1ED50CE0" w:rsidR="075F433A">
        <w:rPr>
          <w:rFonts w:ascii="Arial" w:hAnsi="Arial" w:eastAsia="Arial" w:cs="Arial"/>
          <w:b w:val="0"/>
          <w:bCs w:val="0"/>
          <w:noProof w:val="0"/>
          <w:sz w:val="22"/>
          <w:szCs w:val="22"/>
          <w:lang w:val="en-US"/>
        </w:rPr>
        <w:t xml:space="preserve"> Create an independent Ethics and Data Governance Board to review algorithmic fairness, </w:t>
      </w:r>
      <w:r w:rsidRPr="1ED50CE0" w:rsidR="075F433A">
        <w:rPr>
          <w:rFonts w:ascii="Arial" w:hAnsi="Arial" w:eastAsia="Arial" w:cs="Arial"/>
          <w:b w:val="0"/>
          <w:bCs w:val="0"/>
          <w:noProof w:val="0"/>
          <w:sz w:val="22"/>
          <w:szCs w:val="22"/>
          <w:lang w:val="en-US"/>
        </w:rPr>
        <w:t>emotional-data</w:t>
      </w:r>
      <w:r w:rsidRPr="1ED50CE0" w:rsidR="075F433A">
        <w:rPr>
          <w:rFonts w:ascii="Arial" w:hAnsi="Arial" w:eastAsia="Arial" w:cs="Arial"/>
          <w:b w:val="0"/>
          <w:bCs w:val="0"/>
          <w:noProof w:val="0"/>
          <w:sz w:val="22"/>
          <w:szCs w:val="22"/>
          <w:lang w:val="en-US"/>
        </w:rPr>
        <w:t xml:space="preserve"> usage, and privacy safeguards. Ongoing external oversight ensures accountability and upholds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ethical leadership.</w:t>
      </w:r>
    </w:p>
    <w:p w:rsidR="6F415106" w:rsidP="1ED50CE0" w:rsidRDefault="6F415106" w14:paraId="1DFB782D" w14:textId="45428BCB">
      <w:pPr>
        <w:spacing w:before="0" w:beforeAutospacing="off" w:after="160" w:afterAutospacing="off" w:line="257" w:lineRule="auto"/>
        <w:rPr>
          <w:rFonts w:ascii="Arial" w:hAnsi="Arial" w:eastAsia="Arial" w:cs="Arial"/>
          <w:b w:val="0"/>
          <w:bCs w:val="0"/>
          <w:noProof w:val="0"/>
          <w:color w:val="3A7C22" w:themeColor="accent6" w:themeTint="FF" w:themeShade="BF"/>
          <w:sz w:val="22"/>
          <w:szCs w:val="22"/>
          <w:lang w:val="en-US"/>
        </w:rPr>
      </w:pPr>
      <w:r w:rsidRPr="1ED50CE0" w:rsidR="6F415106">
        <w:rPr>
          <w:rFonts w:ascii="Arial" w:hAnsi="Arial" w:eastAsia="Arial" w:cs="Arial"/>
          <w:b w:val="0"/>
          <w:bCs w:val="0"/>
          <w:noProof w:val="0"/>
          <w:color w:val="3A7C22" w:themeColor="accent6" w:themeTint="FF" w:themeShade="BF"/>
          <w:sz w:val="22"/>
          <w:szCs w:val="22"/>
          <w:lang w:val="en-US"/>
        </w:rPr>
        <w:t>Summary</w:t>
      </w:r>
    </w:p>
    <w:p w:rsidR="075F433A" w:rsidP="1ED50CE0" w:rsidRDefault="075F433A" w14:paraId="3B62A265" w14:textId="2A547BD9">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Stakeholder engagement is central to </w:t>
      </w:r>
      <w:r w:rsidRPr="1ED50CE0" w:rsidR="075F433A">
        <w:rPr>
          <w:rFonts w:ascii="Arial" w:hAnsi="Arial" w:eastAsia="Arial" w:cs="Arial"/>
          <w:b w:val="0"/>
          <w:bCs w:val="0"/>
          <w:noProof w:val="0"/>
          <w:sz w:val="22"/>
          <w:szCs w:val="22"/>
          <w:lang w:val="en-US"/>
        </w:rPr>
        <w:t>BioSync’s</w:t>
      </w:r>
      <w:r w:rsidRPr="1ED50CE0" w:rsidR="075F433A">
        <w:rPr>
          <w:rFonts w:ascii="Arial" w:hAnsi="Arial" w:eastAsia="Arial" w:cs="Arial"/>
          <w:b w:val="0"/>
          <w:bCs w:val="0"/>
          <w:noProof w:val="0"/>
          <w:sz w:val="22"/>
          <w:szCs w:val="22"/>
          <w:lang w:val="en-US"/>
        </w:rPr>
        <w:t xml:space="preserve"> resilience and growth. By </w:t>
      </w:r>
      <w:r w:rsidRPr="1ED50CE0" w:rsidR="075F433A">
        <w:rPr>
          <w:rFonts w:ascii="Arial" w:hAnsi="Arial" w:eastAsia="Arial" w:cs="Arial"/>
          <w:b w:val="0"/>
          <w:bCs w:val="0"/>
          <w:noProof w:val="0"/>
          <w:sz w:val="22"/>
          <w:szCs w:val="22"/>
          <w:lang w:val="en-US"/>
        </w:rPr>
        <w:t>maintaining</w:t>
      </w:r>
      <w:r w:rsidRPr="1ED50CE0" w:rsidR="075F433A">
        <w:rPr>
          <w:rFonts w:ascii="Arial" w:hAnsi="Arial" w:eastAsia="Arial" w:cs="Arial"/>
          <w:b w:val="0"/>
          <w:bCs w:val="0"/>
          <w:noProof w:val="0"/>
          <w:sz w:val="22"/>
          <w:szCs w:val="22"/>
          <w:lang w:val="en-US"/>
        </w:rPr>
        <w:t xml:space="preserve"> open communication, fostering cross-sector collaboration, and embedding ethics into every decision, the company transforms partnerships into strategic assets. Implementing the above recommendations will further enhance transparency, inclusivity, and innovation—ensuring </w:t>
      </w:r>
      <w:r w:rsidRPr="1ED50CE0" w:rsidR="075F433A">
        <w:rPr>
          <w:rFonts w:ascii="Arial" w:hAnsi="Arial" w:eastAsia="Arial" w:cs="Arial"/>
          <w:b w:val="0"/>
          <w:bCs w:val="0"/>
          <w:noProof w:val="0"/>
          <w:sz w:val="22"/>
          <w:szCs w:val="22"/>
          <w:lang w:val="en-US"/>
        </w:rPr>
        <w:t>BioSync</w:t>
      </w:r>
      <w:r w:rsidRPr="1ED50CE0" w:rsidR="075F433A">
        <w:rPr>
          <w:rFonts w:ascii="Arial" w:hAnsi="Arial" w:eastAsia="Arial" w:cs="Arial"/>
          <w:b w:val="0"/>
          <w:bCs w:val="0"/>
          <w:noProof w:val="0"/>
          <w:sz w:val="22"/>
          <w:szCs w:val="22"/>
          <w:lang w:val="en-US"/>
        </w:rPr>
        <w:t xml:space="preserve"> </w:t>
      </w:r>
      <w:r w:rsidRPr="1ED50CE0" w:rsidR="075F433A">
        <w:rPr>
          <w:rFonts w:ascii="Arial" w:hAnsi="Arial" w:eastAsia="Arial" w:cs="Arial"/>
          <w:b w:val="0"/>
          <w:bCs w:val="0"/>
          <w:noProof w:val="0"/>
          <w:sz w:val="22"/>
          <w:szCs w:val="22"/>
          <w:lang w:val="en-US"/>
        </w:rPr>
        <w:t>remains</w:t>
      </w:r>
      <w:r w:rsidRPr="1ED50CE0" w:rsidR="075F433A">
        <w:rPr>
          <w:rFonts w:ascii="Arial" w:hAnsi="Arial" w:eastAsia="Arial" w:cs="Arial"/>
          <w:b w:val="0"/>
          <w:bCs w:val="0"/>
          <w:noProof w:val="0"/>
          <w:sz w:val="22"/>
          <w:szCs w:val="22"/>
          <w:lang w:val="en-US"/>
        </w:rPr>
        <w:t xml:space="preserve"> a trusted pioneer in the UK’s digital-health revolution.</w:t>
      </w:r>
    </w:p>
    <w:p w:rsidR="075F433A" w:rsidP="1ED50CE0" w:rsidRDefault="075F433A" w14:paraId="6A6AB52C" w14:textId="698D4562">
      <w:pPr>
        <w:spacing w:before="0" w:beforeAutospacing="off" w:after="160" w:afterAutospacing="off" w:line="257" w:lineRule="auto"/>
        <w:rPr>
          <w:rFonts w:ascii="Arial" w:hAnsi="Arial" w:eastAsia="Arial" w:cs="Arial"/>
          <w:b w:val="0"/>
          <w:bCs w:val="0"/>
          <w:noProof w:val="0"/>
          <w:sz w:val="22"/>
          <w:szCs w:val="22"/>
          <w:lang w:val="en-US"/>
        </w:rPr>
      </w:pPr>
      <w:r w:rsidRPr="1ED50CE0" w:rsidR="075F433A">
        <w:rPr>
          <w:rFonts w:ascii="Arial" w:hAnsi="Arial" w:eastAsia="Arial" w:cs="Arial"/>
          <w:b w:val="0"/>
          <w:bCs w:val="0"/>
          <w:noProof w:val="0"/>
          <w:sz w:val="22"/>
          <w:szCs w:val="22"/>
          <w:lang w:val="en-US"/>
        </w:rPr>
        <w:t xml:space="preserve"> </w:t>
      </w:r>
    </w:p>
    <w:p w:rsidR="64905659" w:rsidP="1ED50CE0" w:rsidRDefault="64905659" w14:paraId="2F749D7F" w14:textId="31545DCF">
      <w:pPr>
        <w:spacing w:before="240" w:beforeAutospacing="off" w:after="240" w:afterAutospacing="off"/>
        <w:rPr>
          <w:rFonts w:ascii="Arial" w:hAnsi="Arial" w:eastAsia="Arial" w:cs="Arial"/>
          <w:b w:val="0"/>
          <w:bCs w:val="0"/>
          <w:noProof w:val="0"/>
          <w:color w:val="0F4761" w:themeColor="accent1" w:themeTint="FF" w:themeShade="BF"/>
          <w:sz w:val="22"/>
          <w:szCs w:val="22"/>
          <w:lang w:val="en-US"/>
        </w:rPr>
      </w:pPr>
      <w:r w:rsidRPr="1ED50CE0" w:rsidR="64905659">
        <w:rPr>
          <w:rFonts w:ascii="Arial" w:hAnsi="Arial" w:eastAsia="Arial" w:cs="Arial"/>
          <w:b w:val="0"/>
          <w:bCs w:val="0"/>
          <w:noProof w:val="0"/>
          <w:color w:val="0F4761" w:themeColor="accent1" w:themeTint="FF" w:themeShade="BF"/>
          <w:sz w:val="22"/>
          <w:szCs w:val="22"/>
          <w:lang w:val="en-US"/>
        </w:rPr>
        <w:t>8. Conclusion</w:t>
      </w:r>
    </w:p>
    <w:p w:rsidR="64905659" w:rsidP="1ED50CE0" w:rsidRDefault="64905659" w14:paraId="45B01C28" w14:textId="03595FD9">
      <w:pPr>
        <w:spacing w:before="240" w:beforeAutospacing="off" w:after="240" w:afterAutospacing="off"/>
        <w:rPr>
          <w:rFonts w:ascii="Arial" w:hAnsi="Arial" w:eastAsia="Arial" w:cs="Arial"/>
          <w:b w:val="0"/>
          <w:bCs w:val="0"/>
          <w:noProof w:val="0"/>
          <w:sz w:val="22"/>
          <w:szCs w:val="22"/>
          <w:lang w:val="en-US"/>
        </w:rPr>
      </w:pPr>
      <w:r w:rsidRPr="1ED50CE0" w:rsidR="64905659">
        <w:rPr>
          <w:rFonts w:ascii="Arial" w:hAnsi="Arial" w:eastAsia="Arial" w:cs="Arial"/>
          <w:b w:val="0"/>
          <w:bCs w:val="0"/>
          <w:noProof w:val="0"/>
          <w:sz w:val="22"/>
          <w:szCs w:val="22"/>
          <w:lang w:val="en-US"/>
        </w:rPr>
        <w:t>BioSync</w:t>
      </w:r>
      <w:r w:rsidRPr="1ED50CE0" w:rsidR="64905659">
        <w:rPr>
          <w:rFonts w:ascii="Arial" w:hAnsi="Arial" w:eastAsia="Arial" w:cs="Arial"/>
          <w:b w:val="0"/>
          <w:bCs w:val="0"/>
          <w:noProof w:val="0"/>
          <w:sz w:val="22"/>
          <w:szCs w:val="22"/>
          <w:lang w:val="en-US"/>
        </w:rPr>
        <w:t xml:space="preserve"> </w:t>
      </w:r>
      <w:r w:rsidRPr="1ED50CE0" w:rsidR="64905659">
        <w:rPr>
          <w:rFonts w:ascii="Arial" w:hAnsi="Arial" w:eastAsia="Arial" w:cs="Arial"/>
          <w:b w:val="0"/>
          <w:bCs w:val="0"/>
          <w:noProof w:val="0"/>
          <w:sz w:val="22"/>
          <w:szCs w:val="22"/>
          <w:lang w:val="en-US"/>
        </w:rPr>
        <w:t>represents</w:t>
      </w:r>
      <w:r w:rsidRPr="1ED50CE0" w:rsidR="64905659">
        <w:rPr>
          <w:rFonts w:ascii="Arial" w:hAnsi="Arial" w:eastAsia="Arial" w:cs="Arial"/>
          <w:b w:val="0"/>
          <w:bCs w:val="0"/>
          <w:noProof w:val="0"/>
          <w:sz w:val="22"/>
          <w:szCs w:val="22"/>
          <w:lang w:val="en-US"/>
        </w:rPr>
        <w:t xml:space="preserve"> the intersection of advanced technology, ethical responsibility, and healthcare innovation. Its new wearable device embodies a transformative vision for preventive medicine, combining physiological, emotional, and environmental analytics through intelligent AI systems. </w:t>
      </w:r>
      <w:r w:rsidRPr="1ED50CE0" w:rsidR="64905659">
        <w:rPr>
          <w:rFonts w:ascii="Arial" w:hAnsi="Arial" w:eastAsia="Arial" w:cs="Arial"/>
          <w:b w:val="0"/>
          <w:bCs w:val="0"/>
          <w:noProof w:val="0"/>
          <w:sz w:val="22"/>
          <w:szCs w:val="22"/>
          <w:lang w:val="en-US"/>
        </w:rPr>
        <w:t>This integration marks a significant shift from reactive healthcare toward proactive wellbeing management.</w:t>
      </w:r>
      <w:r w:rsidRPr="1ED50CE0" w:rsidR="64905659">
        <w:rPr>
          <w:rFonts w:ascii="Arial" w:hAnsi="Arial" w:eastAsia="Arial" w:cs="Arial"/>
          <w:b w:val="0"/>
          <w:bCs w:val="0"/>
          <w:noProof w:val="0"/>
          <w:sz w:val="22"/>
          <w:szCs w:val="22"/>
          <w:lang w:val="en-US"/>
        </w:rPr>
        <w:t xml:space="preserve"> Yet, the true measure of </w:t>
      </w:r>
      <w:r w:rsidRPr="1ED50CE0" w:rsidR="64905659">
        <w:rPr>
          <w:rFonts w:ascii="Arial" w:hAnsi="Arial" w:eastAsia="Arial" w:cs="Arial"/>
          <w:b w:val="0"/>
          <w:bCs w:val="0"/>
          <w:noProof w:val="0"/>
          <w:sz w:val="22"/>
          <w:szCs w:val="22"/>
          <w:lang w:val="en-US"/>
        </w:rPr>
        <w:t>BioSync’s</w:t>
      </w:r>
      <w:r w:rsidRPr="1ED50CE0" w:rsidR="64905659">
        <w:rPr>
          <w:rFonts w:ascii="Arial" w:hAnsi="Arial" w:eastAsia="Arial" w:cs="Arial"/>
          <w:b w:val="0"/>
          <w:bCs w:val="0"/>
          <w:noProof w:val="0"/>
          <w:sz w:val="22"/>
          <w:szCs w:val="22"/>
          <w:lang w:val="en-US"/>
        </w:rPr>
        <w:t xml:space="preserve"> success extends far beyond its technological sophistication—it depends on the company’s ability to cultivate meaningful, long-term engagement with its diverse stakeholders.</w:t>
      </w:r>
    </w:p>
    <w:p w:rsidR="64905659" w:rsidP="1ED50CE0" w:rsidRDefault="64905659" w14:paraId="3D3F1475" w14:textId="59104201">
      <w:pPr>
        <w:spacing w:before="240" w:beforeAutospacing="off" w:after="240" w:afterAutospacing="off"/>
        <w:rPr>
          <w:rFonts w:ascii="Arial" w:hAnsi="Arial" w:eastAsia="Arial" w:cs="Arial"/>
          <w:b w:val="0"/>
          <w:bCs w:val="0"/>
          <w:noProof w:val="0"/>
          <w:sz w:val="22"/>
          <w:szCs w:val="22"/>
          <w:lang w:val="en-US"/>
        </w:rPr>
      </w:pPr>
      <w:r w:rsidRPr="1ED50CE0" w:rsidR="64905659">
        <w:rPr>
          <w:rFonts w:ascii="Arial" w:hAnsi="Arial" w:eastAsia="Arial" w:cs="Arial"/>
          <w:b w:val="0"/>
          <w:bCs w:val="0"/>
          <w:noProof w:val="0"/>
          <w:sz w:val="22"/>
          <w:szCs w:val="22"/>
          <w:lang w:val="en-US"/>
        </w:rPr>
        <w:t xml:space="preserve">Throughout this report, it has been </w:t>
      </w:r>
      <w:r w:rsidRPr="1ED50CE0" w:rsidR="64905659">
        <w:rPr>
          <w:rFonts w:ascii="Arial" w:hAnsi="Arial" w:eastAsia="Arial" w:cs="Arial"/>
          <w:b w:val="0"/>
          <w:bCs w:val="0"/>
          <w:noProof w:val="0"/>
          <w:sz w:val="22"/>
          <w:szCs w:val="22"/>
          <w:lang w:val="en-US"/>
        </w:rPr>
        <w:t>demonstrated</w:t>
      </w:r>
      <w:r w:rsidRPr="1ED50CE0" w:rsidR="64905659">
        <w:rPr>
          <w:rFonts w:ascii="Arial" w:hAnsi="Arial" w:eastAsia="Arial" w:cs="Arial"/>
          <w:b w:val="0"/>
          <w:bCs w:val="0"/>
          <w:noProof w:val="0"/>
          <w:sz w:val="22"/>
          <w:szCs w:val="22"/>
          <w:lang w:val="en-US"/>
        </w:rPr>
        <w:t xml:space="preserve"> that </w:t>
      </w:r>
      <w:r w:rsidRPr="1ED50CE0" w:rsidR="64905659">
        <w:rPr>
          <w:rFonts w:ascii="Arial" w:hAnsi="Arial" w:eastAsia="Arial" w:cs="Arial"/>
          <w:b w:val="0"/>
          <w:bCs w:val="0"/>
          <w:noProof w:val="0"/>
          <w:sz w:val="22"/>
          <w:szCs w:val="22"/>
          <w:lang w:val="en-US"/>
        </w:rPr>
        <w:t>BioSync’s</w:t>
      </w:r>
      <w:r w:rsidRPr="1ED50CE0" w:rsidR="64905659">
        <w:rPr>
          <w:rFonts w:ascii="Arial" w:hAnsi="Arial" w:eastAsia="Arial" w:cs="Arial"/>
          <w:b w:val="0"/>
          <w:bCs w:val="0"/>
          <w:noProof w:val="0"/>
          <w:sz w:val="22"/>
          <w:szCs w:val="22"/>
          <w:lang w:val="en-US"/>
        </w:rPr>
        <w:t xml:space="preserve"> strategic approach to stakeholder engagement—anchored in structured frameworks such as SWOT analysis, Mendelow’s Matrix, the RACI model, and the 4Cs of communication, coordination, cooperation, and collaboration—forms the backbone of its sustainable growth. Each model contributes a complementary perspective, helping </w:t>
      </w:r>
      <w:r w:rsidRPr="1ED50CE0" w:rsidR="64905659">
        <w:rPr>
          <w:rFonts w:ascii="Arial" w:hAnsi="Arial" w:eastAsia="Arial" w:cs="Arial"/>
          <w:b w:val="0"/>
          <w:bCs w:val="0"/>
          <w:noProof w:val="0"/>
          <w:sz w:val="22"/>
          <w:szCs w:val="22"/>
          <w:lang w:val="en-US"/>
        </w:rPr>
        <w:t>BioSync</w:t>
      </w:r>
      <w:r w:rsidRPr="1ED50CE0" w:rsidR="64905659">
        <w:rPr>
          <w:rFonts w:ascii="Arial" w:hAnsi="Arial" w:eastAsia="Arial" w:cs="Arial"/>
          <w:b w:val="0"/>
          <w:bCs w:val="0"/>
          <w:noProof w:val="0"/>
          <w:sz w:val="22"/>
          <w:szCs w:val="22"/>
          <w:lang w:val="en-US"/>
        </w:rPr>
        <w:t xml:space="preserve"> navigate complexity, balance stakeholder expectations, and align shared </w:t>
      </w:r>
      <w:r w:rsidRPr="1ED50CE0" w:rsidR="64905659">
        <w:rPr>
          <w:rFonts w:ascii="Arial" w:hAnsi="Arial" w:eastAsia="Arial" w:cs="Arial"/>
          <w:b w:val="0"/>
          <w:bCs w:val="0"/>
          <w:noProof w:val="0"/>
          <w:sz w:val="22"/>
          <w:szCs w:val="22"/>
          <w:lang w:val="en-US"/>
        </w:rPr>
        <w:t>objectives</w:t>
      </w:r>
      <w:r w:rsidRPr="1ED50CE0" w:rsidR="64905659">
        <w:rPr>
          <w:rFonts w:ascii="Arial" w:hAnsi="Arial" w:eastAsia="Arial" w:cs="Arial"/>
          <w:b w:val="0"/>
          <w:bCs w:val="0"/>
          <w:noProof w:val="0"/>
          <w:sz w:val="22"/>
          <w:szCs w:val="22"/>
          <w:lang w:val="en-US"/>
        </w:rPr>
        <w:t xml:space="preserve">. By encouraging open communication, nurturing cross-functional collaboration, and embedding ethical governance, </w:t>
      </w:r>
      <w:r w:rsidRPr="1ED50CE0" w:rsidR="64905659">
        <w:rPr>
          <w:rFonts w:ascii="Arial" w:hAnsi="Arial" w:eastAsia="Arial" w:cs="Arial"/>
          <w:b w:val="0"/>
          <w:bCs w:val="0"/>
          <w:noProof w:val="0"/>
          <w:sz w:val="22"/>
          <w:szCs w:val="22"/>
          <w:lang w:val="en-US"/>
        </w:rPr>
        <w:t>BioSync</w:t>
      </w:r>
      <w:r w:rsidRPr="1ED50CE0" w:rsidR="64905659">
        <w:rPr>
          <w:rFonts w:ascii="Arial" w:hAnsi="Arial" w:eastAsia="Arial" w:cs="Arial"/>
          <w:b w:val="0"/>
          <w:bCs w:val="0"/>
          <w:noProof w:val="0"/>
          <w:sz w:val="22"/>
          <w:szCs w:val="22"/>
          <w:lang w:val="en-US"/>
        </w:rPr>
        <w:t xml:space="preserve"> ensures that innovation serves both corporate goals and societal needs.</w:t>
      </w:r>
    </w:p>
    <w:p w:rsidR="64905659" w:rsidP="1ED50CE0" w:rsidRDefault="64905659" w14:paraId="7DF4C2F8" w14:textId="2B49E60C">
      <w:pPr>
        <w:spacing w:before="240" w:beforeAutospacing="off" w:after="240" w:afterAutospacing="off"/>
        <w:rPr>
          <w:rFonts w:ascii="Arial" w:hAnsi="Arial" w:eastAsia="Arial" w:cs="Arial"/>
          <w:b w:val="0"/>
          <w:bCs w:val="0"/>
          <w:noProof w:val="0"/>
          <w:sz w:val="22"/>
          <w:szCs w:val="22"/>
          <w:lang w:val="en-US"/>
        </w:rPr>
      </w:pPr>
      <w:r w:rsidRPr="1ED50CE0" w:rsidR="64905659">
        <w:rPr>
          <w:rFonts w:ascii="Arial" w:hAnsi="Arial" w:eastAsia="Arial" w:cs="Arial"/>
          <w:b w:val="0"/>
          <w:bCs w:val="0"/>
          <w:noProof w:val="0"/>
          <w:sz w:val="22"/>
          <w:szCs w:val="22"/>
          <w:lang w:val="en-US"/>
        </w:rPr>
        <w:t xml:space="preserve">Despite ongoing challenges surrounding data protection, regulatory compliance, and the ethical management of emotional analytics, </w:t>
      </w:r>
      <w:r w:rsidRPr="1ED50CE0" w:rsidR="64905659">
        <w:rPr>
          <w:rFonts w:ascii="Arial" w:hAnsi="Arial" w:eastAsia="Arial" w:cs="Arial"/>
          <w:b w:val="0"/>
          <w:bCs w:val="0"/>
          <w:noProof w:val="0"/>
          <w:sz w:val="22"/>
          <w:szCs w:val="22"/>
          <w:lang w:val="en-US"/>
        </w:rPr>
        <w:t>BioSync’s</w:t>
      </w:r>
      <w:r w:rsidRPr="1ED50CE0" w:rsidR="64905659">
        <w:rPr>
          <w:rFonts w:ascii="Arial" w:hAnsi="Arial" w:eastAsia="Arial" w:cs="Arial"/>
          <w:b w:val="0"/>
          <w:bCs w:val="0"/>
          <w:noProof w:val="0"/>
          <w:sz w:val="22"/>
          <w:szCs w:val="22"/>
          <w:lang w:val="en-US"/>
        </w:rPr>
        <w:t xml:space="preserve"> culture of transparency and accountability positions it strongly within the UK’s digital-health ecosystem. Its emphasis on dialogue—whether with regulators, clinicians, insurers, or consumers—enables continuous learning and adaptability in a rapidly evolving market.</w:t>
      </w:r>
    </w:p>
    <w:p w:rsidR="64905659" w:rsidP="1ED50CE0" w:rsidRDefault="64905659" w14:paraId="10D95417" w14:textId="08717109">
      <w:pPr>
        <w:spacing w:before="240" w:beforeAutospacing="off" w:after="240" w:afterAutospacing="off"/>
        <w:rPr>
          <w:rFonts w:ascii="Arial" w:hAnsi="Arial" w:eastAsia="Arial" w:cs="Arial"/>
          <w:b w:val="0"/>
          <w:bCs w:val="0"/>
          <w:noProof w:val="0"/>
          <w:sz w:val="22"/>
          <w:szCs w:val="22"/>
          <w:lang w:val="en-US"/>
        </w:rPr>
      </w:pPr>
      <w:r w:rsidRPr="1ED50CE0" w:rsidR="64905659">
        <w:rPr>
          <w:rFonts w:ascii="Arial" w:hAnsi="Arial" w:eastAsia="Arial" w:cs="Arial"/>
          <w:b w:val="0"/>
          <w:bCs w:val="0"/>
          <w:noProof w:val="0"/>
          <w:sz w:val="22"/>
          <w:szCs w:val="22"/>
          <w:lang w:val="en-US"/>
        </w:rPr>
        <w:t>Ultimately, stakeholder</w:t>
      </w:r>
      <w:r w:rsidRPr="1ED50CE0" w:rsidR="64905659">
        <w:rPr>
          <w:rFonts w:ascii="Arial" w:hAnsi="Arial" w:eastAsia="Arial" w:cs="Arial"/>
          <w:b w:val="0"/>
          <w:bCs w:val="0"/>
          <w:noProof w:val="0"/>
          <w:sz w:val="22"/>
          <w:szCs w:val="22"/>
          <w:lang w:val="en-US"/>
        </w:rPr>
        <w:t xml:space="preserve"> engagement for </w:t>
      </w:r>
      <w:r w:rsidRPr="1ED50CE0" w:rsidR="64905659">
        <w:rPr>
          <w:rFonts w:ascii="Arial" w:hAnsi="Arial" w:eastAsia="Arial" w:cs="Arial"/>
          <w:b w:val="0"/>
          <w:bCs w:val="0"/>
          <w:noProof w:val="0"/>
          <w:sz w:val="22"/>
          <w:szCs w:val="22"/>
          <w:lang w:val="en-US"/>
        </w:rPr>
        <w:t>BioSync</w:t>
      </w:r>
      <w:r w:rsidRPr="1ED50CE0" w:rsidR="64905659">
        <w:rPr>
          <w:rFonts w:ascii="Arial" w:hAnsi="Arial" w:eastAsia="Arial" w:cs="Arial"/>
          <w:b w:val="0"/>
          <w:bCs w:val="0"/>
          <w:noProof w:val="0"/>
          <w:sz w:val="22"/>
          <w:szCs w:val="22"/>
          <w:lang w:val="en-US"/>
        </w:rPr>
        <w:t xml:space="preserve"> is not a peripheral </w:t>
      </w:r>
      <w:r w:rsidRPr="1ED50CE0" w:rsidR="64905659">
        <w:rPr>
          <w:rFonts w:ascii="Arial" w:hAnsi="Arial" w:eastAsia="Arial" w:cs="Arial"/>
          <w:b w:val="0"/>
          <w:bCs w:val="0"/>
          <w:noProof w:val="0"/>
          <w:sz w:val="22"/>
          <w:szCs w:val="22"/>
          <w:lang w:val="en-US"/>
        </w:rPr>
        <w:t>process</w:t>
      </w:r>
      <w:r w:rsidRPr="1ED50CE0" w:rsidR="64905659">
        <w:rPr>
          <w:rFonts w:ascii="Arial" w:hAnsi="Arial" w:eastAsia="Arial" w:cs="Arial"/>
          <w:b w:val="0"/>
          <w:bCs w:val="0"/>
          <w:noProof w:val="0"/>
          <w:sz w:val="22"/>
          <w:szCs w:val="22"/>
          <w:lang w:val="en-US"/>
        </w:rPr>
        <w:t xml:space="preserve"> but a strategic enabler that transforms potential risks into opportunities for improvement and innovation. By </w:t>
      </w:r>
      <w:r w:rsidRPr="1ED50CE0" w:rsidR="64905659">
        <w:rPr>
          <w:rFonts w:ascii="Arial" w:hAnsi="Arial" w:eastAsia="Arial" w:cs="Arial"/>
          <w:b w:val="0"/>
          <w:bCs w:val="0"/>
          <w:noProof w:val="0"/>
          <w:sz w:val="22"/>
          <w:szCs w:val="22"/>
          <w:lang w:val="en-US"/>
        </w:rPr>
        <w:t>institutionalising</w:t>
      </w:r>
      <w:r w:rsidRPr="1ED50CE0" w:rsidR="64905659">
        <w:rPr>
          <w:rFonts w:ascii="Arial" w:hAnsi="Arial" w:eastAsia="Arial" w:cs="Arial"/>
          <w:b w:val="0"/>
          <w:bCs w:val="0"/>
          <w:noProof w:val="0"/>
          <w:sz w:val="22"/>
          <w:szCs w:val="22"/>
          <w:lang w:val="en-US"/>
        </w:rPr>
        <w:t xml:space="preserve"> integrity, empathy, and collaboration, </w:t>
      </w:r>
      <w:r w:rsidRPr="1ED50CE0" w:rsidR="64905659">
        <w:rPr>
          <w:rFonts w:ascii="Arial" w:hAnsi="Arial" w:eastAsia="Arial" w:cs="Arial"/>
          <w:b w:val="0"/>
          <w:bCs w:val="0"/>
          <w:noProof w:val="0"/>
          <w:sz w:val="22"/>
          <w:szCs w:val="22"/>
          <w:lang w:val="en-US"/>
        </w:rPr>
        <w:t>BioSync</w:t>
      </w:r>
      <w:r w:rsidRPr="1ED50CE0" w:rsidR="64905659">
        <w:rPr>
          <w:rFonts w:ascii="Arial" w:hAnsi="Arial" w:eastAsia="Arial" w:cs="Arial"/>
          <w:b w:val="0"/>
          <w:bCs w:val="0"/>
          <w:noProof w:val="0"/>
          <w:sz w:val="22"/>
          <w:szCs w:val="22"/>
          <w:lang w:val="en-US"/>
        </w:rPr>
        <w:t xml:space="preserve"> can continue to build trust, inspire confidence, and pioneer responsible digital wellness on a global scale. In doing so, the company not only strengthens its competitive advantage but also contributes meaningfully to the future of ethical, technology-driven healthcare.</w:t>
      </w:r>
    </w:p>
    <w:p w:rsidR="1ED50CE0" w:rsidP="1ED50CE0" w:rsidRDefault="1ED50CE0" w14:paraId="580F0C83" w14:textId="6009337E">
      <w:pPr>
        <w:spacing w:before="240" w:beforeAutospacing="off" w:after="240" w:afterAutospacing="off"/>
        <w:rPr>
          <w:rFonts w:ascii="Arial" w:hAnsi="Arial" w:eastAsia="Arial" w:cs="Arial"/>
          <w:b w:val="0"/>
          <w:bCs w:val="0"/>
          <w:noProof w:val="0"/>
          <w:sz w:val="22"/>
          <w:szCs w:val="22"/>
          <w:lang w:val="en-US"/>
        </w:rPr>
      </w:pPr>
    </w:p>
    <w:p w:rsidR="1ED50CE0" w:rsidP="1ED50CE0" w:rsidRDefault="1ED50CE0" w14:paraId="13C307E3" w14:textId="4BE669EC">
      <w:pPr>
        <w:rPr>
          <w:rFonts w:ascii="Arial" w:hAnsi="Arial" w:eastAsia="Arial" w:cs="Arial"/>
          <w:b w:val="0"/>
          <w:bCs w:val="0"/>
          <w:sz w:val="22"/>
          <w:szCs w:val="22"/>
        </w:rPr>
      </w:pPr>
    </w:p>
    <w:p w:rsidR="1ED50CE0" w:rsidP="7C462654" w:rsidRDefault="1ED50CE0" w14:noSpellErr="1" w14:paraId="5E797009" w14:textId="6B4C5FBC">
      <w:pPr>
        <w:pStyle w:val="Heading3"/>
        <w:spacing w:before="281" w:beforeAutospacing="off" w:after="281" w:afterAutospacing="off"/>
        <w:rPr>
          <w:rFonts w:ascii="Arial" w:hAnsi="Arial" w:eastAsia="Arial" w:cs="Arial"/>
          <w:b w:val="0"/>
          <w:bCs w:val="0"/>
          <w:noProof w:val="0"/>
          <w:sz w:val="22"/>
          <w:szCs w:val="22"/>
          <w:lang w:val="en-US"/>
        </w:rPr>
      </w:pPr>
      <w:r w:rsidRPr="7C462654" w:rsidR="36506E37">
        <w:rPr>
          <w:rFonts w:ascii="Arial" w:hAnsi="Arial" w:eastAsia="Arial" w:cs="Arial"/>
          <w:b w:val="0"/>
          <w:bCs w:val="0"/>
          <w:noProof w:val="0"/>
          <w:sz w:val="22"/>
          <w:szCs w:val="22"/>
          <w:lang w:val="en-US"/>
        </w:rPr>
        <w:t>References (Harvard Style)</w:t>
      </w:r>
    </w:p>
    <w:p w:rsidR="1ED50CE0" w:rsidP="7C462654" w:rsidRDefault="1ED50CE0" w14:noSpellErr="1" w14:paraId="5A26231C" w14:textId="4107008D">
      <w:pPr>
        <w:spacing w:before="240" w:beforeAutospacing="off" w:after="240" w:afterAutospacing="off"/>
        <w:rPr>
          <w:rFonts w:ascii="Arial" w:hAnsi="Arial" w:eastAsia="Arial" w:cs="Arial"/>
          <w:b w:val="0"/>
          <w:bCs w:val="0"/>
          <w:noProof w:val="0"/>
          <w:sz w:val="22"/>
          <w:szCs w:val="22"/>
          <w:lang w:val="en-US"/>
        </w:rPr>
      </w:pPr>
      <w:r w:rsidRPr="7C462654" w:rsidR="36506E37">
        <w:rPr>
          <w:rFonts w:ascii="Arial" w:hAnsi="Arial" w:eastAsia="Arial" w:cs="Arial"/>
          <w:b w:val="0"/>
          <w:bCs w:val="0"/>
          <w:noProof w:val="0"/>
          <w:sz w:val="22"/>
          <w:szCs w:val="22"/>
          <w:lang w:val="en-US"/>
        </w:rPr>
        <w:t xml:space="preserve">Arnstein, S. (1969). </w:t>
      </w:r>
      <w:r w:rsidRPr="7C462654" w:rsidR="36506E37">
        <w:rPr>
          <w:rFonts w:ascii="Arial" w:hAnsi="Arial" w:eastAsia="Arial" w:cs="Arial"/>
          <w:b w:val="0"/>
          <w:bCs w:val="0"/>
          <w:i w:val="1"/>
          <w:iCs w:val="1"/>
          <w:noProof w:val="0"/>
          <w:sz w:val="22"/>
          <w:szCs w:val="22"/>
          <w:lang w:val="en-US"/>
        </w:rPr>
        <w:t>A Ladder of Citizen Participation</w:t>
      </w:r>
      <w:r w:rsidRPr="7C462654" w:rsidR="36506E37">
        <w:rPr>
          <w:rFonts w:ascii="Arial" w:hAnsi="Arial" w:eastAsia="Arial" w:cs="Arial"/>
          <w:b w:val="0"/>
          <w:bCs w:val="0"/>
          <w:noProof w:val="0"/>
          <w:sz w:val="22"/>
          <w:szCs w:val="22"/>
          <w:lang w:val="en-US"/>
        </w:rPr>
        <w:t>. Journal of the American Institute of Planners, 35(4), 216–224.</w:t>
      </w:r>
      <w:r>
        <w:br/>
      </w:r>
      <w:r w:rsidRPr="7C462654" w:rsidR="36506E37">
        <w:rPr>
          <w:rFonts w:ascii="Arial" w:hAnsi="Arial" w:eastAsia="Arial" w:cs="Arial"/>
          <w:b w:val="0"/>
          <w:bCs w:val="0"/>
          <w:noProof w:val="0"/>
          <w:sz w:val="22"/>
          <w:szCs w:val="22"/>
          <w:lang w:val="en-US"/>
        </w:rPr>
        <w:t xml:space="preserve"> Freeman, R.E. (1984). </w:t>
      </w:r>
      <w:r w:rsidRPr="7C462654" w:rsidR="36506E37">
        <w:rPr>
          <w:rFonts w:ascii="Arial" w:hAnsi="Arial" w:eastAsia="Arial" w:cs="Arial"/>
          <w:b w:val="0"/>
          <w:bCs w:val="0"/>
          <w:i w:val="1"/>
          <w:iCs w:val="1"/>
          <w:noProof w:val="0"/>
          <w:sz w:val="22"/>
          <w:szCs w:val="22"/>
          <w:lang w:val="en-US"/>
        </w:rPr>
        <w:t>Strategic Management: A Stakeholder Approach</w:t>
      </w:r>
      <w:r w:rsidRPr="7C462654" w:rsidR="36506E37">
        <w:rPr>
          <w:rFonts w:ascii="Arial" w:hAnsi="Arial" w:eastAsia="Arial" w:cs="Arial"/>
          <w:b w:val="0"/>
          <w:bCs w:val="0"/>
          <w:noProof w:val="0"/>
          <w:sz w:val="22"/>
          <w:szCs w:val="22"/>
          <w:lang w:val="en-US"/>
        </w:rPr>
        <w:t>. Boston: Pitman.</w:t>
      </w:r>
      <w:r>
        <w:br/>
      </w:r>
      <w:r w:rsidRPr="7C462654" w:rsidR="36506E37">
        <w:rPr>
          <w:rFonts w:ascii="Arial" w:hAnsi="Arial" w:eastAsia="Arial" w:cs="Arial"/>
          <w:b w:val="0"/>
          <w:bCs w:val="0"/>
          <w:noProof w:val="0"/>
          <w:sz w:val="22"/>
          <w:szCs w:val="22"/>
          <w:lang w:val="en-US"/>
        </w:rPr>
        <w:t xml:space="preserve"> Mendelow, A. (1991). ‘Environmental Scanning: The Impact of the Stakeholder Concept.’ </w:t>
      </w:r>
      <w:r w:rsidRPr="7C462654" w:rsidR="36506E37">
        <w:rPr>
          <w:rFonts w:ascii="Arial" w:hAnsi="Arial" w:eastAsia="Arial" w:cs="Arial"/>
          <w:b w:val="0"/>
          <w:bCs w:val="0"/>
          <w:i w:val="1"/>
          <w:iCs w:val="1"/>
          <w:noProof w:val="0"/>
          <w:sz w:val="22"/>
          <w:szCs w:val="22"/>
          <w:lang w:val="en-US"/>
        </w:rPr>
        <w:t>ICIS Proceedings.</w:t>
      </w:r>
      <w:r>
        <w:br/>
      </w:r>
      <w:r w:rsidRPr="7C462654" w:rsidR="36506E37">
        <w:rPr>
          <w:rFonts w:ascii="Arial" w:hAnsi="Arial" w:eastAsia="Arial" w:cs="Arial"/>
          <w:b w:val="0"/>
          <w:bCs w:val="0"/>
          <w:noProof w:val="0"/>
          <w:sz w:val="22"/>
          <w:szCs w:val="22"/>
          <w:lang w:val="en-US"/>
        </w:rPr>
        <w:t xml:space="preserve"> Thomas, K.W. &amp; Kilmann, R.H. (1974). </w:t>
      </w:r>
      <w:r w:rsidRPr="7C462654" w:rsidR="36506E37">
        <w:rPr>
          <w:rFonts w:ascii="Arial" w:hAnsi="Arial" w:eastAsia="Arial" w:cs="Arial"/>
          <w:b w:val="0"/>
          <w:bCs w:val="0"/>
          <w:i w:val="1"/>
          <w:iCs w:val="1"/>
          <w:noProof w:val="0"/>
          <w:sz w:val="22"/>
          <w:szCs w:val="22"/>
          <w:lang w:val="en-US"/>
        </w:rPr>
        <w:t>Thomas-Kilmann Conflict Mode Instrument.</w:t>
      </w:r>
      <w:r w:rsidRPr="7C462654" w:rsidR="36506E37">
        <w:rPr>
          <w:rFonts w:ascii="Arial" w:hAnsi="Arial" w:eastAsia="Arial" w:cs="Arial"/>
          <w:b w:val="0"/>
          <w:bCs w:val="0"/>
          <w:noProof w:val="0"/>
          <w:sz w:val="22"/>
          <w:szCs w:val="22"/>
          <w:lang w:val="en-US"/>
        </w:rPr>
        <w:t xml:space="preserve"> Xicom.</w:t>
      </w:r>
      <w:r>
        <w:br/>
      </w:r>
      <w:r w:rsidRPr="7C462654" w:rsidR="36506E37">
        <w:rPr>
          <w:rFonts w:ascii="Arial" w:hAnsi="Arial" w:eastAsia="Arial" w:cs="Arial"/>
          <w:b w:val="0"/>
          <w:bCs w:val="0"/>
          <w:noProof w:val="0"/>
          <w:sz w:val="22"/>
          <w:szCs w:val="22"/>
          <w:lang w:val="en-US"/>
        </w:rPr>
        <w:t xml:space="preserve"> NHS Digital (2023). </w:t>
      </w:r>
      <w:r w:rsidRPr="7C462654" w:rsidR="36506E37">
        <w:rPr>
          <w:rFonts w:ascii="Arial" w:hAnsi="Arial" w:eastAsia="Arial" w:cs="Arial"/>
          <w:b w:val="0"/>
          <w:bCs w:val="0"/>
          <w:i w:val="1"/>
          <w:iCs w:val="1"/>
          <w:noProof w:val="0"/>
          <w:sz w:val="22"/>
          <w:szCs w:val="22"/>
          <w:lang w:val="en-US"/>
        </w:rPr>
        <w:t>Digital Health and Wearables in the UK.</w:t>
      </w:r>
      <w:r w:rsidRPr="7C462654" w:rsidR="36506E37">
        <w:rPr>
          <w:rFonts w:ascii="Arial" w:hAnsi="Arial" w:eastAsia="Arial" w:cs="Arial"/>
          <w:b w:val="0"/>
          <w:bCs w:val="0"/>
          <w:noProof w:val="0"/>
          <w:sz w:val="22"/>
          <w:szCs w:val="22"/>
          <w:lang w:val="en-US"/>
        </w:rPr>
        <w:t xml:space="preserve"> [online] Available at: </w:t>
      </w:r>
      <w:hyperlink r:id="Rbbf6181d92a84c1f">
        <w:r w:rsidRPr="7C462654" w:rsidR="36506E37">
          <w:rPr>
            <w:rStyle w:val="Hyperlink"/>
            <w:rFonts w:ascii="Arial" w:hAnsi="Arial" w:eastAsia="Arial" w:cs="Arial"/>
            <w:b w:val="0"/>
            <w:bCs w:val="0"/>
            <w:noProof w:val="0"/>
            <w:sz w:val="22"/>
            <w:szCs w:val="22"/>
            <w:lang w:val="en-US"/>
          </w:rPr>
          <w:t>https://digital.nhs.uk</w:t>
        </w:r>
      </w:hyperlink>
      <w:r w:rsidRPr="7C462654" w:rsidR="36506E37">
        <w:rPr>
          <w:rFonts w:ascii="Arial" w:hAnsi="Arial" w:eastAsia="Arial" w:cs="Arial"/>
          <w:b w:val="0"/>
          <w:bCs w:val="0"/>
          <w:noProof w:val="0"/>
          <w:sz w:val="22"/>
          <w:szCs w:val="22"/>
          <w:lang w:val="en-US"/>
        </w:rPr>
        <w:t xml:space="preserve"> [Accessed 3 Oct. 2025].</w:t>
      </w:r>
      <w:r>
        <w:br/>
      </w:r>
      <w:r w:rsidRPr="7C462654" w:rsidR="36506E37">
        <w:rPr>
          <w:rFonts w:ascii="Arial" w:hAnsi="Arial" w:eastAsia="Arial" w:cs="Arial"/>
          <w:b w:val="0"/>
          <w:bCs w:val="0"/>
          <w:noProof w:val="0"/>
          <w:sz w:val="22"/>
          <w:szCs w:val="22"/>
          <w:lang w:val="en-US"/>
        </w:rPr>
        <w:t xml:space="preserve"> Information Commissioner’s Office (2024). </w:t>
      </w:r>
      <w:r w:rsidRPr="7C462654" w:rsidR="36506E37">
        <w:rPr>
          <w:rFonts w:ascii="Arial" w:hAnsi="Arial" w:eastAsia="Arial" w:cs="Arial"/>
          <w:b w:val="0"/>
          <w:bCs w:val="0"/>
          <w:i w:val="1"/>
          <w:iCs w:val="1"/>
          <w:noProof w:val="0"/>
          <w:sz w:val="22"/>
          <w:szCs w:val="22"/>
          <w:lang w:val="en-US"/>
        </w:rPr>
        <w:t>Guide to Data Protection.</w:t>
      </w:r>
      <w:r w:rsidRPr="7C462654" w:rsidR="36506E37">
        <w:rPr>
          <w:rFonts w:ascii="Arial" w:hAnsi="Arial" w:eastAsia="Arial" w:cs="Arial"/>
          <w:b w:val="0"/>
          <w:bCs w:val="0"/>
          <w:noProof w:val="0"/>
          <w:sz w:val="22"/>
          <w:szCs w:val="22"/>
          <w:lang w:val="en-US"/>
        </w:rPr>
        <w:t xml:space="preserve"> [online] Available at: </w:t>
      </w:r>
      <w:hyperlink r:id="R75baaadd238c4715">
        <w:r w:rsidRPr="7C462654" w:rsidR="36506E37">
          <w:rPr>
            <w:rStyle w:val="Hyperlink"/>
            <w:rFonts w:ascii="Arial" w:hAnsi="Arial" w:eastAsia="Arial" w:cs="Arial"/>
            <w:b w:val="0"/>
            <w:bCs w:val="0"/>
            <w:noProof w:val="0"/>
            <w:sz w:val="22"/>
            <w:szCs w:val="22"/>
            <w:lang w:val="en-US"/>
          </w:rPr>
          <w:t>https://ico.org.uk</w:t>
        </w:r>
      </w:hyperlink>
      <w:r w:rsidRPr="7C462654" w:rsidR="36506E37">
        <w:rPr>
          <w:rFonts w:ascii="Arial" w:hAnsi="Arial" w:eastAsia="Arial" w:cs="Arial"/>
          <w:b w:val="0"/>
          <w:bCs w:val="0"/>
          <w:noProof w:val="0"/>
          <w:sz w:val="22"/>
          <w:szCs w:val="22"/>
          <w:lang w:val="en-US"/>
        </w:rPr>
        <w:t>.</w:t>
      </w:r>
      <w:r>
        <w:br/>
      </w:r>
      <w:r w:rsidRPr="7C462654" w:rsidR="36506E37">
        <w:rPr>
          <w:rFonts w:ascii="Arial" w:hAnsi="Arial" w:eastAsia="Arial" w:cs="Arial"/>
          <w:b w:val="0"/>
          <w:bCs w:val="0"/>
          <w:noProof w:val="0"/>
          <w:sz w:val="22"/>
          <w:szCs w:val="22"/>
          <w:lang w:val="en-US"/>
        </w:rPr>
        <w:t xml:space="preserve"> Apple Inc. (2023). </w:t>
      </w:r>
      <w:r w:rsidRPr="7C462654" w:rsidR="36506E37">
        <w:rPr>
          <w:rFonts w:ascii="Arial" w:hAnsi="Arial" w:eastAsia="Arial" w:cs="Arial"/>
          <w:b w:val="0"/>
          <w:bCs w:val="0"/>
          <w:i w:val="1"/>
          <w:iCs w:val="1"/>
          <w:noProof w:val="0"/>
          <w:sz w:val="22"/>
          <w:szCs w:val="22"/>
          <w:lang w:val="en-US"/>
        </w:rPr>
        <w:t>Apple Annual Report.</w:t>
      </w:r>
      <w:r w:rsidRPr="7C462654" w:rsidR="36506E37">
        <w:rPr>
          <w:rFonts w:ascii="Arial" w:hAnsi="Arial" w:eastAsia="Arial" w:cs="Arial"/>
          <w:b w:val="0"/>
          <w:bCs w:val="0"/>
          <w:noProof w:val="0"/>
          <w:sz w:val="22"/>
          <w:szCs w:val="22"/>
          <w:lang w:val="en-US"/>
        </w:rPr>
        <w:t xml:space="preserve"> [online] Available at: </w:t>
      </w:r>
      <w:hyperlink r:id="R0913522215d34293">
        <w:r w:rsidRPr="7C462654" w:rsidR="36506E37">
          <w:rPr>
            <w:rStyle w:val="Hyperlink"/>
            <w:rFonts w:ascii="Arial" w:hAnsi="Arial" w:eastAsia="Arial" w:cs="Arial"/>
            <w:b w:val="0"/>
            <w:bCs w:val="0"/>
            <w:noProof w:val="0"/>
            <w:sz w:val="22"/>
            <w:szCs w:val="22"/>
            <w:lang w:val="en-US"/>
          </w:rPr>
          <w:t>https://www.apple.com/investor/</w:t>
        </w:r>
      </w:hyperlink>
      <w:r w:rsidRPr="7C462654" w:rsidR="36506E37">
        <w:rPr>
          <w:rFonts w:ascii="Arial" w:hAnsi="Arial" w:eastAsia="Arial" w:cs="Arial"/>
          <w:b w:val="0"/>
          <w:bCs w:val="0"/>
          <w:noProof w:val="0"/>
          <w:sz w:val="22"/>
          <w:szCs w:val="22"/>
          <w:lang w:val="en-US"/>
        </w:rPr>
        <w:t xml:space="preserve"> [Accessed 3 Oct. 2025].</w:t>
      </w:r>
      <w:r>
        <w:br/>
      </w:r>
      <w:r w:rsidRPr="7C462654" w:rsidR="36506E37">
        <w:rPr>
          <w:rFonts w:ascii="Arial" w:hAnsi="Arial" w:eastAsia="Arial" w:cs="Arial"/>
          <w:b w:val="0"/>
          <w:bCs w:val="0"/>
          <w:noProof w:val="0"/>
          <w:sz w:val="22"/>
          <w:szCs w:val="22"/>
          <w:lang w:val="en-US"/>
        </w:rPr>
        <w:t xml:space="preserve"> Smith, L. &amp; McBride, J. (2022). </w:t>
      </w:r>
      <w:r w:rsidRPr="7C462654" w:rsidR="36506E37">
        <w:rPr>
          <w:rFonts w:ascii="Arial" w:hAnsi="Arial" w:eastAsia="Arial" w:cs="Arial"/>
          <w:b w:val="0"/>
          <w:bCs w:val="0"/>
          <w:i w:val="1"/>
          <w:iCs w:val="1"/>
          <w:noProof w:val="0"/>
          <w:sz w:val="22"/>
          <w:szCs w:val="22"/>
          <w:lang w:val="en-US"/>
        </w:rPr>
        <w:t>AI Ethics in Healthcare Technology: Balancing Innovation and Privacy.</w:t>
      </w:r>
      <w:r w:rsidRPr="7C462654" w:rsidR="36506E37">
        <w:rPr>
          <w:rFonts w:ascii="Arial" w:hAnsi="Arial" w:eastAsia="Arial" w:cs="Arial"/>
          <w:b w:val="0"/>
          <w:bCs w:val="0"/>
          <w:noProof w:val="0"/>
          <w:sz w:val="22"/>
          <w:szCs w:val="22"/>
          <w:lang w:val="en-US"/>
        </w:rPr>
        <w:t xml:space="preserve"> Oxford University Press.</w:t>
      </w:r>
      <w:r>
        <w:br/>
      </w:r>
      <w:r w:rsidRPr="7C462654" w:rsidR="36506E37">
        <w:rPr>
          <w:rFonts w:ascii="Arial" w:hAnsi="Arial" w:eastAsia="Arial" w:cs="Arial"/>
          <w:b w:val="0"/>
          <w:bCs w:val="0"/>
          <w:noProof w:val="0"/>
          <w:sz w:val="22"/>
          <w:szCs w:val="22"/>
          <w:lang w:val="en-US"/>
        </w:rPr>
        <w:t xml:space="preserve"> UK Government (2024). </w:t>
      </w:r>
      <w:r w:rsidRPr="7C462654" w:rsidR="36506E37">
        <w:rPr>
          <w:rFonts w:ascii="Arial" w:hAnsi="Arial" w:eastAsia="Arial" w:cs="Arial"/>
          <w:b w:val="0"/>
          <w:bCs w:val="0"/>
          <w:i w:val="1"/>
          <w:iCs w:val="1"/>
          <w:noProof w:val="0"/>
          <w:sz w:val="22"/>
          <w:szCs w:val="22"/>
          <w:lang w:val="en-US"/>
        </w:rPr>
        <w:t>Policy Paper: The Future of Digital Health and Care.</w:t>
      </w:r>
      <w:r w:rsidRPr="7C462654" w:rsidR="36506E37">
        <w:rPr>
          <w:rFonts w:ascii="Arial" w:hAnsi="Arial" w:eastAsia="Arial" w:cs="Arial"/>
          <w:b w:val="0"/>
          <w:bCs w:val="0"/>
          <w:noProof w:val="0"/>
          <w:sz w:val="22"/>
          <w:szCs w:val="22"/>
          <w:lang w:val="en-US"/>
        </w:rPr>
        <w:t xml:space="preserve"> [online] Available at: </w:t>
      </w:r>
      <w:hyperlink r:id="Reea95e74fc7143e1">
        <w:r w:rsidRPr="7C462654" w:rsidR="36506E37">
          <w:rPr>
            <w:rStyle w:val="Hyperlink"/>
            <w:rFonts w:ascii="Arial" w:hAnsi="Arial" w:eastAsia="Arial" w:cs="Arial"/>
            <w:b w:val="0"/>
            <w:bCs w:val="0"/>
            <w:noProof w:val="0"/>
            <w:sz w:val="22"/>
            <w:szCs w:val="22"/>
            <w:lang w:val="en-US"/>
          </w:rPr>
          <w:t>https://www.gov.uk/digitalhealth</w:t>
        </w:r>
      </w:hyperlink>
      <w:r w:rsidRPr="7C462654" w:rsidR="36506E37">
        <w:rPr>
          <w:rFonts w:ascii="Arial" w:hAnsi="Arial" w:eastAsia="Arial" w:cs="Arial"/>
          <w:b w:val="0"/>
          <w:bCs w:val="0"/>
          <w:noProof w:val="0"/>
          <w:sz w:val="22"/>
          <w:szCs w:val="22"/>
          <w:lang w:val="en-US"/>
        </w:rPr>
        <w:t>.</w:t>
      </w:r>
    </w:p>
    <w:p w:rsidR="1ED50CE0" w:rsidP="1ED50CE0" w:rsidRDefault="1ED50CE0" w14:paraId="48BD9B1F" w14:textId="42B82935">
      <w:pPr>
        <w:spacing w:before="240" w:beforeAutospacing="off" w:after="240" w:afterAutospacing="off"/>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mHIOvS86epDk" int2:id="CO0EpCZ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8">
    <w:nsid w:val="28fc33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74099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3d356e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c988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acbf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a14b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0f616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48672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471b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ff04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dddc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af5b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9938b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d1a8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5d9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7c52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c899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22825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1840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b7c0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5285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6e44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558b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776f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b793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f44a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22bd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55a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8c89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cb4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be0c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681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52fa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79dc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fab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573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d61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770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AB88E2"/>
    <w:rsid w:val="0011BAF8"/>
    <w:rsid w:val="0179BA99"/>
    <w:rsid w:val="01C3C76F"/>
    <w:rsid w:val="01FA9B1D"/>
    <w:rsid w:val="02E85BD6"/>
    <w:rsid w:val="03856C34"/>
    <w:rsid w:val="049DE958"/>
    <w:rsid w:val="072530A7"/>
    <w:rsid w:val="075F433A"/>
    <w:rsid w:val="080152A9"/>
    <w:rsid w:val="080A2795"/>
    <w:rsid w:val="080A2795"/>
    <w:rsid w:val="08AB88E2"/>
    <w:rsid w:val="0995C25B"/>
    <w:rsid w:val="09978A33"/>
    <w:rsid w:val="0A1A4DDA"/>
    <w:rsid w:val="0B9034A0"/>
    <w:rsid w:val="0EFF1ECE"/>
    <w:rsid w:val="1040BB6A"/>
    <w:rsid w:val="17941FB1"/>
    <w:rsid w:val="17941FB1"/>
    <w:rsid w:val="19A8D3B0"/>
    <w:rsid w:val="1D79725C"/>
    <w:rsid w:val="1ED50CE0"/>
    <w:rsid w:val="2042110A"/>
    <w:rsid w:val="20AF0543"/>
    <w:rsid w:val="22630610"/>
    <w:rsid w:val="2270090A"/>
    <w:rsid w:val="22755190"/>
    <w:rsid w:val="22927D9C"/>
    <w:rsid w:val="260C09D8"/>
    <w:rsid w:val="294DEE70"/>
    <w:rsid w:val="2D1C6BF9"/>
    <w:rsid w:val="2EB6CFCD"/>
    <w:rsid w:val="30DF1E6A"/>
    <w:rsid w:val="310567B0"/>
    <w:rsid w:val="31625516"/>
    <w:rsid w:val="317790AF"/>
    <w:rsid w:val="359D189B"/>
    <w:rsid w:val="36506E37"/>
    <w:rsid w:val="398A4B6F"/>
    <w:rsid w:val="3AAD9FCE"/>
    <w:rsid w:val="3AAD9FCE"/>
    <w:rsid w:val="3B13E6BD"/>
    <w:rsid w:val="3B4CBFC0"/>
    <w:rsid w:val="3D113B04"/>
    <w:rsid w:val="3E4E456B"/>
    <w:rsid w:val="3F57802C"/>
    <w:rsid w:val="41D15872"/>
    <w:rsid w:val="43715471"/>
    <w:rsid w:val="45D9B1D1"/>
    <w:rsid w:val="48DD20BD"/>
    <w:rsid w:val="49562441"/>
    <w:rsid w:val="4B254BE0"/>
    <w:rsid w:val="4BD98050"/>
    <w:rsid w:val="4CE71CAD"/>
    <w:rsid w:val="4EBA7D27"/>
    <w:rsid w:val="4F6951E1"/>
    <w:rsid w:val="5109D922"/>
    <w:rsid w:val="55A7AC1E"/>
    <w:rsid w:val="569FD2E0"/>
    <w:rsid w:val="56B5CAF1"/>
    <w:rsid w:val="5709800A"/>
    <w:rsid w:val="57FCA959"/>
    <w:rsid w:val="599A7FBA"/>
    <w:rsid w:val="5B791156"/>
    <w:rsid w:val="5C14A66C"/>
    <w:rsid w:val="5CF0C31C"/>
    <w:rsid w:val="5D0A6206"/>
    <w:rsid w:val="5E29E319"/>
    <w:rsid w:val="5FB769A6"/>
    <w:rsid w:val="631DCF38"/>
    <w:rsid w:val="632857E4"/>
    <w:rsid w:val="64905659"/>
    <w:rsid w:val="67872AE4"/>
    <w:rsid w:val="68E8B370"/>
    <w:rsid w:val="696CB20F"/>
    <w:rsid w:val="69F2D70B"/>
    <w:rsid w:val="6AB27BE0"/>
    <w:rsid w:val="6AC452F7"/>
    <w:rsid w:val="6AC452F7"/>
    <w:rsid w:val="6B40D1BE"/>
    <w:rsid w:val="6BF465E5"/>
    <w:rsid w:val="6BF465E5"/>
    <w:rsid w:val="6F2CB24D"/>
    <w:rsid w:val="6F415106"/>
    <w:rsid w:val="7197338D"/>
    <w:rsid w:val="72D1236E"/>
    <w:rsid w:val="73D993C4"/>
    <w:rsid w:val="73DB27CC"/>
    <w:rsid w:val="740A860D"/>
    <w:rsid w:val="789DC6AE"/>
    <w:rsid w:val="7C462654"/>
    <w:rsid w:val="7E7A7ED7"/>
    <w:rsid w:val="7E9231EA"/>
    <w:rsid w:val="7EC75AA8"/>
    <w:rsid w:val="7F4CB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88E2"/>
  <w15:chartTrackingRefBased/>
  <w15:docId w15:val="{418CDA5F-A780-48BC-B07A-0E34187277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2630610"/>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608140702dc4eb1" /><Relationship Type="http://schemas.openxmlformats.org/officeDocument/2006/relationships/numbering" Target="numbering.xml" Id="R98ace57b3fd4481d" /><Relationship Type="http://schemas.openxmlformats.org/officeDocument/2006/relationships/hyperlink" Target="https://digital.nhs.uk/" TargetMode="External" Id="Rbbf6181d92a84c1f" /><Relationship Type="http://schemas.openxmlformats.org/officeDocument/2006/relationships/hyperlink" Target="https://ico.org.uk" TargetMode="External" Id="R75baaadd238c4715" /><Relationship Type="http://schemas.openxmlformats.org/officeDocument/2006/relationships/hyperlink" Target="https://www.apple.com/investor/" TargetMode="External" Id="R0913522215d34293" /><Relationship Type="http://schemas.openxmlformats.org/officeDocument/2006/relationships/hyperlink" Target="https://www.gov.uk/digitalhealth" TargetMode="External" Id="Reea95e74fc7143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2025-10-03T14:45:14.3138681Z</dcterms:created>
  <dcterms:modified xsi:type="dcterms:W3CDTF">2025-11-04T14:11:55.4426328Z</dcterms:modified>
  <dc:creator>Dariush Nezamalmolki (2407310)</dc:creator>
  <lastModifiedBy>Dariush Nezamalmolki (2407310)</lastModifiedBy>
</coreProperties>
</file>