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1B51E9" w:rsidRDefault="00BE1DC5">
      <w:pPr>
        <w:rPr>
          <w:i/>
          <w:sz w:val="24"/>
          <w:u w:val="single"/>
        </w:rPr>
      </w:pPr>
      <w:r w:rsidRPr="00BE1DC5">
        <w:rPr>
          <w:i/>
          <w:sz w:val="24"/>
          <w:u w:val="single"/>
        </w:rPr>
        <w:t>To what extent did Abraham Lincoln’s views of slavery change in the period between his debates with Stephen A Douglas in 1858, and his proposing of the 13</w:t>
      </w:r>
      <w:r w:rsidRPr="00BE1DC5">
        <w:rPr>
          <w:i/>
          <w:sz w:val="24"/>
          <w:u w:val="single"/>
          <w:vertAlign w:val="superscript"/>
        </w:rPr>
        <w:t>th</w:t>
      </w:r>
      <w:r w:rsidRPr="00BE1DC5">
        <w:rPr>
          <w:i/>
          <w:sz w:val="24"/>
          <w:u w:val="single"/>
        </w:rPr>
        <w:t xml:space="preserve"> amendment to the US constitution (1865)?</w:t>
      </w:r>
    </w:p>
    <w:p w:rsidR="00BE1DC5" w:rsidRDefault="00BE1DC5">
      <w:r>
        <w:t xml:space="preserve">During the period 1858 to 1865 it is obvious that Lincoln’s views towards </w:t>
      </w:r>
      <w:r w:rsidR="009773B4">
        <w:t xml:space="preserve">slavery in the United States </w:t>
      </w:r>
      <w:r>
        <w:t xml:space="preserve">changed, at least somewhat. </w:t>
      </w:r>
      <w:r w:rsidR="009773B4">
        <w:t xml:space="preserve">Analysis of Lincoln’s speeches and decisions shows that throughout the period Lincoln became more of an abolitionist, though it is debatable how much of this new viewpoint was dependent of the circumstances of the civil war. </w:t>
      </w:r>
      <w:r>
        <w:t>In 1858 during the Illinois Senate debate series against Douglas</w:t>
      </w:r>
      <w:r w:rsidR="00D1369E">
        <w:t xml:space="preserve">, where </w:t>
      </w:r>
      <w:r>
        <w:t>though ultimately unsuccessful, Lincoln was granted his reput</w:t>
      </w:r>
      <w:r w:rsidR="00D1369E">
        <w:t>ation as a good public speaker,</w:t>
      </w:r>
      <w:r>
        <w:t xml:space="preserve"> his opinions were those a ‘Free </w:t>
      </w:r>
      <w:proofErr w:type="spellStart"/>
      <w:r>
        <w:t>Soiler</w:t>
      </w:r>
      <w:proofErr w:type="spellEnd"/>
      <w:r>
        <w:t>’</w:t>
      </w:r>
      <w:r w:rsidR="00D1369E">
        <w:t xml:space="preserve">. Lincoln appeared as a candidate </w:t>
      </w:r>
      <w:r>
        <w:t xml:space="preserve">against the spread of slavery into the new territories, but at least not against slavery’s short-term continued existence. </w:t>
      </w:r>
      <w:r w:rsidR="00D1369E">
        <w:t xml:space="preserve">This for a man born in Kentucky, a slave state and raised in Illinois, free although with constraining ‘black laws’ might not seem unusual. Some claim that his opinions towards stemmed from his upbringing on a small farmstead, and that Lincoln was never more than against slavery’s spread. </w:t>
      </w:r>
      <w:r>
        <w:t xml:space="preserve">However </w:t>
      </w:r>
      <w:r w:rsidR="0004632E">
        <w:t xml:space="preserve">it seems that </w:t>
      </w:r>
      <w:r>
        <w:t xml:space="preserve">at some point over the next seven years, with his inauguration and the coming of the civil war, Lincoln’s opinions evolved from those of a free </w:t>
      </w:r>
      <w:proofErr w:type="spellStart"/>
      <w:r>
        <w:t>soiler</w:t>
      </w:r>
      <w:proofErr w:type="spellEnd"/>
      <w:r>
        <w:t xml:space="preserve"> who favoured gradual emancipation and the settlement of former slaves </w:t>
      </w:r>
      <w:r w:rsidR="00D1369E">
        <w:t>in Africa,</w:t>
      </w:r>
      <w:r w:rsidR="0004632E">
        <w:t xml:space="preserve"> following Henry Clay’s vision,</w:t>
      </w:r>
      <w:r w:rsidR="00D1369E">
        <w:t xml:space="preserve"> to views which some considered radically abolitionist. Lincoln became a leader who demanded immediate freedom for slaves in the rebellious Southern states, whose image of reconstruction would include the education and enfranchisement of black people, the rights of a citizen for former slaves. In the years 1858 – 1865 Lincoln moved from being a moderate republican and an outsider for any kind of political office, to earning the title later awarded to him by popular history – that of the ‘Great Emancipator’.</w:t>
      </w:r>
    </w:p>
    <w:p w:rsidR="00C37694" w:rsidRDefault="0004632E">
      <w:r>
        <w:t xml:space="preserve">Before 1858, Lincoln’s views on the ‘peculiar institution’ had arguably been shaped in a number of ways. Lincoln had been brought up under Baptist Christian beliefs that abhorred slavery, and on a small homestead in the Midwest, the kind of background that at least led to his objections about the spread of slavery from a young age. Hundreds of claims were also made in the years after Lincoln’s death about events that supposedly made Lincoln swear to end slavery long before he ever supported abolition as a politician. Historians have spent years evaluating the validity of many of these popular tales. For example, </w:t>
      </w:r>
      <w:r w:rsidR="009773B4">
        <w:t>Current argues that the story, popularised after his death, of Lincoln’s opinions towards slavery coming from having witnessed a slave auction in New Orleans</w:t>
      </w:r>
      <w:r w:rsidR="001935E3">
        <w:t xml:space="preserve"> as a young man</w:t>
      </w:r>
      <w:r w:rsidR="009773B4">
        <w:t xml:space="preserve">, filling him with an “unconquerable </w:t>
      </w:r>
      <w:r w:rsidR="001935E3">
        <w:t>hate” is</w:t>
      </w:r>
      <w:r w:rsidR="009773B4">
        <w:t xml:space="preserve"> very unlikely</w:t>
      </w:r>
      <w:r w:rsidR="001935E3">
        <w:t>;</w:t>
      </w:r>
      <w:r w:rsidR="009773B4">
        <w:t xml:space="preserve"> not least since it is based off of ‘hearsay’.</w:t>
      </w:r>
      <w:r w:rsidR="009773B4">
        <w:rPr>
          <w:rStyle w:val="FootnoteReference"/>
        </w:rPr>
        <w:footnoteReference w:id="1"/>
      </w:r>
      <w:r w:rsidR="001935E3">
        <w:t xml:space="preserve"> These stories, whilst popularly used to explain Lincoln’s motivation, are all probably just as false. </w:t>
      </w:r>
      <w:r w:rsidR="00E97071">
        <w:t xml:space="preserve">It is true that by 1837 </w:t>
      </w:r>
      <w:r w:rsidR="00AF5788">
        <w:t xml:space="preserve">Lincoln thought strongly enough about the issue that with another legislator, he formulated a challenge against a new act which would punish abolitionist activity, and strengthen Illinois’ black laws. However even this event has another side – Lincoln wasn’t acting to defend abolitionism, though he certainly wasn’t in favour of punishing it. Instead Lincoln and his colleague wished to block state legislation to support either the slave lobby or their objectors. </w:t>
      </w:r>
      <w:r w:rsidR="007D495E">
        <w:t xml:space="preserve">By 1850, Lincoln proposed the abolition of slavery within Washington DC, though he </w:t>
      </w:r>
      <w:r w:rsidR="000C13BC">
        <w:t xml:space="preserve">advocated </w:t>
      </w:r>
      <w:r w:rsidR="007D495E">
        <w:t xml:space="preserve">a system of compensation </w:t>
      </w:r>
      <w:r w:rsidR="000C13BC">
        <w:t xml:space="preserve">and gradual emancipation </w:t>
      </w:r>
      <w:r w:rsidR="007D495E">
        <w:t>to soften the blow on slaveowners</w:t>
      </w:r>
      <w:r w:rsidR="00D06519">
        <w:t xml:space="preserve"> and action only after a popular vote</w:t>
      </w:r>
      <w:r w:rsidR="007D495E">
        <w:t xml:space="preserve">. </w:t>
      </w:r>
      <w:r w:rsidR="009E0493">
        <w:t>One critic, Wendell Phillips</w:t>
      </w:r>
      <w:r w:rsidR="00665516">
        <w:t xml:space="preserve"> </w:t>
      </w:r>
      <w:r w:rsidR="000C13BC">
        <w:t>labelled</w:t>
      </w:r>
      <w:r w:rsidR="00665516">
        <w:t xml:space="preserve"> Lincoln, ‘the </w:t>
      </w:r>
      <w:proofErr w:type="spellStart"/>
      <w:r w:rsidR="00665516">
        <w:t>slavehound</w:t>
      </w:r>
      <w:proofErr w:type="spellEnd"/>
      <w:r w:rsidR="00665516">
        <w:t xml:space="preserve"> of Illinois’</w:t>
      </w:r>
      <w:r w:rsidR="000C13BC">
        <w:rPr>
          <w:rStyle w:val="FootnoteReference"/>
        </w:rPr>
        <w:footnoteReference w:id="2"/>
      </w:r>
      <w:r w:rsidR="00D06519">
        <w:t xml:space="preserve"> accusing him of supporting the southern slave lobby</w:t>
      </w:r>
      <w:r w:rsidR="00665516">
        <w:t>. And as late as 1847, Lincoln defended a slave owner’s right to keep his slaves temporarily in Illinois</w:t>
      </w:r>
      <w:r w:rsidR="00665516">
        <w:rPr>
          <w:rStyle w:val="FootnoteReference"/>
        </w:rPr>
        <w:footnoteReference w:id="3"/>
      </w:r>
      <w:r w:rsidR="000C13BC">
        <w:t xml:space="preserve">, though he lost the case. It seems to be from </w:t>
      </w:r>
      <w:r w:rsidR="000C13BC">
        <w:lastRenderedPageBreak/>
        <w:t xml:space="preserve">this point that Lincoln’s views towards slavery seem to change, or at least became more outspoken. After 1850, when slavery was </w:t>
      </w:r>
      <w:r w:rsidR="000837F9">
        <w:t>becoming</w:t>
      </w:r>
      <w:r w:rsidR="000C13BC">
        <w:t xml:space="preserve"> </w:t>
      </w:r>
      <w:r w:rsidR="000C13BC">
        <w:rPr>
          <w:i/>
        </w:rPr>
        <w:t>the</w:t>
      </w:r>
      <w:r w:rsidR="000C13BC">
        <w:t xml:space="preserve"> critical issue for national politics Lincoln was one of many who joined the Republican party, partly for their stance on slavery. By 1857 with the Dred Scott decision Lincoln was one of many who demanded change</w:t>
      </w:r>
      <w:r w:rsidR="00C37694">
        <w:t xml:space="preserve"> and re-entered serious politics. </w:t>
      </w:r>
    </w:p>
    <w:p w:rsidR="00C37694" w:rsidRDefault="00C37694">
      <w:r>
        <w:t>Lincoln’s debate series with Stephen A</w:t>
      </w:r>
      <w:r w:rsidR="00EB75B2">
        <w:t>.</w:t>
      </w:r>
      <w:r>
        <w:t xml:space="preserve"> Douglas over the nomination for the Illinois Senate position were bitterly fought</w:t>
      </w:r>
      <w:r w:rsidR="00D06519">
        <w:t>, since both rivals represented very different causes with the fading democrats fighting against the growing cause of republicanism</w:t>
      </w:r>
      <w:r>
        <w:t xml:space="preserve">. Although the democrat Douglas eventually win </w:t>
      </w:r>
      <w:r w:rsidR="000837F9">
        <w:t xml:space="preserve">the position, Lincoln’s strong arguments within the seven debates earned him a reputation as a formidable public speaker, </w:t>
      </w:r>
      <w:r w:rsidR="00ED1EE2">
        <w:t xml:space="preserve">and as a political thinker, </w:t>
      </w:r>
      <w:r w:rsidR="000837F9">
        <w:t>something he would use to his advantage once on the presidential campaign trail and as president</w:t>
      </w:r>
      <w:r w:rsidR="00ED1EE2">
        <w:rPr>
          <w:rStyle w:val="FootnoteReference"/>
        </w:rPr>
        <w:footnoteReference w:id="4"/>
      </w:r>
      <w:r w:rsidR="000837F9">
        <w:t>. It was also during these debates that Lincoln for the first time clarified his views</w:t>
      </w:r>
      <w:r w:rsidR="003041F8">
        <w:t>, at least his public views,</w:t>
      </w:r>
      <w:r w:rsidR="000837F9">
        <w:t xml:space="preserve"> on slavery to a large audience. </w:t>
      </w:r>
      <w:r w:rsidR="005655BC">
        <w:t>The most famous of these speeches</w:t>
      </w:r>
      <w:r w:rsidR="00393B5E">
        <w:t>, the ‘house divided speech’, included the</w:t>
      </w:r>
      <w:r w:rsidR="0066795F">
        <w:t xml:space="preserve"> stark</w:t>
      </w:r>
      <w:r w:rsidR="00393B5E">
        <w:t xml:space="preserve"> warning “I believe this government cannot endure, permanently, half slave and half free. I do not expect the Union to be dissolved – I do not expect the house to fall – but I do expect it will cease to be divided…”</w:t>
      </w:r>
      <w:r w:rsidR="00393B5E">
        <w:rPr>
          <w:rStyle w:val="FootnoteReference"/>
        </w:rPr>
        <w:footnoteReference w:id="5"/>
      </w:r>
      <w:r w:rsidR="0066795F">
        <w:t xml:space="preserve"> showing that Lincoln had already subscribed to the view that America could not continue balancing slave and free states as had been the habit since the Missouri Compromise, </w:t>
      </w:r>
      <w:r w:rsidR="001353FC">
        <w:t>though he was</w:t>
      </w:r>
      <w:r w:rsidR="0066795F">
        <w:t xml:space="preserve"> not expecting secession, it was understood that the position was now intolerable. However even at this stage Lincoln regarded the best course of action to be stopping the expansion of slavery and gradual emancipation.</w:t>
      </w:r>
      <w:r w:rsidR="0066795F">
        <w:rPr>
          <w:rStyle w:val="FootnoteReference"/>
        </w:rPr>
        <w:footnoteReference w:id="6"/>
      </w:r>
      <w:r w:rsidR="0066795F">
        <w:t xml:space="preserve"> </w:t>
      </w:r>
      <w:r w:rsidR="001353FC">
        <w:t>The main topic of the debates was the place of slavery in the new territories, especially in regards to Kansas, which was a particularly contentious issue in national politics</w:t>
      </w:r>
      <w:r w:rsidR="00BC042A">
        <w:t>, especially since under Douglas’ idea for popular sovereignty, Kansas was in the process of applying for statehood. In the first debate</w:t>
      </w:r>
      <w:r w:rsidR="000E2C47">
        <w:rPr>
          <w:rStyle w:val="FootnoteReference"/>
        </w:rPr>
        <w:footnoteReference w:id="7"/>
      </w:r>
      <w:r w:rsidR="00BC042A">
        <w:t xml:space="preserve"> Lincoln questioned Douglas’ ideas, questioned the decisions in the territories, and the authority to block slaves in those territories which didn’t wish to allow slavery</w:t>
      </w:r>
      <w:r w:rsidR="00CE31FC">
        <w:t>, and in the third accused him of hypocrisy. It was only in the seventh debate that Douglas really started to be a challenging rival, accusing Lincoln of being an idealist, and of supporting black rights, an unpopular opinion even in the North.</w:t>
      </w:r>
      <w:r w:rsidR="00BC042A">
        <w:t xml:space="preserve"> Lincoln’s own political views went further than Douglas’ but he was a fairly moderate republican</w:t>
      </w:r>
      <w:r w:rsidR="002D1254">
        <w:t xml:space="preserve"> and still publicly fairly typical of free </w:t>
      </w:r>
      <w:proofErr w:type="spellStart"/>
      <w:r w:rsidR="002D1254">
        <w:t>soilers</w:t>
      </w:r>
      <w:proofErr w:type="spellEnd"/>
      <w:r w:rsidR="002D1254">
        <w:t xml:space="preserve"> commenting “irrespective… as to whether there is a right or wrong in enslaving a negro, I am still in favour of our new territories being in such a condition that white men may find a home</w:t>
      </w:r>
      <w:r w:rsidR="00BC042A">
        <w:t>.</w:t>
      </w:r>
      <w:r w:rsidR="002D1254">
        <w:t xml:space="preserve">” At least politically Lincoln still only wanted to prevent </w:t>
      </w:r>
      <w:r w:rsidR="0091361B">
        <w:t xml:space="preserve">slavery from being welcomed into the territories where it wasn’t already a part, and not an abolitionist. </w:t>
      </w:r>
      <w:r w:rsidR="000F6B21">
        <w:t>However,</w:t>
      </w:r>
      <w:r w:rsidR="0091361B">
        <w:t xml:space="preserve"> there is some evidence that Lincoln’s personal views differed from those shared on the circuit, perhaps in an effort to increase his appeal among mainstream voters. </w:t>
      </w:r>
      <w:r w:rsidR="000F6B21">
        <w:t>Among friends and family</w:t>
      </w:r>
      <w:r w:rsidR="00D06519">
        <w:t xml:space="preserve"> Lincoln spoke out against slavery, and in a letter to Horace Greeley he explained it was his “it was his oft-expressed </w:t>
      </w:r>
      <w:r w:rsidR="00D06519">
        <w:rPr>
          <w:i/>
        </w:rPr>
        <w:t xml:space="preserve">personal </w:t>
      </w:r>
      <w:r w:rsidR="00D06519">
        <w:t>wish that all men everywhere could be free.”</w:t>
      </w:r>
      <w:r w:rsidR="00D06519">
        <w:rPr>
          <w:rStyle w:val="FootnoteReference"/>
        </w:rPr>
        <w:footnoteReference w:id="8"/>
      </w:r>
      <w:r w:rsidR="00D06519">
        <w:t xml:space="preserve"> Even here Lincoln is careful to differentiate between his open political views and his</w:t>
      </w:r>
      <w:r w:rsidR="00BE4E9F">
        <w:t xml:space="preserve"> own</w:t>
      </w:r>
      <w:r w:rsidR="00D06519">
        <w:t xml:space="preserve"> personal beliefs, showing himself an able politician who knew how to approach situations in a way that would appeal to his supporters. </w:t>
      </w:r>
      <w:r w:rsidR="00BE4E9F">
        <w:t>However, these opinions were not expressed within Lincoln’s speeches either during the debate or during Lincoln’s presidential election fight, where he continued to present himself as against the westward expansion of slavery, but not against its continued expansion.</w:t>
      </w:r>
    </w:p>
    <w:p w:rsidR="00D06519" w:rsidRDefault="00BE4E9F">
      <w:r>
        <w:lastRenderedPageBreak/>
        <w:t>Lincoln’s opinions would remain constant into the early years of his presidency, even after the secession crisis and the start of the civil war. T</w:t>
      </w:r>
      <w:r w:rsidR="00D06519">
        <w:t xml:space="preserve">hree years </w:t>
      </w:r>
      <w:r>
        <w:t xml:space="preserve">after the debate series, </w:t>
      </w:r>
      <w:r w:rsidR="00D06519">
        <w:t xml:space="preserve">at his inauguration speech </w:t>
      </w:r>
      <w:r>
        <w:t xml:space="preserve">Lincoln used </w:t>
      </w:r>
      <w:r w:rsidR="00BF17A8">
        <w:t xml:space="preserve">the opportunity to reassure the country that he didn’t want to upset the status quo. “I have no purpose, directly or indirectly, to interfere with the institution of slavery in the states where it exists…” </w:t>
      </w:r>
      <w:r w:rsidR="00BF17A8">
        <w:rPr>
          <w:rStyle w:val="FootnoteReference"/>
        </w:rPr>
        <w:footnoteReference w:id="9"/>
      </w:r>
      <w:r w:rsidR="00BF17A8">
        <w:t xml:space="preserve"> Lincoln also pointed out he had no legal right, or wish to interfere with the Southern state’s way of life, perhaps to reassure those p</w:t>
      </w:r>
      <w:r w:rsidR="00854393">
        <w:t>oliticians</w:t>
      </w:r>
      <w:r w:rsidR="00BF17A8">
        <w:t xml:space="preserve"> in the </w:t>
      </w:r>
      <w:r w:rsidR="00854393">
        <w:t xml:space="preserve">south threatening to secede that he was not a threat to them. Even so it was too little, and too late, the states of the deep south started to secede a few days later, starting with South Carolina. Through hard argument, several states in the upper south, and part of Virginia </w:t>
      </w:r>
      <w:r w:rsidR="00FA2049">
        <w:t>remained loyal to the Union and became the border states, both vitally important for military defence and strategy but which made it difficult to justify the conflict as being about slavery. In this period many of Lincoln’s fellow politicians and rivals criticised the president’s slow response and the president’s inability to end the conflict quickly and bloodlessly as well as his secrecy in decision making.</w:t>
      </w:r>
      <w:r w:rsidR="00FA2049">
        <w:rPr>
          <w:rStyle w:val="FootnoteReference"/>
        </w:rPr>
        <w:footnoteReference w:id="10"/>
      </w:r>
      <w:r w:rsidR="00050777">
        <w:t xml:space="preserve"> Historians have differing views of the reasoning behind this. Donald believes that Lincoln was successful, “an astute and dextrous operator of the political machine”</w:t>
      </w:r>
      <w:r w:rsidR="00050777">
        <w:rPr>
          <w:rStyle w:val="FootnoteReference"/>
        </w:rPr>
        <w:footnoteReference w:id="11"/>
      </w:r>
      <w:r w:rsidR="00050777">
        <w:t xml:space="preserve"> who was well prepared to fight a long war, whilst </w:t>
      </w:r>
      <w:proofErr w:type="spellStart"/>
      <w:r w:rsidR="001A2C31">
        <w:t>McMitrick</w:t>
      </w:r>
      <w:proofErr w:type="spellEnd"/>
      <w:r w:rsidR="001A2C31">
        <w:t xml:space="preserve"> argues that Lincoln, whilst an insider within his government, lacked the leadership of his successor Andrew Johnson</w:t>
      </w:r>
      <w:r w:rsidR="001A2C31">
        <w:rPr>
          <w:rStyle w:val="FootnoteReference"/>
        </w:rPr>
        <w:footnoteReference w:id="12"/>
      </w:r>
      <w:r w:rsidR="001A2C31">
        <w:t xml:space="preserve">. Regardless of Lincoln’s reasoning it is true that during the first two years of the civil war that Lincoln was adamant that the war </w:t>
      </w:r>
      <w:r w:rsidR="00CE7E5A">
        <w:t xml:space="preserve">was to be fought to ‘preserve the union’. </w:t>
      </w:r>
      <w:r w:rsidR="00192A49">
        <w:t xml:space="preserve">As </w:t>
      </w:r>
      <w:r w:rsidR="0029687A">
        <w:t xml:space="preserve">he wrote to Horace Greeley, “my paramount object… is to save the Union, and is </w:t>
      </w:r>
      <w:r w:rsidR="0029687A" w:rsidRPr="0029687A">
        <w:rPr>
          <w:i/>
        </w:rPr>
        <w:t>not</w:t>
      </w:r>
      <w:r w:rsidR="0029687A">
        <w:t xml:space="preserve"> to either save or to destroy slavery. If I could save the Union without freeing </w:t>
      </w:r>
      <w:r w:rsidR="0029687A">
        <w:rPr>
          <w:i/>
        </w:rPr>
        <w:t xml:space="preserve">any </w:t>
      </w:r>
      <w:r w:rsidR="0029687A">
        <w:t xml:space="preserve">slave I would do it, and if I could save it by freeing </w:t>
      </w:r>
      <w:r w:rsidR="0029687A">
        <w:rPr>
          <w:i/>
        </w:rPr>
        <w:t xml:space="preserve">all </w:t>
      </w:r>
      <w:r w:rsidR="0029687A">
        <w:t>the slaves I would do it; and if I could do it by freeing some and leaving others alone I would also do that”.</w:t>
      </w:r>
      <w:r w:rsidR="0029687A">
        <w:rPr>
          <w:rStyle w:val="FootnoteReference"/>
        </w:rPr>
        <w:footnoteReference w:id="13"/>
      </w:r>
      <w:r w:rsidR="0029687A">
        <w:t xml:space="preserve"> </w:t>
      </w:r>
      <w:r w:rsidR="00D7777B">
        <w:t>Lincoln’s plan for slavery was to first win the war through superior military strategy and then instigate a system of gradual emancipation for the slaves along with voluntary resettlement to Africa</w:t>
      </w:r>
      <w:r w:rsidR="00DC5F17">
        <w:t xml:space="preserve">. This was subject to opposition faced with the more liberal minded process advocated by the radical republicans or the more conservative plan desired by the democrats, who remained the loudest voice against Lincoln. </w:t>
      </w:r>
      <w:r w:rsidR="005E6922">
        <w:t xml:space="preserve">By 1863, with the </w:t>
      </w:r>
      <w:r w:rsidR="00FE08A3">
        <w:t xml:space="preserve">Union armies starting to win major victories against the Confederate armies in the South, Lincoln felt secure in enacting a piece of legislation that would further strain the military resources of the South by freeing the slaves of rebellious states, the first of two Emancipation Proclamations. This act marked a turning point for Lincoln’s public stance on slavery, with the Union and Slavery both lauded as causes for the Union forces. </w:t>
      </w:r>
    </w:p>
    <w:p w:rsidR="00FE08A3" w:rsidRDefault="00FE08A3">
      <w:r>
        <w:t>The Emancipation proclamation of 1863 was enacted possibly out of military necessity than any abolitionist sentiment of Lincoln’s, however. Freeing slaves in the confederate south would have a profound effect on the morale of the rebellious states, and would provide a welcome boost to the Union army’s strength, with the accompanying act that suitably able-bodied black men would could serve in the armed forces.</w:t>
      </w:r>
      <w:r w:rsidR="00336C83">
        <w:t xml:space="preserve"> This first proclamation went neither far enough in the minds of abolitionists or indeed Lincoln’s own mind, freeing only 1: 20 slaves in America</w:t>
      </w:r>
      <w:r w:rsidR="00336C83">
        <w:rPr>
          <w:rStyle w:val="FootnoteReference"/>
        </w:rPr>
        <w:footnoteReference w:id="14"/>
      </w:r>
      <w:r w:rsidR="00336C83">
        <w:t xml:space="preserve">. The wording of the proclamation itself was </w:t>
      </w:r>
      <w:r w:rsidR="00012314">
        <w:t xml:space="preserve">limiting “…all persons held as slaves within any state or designated part of a state the people whereof shall be in rebellion against the United States shall be then, thenceforward </w:t>
      </w:r>
      <w:r w:rsidR="00012314">
        <w:lastRenderedPageBreak/>
        <w:t>and forever free…”</w:t>
      </w:r>
      <w:r w:rsidR="00012314">
        <w:rPr>
          <w:rStyle w:val="FootnoteReference"/>
        </w:rPr>
        <w:footnoteReference w:id="15"/>
      </w:r>
      <w:r w:rsidR="00336C83">
        <w:t xml:space="preserve"> </w:t>
      </w:r>
      <w:r>
        <w:t xml:space="preserve"> Furthermore, Lincoln had serious doubts over whether the proclamation was actually constitutional as more than a temporary military measure under the guise of Commander-in Chief</w:t>
      </w:r>
      <w:r w:rsidR="00E1658D">
        <w:t>, even the wording of the legislation had been carefully selected so as to avoid alienating the loyal border states, where slavery was still very much needed for the state economy</w:t>
      </w:r>
      <w:r>
        <w:t xml:space="preserve">. </w:t>
      </w:r>
      <w:r w:rsidR="00E1658D">
        <w:t>If the border states felt threatened by legislation, they too could have seceded which would have been disastrous for the war</w:t>
      </w:r>
      <w:r w:rsidR="00572DBA">
        <w:t>.</w:t>
      </w:r>
      <w:r w:rsidR="00E1658D">
        <w:t xml:space="preserve"> </w:t>
      </w:r>
      <w:r w:rsidR="00674C05">
        <w:t>Regardless, several black leaders considered it a step in the right direction.</w:t>
      </w:r>
      <w:r w:rsidR="00E1658D">
        <w:t xml:space="preserve"> </w:t>
      </w:r>
      <w:r w:rsidR="00336C83">
        <w:t>Several loyal states even denounced the proclamation, including Lincoln’s home state of Illinois</w:t>
      </w:r>
      <w:r w:rsidR="00336C83">
        <w:rPr>
          <w:rStyle w:val="FootnoteReference"/>
        </w:rPr>
        <w:footnoteReference w:id="16"/>
      </w:r>
      <w:r w:rsidR="00572DBA">
        <w:t xml:space="preserve">. </w:t>
      </w:r>
      <w:r w:rsidR="00E832AF">
        <w:t>However,</w:t>
      </w:r>
      <w:r w:rsidR="00572DBA">
        <w:t xml:space="preserve"> after this proclamation, coming into force on 1</w:t>
      </w:r>
      <w:r w:rsidR="00572DBA" w:rsidRPr="00572DBA">
        <w:rPr>
          <w:vertAlign w:val="superscript"/>
        </w:rPr>
        <w:t>st</w:t>
      </w:r>
      <w:r w:rsidR="00572DBA">
        <w:t xml:space="preserve"> January 1863, Lincoln was very much more open about his opinions on slavery, planning a further proclamation and his plans for reconstruction, which now did not include deportation but citizenship rights for ex-slaves. </w:t>
      </w:r>
      <w:r w:rsidR="00E832AF">
        <w:t>In a private letter from 1864, he revealed “I am naturally anti-slavery. If slavery is not wrong, nothing is wrong, I cannot remember when I did not so think, and feel.” By the following year, shortly before the end of the war, he spurred soldiers on with the words “whenever I hear anyone arguing for slavery I feel a strong impulse to see it tried on him personally.”</w:t>
      </w:r>
      <w:r w:rsidR="00E832AF">
        <w:rPr>
          <w:rStyle w:val="FootnoteReference"/>
        </w:rPr>
        <w:footnoteReference w:id="17"/>
      </w:r>
      <w:r w:rsidR="00E832AF">
        <w:t>. Regardless of the now open cause against slavery, the preservation of the Union was still Lincoln’s primary concern</w:t>
      </w:r>
      <w:r w:rsidR="00481545">
        <w:t xml:space="preserve">; he was primarily a politician; not an abolitionist, and a successful </w:t>
      </w:r>
      <w:r w:rsidR="009A7E86">
        <w:t>politician</w:t>
      </w:r>
      <w:r w:rsidR="00481545">
        <w:t xml:space="preserve"> at that.</w:t>
      </w:r>
      <w:r w:rsidR="00481545">
        <w:rPr>
          <w:rStyle w:val="FootnoteReference"/>
        </w:rPr>
        <w:footnoteReference w:id="18"/>
      </w:r>
      <w:r w:rsidR="00481545">
        <w:t xml:space="preserve"> At Gettysburg, Lincoln</w:t>
      </w:r>
      <w:r w:rsidR="009A7E86">
        <w:t>, in one of his most famous speeches</w:t>
      </w:r>
      <w:r w:rsidR="009A7E86">
        <w:rPr>
          <w:rStyle w:val="FootnoteReference"/>
        </w:rPr>
        <w:footnoteReference w:id="19"/>
      </w:r>
      <w:r w:rsidR="009A7E86">
        <w:t xml:space="preserve">, bolstered morale and redefined his reasons for fighting, with a heavy focus on the </w:t>
      </w:r>
      <w:r w:rsidR="009A7E86">
        <w:rPr>
          <w:i/>
        </w:rPr>
        <w:t xml:space="preserve">nation </w:t>
      </w:r>
      <w:r w:rsidR="009A7E86">
        <w:t>of America – the need to reunite it, and no emphasis on abolition. It was only at the very end of the war, that the Second Emancipation Proclamation, which freed all slaves across America was passed, securing both of Lincoln’s objectives – the preservation of the union and the abolition of slavery in one. This Proclamation was to become the 13</w:t>
      </w:r>
      <w:r w:rsidR="009A7E86" w:rsidRPr="009A7E86">
        <w:rPr>
          <w:vertAlign w:val="superscript"/>
        </w:rPr>
        <w:t>th</w:t>
      </w:r>
      <w:r w:rsidR="009A7E86">
        <w:t xml:space="preserve"> amendment, ensuring that slavery could never be reintroduced, through the supreme court declaring legislation to be unconstitutional.</w:t>
      </w:r>
      <w:r w:rsidR="009A7E86">
        <w:rPr>
          <w:rStyle w:val="FootnoteReference"/>
        </w:rPr>
        <w:footnoteReference w:id="20"/>
      </w:r>
      <w:r w:rsidR="00674C05">
        <w:t xml:space="preserve"> Slavery was, as a result, forever banned in the United States and its territories. </w:t>
      </w:r>
    </w:p>
    <w:p w:rsidR="00674C05" w:rsidRPr="009A7E86" w:rsidRDefault="00674C05">
      <w:r>
        <w:t>Opinions on whether Lincoln was a genuine abolitionist or not vary. Fredrick Douglass called Lincoln “the man of our redemption” but reminded fellow Americans that Lincoln had been willing, in his early career, to substitute black rights for white comfort.</w:t>
      </w:r>
      <w:r>
        <w:rPr>
          <w:rStyle w:val="FootnoteReference"/>
        </w:rPr>
        <w:footnoteReference w:id="21"/>
      </w:r>
      <w:r>
        <w:t xml:space="preserve"> Donald states “Abraham Lincoln was not an abolitionist. He believed that slavery was a moral wrong but he was not sure how to right it”</w:t>
      </w:r>
      <w:r w:rsidR="0057788A">
        <w:t xml:space="preserve"> a politician and a realist who worked within the limits set out if he was to keep his support. </w:t>
      </w:r>
      <w:r w:rsidR="0057788A">
        <w:rPr>
          <w:rStyle w:val="FootnoteReference"/>
        </w:rPr>
        <w:footnoteReference w:id="22"/>
      </w:r>
      <w:r w:rsidR="0057788A">
        <w:t>Current calls Lincoln “the paradoxical hero”</w:t>
      </w:r>
      <w:r w:rsidR="0057788A">
        <w:rPr>
          <w:rStyle w:val="FootnoteReference"/>
        </w:rPr>
        <w:footnoteReference w:id="23"/>
      </w:r>
      <w:r w:rsidR="0057788A">
        <w:t xml:space="preserve"> a figure whose words and opinions have been taken to mean different things, whose opinions grew over time. Popular opinion paints Lincoln as “the great emancipator” who believed in equal ‘inalienable rights’ for all Americans. It is certain that in 1858, and probably until 1861 or 1862 Lincoln was at least politically, against the expansion of slavery but not against its continued existence, in any real terms, advocating a gradual abolition – ideals which had been popularised by Henry Clay many years earlier. It is possible, that as Lincoln’s own writings state, his personal opinions differed from these beliefs, being more minded towards the abolitionist cause. </w:t>
      </w:r>
      <w:r w:rsidR="00BA266E">
        <w:t>However,</w:t>
      </w:r>
      <w:r w:rsidR="0057788A">
        <w:t xml:space="preserve"> it is certain that after 1862, and certainly after the initial emancipation proclamation Lincoln </w:t>
      </w:r>
      <w:r w:rsidR="00BA266E">
        <w:t xml:space="preserve">politically supported the abolition of slavery, not merely as a military necessity, but as one of the freedoms the Union was bound to support. Speeches and letters to fellow </w:t>
      </w:r>
      <w:r w:rsidR="00BA266E">
        <w:lastRenderedPageBreak/>
        <w:t xml:space="preserve">politicians and the press, as well as private letters show how Lincoln’s views towards slavery changed from 1858 to 1865 from those of a very moderate republican to the opinions of an abolitionist, more worthy of the exalted reputation he is afforded by many. </w:t>
      </w:r>
    </w:p>
    <w:p w:rsidR="00DC5F17" w:rsidRDefault="00B14590">
      <w:pPr>
        <w:rPr>
          <w:b/>
          <w:sz w:val="28"/>
          <w:u w:val="single"/>
        </w:rPr>
      </w:pPr>
      <w:r>
        <w:rPr>
          <w:b/>
          <w:sz w:val="28"/>
          <w:u w:val="single"/>
        </w:rPr>
        <w:t xml:space="preserve">Bibliography </w:t>
      </w:r>
    </w:p>
    <w:p w:rsidR="00B14590" w:rsidRDefault="00B14590">
      <w:pPr>
        <w:rPr>
          <w:i/>
          <w:sz w:val="24"/>
        </w:rPr>
      </w:pPr>
      <w:r>
        <w:rPr>
          <w:i/>
          <w:sz w:val="24"/>
        </w:rPr>
        <w:t>Primary Sources:</w:t>
      </w:r>
    </w:p>
    <w:p w:rsidR="004107E7" w:rsidRDefault="004107E7">
      <w:r>
        <w:t>Abraham Lincoln, speech in Springfield, Illinois, 16 June 1858</w:t>
      </w:r>
    </w:p>
    <w:p w:rsidR="00B14590" w:rsidRDefault="00B14590">
      <w:pPr>
        <w:rPr>
          <w:i/>
        </w:rPr>
      </w:pPr>
      <w:r>
        <w:t xml:space="preserve">Abraham Lincoln </w:t>
      </w:r>
      <w:r>
        <w:rPr>
          <w:i/>
        </w:rPr>
        <w:t>inaugural address, 1861</w:t>
      </w:r>
      <w:r>
        <w:rPr>
          <w:i/>
        </w:rPr>
        <w:t xml:space="preserve"> </w:t>
      </w:r>
    </w:p>
    <w:p w:rsidR="004107E7" w:rsidRDefault="004107E7" w:rsidP="004107E7">
      <w:r>
        <w:t>Abraham Lincoln, Gettysburg address, November 19</w:t>
      </w:r>
      <w:r w:rsidRPr="009A7E86">
        <w:rPr>
          <w:vertAlign w:val="superscript"/>
        </w:rPr>
        <w:t>th</w:t>
      </w:r>
      <w:r>
        <w:t xml:space="preserve"> 1863 </w:t>
      </w:r>
      <w:hyperlink r:id="rId7" w:history="1">
        <w:r w:rsidRPr="00562ABB">
          <w:rPr>
            <w:rStyle w:val="Hyperlink"/>
          </w:rPr>
          <w:t>https://www.britannica.com/event/Gettysburg-Address</w:t>
        </w:r>
      </w:hyperlink>
      <w:r>
        <w:t xml:space="preserve"> </w:t>
      </w:r>
    </w:p>
    <w:p w:rsidR="00B14590" w:rsidRPr="004107E7" w:rsidRDefault="004107E7">
      <w:pPr>
        <w:rPr>
          <w:i/>
          <w:sz w:val="24"/>
        </w:rPr>
      </w:pPr>
      <w:r>
        <w:rPr>
          <w:i/>
          <w:sz w:val="24"/>
        </w:rPr>
        <w:t>Secondary Sources:</w:t>
      </w:r>
      <w:bookmarkStart w:id="9" w:name="_GoBack"/>
      <w:bookmarkEnd w:id="9"/>
    </w:p>
    <w:p w:rsidR="00B14590" w:rsidRDefault="00B14590">
      <w:r>
        <w:t>Current, R.N</w:t>
      </w:r>
      <w:r>
        <w:t xml:space="preserve">, </w:t>
      </w:r>
      <w:r>
        <w:rPr>
          <w:i/>
        </w:rPr>
        <w:t xml:space="preserve">“The Friend of Freedom” </w:t>
      </w:r>
      <w:r>
        <w:t xml:space="preserve">in </w:t>
      </w:r>
      <w:r>
        <w:rPr>
          <w:i/>
        </w:rPr>
        <w:t xml:space="preserve">Reconstruction: an anthology of Revisionist Writings </w:t>
      </w:r>
      <w:r>
        <w:t xml:space="preserve">Ed. </w:t>
      </w:r>
      <w:proofErr w:type="spellStart"/>
      <w:r>
        <w:t>Stampp</w:t>
      </w:r>
      <w:proofErr w:type="spellEnd"/>
      <w:r>
        <w:t>, K.</w:t>
      </w:r>
      <w:r>
        <w:t xml:space="preserve"> and </w:t>
      </w:r>
      <w:proofErr w:type="spellStart"/>
      <w:r>
        <w:t>L</w:t>
      </w:r>
      <w:r>
        <w:t>itwack</w:t>
      </w:r>
      <w:proofErr w:type="spellEnd"/>
      <w:r>
        <w:t xml:space="preserve"> L.F.</w:t>
      </w:r>
      <w:r>
        <w:t>, (Louisiana State University Press, Baton Rouge, 1969)</w:t>
      </w:r>
    </w:p>
    <w:p w:rsidR="00B14590" w:rsidRDefault="00B14590">
      <w:r>
        <w:t>Donald</w:t>
      </w:r>
      <w:r>
        <w:t>, D.,</w:t>
      </w:r>
      <w:r>
        <w:t xml:space="preserve"> </w:t>
      </w:r>
      <w:r>
        <w:rPr>
          <w:i/>
        </w:rPr>
        <w:t xml:space="preserve">Lincoln Reconsidered: Essays on the Civil War </w:t>
      </w:r>
      <w:r>
        <w:t>(Alfred A. Knopf, New York, 1969)</w:t>
      </w:r>
    </w:p>
    <w:p w:rsidR="00B14590" w:rsidRDefault="00B14590">
      <w:r>
        <w:t>Goodwin</w:t>
      </w:r>
      <w:r>
        <w:t>, D.K.</w:t>
      </w:r>
      <w:r>
        <w:t xml:space="preserve">, </w:t>
      </w:r>
      <w:r>
        <w:rPr>
          <w:i/>
        </w:rPr>
        <w:t>Team of Rivals: The Political Genius of Abraham Lincoln</w:t>
      </w:r>
      <w:r>
        <w:rPr>
          <w:i/>
        </w:rPr>
        <w:t xml:space="preserve"> (</w:t>
      </w:r>
      <w:r>
        <w:t>Penguin Books, London, 2009</w:t>
      </w:r>
      <w:r>
        <w:t>)</w:t>
      </w:r>
    </w:p>
    <w:p w:rsidR="00B14590" w:rsidRDefault="00B14590">
      <w:r>
        <w:t>Hall, K.L.</w:t>
      </w:r>
      <w:r>
        <w:t xml:space="preserve">, </w:t>
      </w:r>
      <w:r w:rsidRPr="00012314">
        <w:rPr>
          <w:i/>
        </w:rPr>
        <w:t>Major Problems in American Constitutional History</w:t>
      </w:r>
      <w:r>
        <w:t xml:space="preserve"> (Heath, Lexington, 1992)</w:t>
      </w:r>
    </w:p>
    <w:p w:rsidR="00B14590" w:rsidRDefault="00B14590">
      <w:proofErr w:type="spellStart"/>
      <w:r>
        <w:t>McKitrick</w:t>
      </w:r>
      <w:proofErr w:type="spellEnd"/>
      <w:r>
        <w:t>, E.L</w:t>
      </w:r>
      <w:r>
        <w:t xml:space="preserve"> “Andrew Johnson, Outsider” in </w:t>
      </w:r>
      <w:r>
        <w:rPr>
          <w:i/>
        </w:rPr>
        <w:t xml:space="preserve">Reconstruction: an anthology of Revisionist Writings </w:t>
      </w:r>
      <w:r>
        <w:t xml:space="preserve">Ed. </w:t>
      </w:r>
      <w:proofErr w:type="spellStart"/>
      <w:r>
        <w:t>Stampp</w:t>
      </w:r>
      <w:proofErr w:type="spellEnd"/>
      <w:r>
        <w:t xml:space="preserve"> </w:t>
      </w:r>
      <w:proofErr w:type="spellStart"/>
      <w:r>
        <w:t>K.</w:t>
      </w:r>
      <w:r>
        <w:t>and</w:t>
      </w:r>
      <w:proofErr w:type="spellEnd"/>
      <w:r>
        <w:t xml:space="preserve"> </w:t>
      </w:r>
      <w:proofErr w:type="spellStart"/>
      <w:r>
        <w:t>L</w:t>
      </w:r>
      <w:r>
        <w:t>itwack</w:t>
      </w:r>
      <w:proofErr w:type="spellEnd"/>
      <w:r>
        <w:t>,</w:t>
      </w:r>
      <w:r>
        <w:t xml:space="preserve"> E.L.</w:t>
      </w:r>
      <w:r>
        <w:t xml:space="preserve"> (Louisiana State University Press, Baton Rouge, 1969</w:t>
      </w:r>
      <w:r>
        <w:t>)</w:t>
      </w:r>
    </w:p>
    <w:p w:rsidR="00B14590" w:rsidRPr="00B14590" w:rsidRDefault="00B14590">
      <w:r>
        <w:t>Tindall, G.B.,</w:t>
      </w:r>
      <w:r>
        <w:t xml:space="preserve"> and </w:t>
      </w:r>
      <w:r>
        <w:t xml:space="preserve">Shi, D.E. </w:t>
      </w:r>
      <w:r>
        <w:rPr>
          <w:i/>
        </w:rPr>
        <w:t xml:space="preserve">America: A Narrative History, </w:t>
      </w:r>
      <w:r>
        <w:t>Brief 8</w:t>
      </w:r>
      <w:r w:rsidRPr="00674C05">
        <w:rPr>
          <w:vertAlign w:val="superscript"/>
        </w:rPr>
        <w:t>th</w:t>
      </w:r>
      <w:r>
        <w:t xml:space="preserve"> Edition</w:t>
      </w:r>
      <w:r>
        <w:rPr>
          <w:i/>
        </w:rPr>
        <w:t xml:space="preserve"> </w:t>
      </w:r>
      <w:r>
        <w:t>(Norton, London, 2010)</w:t>
      </w:r>
    </w:p>
    <w:sectPr w:rsidR="00B14590" w:rsidRPr="00B145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65DD" w:rsidRDefault="00A965DD" w:rsidP="009773B4">
      <w:pPr>
        <w:spacing w:after="0" w:line="240" w:lineRule="auto"/>
      </w:pPr>
      <w:r>
        <w:separator/>
      </w:r>
    </w:p>
  </w:endnote>
  <w:endnote w:type="continuationSeparator" w:id="0">
    <w:p w:rsidR="00A965DD" w:rsidRDefault="00A965DD" w:rsidP="00977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65DD" w:rsidRDefault="00A965DD" w:rsidP="009773B4">
      <w:pPr>
        <w:spacing w:after="0" w:line="240" w:lineRule="auto"/>
      </w:pPr>
      <w:r>
        <w:separator/>
      </w:r>
    </w:p>
  </w:footnote>
  <w:footnote w:type="continuationSeparator" w:id="0">
    <w:p w:rsidR="00A965DD" w:rsidRDefault="00A965DD" w:rsidP="009773B4">
      <w:pPr>
        <w:spacing w:after="0" w:line="240" w:lineRule="auto"/>
      </w:pPr>
      <w:r>
        <w:continuationSeparator/>
      </w:r>
    </w:p>
  </w:footnote>
  <w:footnote w:id="1">
    <w:p w:rsidR="009773B4" w:rsidRPr="009773B4" w:rsidRDefault="009773B4">
      <w:pPr>
        <w:pStyle w:val="FootnoteText"/>
      </w:pPr>
      <w:r>
        <w:rPr>
          <w:rStyle w:val="FootnoteReference"/>
        </w:rPr>
        <w:footnoteRef/>
      </w:r>
      <w:r>
        <w:t xml:space="preserve"> </w:t>
      </w:r>
      <w:bookmarkStart w:id="0" w:name="_Hlk499326406"/>
      <w:r>
        <w:t xml:space="preserve">R.N. Current, </w:t>
      </w:r>
      <w:r>
        <w:rPr>
          <w:i/>
        </w:rPr>
        <w:t xml:space="preserve">“The Friend of Freedom” </w:t>
      </w:r>
      <w:r>
        <w:t xml:space="preserve">in </w:t>
      </w:r>
      <w:bookmarkStart w:id="1" w:name="_Hlk499236711"/>
      <w:r>
        <w:rPr>
          <w:i/>
        </w:rPr>
        <w:t xml:space="preserve">Reconstruction: an anthology of Revisionist Writings </w:t>
      </w:r>
      <w:r w:rsidR="001935E3">
        <w:t>Ed.</w:t>
      </w:r>
      <w:r>
        <w:t xml:space="preserve"> K. </w:t>
      </w:r>
      <w:proofErr w:type="spellStart"/>
      <w:r>
        <w:t>Stampp</w:t>
      </w:r>
      <w:proofErr w:type="spellEnd"/>
      <w:r>
        <w:t xml:space="preserve"> and L.F. </w:t>
      </w:r>
      <w:proofErr w:type="spellStart"/>
      <w:r>
        <w:t>Litwack</w:t>
      </w:r>
      <w:proofErr w:type="spellEnd"/>
      <w:r>
        <w:t>, (</w:t>
      </w:r>
      <w:r w:rsidR="001935E3">
        <w:t>Louisiana State University Press, Baton Rouge, 1969)</w:t>
      </w:r>
      <w:r w:rsidR="00665516">
        <w:t xml:space="preserve"> </w:t>
      </w:r>
      <w:bookmarkEnd w:id="0"/>
      <w:r w:rsidR="000C13BC">
        <w:t>p.26</w:t>
      </w:r>
    </w:p>
    <w:bookmarkEnd w:id="1"/>
  </w:footnote>
  <w:footnote w:id="2">
    <w:p w:rsidR="000C13BC" w:rsidRPr="000C13BC" w:rsidRDefault="000C13BC">
      <w:pPr>
        <w:pStyle w:val="FootnoteText"/>
      </w:pPr>
      <w:r>
        <w:rPr>
          <w:rStyle w:val="FootnoteReference"/>
        </w:rPr>
        <w:footnoteRef/>
      </w:r>
      <w:r>
        <w:t xml:space="preserve"> </w:t>
      </w:r>
      <w:r>
        <w:rPr>
          <w:i/>
        </w:rPr>
        <w:t xml:space="preserve">Ibid </w:t>
      </w:r>
      <w:r>
        <w:t>p.29</w:t>
      </w:r>
    </w:p>
  </w:footnote>
  <w:footnote w:id="3">
    <w:p w:rsidR="00665516" w:rsidRDefault="00665516">
      <w:pPr>
        <w:pStyle w:val="FootnoteText"/>
      </w:pPr>
      <w:r>
        <w:rPr>
          <w:rStyle w:val="FootnoteReference"/>
        </w:rPr>
        <w:footnoteRef/>
      </w:r>
      <w:r>
        <w:t xml:space="preserve"> This was technically legal under the Illinois ‘black laws’ though was being threatened by the late 1840s</w:t>
      </w:r>
    </w:p>
  </w:footnote>
  <w:footnote w:id="4">
    <w:p w:rsidR="00ED1EE2" w:rsidRPr="00ED1EE2" w:rsidRDefault="00ED1EE2">
      <w:pPr>
        <w:pStyle w:val="FootnoteText"/>
      </w:pPr>
      <w:r>
        <w:rPr>
          <w:rStyle w:val="FootnoteReference"/>
        </w:rPr>
        <w:footnoteRef/>
      </w:r>
      <w:r>
        <w:t xml:space="preserve">D.K. Goodwin, </w:t>
      </w:r>
      <w:r>
        <w:rPr>
          <w:i/>
        </w:rPr>
        <w:t xml:space="preserve">Team </w:t>
      </w:r>
      <w:r w:rsidR="002D1254">
        <w:rPr>
          <w:i/>
        </w:rPr>
        <w:t>of</w:t>
      </w:r>
      <w:r>
        <w:rPr>
          <w:i/>
        </w:rPr>
        <w:t xml:space="preserve"> Rivals: The Political Genius of Abraham Lincoln (</w:t>
      </w:r>
      <w:bookmarkStart w:id="2" w:name="_Hlk499326687"/>
      <w:r>
        <w:t>Penguin Books, London, 2009</w:t>
      </w:r>
      <w:bookmarkEnd w:id="2"/>
      <w:r>
        <w:t>) p.131</w:t>
      </w:r>
    </w:p>
  </w:footnote>
  <w:footnote w:id="5">
    <w:p w:rsidR="00393B5E" w:rsidRDefault="00393B5E">
      <w:pPr>
        <w:pStyle w:val="FootnoteText"/>
      </w:pPr>
      <w:r>
        <w:rPr>
          <w:rStyle w:val="FootnoteReference"/>
        </w:rPr>
        <w:footnoteRef/>
      </w:r>
      <w:r>
        <w:rPr>
          <w:rStyle w:val="FootnoteReference"/>
        </w:rPr>
        <w:t xml:space="preserve"> </w:t>
      </w:r>
      <w:bookmarkStart w:id="3" w:name="_Hlk499327011"/>
      <w:r>
        <w:t xml:space="preserve">Abraham Lincoln, </w:t>
      </w:r>
      <w:r w:rsidR="0066795F">
        <w:t>s</w:t>
      </w:r>
      <w:r>
        <w:t>peech in Springfield, Illinois, 16 June 1858</w:t>
      </w:r>
      <w:r w:rsidR="0066795F">
        <w:t xml:space="preserve"> </w:t>
      </w:r>
      <w:bookmarkEnd w:id="3"/>
    </w:p>
  </w:footnote>
  <w:footnote w:id="6">
    <w:p w:rsidR="0066795F" w:rsidRPr="0066795F" w:rsidRDefault="0066795F">
      <w:pPr>
        <w:pStyle w:val="FootnoteText"/>
      </w:pPr>
      <w:r>
        <w:rPr>
          <w:rStyle w:val="FootnoteReference"/>
        </w:rPr>
        <w:footnoteRef/>
      </w:r>
      <w:r>
        <w:t xml:space="preserve"> D. Reynolds, </w:t>
      </w:r>
      <w:r>
        <w:rPr>
          <w:i/>
        </w:rPr>
        <w:t xml:space="preserve">America: Empire of Liberty, </w:t>
      </w:r>
      <w:r>
        <w:t>(Penguin, London, 2010) p.181</w:t>
      </w:r>
    </w:p>
  </w:footnote>
  <w:footnote w:id="7">
    <w:p w:rsidR="000E2C47" w:rsidRPr="000E2C47" w:rsidRDefault="000E2C47">
      <w:pPr>
        <w:pStyle w:val="FootnoteText"/>
      </w:pPr>
      <w:r>
        <w:rPr>
          <w:rStyle w:val="FootnoteReference"/>
        </w:rPr>
        <w:footnoteRef/>
      </w:r>
      <w:r>
        <w:t xml:space="preserve"> </w:t>
      </w:r>
      <w:bookmarkStart w:id="4" w:name="_Hlk499320436"/>
      <w:r>
        <w:t xml:space="preserve">K.L. Hall, </w:t>
      </w:r>
      <w:r>
        <w:rPr>
          <w:i/>
        </w:rPr>
        <w:t xml:space="preserve">Major Problems </w:t>
      </w:r>
      <w:r w:rsidR="002D1254">
        <w:rPr>
          <w:i/>
        </w:rPr>
        <w:t>in</w:t>
      </w:r>
      <w:r>
        <w:rPr>
          <w:i/>
        </w:rPr>
        <w:t xml:space="preserve"> American Constitutional History: Volume 1, </w:t>
      </w:r>
      <w:r>
        <w:t xml:space="preserve">(Heath, Lexington, 1992) </w:t>
      </w:r>
      <w:bookmarkEnd w:id="4"/>
      <w:r>
        <w:t>pp. 470-483</w:t>
      </w:r>
    </w:p>
  </w:footnote>
  <w:footnote w:id="8">
    <w:p w:rsidR="00D06519" w:rsidRPr="00D06519" w:rsidRDefault="00D06519">
      <w:pPr>
        <w:pStyle w:val="FootnoteText"/>
        <w:rPr>
          <w:i/>
        </w:rPr>
      </w:pPr>
      <w:r>
        <w:rPr>
          <w:rStyle w:val="FootnoteReference"/>
        </w:rPr>
        <w:footnoteRef/>
      </w:r>
      <w:r>
        <w:t xml:space="preserve"> R.N. Current, </w:t>
      </w:r>
      <w:r>
        <w:rPr>
          <w:i/>
        </w:rPr>
        <w:t xml:space="preserve">“The Friend of Freedom”. </w:t>
      </w:r>
    </w:p>
  </w:footnote>
  <w:footnote w:id="9">
    <w:p w:rsidR="00BF17A8" w:rsidRPr="00BF17A8" w:rsidRDefault="00BF17A8">
      <w:pPr>
        <w:pStyle w:val="FootnoteText"/>
        <w:rPr>
          <w:i/>
        </w:rPr>
      </w:pPr>
      <w:r>
        <w:rPr>
          <w:rStyle w:val="FootnoteReference"/>
        </w:rPr>
        <w:footnoteRef/>
      </w:r>
      <w:r>
        <w:t xml:space="preserve"> Abraham Lincoln </w:t>
      </w:r>
      <w:r>
        <w:rPr>
          <w:i/>
        </w:rPr>
        <w:t>inaugural address, 1861</w:t>
      </w:r>
    </w:p>
  </w:footnote>
  <w:footnote w:id="10">
    <w:p w:rsidR="00FA2049" w:rsidRPr="00050777" w:rsidRDefault="00FA2049">
      <w:pPr>
        <w:pStyle w:val="FootnoteText"/>
        <w:rPr>
          <w:i/>
        </w:rPr>
      </w:pPr>
      <w:r>
        <w:rPr>
          <w:rStyle w:val="FootnoteReference"/>
        </w:rPr>
        <w:footnoteRef/>
      </w:r>
      <w:r>
        <w:t xml:space="preserve"> </w:t>
      </w:r>
      <w:bookmarkStart w:id="5" w:name="_Hlk499326548"/>
      <w:r w:rsidR="00050777">
        <w:t xml:space="preserve">D. Donald, </w:t>
      </w:r>
      <w:r w:rsidR="00050777">
        <w:rPr>
          <w:i/>
        </w:rPr>
        <w:t xml:space="preserve">Lincoln Reconsidered: Essays on the Civil War </w:t>
      </w:r>
      <w:r w:rsidR="00050777">
        <w:t>(Alfred A. Knopf, New York, 1969)</w:t>
      </w:r>
      <w:bookmarkEnd w:id="5"/>
      <w:r w:rsidR="00050777">
        <w:t xml:space="preserve"> p. 65</w:t>
      </w:r>
    </w:p>
  </w:footnote>
  <w:footnote w:id="11">
    <w:p w:rsidR="00050777" w:rsidRPr="00050777" w:rsidRDefault="00050777">
      <w:pPr>
        <w:pStyle w:val="FootnoteText"/>
        <w:rPr>
          <w:i/>
        </w:rPr>
      </w:pPr>
      <w:r>
        <w:rPr>
          <w:rStyle w:val="FootnoteReference"/>
        </w:rPr>
        <w:footnoteRef/>
      </w:r>
      <w:r>
        <w:t xml:space="preserve"> </w:t>
      </w:r>
      <w:r>
        <w:rPr>
          <w:i/>
        </w:rPr>
        <w:t xml:space="preserve">Ibid </w:t>
      </w:r>
    </w:p>
  </w:footnote>
  <w:footnote w:id="12">
    <w:p w:rsidR="001A2C31" w:rsidRPr="009773B4" w:rsidRDefault="001A2C31" w:rsidP="001A2C31">
      <w:pPr>
        <w:pStyle w:val="FootnoteText"/>
      </w:pPr>
      <w:r>
        <w:rPr>
          <w:rStyle w:val="FootnoteReference"/>
        </w:rPr>
        <w:footnoteRef/>
      </w:r>
      <w:r>
        <w:t xml:space="preserve"> </w:t>
      </w:r>
      <w:bookmarkStart w:id="6" w:name="_Hlk499326756"/>
      <w:r>
        <w:t xml:space="preserve">E.L. </w:t>
      </w:r>
      <w:proofErr w:type="spellStart"/>
      <w:r>
        <w:t>McKitrick</w:t>
      </w:r>
      <w:proofErr w:type="spellEnd"/>
      <w:r>
        <w:t xml:space="preserve">, “Andrew Johnson, Outsider” in </w:t>
      </w:r>
      <w:r>
        <w:rPr>
          <w:i/>
        </w:rPr>
        <w:t xml:space="preserve">Reconstruction: an anthology of Revisionist Writings </w:t>
      </w:r>
      <w:r>
        <w:t xml:space="preserve">Ed. K. </w:t>
      </w:r>
      <w:proofErr w:type="spellStart"/>
      <w:r>
        <w:t>Stampp</w:t>
      </w:r>
      <w:proofErr w:type="spellEnd"/>
      <w:r>
        <w:t xml:space="preserve"> and L.F. </w:t>
      </w:r>
      <w:proofErr w:type="spellStart"/>
      <w:r>
        <w:t>Litwack</w:t>
      </w:r>
      <w:proofErr w:type="spellEnd"/>
      <w:r>
        <w:t>, (Louisiana State University Press, Baton Rouge, 1969</w:t>
      </w:r>
      <w:bookmarkEnd w:id="6"/>
      <w:r>
        <w:t>) p.26</w:t>
      </w:r>
    </w:p>
    <w:p w:rsidR="001A2C31" w:rsidRDefault="001A2C31">
      <w:pPr>
        <w:pStyle w:val="FootnoteText"/>
      </w:pPr>
    </w:p>
  </w:footnote>
  <w:footnote w:id="13">
    <w:p w:rsidR="0029687A" w:rsidRPr="0029687A" w:rsidRDefault="0029687A">
      <w:pPr>
        <w:pStyle w:val="FootnoteText"/>
      </w:pPr>
      <w:r>
        <w:rPr>
          <w:rStyle w:val="FootnoteReference"/>
        </w:rPr>
        <w:footnoteRef/>
      </w:r>
      <w:r>
        <w:t xml:space="preserve"> R.N. Current, </w:t>
      </w:r>
      <w:r>
        <w:rPr>
          <w:i/>
        </w:rPr>
        <w:t xml:space="preserve">“The Friend of Freedom”. </w:t>
      </w:r>
      <w:r>
        <w:t>(letter to Horace Greeley, New York Tribune, August 22</w:t>
      </w:r>
      <w:r w:rsidRPr="0029687A">
        <w:rPr>
          <w:vertAlign w:val="superscript"/>
        </w:rPr>
        <w:t>nd</w:t>
      </w:r>
      <w:r>
        <w:t>, 1862)</w:t>
      </w:r>
    </w:p>
  </w:footnote>
  <w:footnote w:id="14">
    <w:p w:rsidR="00336C83" w:rsidRPr="00336C83" w:rsidRDefault="00336C83">
      <w:pPr>
        <w:pStyle w:val="FootnoteText"/>
        <w:rPr>
          <w:i/>
        </w:rPr>
      </w:pPr>
      <w:r>
        <w:rPr>
          <w:rStyle w:val="FootnoteReference"/>
        </w:rPr>
        <w:footnoteRef/>
      </w:r>
      <w:r>
        <w:t xml:space="preserve"> R.N. Current, “</w:t>
      </w:r>
      <w:r>
        <w:rPr>
          <w:i/>
        </w:rPr>
        <w:t xml:space="preserve">The Friend of Freedom”. </w:t>
      </w:r>
    </w:p>
  </w:footnote>
  <w:footnote w:id="15">
    <w:p w:rsidR="00012314" w:rsidRDefault="00012314">
      <w:pPr>
        <w:pStyle w:val="FootnoteText"/>
      </w:pPr>
      <w:r>
        <w:rPr>
          <w:rStyle w:val="FootnoteReference"/>
        </w:rPr>
        <w:footnoteRef/>
      </w:r>
      <w:r>
        <w:t xml:space="preserve"> K.L. Hall, </w:t>
      </w:r>
      <w:r w:rsidRPr="00012314">
        <w:rPr>
          <w:i/>
        </w:rPr>
        <w:t>Major Problems in American Constitutional History</w:t>
      </w:r>
      <w:r>
        <w:t xml:space="preserve"> (Heath, Lexington, 1992) pp. 529-530 </w:t>
      </w:r>
    </w:p>
  </w:footnote>
  <w:footnote w:id="16">
    <w:p w:rsidR="00336C83" w:rsidRDefault="00336C83">
      <w:pPr>
        <w:pStyle w:val="FootnoteText"/>
      </w:pPr>
      <w:r>
        <w:rPr>
          <w:rStyle w:val="FootnoteReference"/>
        </w:rPr>
        <w:footnoteRef/>
      </w:r>
      <w:r>
        <w:t xml:space="preserve"> </w:t>
      </w:r>
      <w:r w:rsidR="00012314">
        <w:rPr>
          <w:i/>
        </w:rPr>
        <w:t xml:space="preserve">Ibid </w:t>
      </w:r>
      <w:r>
        <w:t xml:space="preserve">p. </w:t>
      </w:r>
      <w:r w:rsidR="00012314">
        <w:t xml:space="preserve">530 </w:t>
      </w:r>
    </w:p>
  </w:footnote>
  <w:footnote w:id="17">
    <w:p w:rsidR="00E832AF" w:rsidRPr="00E832AF" w:rsidRDefault="00E832AF">
      <w:pPr>
        <w:pStyle w:val="FootnoteText"/>
      </w:pPr>
      <w:r>
        <w:rPr>
          <w:rStyle w:val="FootnoteReference"/>
        </w:rPr>
        <w:footnoteRef/>
      </w:r>
      <w:r>
        <w:t xml:space="preserve"> R.N. Current, </w:t>
      </w:r>
      <w:r>
        <w:rPr>
          <w:i/>
        </w:rPr>
        <w:t xml:space="preserve">“The Friend of Freedom” </w:t>
      </w:r>
      <w:r>
        <w:t>p.27</w:t>
      </w:r>
    </w:p>
  </w:footnote>
  <w:footnote w:id="18">
    <w:p w:rsidR="00481545" w:rsidRPr="00481545" w:rsidRDefault="00481545">
      <w:pPr>
        <w:pStyle w:val="FootnoteText"/>
      </w:pPr>
      <w:r>
        <w:rPr>
          <w:rStyle w:val="FootnoteReference"/>
        </w:rPr>
        <w:footnoteRef/>
      </w:r>
      <w:r>
        <w:t xml:space="preserve"> D. Donald, </w:t>
      </w:r>
      <w:r>
        <w:rPr>
          <w:i/>
        </w:rPr>
        <w:t xml:space="preserve">Lincoln Reconsidered, </w:t>
      </w:r>
      <w:r>
        <w:t>p. 77</w:t>
      </w:r>
    </w:p>
  </w:footnote>
  <w:footnote w:id="19">
    <w:p w:rsidR="009A7E86" w:rsidRDefault="009A7E86">
      <w:pPr>
        <w:pStyle w:val="FootnoteText"/>
      </w:pPr>
      <w:r>
        <w:rPr>
          <w:rStyle w:val="FootnoteReference"/>
        </w:rPr>
        <w:footnoteRef/>
      </w:r>
      <w:r>
        <w:t xml:space="preserve"> </w:t>
      </w:r>
      <w:bookmarkStart w:id="7" w:name="_Hlk499326933"/>
      <w:r>
        <w:t>Abraham Lincoln, Gettysburg address, November 19</w:t>
      </w:r>
      <w:r w:rsidRPr="009A7E86">
        <w:rPr>
          <w:vertAlign w:val="superscript"/>
        </w:rPr>
        <w:t>th</w:t>
      </w:r>
      <w:r>
        <w:t xml:space="preserve"> 1863 </w:t>
      </w:r>
      <w:hyperlink r:id="rId1" w:history="1">
        <w:r w:rsidRPr="00BB712F">
          <w:rPr>
            <w:rStyle w:val="Hyperlink"/>
          </w:rPr>
          <w:t>https://www.britannica.com/event/Gettysburg-Address</w:t>
        </w:r>
      </w:hyperlink>
      <w:r>
        <w:t xml:space="preserve"> accessed </w:t>
      </w:r>
      <w:bookmarkEnd w:id="7"/>
      <w:r>
        <w:t>22/11/17</w:t>
      </w:r>
    </w:p>
  </w:footnote>
  <w:footnote w:id="20">
    <w:p w:rsidR="009A7E86" w:rsidRPr="00674C05" w:rsidRDefault="009A7E86">
      <w:pPr>
        <w:pStyle w:val="FootnoteText"/>
      </w:pPr>
      <w:r>
        <w:rPr>
          <w:rStyle w:val="FootnoteReference"/>
        </w:rPr>
        <w:footnoteRef/>
      </w:r>
      <w:r>
        <w:t xml:space="preserve"> </w:t>
      </w:r>
      <w:bookmarkStart w:id="8" w:name="_Hlk499326832"/>
      <w:r>
        <w:t xml:space="preserve">G.B. Tindall and D.E. Shi, </w:t>
      </w:r>
      <w:r>
        <w:rPr>
          <w:i/>
        </w:rPr>
        <w:t>America: A Narrative History</w:t>
      </w:r>
      <w:r w:rsidR="00674C05">
        <w:rPr>
          <w:i/>
        </w:rPr>
        <w:t xml:space="preserve">, </w:t>
      </w:r>
      <w:r w:rsidR="00674C05">
        <w:t>Brief 8</w:t>
      </w:r>
      <w:r w:rsidR="00674C05" w:rsidRPr="00674C05">
        <w:rPr>
          <w:vertAlign w:val="superscript"/>
        </w:rPr>
        <w:t>th</w:t>
      </w:r>
      <w:r w:rsidR="00674C05">
        <w:t xml:space="preserve"> Edition</w:t>
      </w:r>
      <w:r w:rsidR="00674C05">
        <w:rPr>
          <w:i/>
        </w:rPr>
        <w:t xml:space="preserve"> </w:t>
      </w:r>
      <w:r w:rsidR="00674C05">
        <w:t xml:space="preserve">(Norton, London, 2010) </w:t>
      </w:r>
      <w:bookmarkEnd w:id="8"/>
      <w:r w:rsidR="00674C05">
        <w:t>p. A107</w:t>
      </w:r>
    </w:p>
  </w:footnote>
  <w:footnote w:id="21">
    <w:p w:rsidR="00674C05" w:rsidRPr="00674C05" w:rsidRDefault="00674C05">
      <w:pPr>
        <w:pStyle w:val="FootnoteText"/>
      </w:pPr>
      <w:r>
        <w:rPr>
          <w:rStyle w:val="FootnoteReference"/>
        </w:rPr>
        <w:footnoteRef/>
      </w:r>
      <w:r>
        <w:t xml:space="preserve"> R.N Current “</w:t>
      </w:r>
      <w:r>
        <w:rPr>
          <w:i/>
        </w:rPr>
        <w:t xml:space="preserve">The Friend of Freedom” </w:t>
      </w:r>
      <w:r>
        <w:t>p.25</w:t>
      </w:r>
    </w:p>
  </w:footnote>
  <w:footnote w:id="22">
    <w:p w:rsidR="0057788A" w:rsidRPr="0057788A" w:rsidRDefault="0057788A">
      <w:pPr>
        <w:pStyle w:val="FootnoteText"/>
      </w:pPr>
      <w:r>
        <w:rPr>
          <w:rStyle w:val="FootnoteReference"/>
        </w:rPr>
        <w:footnoteRef/>
      </w:r>
      <w:r>
        <w:t xml:space="preserve"> D. Donald, </w:t>
      </w:r>
      <w:r>
        <w:rPr>
          <w:i/>
        </w:rPr>
        <w:t xml:space="preserve">Lincoln Reconsidered </w:t>
      </w:r>
      <w:r>
        <w:t>p.19</w:t>
      </w:r>
    </w:p>
  </w:footnote>
  <w:footnote w:id="23">
    <w:p w:rsidR="0057788A" w:rsidRPr="0057788A" w:rsidRDefault="0057788A">
      <w:pPr>
        <w:pStyle w:val="FootnoteText"/>
      </w:pPr>
      <w:r>
        <w:rPr>
          <w:rStyle w:val="FootnoteReference"/>
        </w:rPr>
        <w:footnoteRef/>
      </w:r>
      <w:r>
        <w:t xml:space="preserve"> R.N Current, </w:t>
      </w:r>
      <w:r>
        <w:rPr>
          <w:i/>
        </w:rPr>
        <w:t xml:space="preserve">“The Friend of Freedom” </w:t>
      </w:r>
      <w:r>
        <w:t>p.41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1E9"/>
    <w:rsid w:val="00012314"/>
    <w:rsid w:val="0004632E"/>
    <w:rsid w:val="00050777"/>
    <w:rsid w:val="000837F9"/>
    <w:rsid w:val="000C13BC"/>
    <w:rsid w:val="000E2C47"/>
    <w:rsid w:val="000F6B21"/>
    <w:rsid w:val="001353FC"/>
    <w:rsid w:val="00192A49"/>
    <w:rsid w:val="001935E3"/>
    <w:rsid w:val="001A2C31"/>
    <w:rsid w:val="001B51E9"/>
    <w:rsid w:val="0029687A"/>
    <w:rsid w:val="002D1254"/>
    <w:rsid w:val="003041F8"/>
    <w:rsid w:val="00336C83"/>
    <w:rsid w:val="00393B5E"/>
    <w:rsid w:val="004107E7"/>
    <w:rsid w:val="00481545"/>
    <w:rsid w:val="005655BC"/>
    <w:rsid w:val="00572DBA"/>
    <w:rsid w:val="0057788A"/>
    <w:rsid w:val="005E6922"/>
    <w:rsid w:val="00665516"/>
    <w:rsid w:val="0066795F"/>
    <w:rsid w:val="00674C05"/>
    <w:rsid w:val="007D495E"/>
    <w:rsid w:val="00854393"/>
    <w:rsid w:val="008A5C31"/>
    <w:rsid w:val="0091361B"/>
    <w:rsid w:val="009773B4"/>
    <w:rsid w:val="009A7E86"/>
    <w:rsid w:val="009E0493"/>
    <w:rsid w:val="00A965DD"/>
    <w:rsid w:val="00AF5788"/>
    <w:rsid w:val="00B14590"/>
    <w:rsid w:val="00BA266E"/>
    <w:rsid w:val="00BA66BE"/>
    <w:rsid w:val="00BC042A"/>
    <w:rsid w:val="00BE1DC5"/>
    <w:rsid w:val="00BE4E9F"/>
    <w:rsid w:val="00BF17A8"/>
    <w:rsid w:val="00C37694"/>
    <w:rsid w:val="00CE31FC"/>
    <w:rsid w:val="00CE7E5A"/>
    <w:rsid w:val="00D06519"/>
    <w:rsid w:val="00D1369E"/>
    <w:rsid w:val="00D7777B"/>
    <w:rsid w:val="00DC2EEB"/>
    <w:rsid w:val="00DC5F17"/>
    <w:rsid w:val="00E04ECB"/>
    <w:rsid w:val="00E1658D"/>
    <w:rsid w:val="00E832AF"/>
    <w:rsid w:val="00E97071"/>
    <w:rsid w:val="00EB75B2"/>
    <w:rsid w:val="00ED1EE2"/>
    <w:rsid w:val="00EE0B14"/>
    <w:rsid w:val="00FA2049"/>
    <w:rsid w:val="00FE0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9f9,#c9ffc9"/>
    </o:shapedefaults>
    <o:shapelayout v:ext="edit">
      <o:idmap v:ext="edit" data="1"/>
    </o:shapelayout>
  </w:shapeDefaults>
  <w:decimalSymbol w:val="."/>
  <w:listSeparator w:val=","/>
  <w14:docId w14:val="2C02A8FE"/>
  <w15:chartTrackingRefBased/>
  <w15:docId w15:val="{505F4406-7443-4FDC-8F59-6D3251A23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1DC5"/>
    <w:rPr>
      <w:color w:val="0563C1" w:themeColor="hyperlink"/>
      <w:u w:val="single"/>
    </w:rPr>
  </w:style>
  <w:style w:type="paragraph" w:styleId="FootnoteText">
    <w:name w:val="footnote text"/>
    <w:basedOn w:val="Normal"/>
    <w:link w:val="FootnoteTextChar"/>
    <w:uiPriority w:val="99"/>
    <w:semiHidden/>
    <w:unhideWhenUsed/>
    <w:rsid w:val="009773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73B4"/>
    <w:rPr>
      <w:sz w:val="20"/>
      <w:szCs w:val="20"/>
    </w:rPr>
  </w:style>
  <w:style w:type="character" w:styleId="FootnoteReference">
    <w:name w:val="footnote reference"/>
    <w:basedOn w:val="DefaultParagraphFont"/>
    <w:uiPriority w:val="99"/>
    <w:semiHidden/>
    <w:unhideWhenUsed/>
    <w:rsid w:val="009773B4"/>
    <w:rPr>
      <w:vertAlign w:val="superscript"/>
    </w:rPr>
  </w:style>
  <w:style w:type="character" w:styleId="UnresolvedMention">
    <w:name w:val="Unresolved Mention"/>
    <w:basedOn w:val="DefaultParagraphFont"/>
    <w:uiPriority w:val="99"/>
    <w:semiHidden/>
    <w:unhideWhenUsed/>
    <w:rsid w:val="009A7E8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event/Gettysburg-Addres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event/Gettysburg-Add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6EA2D5-31FA-4206-A4B7-84190BEB4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5</Pages>
  <Words>2498</Words>
  <Characters>14241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Marsh (1600655)</dc:creator>
  <cp:keywords/>
  <dc:description/>
  <cp:lastModifiedBy>rachel m</cp:lastModifiedBy>
  <cp:revision>4</cp:revision>
  <dcterms:created xsi:type="dcterms:W3CDTF">2017-11-24T16:58:00Z</dcterms:created>
  <dcterms:modified xsi:type="dcterms:W3CDTF">2017-11-24T22:48:00Z</dcterms:modified>
</cp:coreProperties>
</file>