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B08F718"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D5CB7">
        <w:rPr>
          <w:rFonts w:asciiTheme="minorBidi" w:hAnsiTheme="minorBidi"/>
          <w:sz w:val="28"/>
          <w:szCs w:val="28"/>
        </w:rPr>
        <w:t>Maria Nawaz</w:t>
      </w:r>
    </w:p>
    <w:p w14:paraId="485B6F49" w14:textId="1273B309"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D5CB7">
        <w:rPr>
          <w:rFonts w:asciiTheme="minorBidi" w:hAnsiTheme="minorBidi"/>
          <w:sz w:val="28"/>
          <w:szCs w:val="28"/>
        </w:rPr>
        <w:t>2521133</w:t>
      </w:r>
    </w:p>
    <w:p w14:paraId="3C1E7A20" w14:textId="718A895E"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4D5CB7">
        <w:rPr>
          <w:rFonts w:asciiTheme="minorBidi" w:hAnsiTheme="minorBidi"/>
          <w:sz w:val="28"/>
          <w:szCs w:val="28"/>
        </w:rPr>
        <w:t>LCHS4001</w:t>
      </w:r>
    </w:p>
    <w:p w14:paraId="4EEB2DA3" w14:textId="2514F6D2"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D5CB7">
        <w:rPr>
          <w:rFonts w:asciiTheme="minorBidi" w:hAnsiTheme="minorBidi"/>
          <w:sz w:val="28"/>
          <w:szCs w:val="28"/>
        </w:rPr>
        <w:t xml:space="preserve">Academic and Employability Skills </w:t>
      </w:r>
    </w:p>
    <w:p w14:paraId="112342CB" w14:textId="645FC3AA"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4D5CB7">
        <w:rPr>
          <w:rFonts w:asciiTheme="minorBidi" w:hAnsiTheme="minorBidi"/>
          <w:sz w:val="28"/>
          <w:szCs w:val="28"/>
        </w:rPr>
        <w:t>Charissa Brain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580E3DC7"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4D5CB7">
        <w:rPr>
          <w:rFonts w:asciiTheme="minorBidi" w:hAnsiTheme="minorBidi"/>
          <w:sz w:val="28"/>
          <w:szCs w:val="28"/>
        </w:rPr>
        <w:t>24/March/2026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58820C16" w:rsidR="002A5577" w:rsidRPr="00242974" w:rsidRDefault="002A5577" w:rsidP="002A5577">
      <w:pPr>
        <w:rPr>
          <w:b/>
          <w:bCs/>
          <w:sz w:val="21"/>
          <w:szCs w:val="21"/>
        </w:rPr>
      </w:pPr>
      <w:r w:rsidRPr="00242974">
        <w:rPr>
          <w:b/>
          <w:bCs/>
          <w:sz w:val="21"/>
          <w:szCs w:val="21"/>
        </w:rPr>
        <w:lastRenderedPageBreak/>
        <w:t xml:space="preserve">Delete </w:t>
      </w:r>
      <w:r w:rsidR="002269D6" w:rsidRPr="00242974">
        <w:rPr>
          <w:b/>
          <w:bCs/>
          <w:sz w:val="21"/>
          <w:szCs w:val="21"/>
        </w:rPr>
        <w:t>all</w:t>
      </w:r>
      <w:r w:rsidRPr="00242974">
        <w:rPr>
          <w:b/>
          <w:bCs/>
          <w:sz w:val="21"/>
          <w:szCs w:val="21"/>
        </w:rPr>
        <w:t xml:space="preserve"> instructions before you submit (including th</w:t>
      </w:r>
      <w:r w:rsidR="007D25AA">
        <w:rPr>
          <w:b/>
          <w:bCs/>
          <w:sz w:val="21"/>
          <w:szCs w:val="21"/>
        </w:rPr>
        <w:t>is one</w:t>
      </w:r>
      <w:r w:rsidRPr="00242974">
        <w:rPr>
          <w:b/>
          <w:bCs/>
          <w:sz w:val="21"/>
          <w:szCs w:val="21"/>
        </w:rPr>
        <w:t>)!</w:t>
      </w:r>
    </w:p>
    <w:p w14:paraId="77C18CB4" w14:textId="04172E19" w:rsidR="00933720" w:rsidRPr="002976D4" w:rsidRDefault="00AA77C8" w:rsidP="00F36ADC">
      <w:pPr>
        <w:pStyle w:val="Heading1"/>
        <w:rPr>
          <w:color w:val="4472C4" w:themeColor="accent1"/>
        </w:rPr>
      </w:pPr>
      <w:bookmarkStart w:id="0" w:name="_Toc21210051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p>
    <w:p w14:paraId="0CAE5527" w14:textId="7C9B9F97" w:rsidR="00AC7BE2" w:rsidRPr="00242974" w:rsidRDefault="00631F2E" w:rsidP="00774092">
      <w:pPr>
        <w:jc w:val="both"/>
        <w:rPr>
          <w:sz w:val="21"/>
          <w:szCs w:val="21"/>
        </w:rPr>
      </w:pPr>
      <w:r w:rsidRPr="00242974">
        <w:rPr>
          <w:b/>
          <w:bCs/>
          <w:sz w:val="21"/>
          <w:szCs w:val="21"/>
        </w:rPr>
        <w:t>THIS IS NOT A PERSONAL REFLECTION-PLEASE DO NOT USE PERSONAL PRONOUNS IN THIS REPORT.</w:t>
      </w:r>
    </w:p>
    <w:p w14:paraId="7E817B09" w14:textId="50F31860" w:rsidR="00A035CD" w:rsidRPr="002976D4" w:rsidRDefault="00AA77C8" w:rsidP="00500295">
      <w:pPr>
        <w:pStyle w:val="Heading2"/>
        <w:rPr>
          <w:color w:val="4472C4" w:themeColor="accent1"/>
        </w:rPr>
      </w:pPr>
      <w:bookmarkStart w:id="1" w:name="_Toc21210051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1"/>
    </w:p>
    <w:p w14:paraId="4CC61BC1" w14:textId="1482E68C" w:rsidR="00F36ADC" w:rsidRPr="00242974" w:rsidRDefault="003013CF" w:rsidP="00500295">
      <w:pPr>
        <w:spacing w:after="0" w:line="240" w:lineRule="auto"/>
        <w:jc w:val="both"/>
        <w:rPr>
          <w:sz w:val="21"/>
          <w:szCs w:val="21"/>
        </w:rPr>
      </w:pPr>
      <w:r w:rsidRPr="003013CF">
        <w:rPr>
          <w:sz w:val="21"/>
          <w:szCs w:val="21"/>
        </w:rPr>
        <w:t xml:space="preserve">The role of the adult nurse is a cornerstone of the modern healthcare system, providing holistic care to individuals over the age of 18 across various clinical settings. This report aims to explore the multifaceted responsibilities of the adult nursing role and evaluate the essential skills required for high-quality practice. It is argued that the integration of clinical expertise and interpersonal care is vital for patient safety (Royal College of Nursing, 2023). The report will provide a description of the role’s background, evaluate three critical skills, and propose three professional development strategies to enhance nursing </w:t>
      </w:r>
      <w:r w:rsidR="008A7CD4" w:rsidRPr="003013CF">
        <w:rPr>
          <w:sz w:val="21"/>
          <w:szCs w:val="21"/>
        </w:rPr>
        <w:t>competence.</w:t>
      </w:r>
      <w:r w:rsidR="008A7CD4" w:rsidRPr="008A7CD4">
        <w:rPr>
          <w:sz w:val="21"/>
          <w:szCs w:val="21"/>
        </w:rPr>
        <w:t xml:space="preserve"> Maintaining accurate clinical documentation and adhering to academic standards </w:t>
      </w:r>
      <w:r w:rsidR="00F25A13">
        <w:rPr>
          <w:sz w:val="21"/>
          <w:szCs w:val="21"/>
        </w:rPr>
        <w:t>are</w:t>
      </w:r>
      <w:r w:rsidR="008A7CD4" w:rsidRPr="008A7CD4">
        <w:rPr>
          <w:sz w:val="21"/>
          <w:szCs w:val="21"/>
        </w:rPr>
        <w:t xml:space="preserve"> fundamental requirement for professional nursing practice (Pears and Shields, 2022).</w:t>
      </w:r>
    </w:p>
    <w:p w14:paraId="50A9FBC6" w14:textId="25682FFA" w:rsidR="008B0B22" w:rsidRDefault="00AA77C8" w:rsidP="008B0B22">
      <w:pPr>
        <w:pStyle w:val="Heading2"/>
        <w:rPr>
          <w:color w:val="4472C4" w:themeColor="accent1"/>
          <w:szCs w:val="24"/>
        </w:rPr>
      </w:pPr>
      <w:bookmarkStart w:id="2" w:name="_Toc212100519"/>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w:t>
      </w:r>
      <w:r w:rsidR="003013CF">
        <w:rPr>
          <w:color w:val="4472C4" w:themeColor="accent1"/>
          <w:szCs w:val="24"/>
        </w:rPr>
        <w:t>Adult nursing</w:t>
      </w:r>
      <w:r w:rsidR="00070818" w:rsidRPr="002976D4">
        <w:rPr>
          <w:color w:val="4472C4" w:themeColor="accent1"/>
          <w:szCs w:val="24"/>
        </w:rPr>
        <w:t>]</w:t>
      </w:r>
      <w:r w:rsidR="008B0B22" w:rsidRPr="002976D4">
        <w:rPr>
          <w:color w:val="4472C4" w:themeColor="accent1"/>
          <w:szCs w:val="24"/>
        </w:rPr>
        <w:t xml:space="preserve"> in </w:t>
      </w:r>
      <w:bookmarkEnd w:id="2"/>
      <w:r w:rsidR="003013CF" w:rsidRPr="002976D4">
        <w:rPr>
          <w:color w:val="4472C4" w:themeColor="accent1"/>
          <w:szCs w:val="24"/>
        </w:rPr>
        <w:t>healthcare</w:t>
      </w:r>
      <w:r w:rsidR="008B0B22" w:rsidRPr="002976D4">
        <w:rPr>
          <w:color w:val="4472C4" w:themeColor="accent1"/>
          <w:szCs w:val="24"/>
        </w:rPr>
        <w:t xml:space="preserve"> </w:t>
      </w:r>
    </w:p>
    <w:p w14:paraId="4CD332D4" w14:textId="519158EE" w:rsidR="003013CF" w:rsidRDefault="003013CF" w:rsidP="003013CF">
      <w:r w:rsidRPr="003013CF">
        <w:t>The role of the adult nurse is foundational to the healthcare system, providing essential care to individuals over the age of 18 across acute, chronic, and community settings. Adult nurses perform a diverse range of duties, including conducting comprehensive physical assessments, administering complex medication regime</w:t>
      </w:r>
      <w:r w:rsidR="00F25A13">
        <w:t>n</w:t>
      </w:r>
      <w:r w:rsidRPr="003013CF">
        <w:t>s, managing wound care, and coordinating with multidisciplinary teams to ensure holistic patient support (Royal College of Nursing, 2023). Furthermore, they act as the primary point of contact for patients and their families, providing emotional support and education regarding long-term health management.</w:t>
      </w:r>
    </w:p>
    <w:p w14:paraId="06FAFC8C" w14:textId="29055679" w:rsidR="003013CF" w:rsidRPr="003013CF" w:rsidRDefault="003013CF" w:rsidP="003013CF">
      <w:r w:rsidRPr="003013CF">
        <w:t>The most important duty of the adult nurse is the continuous clinical observation and monitoring of patient health. This vigilance is critical because it allows for the early detection of clinical deterioration, which is vital for timely intervention and the prevention of adverse medical events (Nursing and Midwifery Council, 2018). To perform these duties effectively, a practitioner must possess a robust blend of technical skills, such as venepuncture and life support, alongside essential "soft" skills. These include effective communication, empathy, and the ability to work under pressure, all of which are encapsulated in the "6 Cs" framework of nursing care (Department of Health, 2012).</w:t>
      </w:r>
    </w:p>
    <w:p w14:paraId="5E184DAC" w14:textId="42788E9F" w:rsidR="003013CF" w:rsidRDefault="00676FEB" w:rsidP="00676FEB">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skills needed for [</w:t>
      </w:r>
      <w:r w:rsidR="003013CF">
        <w:rPr>
          <w:color w:val="4472C4" w:themeColor="accent1"/>
          <w:sz w:val="28"/>
          <w:szCs w:val="28"/>
        </w:rPr>
        <w:t>Adult nursing</w:t>
      </w:r>
      <w:r w:rsidR="00D4006B" w:rsidRPr="002976D4">
        <w:rPr>
          <w:color w:val="4472C4" w:themeColor="accent1"/>
          <w:sz w:val="28"/>
          <w:szCs w:val="28"/>
        </w:rPr>
        <w:t>]</w:t>
      </w:r>
      <w:r w:rsidR="007138EF" w:rsidRPr="002976D4">
        <w:rPr>
          <w:color w:val="4472C4" w:themeColor="accent1"/>
          <w:sz w:val="28"/>
          <w:szCs w:val="28"/>
        </w:rPr>
        <w:t xml:space="preserve"> in </w:t>
      </w:r>
      <w:r w:rsidR="003013CF" w:rsidRPr="002976D4">
        <w:rPr>
          <w:color w:val="4472C4" w:themeColor="accent1"/>
          <w:sz w:val="28"/>
          <w:szCs w:val="28"/>
        </w:rPr>
        <w:t>healthcar</w:t>
      </w:r>
      <w:r w:rsidR="003013CF">
        <w:rPr>
          <w:color w:val="4472C4" w:themeColor="accent1"/>
          <w:sz w:val="28"/>
          <w:szCs w:val="28"/>
        </w:rPr>
        <w:t>e</w:t>
      </w:r>
    </w:p>
    <w:p w14:paraId="5B6B45D6" w14:textId="77777777" w:rsidR="002269D6" w:rsidRDefault="002269D6" w:rsidP="00676FEB">
      <w:pPr>
        <w:spacing w:after="0" w:line="240" w:lineRule="auto"/>
        <w:jc w:val="both"/>
        <w:rPr>
          <w:color w:val="4472C4" w:themeColor="accent1"/>
          <w:sz w:val="28"/>
          <w:szCs w:val="28"/>
        </w:rPr>
      </w:pPr>
    </w:p>
    <w:p w14:paraId="0A7D3552" w14:textId="31D634A9" w:rsidR="003013CF" w:rsidRDefault="003013CF" w:rsidP="00676FEB">
      <w:pPr>
        <w:spacing w:after="0" w:line="240" w:lineRule="auto"/>
        <w:jc w:val="both"/>
        <w:rPr>
          <w:color w:val="000000" w:themeColor="text1"/>
          <w:sz w:val="22"/>
        </w:rPr>
      </w:pPr>
      <w:r w:rsidRPr="003013CF">
        <w:rPr>
          <w:color w:val="000000" w:themeColor="text1"/>
          <w:sz w:val="22"/>
        </w:rPr>
        <w:t>For an adult nurse to provide safe and effective care, the three most important skills are Clinical Assessment, Effective Communication, and Critical Thinking. These skills were chosen because they form the "triad of safety" in nursing; without them, a practitioner cannot identify illness, coordinate care, or make safe decisions under pressure. Clinical assessment allows for the objective measurement of a patient's health status, while effective communication ensures that this information is shared accurately across the multidisciplinary team (Nursing and Midwifery Council, 2018). Furthermore, critical thinking is the cognitive process that allows a nurse to prioritize these clinical findings and act appropriately (Aveyard, 2022).</w:t>
      </w:r>
    </w:p>
    <w:p w14:paraId="1DEF5094" w14:textId="5A876C5A" w:rsidR="003013CF" w:rsidRDefault="003013CF" w:rsidP="00676FEB">
      <w:pPr>
        <w:spacing w:after="0" w:line="240" w:lineRule="auto"/>
        <w:jc w:val="both"/>
        <w:rPr>
          <w:color w:val="000000" w:themeColor="text1"/>
          <w:sz w:val="22"/>
        </w:rPr>
      </w:pPr>
      <w:r w:rsidRPr="003013CF">
        <w:rPr>
          <w:color w:val="000000" w:themeColor="text1"/>
          <w:sz w:val="22"/>
        </w:rPr>
        <w:t xml:space="preserve">These skills help staff, including healthcare assistants and junior nurses, perform their jobs better by creating a structured and predictable work environment. For example, when a lead nurse uses clear, assertive communication during a "handover," it ensures that every team member understands their specific tasks and the risks associated with each patient. This </w:t>
      </w:r>
      <w:r w:rsidRPr="003013CF">
        <w:rPr>
          <w:color w:val="000000" w:themeColor="text1"/>
          <w:sz w:val="22"/>
        </w:rPr>
        <w:lastRenderedPageBreak/>
        <w:t>reduces confusion and prevents the duplication of tasks, allowing the team to work more efficiently. In a real-life ward setting, a nurse uses clinical assessment skills during every interaction—for instance, noting that a patient’s skin is unusually pale or that their breathing is Laborde, even before medical equipment confirms a change in their condition</w:t>
      </w:r>
      <w:r>
        <w:rPr>
          <w:color w:val="000000" w:themeColor="text1"/>
          <w:sz w:val="22"/>
        </w:rPr>
        <w:t>.</w:t>
      </w:r>
    </w:p>
    <w:p w14:paraId="6E62F471" w14:textId="72C12CC7" w:rsidR="002269D6" w:rsidRDefault="002269D6" w:rsidP="00676FEB">
      <w:pPr>
        <w:spacing w:after="0" w:line="240" w:lineRule="auto"/>
        <w:jc w:val="both"/>
        <w:rPr>
          <w:color w:val="000000" w:themeColor="text1"/>
          <w:sz w:val="22"/>
        </w:rPr>
      </w:pPr>
      <w:r w:rsidRPr="002269D6">
        <w:rPr>
          <w:color w:val="000000" w:themeColor="text1"/>
          <w:sz w:val="22"/>
        </w:rPr>
        <w:t>If a nurse lacks these skills, the impact on their job and patient safety can be catastrophic. A lack of clinical assessment skills often leads to "failure to rescue" incidents, where a patient’s deteriorating health is not noticed until it is too late to intervene effectively (Royal College of Nursing, 2023). Furthermore, poor communication can lead to medication errors or the mismanagement of patient care plans, which may result in disciplinary action for the staff member and a loss of trust from the patient's family. For example, if a nurse fails to communicate a patient’s allergy to the pharmacy team, the patient could be prescribed a harmful medication, leading to a life-threatening allergic reaction.</w:t>
      </w:r>
    </w:p>
    <w:p w14:paraId="5F6C369B" w14:textId="77777777" w:rsidR="002269D6" w:rsidRDefault="002269D6" w:rsidP="00676FEB">
      <w:pPr>
        <w:spacing w:after="0" w:line="240" w:lineRule="auto"/>
        <w:jc w:val="both"/>
        <w:rPr>
          <w:color w:val="000000" w:themeColor="text1"/>
          <w:sz w:val="22"/>
        </w:rPr>
      </w:pPr>
    </w:p>
    <w:p w14:paraId="70557B4C" w14:textId="117AB507" w:rsidR="002269D6" w:rsidRDefault="002269D6" w:rsidP="00676FEB">
      <w:pPr>
        <w:spacing w:after="0" w:line="240" w:lineRule="auto"/>
        <w:jc w:val="both"/>
        <w:rPr>
          <w:color w:val="000000" w:themeColor="text1"/>
          <w:sz w:val="22"/>
        </w:rPr>
      </w:pPr>
      <w:r w:rsidRPr="002269D6">
        <w:rPr>
          <w:color w:val="000000" w:themeColor="text1"/>
          <w:sz w:val="22"/>
        </w:rPr>
        <w:t>In practice, a clear example of these skills in action is the management of a patient showing signs of sepsis. The nurse must use clinical assessment to identify a high temperature and low blood pressure, critical thinking to recognize these as red flags for infection, and effective communication to urgently alert the medical team using a structured tool like SBAR (Situation, Background, Assessment, Recommendation). This integrated approach directly improves patient survival rates and ensures the nurse is fulfilling their professional duty of care (Department of Health, 2012).</w:t>
      </w:r>
    </w:p>
    <w:p w14:paraId="368377A5" w14:textId="77777777" w:rsidR="003013CF" w:rsidRPr="003013CF" w:rsidRDefault="003013CF" w:rsidP="00676FEB">
      <w:pPr>
        <w:spacing w:after="0" w:line="240" w:lineRule="auto"/>
        <w:jc w:val="both"/>
        <w:rPr>
          <w:color w:val="000000" w:themeColor="text1"/>
          <w:sz w:val="22"/>
        </w:rPr>
      </w:pPr>
    </w:p>
    <w:p w14:paraId="01C49510" w14:textId="02ADD4A1" w:rsidR="002370CE" w:rsidRDefault="00AA77C8" w:rsidP="00774092">
      <w:pPr>
        <w:pStyle w:val="Heading2"/>
        <w:rPr>
          <w:color w:val="4472C4" w:themeColor="accent1"/>
          <w:szCs w:val="24"/>
        </w:rPr>
      </w:pPr>
      <w:bookmarkStart w:id="3" w:name="_Toc212100520"/>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[Your </w:t>
      </w:r>
      <w:r w:rsidR="007138EF" w:rsidRPr="002976D4">
        <w:rPr>
          <w:color w:val="4472C4" w:themeColor="accent1"/>
          <w:szCs w:val="24"/>
        </w:rPr>
        <w:t>Role</w:t>
      </w:r>
      <w:r w:rsidR="00070818" w:rsidRPr="002976D4">
        <w:rPr>
          <w:color w:val="4472C4" w:themeColor="accent1"/>
          <w:szCs w:val="24"/>
        </w:rPr>
        <w:t>]</w:t>
      </w:r>
      <w:bookmarkEnd w:id="3"/>
    </w:p>
    <w:p w14:paraId="7CF769DB" w14:textId="644A2E67" w:rsidR="002269D6" w:rsidRDefault="002269D6" w:rsidP="002269D6">
      <w:r w:rsidRPr="002269D6">
        <w:t>To maintain high standards of clinical excellence and patient safety, adult nurses must engage in continuous professional development. Three highly effective strategies for skill improvement are Reflective Practice, Simulation-Based Training, and Mentorship/Preceptorship. These strategies were chosen because they address different learning domains: reflection handles the cognitive and emotional aspects of care, simulation addresses technical psychomotor skills, and mentorship provides socialized, real-time clinical wisdom (Aveyard, 2022).</w:t>
      </w:r>
    </w:p>
    <w:p w14:paraId="7CF9C68A" w14:textId="67537566" w:rsidR="002269D6" w:rsidRDefault="002269D6" w:rsidP="002269D6">
      <w:r w:rsidRPr="002269D6">
        <w:t>Reflective Practice is a structured process where a nurse analyses a clinical event to learn from it. Using a framework such as Gibbs’ Reflective Cycle, a nurse describes a situation, examines their feelings, evaluates the experience, and creates an action plan for the future. For example, if a nurse struggled to manage a difficult conversation with a grieving family, they could use reflection to identify that their communication was too clinical and lacked empathy. By reflecting, they can plan to use more active listening techniques in future interactions, thereby improving their "soft" skills and emotional intelligence (Department of Health, 2012).</w:t>
      </w:r>
    </w:p>
    <w:p w14:paraId="2E1E4E8A" w14:textId="4E038FE9" w:rsidR="002269D6" w:rsidRDefault="002269D6" w:rsidP="002269D6">
      <w:r w:rsidRPr="002269D6">
        <w:t>Simulation-Based Training works by allowing nurses to practice high-stakes clinical scenarios, such as cardiac arrests or anaphylaxis, using high-fidelity manikins in a controlled environment. This strategy is vital because it allows for "safe failure," where mistakes do not result in patient harm. For instance, a nurse might participate in a mock "Sepsis Six" drill. Through this repetition, they improve their speed and accuracy in administering IV fluids and antibiotics. Research suggests that simulation builds "muscle memory" and clinical confidence, which are essential when performing under the high pressure of an emergency ward (Royal College of Nursing, 2023).</w:t>
      </w:r>
    </w:p>
    <w:p w14:paraId="248B463F" w14:textId="51BCC22E" w:rsidR="002269D6" w:rsidRDefault="002269D6" w:rsidP="002269D6">
      <w:r w:rsidRPr="002269D6">
        <w:t xml:space="preserve">Finally, Mentorship and Preceptorship involve a junior nurse working alongside a more experienced "preceptor" who provides direct supervision and feedback. This strategy works through the transfer of tacit knowledge—the "tricks of the trade" that are not found in textbooks. A real-life example would be a newly qualified nurse learning how to manage a complex caseload. By observing how their </w:t>
      </w:r>
      <w:r w:rsidRPr="002269D6">
        <w:lastRenderedPageBreak/>
        <w:t>mentor prioritizes patients during a busy shift, the junior nurse learns the skill of "clinical triaging." This hands-on guidance ensures that professional standards are upheld and that the nurse continues to meet the requirements of the professional code of conduct (Nursing and Midwifery Council, 2018).</w:t>
      </w:r>
    </w:p>
    <w:p w14:paraId="2768D9F4" w14:textId="44F0D081" w:rsidR="002269D6" w:rsidRPr="002269D6" w:rsidRDefault="00D3224F" w:rsidP="002269D6">
      <w:r w:rsidRPr="00D3224F">
        <w:t>Regular workshops and peer feedback help nurses identify clinical gaps, such as updated infection control protocols (Aveyard, 2022). Engaging in "Lunch and Learn" sessions on new digital systems improves technical accuracy while reducing burnout through professional support. This strategy fosters a culture of lifelong learning, ultimately strengthening the institution and ensuring excellence in patient care (NMC, 2018).</w:t>
      </w:r>
    </w:p>
    <w:p w14:paraId="1497148C" w14:textId="6FE2C4CD" w:rsidR="00A946CB" w:rsidRPr="002976D4" w:rsidRDefault="00AA77C8" w:rsidP="00A946CB">
      <w:pPr>
        <w:pStyle w:val="Heading2"/>
        <w:rPr>
          <w:color w:val="4472C4" w:themeColor="accent1"/>
          <w:szCs w:val="24"/>
        </w:rPr>
      </w:pPr>
      <w:bookmarkStart w:id="4" w:name="_Toc212100521"/>
      <w:r w:rsidRPr="002976D4">
        <w:rPr>
          <w:color w:val="4472C4" w:themeColor="accent1"/>
          <w:szCs w:val="24"/>
        </w:rPr>
        <w:t>1</w:t>
      </w:r>
      <w:r w:rsidR="00A946CB" w:rsidRPr="002976D4">
        <w:rPr>
          <w:color w:val="4472C4" w:themeColor="accent1"/>
          <w:szCs w:val="24"/>
        </w:rPr>
        <w:t>.4 Conclusion</w:t>
      </w:r>
      <w:bookmarkEnd w:id="4"/>
    </w:p>
    <w:p w14:paraId="76565AE3" w14:textId="34131137" w:rsidR="003458DB" w:rsidRPr="00D3224F" w:rsidRDefault="00F1720B" w:rsidP="00D3224F">
      <w:pPr>
        <w:spacing w:after="0" w:line="240" w:lineRule="auto"/>
        <w:rPr>
          <w:sz w:val="21"/>
          <w:szCs w:val="21"/>
        </w:rPr>
      </w:pPr>
      <w:r w:rsidRPr="00D3224F">
        <w:rPr>
          <w:sz w:val="21"/>
          <w:szCs w:val="21"/>
        </w:rPr>
        <w:t xml:space="preserve"> </w:t>
      </w:r>
      <w:r w:rsidR="00D3224F" w:rsidRPr="00D3224F">
        <w:rPr>
          <w:sz w:val="21"/>
          <w:szCs w:val="21"/>
        </w:rPr>
        <w:t>In summary, the role of the adult nurse is vital for maintaining patient safety and delivering high-quality care within the healthcare system. This report has outlined how essential duties, such as clinical observation and medication management, are supported by core skills in assessment, communication, and critical thinking (Nursing and Midwifery Council, 2018). Furthermore, by engaging in key strategies like reflective practice and simulation training, practitioners can overcome clinical challenges and ensure their expertise remains current. Ultimately, a highly skilled and reflective nursing workforce is the most effective safeguard against clinical error and remains the foundation of a compassionate, patient-cantered health service (Department of Health, 2012).</w:t>
      </w:r>
    </w:p>
    <w:p w14:paraId="6C4B494D" w14:textId="763B24A0" w:rsidR="00226D31" w:rsidRPr="002976D4" w:rsidRDefault="00AA77C8" w:rsidP="00226D31">
      <w:pPr>
        <w:pStyle w:val="Heading2"/>
        <w:rPr>
          <w:color w:val="4472C4" w:themeColor="accent1"/>
          <w:szCs w:val="24"/>
        </w:rPr>
      </w:pPr>
      <w:bookmarkStart w:id="5" w:name="_Toc212100522"/>
      <w:r w:rsidRPr="002976D4">
        <w:rPr>
          <w:color w:val="4472C4" w:themeColor="accent1"/>
          <w:szCs w:val="24"/>
        </w:rPr>
        <w:t>1</w:t>
      </w:r>
      <w:r w:rsidR="00226D31" w:rsidRPr="002976D4">
        <w:rPr>
          <w:color w:val="4472C4" w:themeColor="accent1"/>
          <w:szCs w:val="24"/>
        </w:rPr>
        <w:t>.5 Reference List</w:t>
      </w:r>
      <w:bookmarkEnd w:id="5"/>
    </w:p>
    <w:p w14:paraId="52DAFB4C" w14:textId="400B7371" w:rsidR="00D3224F" w:rsidRPr="00D3224F" w:rsidRDefault="00D3224F" w:rsidP="00D3224F">
      <w:pPr>
        <w:rPr>
          <w:color w:val="000000" w:themeColor="text1"/>
        </w:rPr>
      </w:pPr>
      <w:r w:rsidRPr="00D3224F">
        <w:rPr>
          <w:b/>
          <w:bCs/>
          <w:color w:val="000000" w:themeColor="text1"/>
        </w:rPr>
        <w:t>Aveyard, H.</w:t>
      </w:r>
      <w:r w:rsidRPr="00D3224F">
        <w:rPr>
          <w:color w:val="000000" w:themeColor="text1"/>
        </w:rPr>
        <w:t xml:space="preserve"> (2022) </w:t>
      </w:r>
      <w:r w:rsidRPr="00D3224F">
        <w:rPr>
          <w:i/>
          <w:iCs/>
          <w:color w:val="000000" w:themeColor="text1"/>
        </w:rPr>
        <w:t>A Beginner's Guide to Critical Thinking and Writing in Health and Social Care</w:t>
      </w:r>
      <w:r w:rsidRPr="00D3224F">
        <w:rPr>
          <w:color w:val="000000" w:themeColor="text1"/>
        </w:rPr>
        <w:t>. 4th e</w:t>
      </w:r>
      <w:r w:rsidR="00B23871">
        <w:rPr>
          <w:color w:val="000000" w:themeColor="text1"/>
        </w:rPr>
        <w:t>dn</w:t>
      </w:r>
      <w:r w:rsidRPr="00D3224F">
        <w:rPr>
          <w:color w:val="000000" w:themeColor="text1"/>
        </w:rPr>
        <w:t>. Maidenhead: Open University Press.</w:t>
      </w:r>
    </w:p>
    <w:p w14:paraId="35E7727B" w14:textId="77777777" w:rsidR="00D3224F" w:rsidRPr="00D3224F" w:rsidRDefault="00D3224F" w:rsidP="00D3224F">
      <w:pPr>
        <w:rPr>
          <w:color w:val="000000" w:themeColor="text1"/>
        </w:rPr>
      </w:pPr>
      <w:r w:rsidRPr="00D3224F">
        <w:rPr>
          <w:b/>
          <w:bCs/>
          <w:color w:val="000000" w:themeColor="text1"/>
        </w:rPr>
        <w:t>Department of Health</w:t>
      </w:r>
      <w:r w:rsidRPr="00D3224F">
        <w:rPr>
          <w:color w:val="000000" w:themeColor="text1"/>
        </w:rPr>
        <w:t xml:space="preserve"> (2012) </w:t>
      </w:r>
      <w:r w:rsidRPr="00D3224F">
        <w:rPr>
          <w:i/>
          <w:iCs/>
          <w:color w:val="000000" w:themeColor="text1"/>
        </w:rPr>
        <w:t>Compassion in Practice: Nursing, Midwifery and Care Staff Our Vision and Strategy</w:t>
      </w:r>
      <w:r w:rsidRPr="00D3224F">
        <w:rPr>
          <w:color w:val="000000" w:themeColor="text1"/>
        </w:rPr>
        <w:t>. London: Department of Health.</w:t>
      </w:r>
    </w:p>
    <w:p w14:paraId="0B1FAF01" w14:textId="77777777" w:rsidR="00D3224F" w:rsidRPr="00D3224F" w:rsidRDefault="00D3224F" w:rsidP="00D3224F">
      <w:pPr>
        <w:rPr>
          <w:color w:val="000000" w:themeColor="text1"/>
        </w:rPr>
      </w:pPr>
      <w:r w:rsidRPr="00D3224F">
        <w:rPr>
          <w:b/>
          <w:bCs/>
          <w:color w:val="000000" w:themeColor="text1"/>
        </w:rPr>
        <w:t>Nursing and Midwifery Council</w:t>
      </w:r>
      <w:r w:rsidRPr="00D3224F">
        <w:rPr>
          <w:color w:val="000000" w:themeColor="text1"/>
        </w:rPr>
        <w:t xml:space="preserve"> (2018) </w:t>
      </w:r>
      <w:r w:rsidRPr="00D3224F">
        <w:rPr>
          <w:i/>
          <w:iCs/>
          <w:color w:val="000000" w:themeColor="text1"/>
        </w:rPr>
        <w:t>The Code: Professional standards of practice and behaviour for nurses, midwives and nursing associates</w:t>
      </w:r>
      <w:r w:rsidRPr="00D3224F">
        <w:rPr>
          <w:color w:val="000000" w:themeColor="text1"/>
        </w:rPr>
        <w:t>. London: NMC.</w:t>
      </w:r>
    </w:p>
    <w:p w14:paraId="5989766E" w14:textId="77777777" w:rsidR="00D3224F" w:rsidRPr="00D3224F" w:rsidRDefault="00D3224F" w:rsidP="00D3224F">
      <w:pPr>
        <w:rPr>
          <w:color w:val="000000" w:themeColor="text1"/>
        </w:rPr>
      </w:pPr>
      <w:r w:rsidRPr="00D3224F">
        <w:rPr>
          <w:b/>
          <w:bCs/>
          <w:color w:val="000000" w:themeColor="text1"/>
        </w:rPr>
        <w:t>Pears, R. and Shields, G.</w:t>
      </w:r>
      <w:r w:rsidRPr="00D3224F">
        <w:rPr>
          <w:color w:val="000000" w:themeColor="text1"/>
        </w:rPr>
        <w:t xml:space="preserve"> (2022) </w:t>
      </w:r>
      <w:r w:rsidRPr="00D3224F">
        <w:rPr>
          <w:i/>
          <w:iCs/>
          <w:color w:val="000000" w:themeColor="text1"/>
        </w:rPr>
        <w:t>Cite Them Right: The Essential Referencing Guide</w:t>
      </w:r>
      <w:r w:rsidRPr="00D3224F">
        <w:rPr>
          <w:color w:val="000000" w:themeColor="text1"/>
        </w:rPr>
        <w:t>. 12th edn. London: Bloomsbury Academic.</w:t>
      </w:r>
    </w:p>
    <w:p w14:paraId="0991353A" w14:textId="77777777" w:rsidR="00D3224F" w:rsidRPr="00D3224F" w:rsidRDefault="00D3224F" w:rsidP="00D3224F">
      <w:pPr>
        <w:rPr>
          <w:color w:val="000000" w:themeColor="text1"/>
        </w:rPr>
      </w:pPr>
      <w:r w:rsidRPr="00D3224F">
        <w:rPr>
          <w:b/>
          <w:bCs/>
          <w:color w:val="000000" w:themeColor="text1"/>
        </w:rPr>
        <w:t>Royal College of Nursing</w:t>
      </w:r>
      <w:r w:rsidRPr="00D3224F">
        <w:rPr>
          <w:color w:val="000000" w:themeColor="text1"/>
        </w:rPr>
        <w:t xml:space="preserve"> (2023) </w:t>
      </w:r>
      <w:r w:rsidRPr="00D3224F">
        <w:rPr>
          <w:i/>
          <w:iCs/>
          <w:color w:val="000000" w:themeColor="text1"/>
        </w:rPr>
        <w:t>Adult Nursing: The role and responsibilities</w:t>
      </w:r>
      <w:r w:rsidRPr="00D3224F">
        <w:rPr>
          <w:color w:val="000000" w:themeColor="text1"/>
        </w:rPr>
        <w:t xml:space="preserve">. [Online] Available at: </w:t>
      </w:r>
      <w:hyperlink r:id="rId12" w:tgtFrame="_blank" w:history="1">
        <w:r w:rsidRPr="00D3224F">
          <w:rPr>
            <w:rStyle w:val="Hyperlink"/>
          </w:rPr>
          <w:t>https://www.rcn.org.uk</w:t>
        </w:r>
      </w:hyperlink>
      <w:r w:rsidRPr="00D3224F">
        <w:rPr>
          <w:color w:val="000000" w:themeColor="text1"/>
        </w:rPr>
        <w:t xml:space="preserve"> (Accessed: 17 March 2026).</w:t>
      </w:r>
    </w:p>
    <w:p w14:paraId="1D0F2D59" w14:textId="14AE98B8" w:rsidR="004552CE" w:rsidRPr="00D3224F" w:rsidRDefault="004552CE" w:rsidP="00D3224F">
      <w:pPr>
        <w:rPr>
          <w:color w:val="000000" w:themeColor="text1"/>
        </w:rPr>
      </w:pPr>
    </w:p>
    <w:sectPr w:rsidR="004552CE" w:rsidRPr="00D322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27B8F" w14:textId="77777777" w:rsidR="00197532" w:rsidRDefault="00197532" w:rsidP="003C7C97">
      <w:pPr>
        <w:spacing w:after="0" w:line="240" w:lineRule="auto"/>
      </w:pPr>
      <w:r>
        <w:separator/>
      </w:r>
    </w:p>
  </w:endnote>
  <w:endnote w:type="continuationSeparator" w:id="0">
    <w:p w14:paraId="5641B63C" w14:textId="77777777" w:rsidR="00197532" w:rsidRDefault="0019753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AA106" w14:textId="77777777" w:rsidR="00197532" w:rsidRDefault="00197532" w:rsidP="003C7C97">
      <w:pPr>
        <w:spacing w:after="0" w:line="240" w:lineRule="auto"/>
      </w:pPr>
      <w:r>
        <w:separator/>
      </w:r>
    </w:p>
  </w:footnote>
  <w:footnote w:type="continuationSeparator" w:id="0">
    <w:p w14:paraId="11CD4A87" w14:textId="77777777" w:rsidR="00197532" w:rsidRDefault="00197532"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97532"/>
    <w:rsid w:val="001B22BB"/>
    <w:rsid w:val="001B619C"/>
    <w:rsid w:val="001D1D3C"/>
    <w:rsid w:val="002205D4"/>
    <w:rsid w:val="00222C3A"/>
    <w:rsid w:val="002269D6"/>
    <w:rsid w:val="00226D31"/>
    <w:rsid w:val="00236401"/>
    <w:rsid w:val="002370CE"/>
    <w:rsid w:val="00242974"/>
    <w:rsid w:val="002976D4"/>
    <w:rsid w:val="002A5577"/>
    <w:rsid w:val="002B4AA4"/>
    <w:rsid w:val="002E71BA"/>
    <w:rsid w:val="002F5066"/>
    <w:rsid w:val="003003FD"/>
    <w:rsid w:val="003013CF"/>
    <w:rsid w:val="00310245"/>
    <w:rsid w:val="00316C95"/>
    <w:rsid w:val="003458DB"/>
    <w:rsid w:val="003523D3"/>
    <w:rsid w:val="00364C35"/>
    <w:rsid w:val="00391A64"/>
    <w:rsid w:val="00396F60"/>
    <w:rsid w:val="003A51D6"/>
    <w:rsid w:val="003B125E"/>
    <w:rsid w:val="003B2A5E"/>
    <w:rsid w:val="003C7C97"/>
    <w:rsid w:val="00406B8D"/>
    <w:rsid w:val="00410068"/>
    <w:rsid w:val="0041618E"/>
    <w:rsid w:val="0042295C"/>
    <w:rsid w:val="00426EEC"/>
    <w:rsid w:val="004466C3"/>
    <w:rsid w:val="004552CE"/>
    <w:rsid w:val="00481FF7"/>
    <w:rsid w:val="004D5CB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84C51"/>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520F8"/>
    <w:rsid w:val="00855F34"/>
    <w:rsid w:val="008826B6"/>
    <w:rsid w:val="008A7CD4"/>
    <w:rsid w:val="008B0B22"/>
    <w:rsid w:val="008C58B0"/>
    <w:rsid w:val="008C591B"/>
    <w:rsid w:val="008C6182"/>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171BB"/>
    <w:rsid w:val="00B23871"/>
    <w:rsid w:val="00B81790"/>
    <w:rsid w:val="00B81BBC"/>
    <w:rsid w:val="00BD03D5"/>
    <w:rsid w:val="00C3215E"/>
    <w:rsid w:val="00C45272"/>
    <w:rsid w:val="00C47770"/>
    <w:rsid w:val="00C75856"/>
    <w:rsid w:val="00C85A7C"/>
    <w:rsid w:val="00C95214"/>
    <w:rsid w:val="00CC3F59"/>
    <w:rsid w:val="00CD4774"/>
    <w:rsid w:val="00D10AAF"/>
    <w:rsid w:val="00D27540"/>
    <w:rsid w:val="00D3224F"/>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25A13"/>
    <w:rsid w:val="00F36ADC"/>
    <w:rsid w:val="00F605C6"/>
    <w:rsid w:val="00F6785B"/>
    <w:rsid w:val="00F869F7"/>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D322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rcn.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684cdc675731f7c56c0d8e0915ff781b">
  <xsd:schema xmlns:xsd="http://www.w3.org/2001/XMLSchema" xmlns:xs="http://www.w3.org/2001/XMLSchema" xmlns:p="http://schemas.microsoft.com/office/2006/metadata/properties" xmlns:ns3="901b7179-a49d-4669-ab88-101a0e80079b" targetNamespace="http://schemas.microsoft.com/office/2006/metadata/properties" ma:root="true" ma:fieldsID="e72a602d25dcb1494f9df5efbc384684"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DB334-582A-486E-A3FD-0C3DE022BA2E}">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0DA8D0EA-58D7-4CDB-8A2B-23027994EB16}">
  <ds:schemaRefs>
    <ds:schemaRef ds:uri="http://schemas.microsoft.com/sharepoint/v3/contenttype/forms"/>
  </ds:schemaRefs>
</ds:datastoreItem>
</file>

<file path=customXml/itemProps3.xml><?xml version="1.0" encoding="utf-8"?>
<ds:datastoreItem xmlns:ds="http://schemas.openxmlformats.org/officeDocument/2006/customXml" ds:itemID="{F14B85F7-F2E2-4D43-8E5F-D3F7FA43C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1540</Words>
  <Characters>9137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Maria Nawaz (2521133)</cp:lastModifiedBy>
  <cp:revision>4</cp:revision>
  <dcterms:created xsi:type="dcterms:W3CDTF">2026-03-17T16:12:00Z</dcterms:created>
  <dcterms:modified xsi:type="dcterms:W3CDTF">2026-03-17T16:29:00Z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