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983" w:rsidRPr="00A85BFE" w:rsidRDefault="00AE4983" w:rsidP="00AE498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F997C50" wp14:editId="1E42FDF4">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AE4983" w:rsidRPr="00A406E5" w:rsidRDefault="00AE4983" w:rsidP="00AE498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E4983" w:rsidRPr="00A406E5" w:rsidTr="00C86CA8">
        <w:tc>
          <w:tcPr>
            <w:tcW w:w="9922" w:type="dxa"/>
            <w:shd w:val="clear" w:color="auto" w:fill="C0C0C0"/>
          </w:tcPr>
          <w:p w:rsidR="00AE4983" w:rsidRPr="00A406E5" w:rsidRDefault="00AE4983" w:rsidP="00C86CA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AE4983" w:rsidRPr="00A406E5" w:rsidRDefault="00AE4983" w:rsidP="00AE498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Student name:</w:t>
            </w:r>
          </w:p>
        </w:tc>
        <w:tc>
          <w:tcPr>
            <w:tcW w:w="3293" w:type="dxa"/>
          </w:tcPr>
          <w:p w:rsidR="00AE4983" w:rsidRPr="00A406E5" w:rsidRDefault="00AE4983" w:rsidP="00C86CA8">
            <w:pPr>
              <w:spacing w:before="120" w:after="120"/>
              <w:jc w:val="both"/>
              <w:rPr>
                <w:rFonts w:ascii="Arial" w:hAnsi="Arial" w:cs="Arial"/>
                <w:b/>
              </w:rPr>
            </w:pPr>
            <w:r>
              <w:rPr>
                <w:rFonts w:ascii="Arial" w:hAnsi="Arial" w:cs="Arial"/>
                <w:b/>
              </w:rPr>
              <w:t>Thomas Stephen Davies</w:t>
            </w:r>
          </w:p>
        </w:tc>
        <w:tc>
          <w:tcPr>
            <w:tcW w:w="2268" w:type="dxa"/>
            <w:shd w:val="clear" w:color="auto" w:fill="D9D9D9"/>
          </w:tcPr>
          <w:p w:rsidR="00AE4983" w:rsidRPr="00A406E5" w:rsidRDefault="00AE4983" w:rsidP="00C86CA8">
            <w:pPr>
              <w:spacing w:before="120" w:after="120"/>
              <w:jc w:val="both"/>
              <w:rPr>
                <w:rFonts w:ascii="Arial" w:hAnsi="Arial" w:cs="Arial"/>
                <w:b/>
              </w:rPr>
            </w:pPr>
            <w:r w:rsidRPr="00A406E5">
              <w:rPr>
                <w:rFonts w:ascii="Arial" w:hAnsi="Arial" w:cs="Arial"/>
                <w:b/>
              </w:rPr>
              <w:t>Student ID number:</w:t>
            </w:r>
          </w:p>
        </w:tc>
        <w:tc>
          <w:tcPr>
            <w:tcW w:w="2268" w:type="dxa"/>
          </w:tcPr>
          <w:p w:rsidR="00AE4983" w:rsidRPr="00A406E5" w:rsidRDefault="00AE4983" w:rsidP="00C86CA8">
            <w:pPr>
              <w:spacing w:before="120" w:after="120"/>
              <w:jc w:val="both"/>
              <w:rPr>
                <w:rFonts w:ascii="Arial" w:hAnsi="Arial" w:cs="Arial"/>
                <w:b/>
              </w:rPr>
            </w:pPr>
            <w:r>
              <w:rPr>
                <w:rFonts w:ascii="Arial" w:hAnsi="Arial" w:cs="Arial"/>
                <w:b/>
              </w:rPr>
              <w:t>1805712</w:t>
            </w: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Programme:</w:t>
            </w:r>
          </w:p>
        </w:tc>
        <w:tc>
          <w:tcPr>
            <w:tcW w:w="7829" w:type="dxa"/>
            <w:gridSpan w:val="3"/>
          </w:tcPr>
          <w:p w:rsidR="00AE4983" w:rsidRPr="00A406E5" w:rsidRDefault="00AE4983" w:rsidP="00C86CA8">
            <w:pPr>
              <w:spacing w:before="120" w:after="120"/>
              <w:jc w:val="both"/>
              <w:rPr>
                <w:rFonts w:ascii="Arial" w:hAnsi="Arial" w:cs="Arial"/>
                <w:b/>
              </w:rPr>
            </w:pPr>
            <w:r>
              <w:rPr>
                <w:rFonts w:ascii="Arial" w:hAnsi="Arial" w:cs="Arial"/>
                <w:b/>
              </w:rPr>
              <w:t>Secondary PGCE</w:t>
            </w: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AE4983" w:rsidRPr="00F63C8B" w:rsidRDefault="00AE4983" w:rsidP="00C86CA8">
            <w:pPr>
              <w:pStyle w:val="NormalWeb"/>
              <w:rPr>
                <w:sz w:val="22"/>
                <w:szCs w:val="22"/>
              </w:rPr>
            </w:pPr>
            <w:r w:rsidRPr="00F63C8B">
              <w:rPr>
                <w:rFonts w:ascii="Arial" w:hAnsi="Arial" w:cs="Arial"/>
                <w:b/>
                <w:bCs/>
                <w:sz w:val="22"/>
                <w:szCs w:val="22"/>
              </w:rPr>
              <w:t xml:space="preserve">Curriculum Development and Enhancement </w:t>
            </w:r>
          </w:p>
          <w:p w:rsidR="00AE4983" w:rsidRPr="00F63C8B" w:rsidRDefault="00AE4983" w:rsidP="00C86CA8">
            <w:pPr>
              <w:spacing w:before="120" w:after="120"/>
              <w:jc w:val="both"/>
              <w:rPr>
                <w:rFonts w:ascii="Arial" w:hAnsi="Arial" w:cs="Arial"/>
                <w:b/>
              </w:rPr>
            </w:pP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Module code:</w:t>
            </w:r>
          </w:p>
        </w:tc>
        <w:tc>
          <w:tcPr>
            <w:tcW w:w="3293" w:type="dxa"/>
          </w:tcPr>
          <w:p w:rsidR="00AE4983" w:rsidRPr="00A406E5" w:rsidRDefault="00AE4983" w:rsidP="00C86CA8">
            <w:pPr>
              <w:spacing w:before="120" w:after="120"/>
              <w:jc w:val="both"/>
              <w:rPr>
                <w:rFonts w:ascii="Arial" w:hAnsi="Arial" w:cs="Arial"/>
                <w:b/>
              </w:rPr>
            </w:pPr>
            <w:r>
              <w:rPr>
                <w:rFonts w:ascii="Arial" w:hAnsi="Arial" w:cs="Arial"/>
                <w:b/>
              </w:rPr>
              <w:t>ECSP7002</w:t>
            </w:r>
          </w:p>
        </w:tc>
        <w:tc>
          <w:tcPr>
            <w:tcW w:w="2268" w:type="dxa"/>
            <w:shd w:val="clear" w:color="auto" w:fill="D9D9D9"/>
          </w:tcPr>
          <w:p w:rsidR="00AE4983" w:rsidRPr="004D5E9B" w:rsidRDefault="00AE4983" w:rsidP="00C86CA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E4983" w:rsidRPr="00A406E5" w:rsidRDefault="00AE4983" w:rsidP="00C86CA8">
            <w:pPr>
              <w:spacing w:before="120" w:after="120"/>
              <w:jc w:val="both"/>
              <w:rPr>
                <w:rFonts w:ascii="Arial" w:hAnsi="Arial" w:cs="Arial"/>
                <w:b/>
              </w:rPr>
            </w:pPr>
            <w:r>
              <w:rPr>
                <w:rFonts w:ascii="Arial" w:hAnsi="Arial" w:cs="Arial"/>
                <w:b/>
              </w:rPr>
              <w:t>100%</w:t>
            </w: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Lecturer:</w:t>
            </w:r>
          </w:p>
        </w:tc>
        <w:tc>
          <w:tcPr>
            <w:tcW w:w="3293" w:type="dxa"/>
          </w:tcPr>
          <w:p w:rsidR="00AE4983" w:rsidRPr="00A406E5" w:rsidRDefault="00AE4983" w:rsidP="00C86CA8">
            <w:pPr>
              <w:spacing w:before="120" w:after="120"/>
              <w:jc w:val="both"/>
              <w:rPr>
                <w:rFonts w:ascii="Arial" w:hAnsi="Arial" w:cs="Arial"/>
                <w:b/>
              </w:rPr>
            </w:pPr>
            <w:r>
              <w:rPr>
                <w:rFonts w:ascii="Arial" w:hAnsi="Arial" w:cs="Arial"/>
                <w:b/>
              </w:rPr>
              <w:t>Helen Denny</w:t>
            </w:r>
          </w:p>
        </w:tc>
        <w:tc>
          <w:tcPr>
            <w:tcW w:w="2268" w:type="dxa"/>
            <w:shd w:val="clear" w:color="auto" w:fill="D9D9D9"/>
          </w:tcPr>
          <w:p w:rsidR="00AE4983" w:rsidRPr="00A406E5" w:rsidRDefault="00AE4983" w:rsidP="00C86CA8">
            <w:pPr>
              <w:spacing w:before="120" w:after="120"/>
              <w:jc w:val="both"/>
              <w:rPr>
                <w:rFonts w:ascii="Arial" w:hAnsi="Arial" w:cs="Arial"/>
                <w:b/>
              </w:rPr>
            </w:pPr>
            <w:r w:rsidRPr="00A406E5">
              <w:rPr>
                <w:rFonts w:ascii="Arial" w:hAnsi="Arial" w:cs="Arial"/>
                <w:b/>
              </w:rPr>
              <w:t>Internal Verifier:</w:t>
            </w:r>
          </w:p>
        </w:tc>
        <w:tc>
          <w:tcPr>
            <w:tcW w:w="2268" w:type="dxa"/>
          </w:tcPr>
          <w:p w:rsidR="00AE4983" w:rsidRPr="00A406E5" w:rsidRDefault="00AE4983" w:rsidP="00C86CA8">
            <w:pPr>
              <w:spacing w:before="120" w:after="120"/>
              <w:jc w:val="both"/>
              <w:rPr>
                <w:rFonts w:ascii="Arial" w:hAnsi="Arial" w:cs="Arial"/>
                <w:b/>
              </w:rPr>
            </w:pP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Assignment Title:</w:t>
            </w:r>
          </w:p>
        </w:tc>
        <w:tc>
          <w:tcPr>
            <w:tcW w:w="3293" w:type="dxa"/>
          </w:tcPr>
          <w:p w:rsidR="00AE4983" w:rsidRDefault="00AE4983" w:rsidP="00C86CA8">
            <w:pPr>
              <w:pStyle w:val="NormalWeb"/>
            </w:pPr>
            <w:r>
              <w:rPr>
                <w:rFonts w:ascii="Arial" w:hAnsi="Arial" w:cs="Arial"/>
                <w:b/>
                <w:bCs/>
                <w:sz w:val="22"/>
                <w:szCs w:val="22"/>
              </w:rPr>
              <w:t xml:space="preserve">Research Study including Ethics Form </w:t>
            </w:r>
          </w:p>
          <w:p w:rsidR="00AE4983" w:rsidRPr="00A406E5" w:rsidRDefault="00AE4983" w:rsidP="00C86CA8">
            <w:pPr>
              <w:spacing w:before="120" w:after="120"/>
              <w:jc w:val="both"/>
              <w:rPr>
                <w:rFonts w:ascii="Arial" w:hAnsi="Arial" w:cs="Arial"/>
                <w:b/>
              </w:rPr>
            </w:pPr>
          </w:p>
        </w:tc>
        <w:tc>
          <w:tcPr>
            <w:tcW w:w="2268" w:type="dxa"/>
            <w:shd w:val="pct15" w:color="auto" w:fill="auto"/>
          </w:tcPr>
          <w:p w:rsidR="00AE4983" w:rsidRPr="00A406E5" w:rsidRDefault="00AE4983" w:rsidP="00C86CA8">
            <w:pPr>
              <w:spacing w:before="120" w:after="120"/>
              <w:jc w:val="both"/>
              <w:rPr>
                <w:rFonts w:ascii="Arial" w:hAnsi="Arial" w:cs="Arial"/>
                <w:b/>
              </w:rPr>
            </w:pPr>
            <w:r>
              <w:rPr>
                <w:rFonts w:ascii="Arial" w:hAnsi="Arial" w:cs="Arial"/>
                <w:b/>
              </w:rPr>
              <w:t>Word count (or equivalent):</w:t>
            </w:r>
          </w:p>
        </w:tc>
        <w:tc>
          <w:tcPr>
            <w:tcW w:w="2268" w:type="dxa"/>
          </w:tcPr>
          <w:p w:rsidR="00AE4983" w:rsidRDefault="00AE4983" w:rsidP="00C86CA8">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AE4983" w:rsidRPr="00A406E5" w:rsidRDefault="00AE4983" w:rsidP="00C86CA8">
            <w:pPr>
              <w:spacing w:before="120" w:after="120"/>
              <w:jc w:val="both"/>
              <w:rPr>
                <w:rFonts w:ascii="Arial" w:hAnsi="Arial" w:cs="Arial"/>
                <w:b/>
              </w:rPr>
            </w:pP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AE4983" w:rsidRDefault="00AE4983" w:rsidP="00C86CA8">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AE4983" w:rsidRPr="00A406E5" w:rsidRDefault="00AE4983" w:rsidP="00C86CA8">
            <w:pPr>
              <w:spacing w:before="120" w:after="120"/>
              <w:jc w:val="both"/>
              <w:rPr>
                <w:rFonts w:ascii="Arial" w:hAnsi="Arial" w:cs="Arial"/>
                <w:b/>
              </w:rPr>
            </w:pPr>
          </w:p>
        </w:tc>
        <w:tc>
          <w:tcPr>
            <w:tcW w:w="2268"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AE4983" w:rsidRDefault="00AE4983" w:rsidP="00C86CA8">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AE4983" w:rsidRPr="00A406E5" w:rsidRDefault="00AE4983" w:rsidP="00C86CA8">
            <w:pPr>
              <w:spacing w:before="120" w:after="120"/>
              <w:jc w:val="both"/>
              <w:rPr>
                <w:rFonts w:ascii="Arial" w:hAnsi="Arial" w:cs="Arial"/>
                <w:b/>
              </w:rPr>
            </w:pPr>
          </w:p>
        </w:tc>
      </w:tr>
      <w:tr w:rsidR="00AE4983" w:rsidRPr="00A406E5" w:rsidTr="00C86CA8">
        <w:tc>
          <w:tcPr>
            <w:tcW w:w="2093" w:type="dxa"/>
            <w:shd w:val="pct15" w:color="auto" w:fill="auto"/>
          </w:tcPr>
          <w:p w:rsidR="00AE4983" w:rsidRPr="00A406E5" w:rsidRDefault="00AE4983" w:rsidP="00C86CA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AE4983" w:rsidRPr="00A406E5" w:rsidRDefault="00AE4983" w:rsidP="00C86CA8">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AE4983" w:rsidRPr="00A406E5" w:rsidRDefault="00AE4983" w:rsidP="00C86CA8">
            <w:pPr>
              <w:spacing w:before="120" w:after="120"/>
              <w:jc w:val="both"/>
              <w:rPr>
                <w:rFonts w:ascii="Arial" w:hAnsi="Arial" w:cs="Arial"/>
                <w:b/>
              </w:rPr>
            </w:pPr>
            <w:r w:rsidRPr="00A406E5">
              <w:rPr>
                <w:rFonts w:ascii="Arial" w:hAnsi="Arial" w:cs="Arial"/>
                <w:b/>
              </w:rPr>
              <w:t xml:space="preserve">Alternative submission method (if applicable): </w:t>
            </w:r>
          </w:p>
          <w:p w:rsidR="00AE4983" w:rsidRPr="00A406E5" w:rsidRDefault="00AE4983" w:rsidP="00C86CA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AE4983" w:rsidRPr="00A406E5" w:rsidTr="00C86CA8">
        <w:tc>
          <w:tcPr>
            <w:tcW w:w="2093" w:type="dxa"/>
            <w:shd w:val="pct15" w:color="auto" w:fill="auto"/>
          </w:tcPr>
          <w:p w:rsidR="00AE4983" w:rsidRPr="00A406E5" w:rsidRDefault="00AE4983" w:rsidP="00C86CA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AE4983" w:rsidRPr="00A406E5" w:rsidRDefault="00AE4983" w:rsidP="00C86CA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AE4983" w:rsidRPr="00A406E5" w:rsidRDefault="00AE4983" w:rsidP="00AE4983">
      <w:pPr>
        <w:rPr>
          <w:rFonts w:ascii="Arial" w:hAnsi="Arial" w:cs="Arial"/>
          <w:sz w:val="32"/>
        </w:rPr>
      </w:pPr>
    </w:p>
    <w:p w:rsidR="006E395B" w:rsidRPr="00525489" w:rsidRDefault="006E395B" w:rsidP="0070035F">
      <w:pPr>
        <w:rPr>
          <w:b/>
          <w:sz w:val="28"/>
          <w:szCs w:val="28"/>
        </w:rPr>
      </w:pPr>
      <w:r w:rsidRPr="00525489">
        <w:rPr>
          <w:b/>
          <w:sz w:val="28"/>
          <w:szCs w:val="28"/>
        </w:rPr>
        <w:lastRenderedPageBreak/>
        <w:t>Module Number: ECSP7002</w:t>
      </w:r>
      <w:r w:rsidR="00C14A59">
        <w:rPr>
          <w:b/>
          <w:sz w:val="28"/>
          <w:szCs w:val="28"/>
        </w:rPr>
        <w:t xml:space="preserve"> </w:t>
      </w:r>
      <w:r w:rsidR="00C14A59">
        <w:rPr>
          <w:b/>
          <w:sz w:val="28"/>
          <w:szCs w:val="28"/>
        </w:rPr>
        <w:tab/>
      </w:r>
      <w:r w:rsidR="00C14A59">
        <w:rPr>
          <w:b/>
          <w:sz w:val="28"/>
          <w:szCs w:val="28"/>
        </w:rPr>
        <w:tab/>
      </w:r>
      <w:r w:rsidR="00C14A59">
        <w:rPr>
          <w:b/>
          <w:sz w:val="28"/>
          <w:szCs w:val="28"/>
        </w:rPr>
        <w:tab/>
        <w:t>Student number</w:t>
      </w:r>
      <w:proofErr w:type="gramStart"/>
      <w:r w:rsidR="00C14A59">
        <w:rPr>
          <w:b/>
          <w:sz w:val="28"/>
          <w:szCs w:val="28"/>
        </w:rPr>
        <w:t>:1805712</w:t>
      </w:r>
      <w:proofErr w:type="gramEnd"/>
    </w:p>
    <w:p w:rsidR="00B43A8B" w:rsidRPr="00525489" w:rsidRDefault="00B43A8B" w:rsidP="0070035F">
      <w:pPr>
        <w:rPr>
          <w:b/>
          <w:sz w:val="28"/>
          <w:szCs w:val="28"/>
        </w:rPr>
      </w:pPr>
      <w:r w:rsidRPr="00525489">
        <w:rPr>
          <w:b/>
          <w:sz w:val="28"/>
          <w:szCs w:val="28"/>
        </w:rPr>
        <w:t>Literature review</w:t>
      </w:r>
    </w:p>
    <w:p w:rsidR="0070035F" w:rsidRDefault="0070035F" w:rsidP="0070035F">
      <w:r>
        <w:t xml:space="preserve">It is by now widely accepted within the </w:t>
      </w:r>
      <w:r w:rsidR="00296338">
        <w:t>field of education and teaching</w:t>
      </w:r>
      <w:r>
        <w:t xml:space="preserve"> that the acquisition of new knowledge occurs in the context of what the person already knows (e.g. Sidney &amp;</w:t>
      </w:r>
      <w:r w:rsidR="00EA152D">
        <w:t xml:space="preserve"> </w:t>
      </w:r>
      <w:proofErr w:type="spellStart"/>
      <w:r w:rsidR="00EA152D">
        <w:t>Alibali</w:t>
      </w:r>
      <w:proofErr w:type="spellEnd"/>
      <w:r w:rsidR="00EA152D">
        <w:t>, 2015</w:t>
      </w:r>
      <w:r>
        <w:t>). This constructivist model of learning is often evident in the classroom where the teacher, in introducing a new topic will first attempt to activate pupils’ prior knowledge or ‘schemas’ which are considered to be relevant to the new work; for example, a teacher might use a starter activity aimed to remind or refresh students’ memories of previous</w:t>
      </w:r>
      <w:r w:rsidR="00EA152D">
        <w:t>ly learned work which has links</w:t>
      </w:r>
      <w:r>
        <w:t xml:space="preserve"> t</w:t>
      </w:r>
      <w:r w:rsidR="00877862">
        <w:t xml:space="preserve">o the current topic. In doing this, the teacher </w:t>
      </w:r>
      <w:r>
        <w:t xml:space="preserve">might be considered to be activating the student’s pre-existing schemas or ‘mental structures’ into which the new information </w:t>
      </w:r>
      <w:r w:rsidR="00B43A8B">
        <w:t>can be accommodated and assimilated</w:t>
      </w:r>
      <w:r w:rsidR="002A3E59">
        <w:t xml:space="preserve">, thereby creating </w:t>
      </w:r>
      <w:r>
        <w:t>new, rich</w:t>
      </w:r>
      <w:r w:rsidR="00877862">
        <w:t xml:space="preserve">er and more complex ‘schemas’ that might better equip the individual to </w:t>
      </w:r>
      <w:r w:rsidR="002A3E59">
        <w:t>effectively deal with</w:t>
      </w:r>
      <w:r w:rsidR="00877862">
        <w:t xml:space="preserve"> future ‘related’ </w:t>
      </w:r>
      <w:r w:rsidR="002A3E59">
        <w:t xml:space="preserve">cognitive </w:t>
      </w:r>
      <w:r w:rsidR="00877862">
        <w:t xml:space="preserve">challenges </w:t>
      </w:r>
      <w:r w:rsidR="002A3E59">
        <w:t xml:space="preserve"> </w:t>
      </w:r>
      <w:r w:rsidR="00877862">
        <w:t>(e.g. Piaget 198</w:t>
      </w:r>
      <w:r w:rsidR="002A3E59">
        <w:t xml:space="preserve">0b; Vygotsky, 1987). </w:t>
      </w:r>
      <w:r>
        <w:t xml:space="preserve">This model is particularly powerful when considering how mathematical learning takes place, </w:t>
      </w:r>
      <w:r w:rsidR="00877862">
        <w:t>since</w:t>
      </w:r>
      <w:r w:rsidR="002A3E59">
        <w:t xml:space="preserve"> concept development in mathematics</w:t>
      </w:r>
      <w:r w:rsidR="00877862">
        <w:t xml:space="preserve"> </w:t>
      </w:r>
      <w:r w:rsidR="002A3E59">
        <w:t xml:space="preserve">is often believed to occur in a highly linear fashion </w:t>
      </w:r>
      <w:r>
        <w:t xml:space="preserve">from more elementary to advanced concepts (e.g. Chambers and </w:t>
      </w:r>
      <w:proofErr w:type="spellStart"/>
      <w:r>
        <w:t>Timlin</w:t>
      </w:r>
      <w:proofErr w:type="spellEnd"/>
      <w:r>
        <w:t>, 2013). Nevertheless, in reality this is perhaps an oversim</w:t>
      </w:r>
      <w:r w:rsidR="005F052D">
        <w:t xml:space="preserve">plification of the learning trajectory that occurs in mathematics, which research suggests is more dynamic and bi-directional than this characterisation (e.g. </w:t>
      </w:r>
      <w:proofErr w:type="spellStart"/>
      <w:r w:rsidR="005F052D">
        <w:t>Pririe</w:t>
      </w:r>
      <w:proofErr w:type="spellEnd"/>
      <w:r w:rsidR="005F052D">
        <w:t xml:space="preserve"> and </w:t>
      </w:r>
      <w:proofErr w:type="spellStart"/>
      <w:r w:rsidR="005F052D">
        <w:t>Lieren</w:t>
      </w:r>
      <w:proofErr w:type="spellEnd"/>
      <w:r w:rsidR="005F052D">
        <w:t xml:space="preserve">, 1989; </w:t>
      </w:r>
      <w:r>
        <w:t xml:space="preserve">(Peterson et al., 2018). </w:t>
      </w:r>
    </w:p>
    <w:p w:rsidR="0070035F" w:rsidRDefault="0070035F" w:rsidP="0070035F">
      <w:r>
        <w:t>Based on this analysis, understanding how previous knowledge supports new learning is essential to understanding how cognitive development occurs and th</w:t>
      </w:r>
      <w:r w:rsidR="00EA152D">
        <w:t>us has important implications to</w:t>
      </w:r>
      <w:r>
        <w:t xml:space="preserve"> the d</w:t>
      </w:r>
      <w:r w:rsidR="00B43A8B">
        <w:t>esign of effective teaching</w:t>
      </w:r>
      <w:r>
        <w:t xml:space="preserve"> practices. Remaining within the constructivist paradigm Sidney and </w:t>
      </w:r>
      <w:proofErr w:type="spellStart"/>
      <w:r>
        <w:t>Alibali</w:t>
      </w:r>
      <w:proofErr w:type="spellEnd"/>
      <w:r>
        <w:t xml:space="preserve"> (2015) discuss the cognitive mechanism</w:t>
      </w:r>
      <w:r w:rsidR="00B43A8B">
        <w:t xml:space="preserve"> of ‘analogical transfer’ </w:t>
      </w:r>
      <w:r>
        <w:t xml:space="preserve">to describe the process whereby the learner ‘uses’ previously learned knowledge to support new learning; if the process is successful, </w:t>
      </w:r>
      <w:r w:rsidRPr="009B258E">
        <w:rPr>
          <w:i/>
        </w:rPr>
        <w:t>transfer</w:t>
      </w:r>
      <w:r>
        <w:t xml:space="preserve"> is said to have occurred.  Drawing on the work of </w:t>
      </w:r>
      <w:proofErr w:type="spellStart"/>
      <w:r>
        <w:t>Gick</w:t>
      </w:r>
      <w:proofErr w:type="spellEnd"/>
      <w:r>
        <w:t xml:space="preserve"> and </w:t>
      </w:r>
      <w:proofErr w:type="spellStart"/>
      <w:r>
        <w:t>Holyoak</w:t>
      </w:r>
      <w:proofErr w:type="spellEnd"/>
      <w:r>
        <w:t xml:space="preserve">, (1987) they identify two essential aspects to successful analogical transfer: </w:t>
      </w:r>
      <w:r w:rsidRPr="00D25E5B">
        <w:rPr>
          <w:i/>
        </w:rPr>
        <w:t>identification</w:t>
      </w:r>
      <w:r>
        <w:t xml:space="preserve"> of a suitable ‘analogue’ and </w:t>
      </w:r>
      <w:r w:rsidRPr="00D25E5B">
        <w:rPr>
          <w:i/>
        </w:rPr>
        <w:t>adaptation</w:t>
      </w:r>
      <w:r>
        <w:t xml:space="preserve"> of the relevant aspects of that analogue</w:t>
      </w:r>
      <w:r w:rsidR="00EA152D">
        <w:t xml:space="preserve"> to the current problem</w:t>
      </w:r>
      <w:r>
        <w:t xml:space="preserve">. Successful or ‘positive transfer’ is said to have happened if both processes have been accomplished successfully. </w:t>
      </w:r>
      <w:r w:rsidR="00B43A8B">
        <w:t>T</w:t>
      </w:r>
      <w:r>
        <w:t>he authors suggest that transfer can be disrupted in one of two ways. First</w:t>
      </w:r>
      <w:r w:rsidR="00EA152D">
        <w:t>ly</w:t>
      </w:r>
      <w:r>
        <w:t>, there could be a failure to identify a helpful analogue, which would result in no transfer, or alternatively a misleading analogue that is ill-suited to the problem could</w:t>
      </w:r>
      <w:r w:rsidR="00ED00E8">
        <w:t xml:space="preserve"> interrupt the process of transfer</w:t>
      </w:r>
      <w:r>
        <w:t>. Secondly, a helpful analogue may have been</w:t>
      </w:r>
      <w:r w:rsidR="00EA152D">
        <w:t xml:space="preserve"> selected but the individual is</w:t>
      </w:r>
      <w:r>
        <w:t xml:space="preserve"> unable to transfer the relevant information appropriately</w:t>
      </w:r>
      <w:r w:rsidR="00B43A8B">
        <w:t xml:space="preserve"> (</w:t>
      </w:r>
      <w:r>
        <w:t>for whic</w:t>
      </w:r>
      <w:r w:rsidR="00B43A8B">
        <w:t xml:space="preserve">h there may be numerous reasons, </w:t>
      </w:r>
      <w:r>
        <w:t xml:space="preserve">e.g. see </w:t>
      </w:r>
      <w:proofErr w:type="spellStart"/>
      <w:r>
        <w:t>Nokes</w:t>
      </w:r>
      <w:proofErr w:type="spellEnd"/>
      <w:r>
        <w:t xml:space="preserve"> and </w:t>
      </w:r>
      <w:proofErr w:type="spellStart"/>
      <w:r>
        <w:t>Belenky</w:t>
      </w:r>
      <w:proofErr w:type="spellEnd"/>
      <w:r>
        <w:t xml:space="preserve">, 2011; </w:t>
      </w:r>
      <w:proofErr w:type="spellStart"/>
      <w:r>
        <w:t>Bassok</w:t>
      </w:r>
      <w:proofErr w:type="spellEnd"/>
      <w:r>
        <w:t xml:space="preserve">, 1996; </w:t>
      </w:r>
      <w:proofErr w:type="spellStart"/>
      <w:r>
        <w:t>Gick</w:t>
      </w:r>
      <w:proofErr w:type="spellEnd"/>
      <w:r>
        <w:t xml:space="preserve"> and </w:t>
      </w:r>
      <w:proofErr w:type="spellStart"/>
      <w:r>
        <w:t>Holyoak</w:t>
      </w:r>
      <w:proofErr w:type="spellEnd"/>
      <w:r>
        <w:t xml:space="preserve">, 1980). Relevant to this concept of analogical transfer is </w:t>
      </w:r>
      <w:proofErr w:type="spellStart"/>
      <w:r>
        <w:t>Gentner’s</w:t>
      </w:r>
      <w:proofErr w:type="spellEnd"/>
      <w:r>
        <w:t xml:space="preserve"> (1983) structure-mapping theory which characterises the features of a strong cognitive analogue (Sidney and </w:t>
      </w:r>
      <w:proofErr w:type="spellStart"/>
      <w:r>
        <w:t>Alibali</w:t>
      </w:r>
      <w:proofErr w:type="spellEnd"/>
      <w:r>
        <w:t xml:space="preserve">, 2015). </w:t>
      </w:r>
      <w:proofErr w:type="spellStart"/>
      <w:r>
        <w:t>Gentner’s</w:t>
      </w:r>
      <w:proofErr w:type="spellEnd"/>
      <w:r>
        <w:t xml:space="preserve"> model distinguishes between surface (perceptual) features, which describe the attributes of discrete entities </w:t>
      </w:r>
      <w:r w:rsidR="00EA152D">
        <w:t>within a system (</w:t>
      </w:r>
      <w:r w:rsidR="00B40275">
        <w:t xml:space="preserve">e.g. </w:t>
      </w:r>
      <w:r w:rsidR="00EA152D">
        <w:t>such as</w:t>
      </w:r>
      <w:r>
        <w:t xml:space="preserve"> the operational features and characteristics associated with addition, subtraction, multiplication,  division,</w:t>
      </w:r>
      <w:r w:rsidR="00EA152D">
        <w:t xml:space="preserve"> fraction, integers and so forth</w:t>
      </w:r>
      <w:r>
        <w:t>) and structural features within a system which are concerned with the relationships between the attributes within a system (for example, how the addition and multiplication operations might</w:t>
      </w:r>
      <w:r w:rsidRPr="00E460BF">
        <w:rPr>
          <w:i/>
        </w:rPr>
        <w:t xml:space="preserve"> relate</w:t>
      </w:r>
      <w:r>
        <w:t xml:space="preserve"> to fractions and the integ</w:t>
      </w:r>
      <w:r w:rsidR="00EA152D">
        <w:t>ers and differ between the both</w:t>
      </w:r>
      <w:r>
        <w:t xml:space="preserve"> and so forth). As a cognitive construct which</w:t>
      </w:r>
      <w:r w:rsidR="00B40275">
        <w:t xml:space="preserve"> has some evidential support </w:t>
      </w:r>
      <w:r>
        <w:t xml:space="preserve">(e.g. </w:t>
      </w:r>
      <w:proofErr w:type="spellStart"/>
      <w:r>
        <w:t>Catrambone</w:t>
      </w:r>
      <w:proofErr w:type="spellEnd"/>
      <w:r>
        <w:t xml:space="preserve"> and </w:t>
      </w:r>
      <w:proofErr w:type="spellStart"/>
      <w:r>
        <w:t>Holyoak</w:t>
      </w:r>
      <w:proofErr w:type="spellEnd"/>
      <w:r>
        <w:t xml:space="preserve">, 1989; </w:t>
      </w:r>
      <w:proofErr w:type="spellStart"/>
      <w:r>
        <w:t>Gickand</w:t>
      </w:r>
      <w:proofErr w:type="spellEnd"/>
      <w:r>
        <w:t xml:space="preserve"> </w:t>
      </w:r>
      <w:proofErr w:type="spellStart"/>
      <w:r>
        <w:t>Holyoak</w:t>
      </w:r>
      <w:proofErr w:type="spellEnd"/>
      <w:r>
        <w:t xml:space="preserve">, 1980; </w:t>
      </w:r>
      <w:proofErr w:type="spellStart"/>
      <w:r>
        <w:t>Novick</w:t>
      </w:r>
      <w:proofErr w:type="spellEnd"/>
      <w:r>
        <w:t>, 1988), it is believed that when learners are confronted by a problem, if only the surface (perceptual) features have been ‘mapped’</w:t>
      </w:r>
      <w:r w:rsidR="00B40275">
        <w:t xml:space="preserve"> or ‘taken on board’</w:t>
      </w:r>
      <w:r>
        <w:t>, prior knowledge is not necessarily helpful for understanding the problem, whereas, if the structural features of the novel system have been mapped to current knowledge then it is more likely that it will be understood and s</w:t>
      </w:r>
      <w:r w:rsidR="00CB3227">
        <w:t>uccessful analogical transfer will</w:t>
      </w:r>
      <w:r>
        <w:t xml:space="preserve"> occur. The distinction between surface and structural </w:t>
      </w:r>
      <w:r>
        <w:lastRenderedPageBreak/>
        <w:t xml:space="preserve">understanding or mapping resonates with </w:t>
      </w:r>
      <w:proofErr w:type="spellStart"/>
      <w:r>
        <w:t>Skemp’s</w:t>
      </w:r>
      <w:proofErr w:type="spellEnd"/>
      <w:r>
        <w:t xml:space="preserve"> delineation of surface and deep le</w:t>
      </w:r>
      <w:r w:rsidR="00237DF9">
        <w:t>arning (</w:t>
      </w:r>
      <w:proofErr w:type="spellStart"/>
      <w:r w:rsidR="00237DF9">
        <w:t>Skemp</w:t>
      </w:r>
      <w:proofErr w:type="spellEnd"/>
      <w:r w:rsidR="00237DF9">
        <w:t>, 1976</w:t>
      </w:r>
      <w:r>
        <w:t>). Such an analysis points to the importance, in particular in mathematics, of conceptual or deep understanding as opposed to a shallower super</w:t>
      </w:r>
      <w:r w:rsidR="00B40275">
        <w:t xml:space="preserve">ficial understanding. This idea is </w:t>
      </w:r>
      <w:r>
        <w:t>highlighted by the observation that experts in a given domain, such as mathematics or chess for example, tend to be better able to select an appropriate supportive analogue (or cognitive construct) that shares structural similarities with a confronted problem or ‘system’ than novices; this is a process which the novice may find more challenging due to their increased likelihood of focusing on the surface at</w:t>
      </w:r>
      <w:r w:rsidR="00CB3227">
        <w:t>tributes of the system with which they are confronted</w:t>
      </w:r>
      <w:r>
        <w:t xml:space="preserve"> (Chi, </w:t>
      </w:r>
      <w:proofErr w:type="spellStart"/>
      <w:r>
        <w:t>Feltovick</w:t>
      </w:r>
      <w:proofErr w:type="spellEnd"/>
      <w:r>
        <w:t xml:space="preserve">, and Glaser, 1981). If </w:t>
      </w:r>
      <w:r w:rsidR="00B40275">
        <w:t xml:space="preserve">it is </w:t>
      </w:r>
      <w:r>
        <w:t xml:space="preserve">only the surface attributes of a problem </w:t>
      </w:r>
      <w:r w:rsidR="00B40275">
        <w:t xml:space="preserve">that </w:t>
      </w:r>
      <w:r>
        <w:t xml:space="preserve">have been perceived or mapped rather than the deeper structural features of a problem, individuals may be more likely to misapply a perceptually similar but incorrect </w:t>
      </w:r>
      <w:r w:rsidR="00237DF9">
        <w:t>analogue. F</w:t>
      </w:r>
      <w:r>
        <w:t>or example, in th</w:t>
      </w:r>
      <w:r w:rsidR="00237DF9">
        <w:t>e case of fraction addition, an</w:t>
      </w:r>
      <w:r>
        <w:t xml:space="preserve"> individual might misapply procedures for the addition of integers by treating the numerator and denominators of </w:t>
      </w:r>
      <w:r w:rsidR="00CB3227">
        <w:t>the fraction as separate numbers</w:t>
      </w:r>
      <w:r w:rsidR="00237DF9">
        <w:t xml:space="preserve"> and not appreciating how the fraction sign alters the meaning of the integers in the numerator and denominator of the fractions. </w:t>
      </w:r>
    </w:p>
    <w:p w:rsidR="0099526B" w:rsidRDefault="0070035F" w:rsidP="0070035F">
      <w:r>
        <w:t xml:space="preserve">The distinction between conceptual and procedural knowledge is often made in the mathematical education literature (e.g. </w:t>
      </w:r>
      <w:proofErr w:type="spellStart"/>
      <w:r>
        <w:t>Baroody</w:t>
      </w:r>
      <w:proofErr w:type="spellEnd"/>
      <w:r>
        <w:t xml:space="preserve"> and </w:t>
      </w:r>
      <w:proofErr w:type="spellStart"/>
      <w:r>
        <w:t>Dowker</w:t>
      </w:r>
      <w:proofErr w:type="spellEnd"/>
      <w:r>
        <w:t xml:space="preserve">, 2003; </w:t>
      </w:r>
      <w:proofErr w:type="spellStart"/>
      <w:r>
        <w:t>Hiebert</w:t>
      </w:r>
      <w:proofErr w:type="spellEnd"/>
      <w:r>
        <w:t xml:space="preserve"> and </w:t>
      </w:r>
      <w:proofErr w:type="spellStart"/>
      <w:r>
        <w:t>Lefevre</w:t>
      </w:r>
      <w:proofErr w:type="spellEnd"/>
      <w:r>
        <w:t>, 1986) where, broadly speaking procedural knowledge refers to knowledge of sets of actions that can be used for particular problems and conceptual knowledge refers to a deeper understanding of the structural relationships  between elements in a domain as well as “knowledge of the meanings of structure and processes used in the domain” (</w:t>
      </w:r>
      <w:proofErr w:type="spellStart"/>
      <w:r>
        <w:t>Rittle</w:t>
      </w:r>
      <w:proofErr w:type="spellEnd"/>
      <w:r>
        <w:t xml:space="preserve">-Johnson, </w:t>
      </w:r>
      <w:proofErr w:type="spellStart"/>
      <w:r>
        <w:t>Siegler</w:t>
      </w:r>
      <w:proofErr w:type="spellEnd"/>
      <w:r>
        <w:t xml:space="preserve">, and </w:t>
      </w:r>
      <w:proofErr w:type="spellStart"/>
      <w:r>
        <w:t>Alibali</w:t>
      </w:r>
      <w:proofErr w:type="spellEnd"/>
      <w:r>
        <w:t xml:space="preserve">, 2001 cited Sidney and </w:t>
      </w:r>
      <w:proofErr w:type="spellStart"/>
      <w:r>
        <w:t>Alibali</w:t>
      </w:r>
      <w:proofErr w:type="spellEnd"/>
      <w:r>
        <w:t xml:space="preserve">, 2015, p162). Importantly, conceptual knowledge is widely recognised to support new learning in domains that have not yet been mastered and hence supports procedural knowledge (e.g. Hecht and </w:t>
      </w:r>
      <w:proofErr w:type="spellStart"/>
      <w:r>
        <w:t>Vagi</w:t>
      </w:r>
      <w:proofErr w:type="spellEnd"/>
      <w:r>
        <w:t>, 2011). In light of such research, the importance of focusing teaching effort first and foremost on developing learners’ conceptual or relational understanding of mathematical domains, as opposed to emphasising the procedural and mechanical aspects of the discipline with little to no prior conceptual grounding, is something that researchers and ed</w:t>
      </w:r>
      <w:r w:rsidR="009258BE">
        <w:t>ucational experts often argue for</w:t>
      </w:r>
      <w:r>
        <w:t xml:space="preserve"> </w:t>
      </w:r>
      <w:r w:rsidR="00BF3EDF">
        <w:t>(e.g. Bolger, 2007</w:t>
      </w:r>
      <w:r>
        <w:t>).  It is an often expressed view in the mathematical education literature that in practice</w:t>
      </w:r>
      <w:r w:rsidR="0099526B">
        <w:t>,</w:t>
      </w:r>
      <w:r>
        <w:t xml:space="preserve"> computational procedures are often introduced prematurely and before a relationally solid foundation is laid, and that this may be counterproductive to the learner’s understanding and success in the subject (e.g. Dickson, Brown, and Gibson, 1984). In the case of </w:t>
      </w:r>
      <w:r w:rsidR="0099526B">
        <w:t>teaching fractions, Bolger (2007</w:t>
      </w:r>
      <w:r>
        <w:t>) supports this point with the following quote from the Nuffield Maths Teachers’ Handbook, (1991) which suggests how the teaching of mathematics can be reduced to the teaching of simple disconnected rules devoid of any mathematical structure or meaning</w:t>
      </w:r>
      <w:r w:rsidR="009258BE">
        <w:t>:</w:t>
      </w:r>
      <w:r>
        <w:t xml:space="preserve"> “The headlong rush into computation with fractions, using such mumbo-jumbo as ‘add the tops but not the bottoms’ or ‘turn it upside down and </w:t>
      </w:r>
      <w:r w:rsidR="0099526B">
        <w:t>mult</w:t>
      </w:r>
      <w:r>
        <w:t>iply’, has often been attempted before the idea of a fraction or fractional notation has been f</w:t>
      </w:r>
      <w:r w:rsidR="009258BE">
        <w:t xml:space="preserve">ully understood”. This contention is in line with the </w:t>
      </w:r>
      <w:r>
        <w:t>following statement made by Ginsburg, (1997); “children think of mathematics as an isolated game with peculi</w:t>
      </w:r>
      <w:r w:rsidR="0099526B">
        <w:t>ar sets o</w:t>
      </w:r>
      <w:r>
        <w:t xml:space="preserve">f rules and no evident relation to reality” (cited in Dickson, Brown and Gibson 1982, p308). </w:t>
      </w:r>
      <w:r w:rsidR="00BF3EDF">
        <w:t>The paper by Bolger (2007</w:t>
      </w:r>
      <w:r>
        <w:t>) goes on to outline an inter-school research study into pedagogical approaches to learning fractions and the merits of the teaching methods used in Singapore schools</w:t>
      </w:r>
      <w:r w:rsidR="009258BE">
        <w:t xml:space="preserve"> where teaching methods focus heavily on developing students’ conceptual understanding</w:t>
      </w:r>
      <w:r>
        <w:t>.</w:t>
      </w:r>
      <w:r w:rsidR="0099526B">
        <w:t xml:space="preserve"> </w:t>
      </w:r>
      <w:r>
        <w:t>In agreement with other researchers in the field of mathematics education</w:t>
      </w:r>
      <w:r w:rsidR="0099526B">
        <w:t>,</w:t>
      </w:r>
      <w:r>
        <w:t xml:space="preserve"> the authors express the view that teaching which attempts to develop students’ abstract understanding before they have developed a concrete and pictorial understanding (of fractions) risk developing misconceptions during the learning process.  </w:t>
      </w:r>
    </w:p>
    <w:p w:rsidR="0070035F" w:rsidRDefault="0070035F" w:rsidP="0070035F">
      <w:r>
        <w:t>In this study the term misconception is used to refer</w:t>
      </w:r>
      <w:r w:rsidR="008D014C">
        <w:t xml:space="preserve"> to misunderstandings that lead</w:t>
      </w:r>
      <w:r>
        <w:t xml:space="preserve"> to predictable and systematic errors. Not all errors that learners make are driven by conceptual limitations but may </w:t>
      </w:r>
      <w:r>
        <w:lastRenderedPageBreak/>
        <w:t>be due to errors caused by misreading or misunderstanding the question, ‘cognitive overload’, or ‘jumping to conclusions</w:t>
      </w:r>
      <w:r w:rsidR="00BE4A8F">
        <w:t>’ (Ryan and Williams, 2007</w:t>
      </w:r>
      <w:r>
        <w:t>). According to these authors, misconceptions are errors that reflect “intelligent</w:t>
      </w:r>
      <w:r w:rsidR="00821CFC">
        <w:t xml:space="preserve"> constructions” by the learner, p 67) </w:t>
      </w:r>
      <w:r>
        <w:t xml:space="preserve">but in the absence of a structural or relational understanding of the domain in which they are working, these constructions are inconsistent with the mathematical structure and lead to such errors (Brown and </w:t>
      </w:r>
      <w:proofErr w:type="spellStart"/>
      <w:r>
        <w:t>Vanlehn</w:t>
      </w:r>
      <w:proofErr w:type="spellEnd"/>
      <w:r>
        <w:t xml:space="preserve">, 1982). </w:t>
      </w:r>
      <w:r w:rsidR="00BE4A8F">
        <w:t xml:space="preserve">In other words, </w:t>
      </w:r>
      <w:r>
        <w:t>the learner may be using an unhelpful schema or analogue which may share certain perceptual similarities to the current mathematical problem, or may indeed fail to select an appropriate analogue which they nonetheless may have available. Understanding the</w:t>
      </w:r>
      <w:r w:rsidRPr="00284EFF">
        <w:t xml:space="preserve"> misconceptions that students have</w:t>
      </w:r>
      <w:r>
        <w:t xml:space="preserve"> in mathematics</w:t>
      </w:r>
      <w:r w:rsidRPr="00284EFF">
        <w:t xml:space="preserve"> </w:t>
      </w:r>
      <w:r>
        <w:t xml:space="preserve">is important since they not only </w:t>
      </w:r>
      <w:r w:rsidRPr="00284EFF">
        <w:t xml:space="preserve">affect students' learning </w:t>
      </w:r>
      <w:r>
        <w:t xml:space="preserve">of a given area, but due to the connectivity and relational nature of conceptual structures within mathematics (for example, knowledge of fractions is required in more advanced mathematical areas such as algebra, Redmond, 2009) they may also adversely affect </w:t>
      </w:r>
      <w:r w:rsidRPr="00284EFF">
        <w:t>further learning (</w:t>
      </w:r>
      <w:proofErr w:type="spellStart"/>
      <w:r w:rsidRPr="00284EFF">
        <w:t>Baki</w:t>
      </w:r>
      <w:proofErr w:type="spellEnd"/>
      <w:r w:rsidRPr="00284EFF">
        <w:t>, 2008</w:t>
      </w:r>
      <w:r>
        <w:t xml:space="preserve">; </w:t>
      </w:r>
      <w:proofErr w:type="spellStart"/>
      <w:r>
        <w:t>Yenilmez</w:t>
      </w:r>
      <w:proofErr w:type="spellEnd"/>
      <w:r>
        <w:t xml:space="preserve"> &amp; </w:t>
      </w:r>
      <w:proofErr w:type="spellStart"/>
      <w:r>
        <w:t>Yasa</w:t>
      </w:r>
      <w:proofErr w:type="spellEnd"/>
      <w:r>
        <w:t>, 2008). Despite outlining what constitutes a misconception, there is a degree of uncertainty in ‘diagnosing’ or classifying an error as revealing a conceptual problem in a test-like assessment, hence learners are often asked for their reasoning in relation to a diagnostic task (Ryan and Williams, 2007). Interviewing the child can help better understand the conceptual basis behind the observed error and in turn provide a richer source of information from which to design a teaching intervention. Although the current study did not make use of inte</w:t>
      </w:r>
      <w:r w:rsidR="00821CFC">
        <w:t>rview methods due to impracticalities</w:t>
      </w:r>
      <w:r>
        <w:t xml:space="preserve"> imposed by the setting, a careful analysis of pupils’ responses to questions was </w:t>
      </w:r>
      <w:r w:rsidR="008D014C">
        <w:t xml:space="preserve">conducted </w:t>
      </w:r>
      <w:r>
        <w:t xml:space="preserve">in order to understand the conceptual knowledge base underpinning incorrect answers, which in turn influenced the emphasis that was placed on particular subsequent teaching strategies and models. </w:t>
      </w:r>
    </w:p>
    <w:p w:rsidR="0070035F" w:rsidRDefault="005D710C" w:rsidP="0070035F">
      <w:r>
        <w:t xml:space="preserve">The current study aims to assess </w:t>
      </w:r>
      <w:r w:rsidR="00C05B34">
        <w:t>the misconceptions that chil</w:t>
      </w:r>
      <w:r>
        <w:t>dren have with fractions and the</w:t>
      </w:r>
      <w:r w:rsidR="00C05B34">
        <w:t xml:space="preserve"> effectiveness of a </w:t>
      </w:r>
      <w:r>
        <w:t xml:space="preserve">subsequent </w:t>
      </w:r>
      <w:r w:rsidR="00C05B34">
        <w:t xml:space="preserve">teaching programme designed to help pupils overcome these misconceptions. </w:t>
      </w:r>
      <w:r w:rsidR="0070035F">
        <w:t>The conceptual misunderstandings that pupils develop throughout the course of their learning of fractions is well-documente</w:t>
      </w:r>
      <w:r w:rsidR="00C05B34">
        <w:t>d (e.g. APU 1978</w:t>
      </w:r>
      <w:r w:rsidR="0070035F">
        <w:t xml:space="preserve">, </w:t>
      </w:r>
      <w:r w:rsidR="0070035F" w:rsidRPr="006D5470">
        <w:t xml:space="preserve">Chan, </w:t>
      </w:r>
      <w:proofErr w:type="spellStart"/>
      <w:r w:rsidR="0070035F" w:rsidRPr="006D5470">
        <w:t>Leu</w:t>
      </w:r>
      <w:proofErr w:type="spellEnd"/>
      <w:r w:rsidR="0070035F" w:rsidRPr="006D5470">
        <w:t xml:space="preserve"> </w:t>
      </w:r>
      <w:r w:rsidR="0070035F">
        <w:t xml:space="preserve">&amp; Chen, 2007; </w:t>
      </w:r>
      <w:proofErr w:type="spellStart"/>
      <w:r w:rsidR="0070035F">
        <w:t>Isik</w:t>
      </w:r>
      <w:proofErr w:type="spellEnd"/>
      <w:r w:rsidR="0070035F">
        <w:t xml:space="preserve"> &amp; </w:t>
      </w:r>
      <w:proofErr w:type="spellStart"/>
      <w:r w:rsidR="0070035F">
        <w:t>Kar</w:t>
      </w:r>
      <w:proofErr w:type="spellEnd"/>
      <w:r w:rsidR="0070035F">
        <w:t>, 2012) and have been attributed both to the inherent complexity or structure of fractions (</w:t>
      </w:r>
      <w:proofErr w:type="spellStart"/>
      <w:r w:rsidR="0070035F">
        <w:t>Aksoy</w:t>
      </w:r>
      <w:proofErr w:type="spellEnd"/>
      <w:r w:rsidR="0070035F">
        <w:t xml:space="preserve"> and </w:t>
      </w:r>
      <w:proofErr w:type="spellStart"/>
      <w:r w:rsidR="0070035F">
        <w:t>Yazlik</w:t>
      </w:r>
      <w:proofErr w:type="spellEnd"/>
      <w:r w:rsidR="0070035F">
        <w:t xml:space="preserve">, 2017) as well as less than optimal teaching </w:t>
      </w:r>
      <w:r w:rsidR="00D2283B">
        <w:t>methods which tend to focus on</w:t>
      </w:r>
      <w:r w:rsidR="0070035F">
        <w:t xml:space="preserve"> operational or procedural approaches to working with fractions prior to a conceptual understanding of them is achieved; for instance, students are often asked to </w:t>
      </w:r>
      <w:r w:rsidR="0070035F" w:rsidRPr="008D44E3">
        <w:t>calcula</w:t>
      </w:r>
      <w:r w:rsidR="0070035F">
        <w:t>te with fractions</w:t>
      </w:r>
      <w:r w:rsidR="0070035F" w:rsidRPr="008D44E3">
        <w:t xml:space="preserve"> by bein</w:t>
      </w:r>
      <w:r w:rsidR="0070035F">
        <w:t>g given the rules before having any concrete sense of what the operations mean in the context of fractions  (</w:t>
      </w:r>
      <w:proofErr w:type="spellStart"/>
      <w:r w:rsidR="0070035F">
        <w:t>Aksu</w:t>
      </w:r>
      <w:proofErr w:type="spellEnd"/>
      <w:r w:rsidR="0070035F">
        <w:t>, 1997). Consequently,</w:t>
      </w:r>
      <w:r w:rsidR="0070035F" w:rsidRPr="008D44E3">
        <w:t xml:space="preserve"> students</w:t>
      </w:r>
      <w:r w:rsidR="0070035F">
        <w:t xml:space="preserve"> routinely learn the rules on how to operate with </w:t>
      </w:r>
      <w:r w:rsidR="0070035F" w:rsidRPr="008D44E3">
        <w:t>fractions</w:t>
      </w:r>
      <w:r w:rsidR="0070035F">
        <w:t xml:space="preserve"> throughout their school years but in the absence of a sound conceptual context which supports these rules</w:t>
      </w:r>
      <w:r w:rsidR="00D2283B">
        <w:t xml:space="preserve"> they</w:t>
      </w:r>
      <w:r w:rsidR="0070035F">
        <w:t xml:space="preserve"> can quickly</w:t>
      </w:r>
      <w:r w:rsidR="0070035F" w:rsidRPr="008D44E3">
        <w:t xml:space="preserve"> forget how to operate </w:t>
      </w:r>
      <w:r w:rsidR="0070035F">
        <w:t xml:space="preserve">with </w:t>
      </w:r>
      <w:r w:rsidR="0070035F" w:rsidRPr="008D44E3">
        <w:t>them (</w:t>
      </w:r>
      <w:proofErr w:type="spellStart"/>
      <w:r w:rsidR="0070035F" w:rsidRPr="008D44E3">
        <w:t>Siap</w:t>
      </w:r>
      <w:proofErr w:type="spellEnd"/>
      <w:r w:rsidR="0070035F" w:rsidRPr="008D44E3">
        <w:t xml:space="preserve"> &amp; </w:t>
      </w:r>
      <w:proofErr w:type="spellStart"/>
      <w:r w:rsidR="0070035F" w:rsidRPr="008D44E3">
        <w:t>Duru</w:t>
      </w:r>
      <w:proofErr w:type="spellEnd"/>
      <w:r w:rsidR="0070035F" w:rsidRPr="008D44E3">
        <w:t>, 2004).</w:t>
      </w:r>
      <w:r w:rsidR="0070035F">
        <w:t xml:space="preserve"> Along with decimals and percentages, one of the difficulties in learning the concept of fraction and operating with fractions if that they have a multiplicity of meanings, for example a sub-area of a defined whole region, a subset of a set of discrete objects, part of a unit of any value (i.e. not just a part of one), a point on a number line in between two consecutive whole numbers, the result of a division operation and so forth (Dickson, Brown and Gibson, 1984). Furthermore, some of these models may be better suited than </w:t>
      </w:r>
      <w:r w:rsidR="00CB7E7E">
        <w:t>others for teaching a given topic in</w:t>
      </w:r>
      <w:r w:rsidR="0070035F">
        <w:t xml:space="preserve"> fractions, and failing to select an appropriate model for developing a part</w:t>
      </w:r>
      <w:r w:rsidR="00CB7E7E">
        <w:t xml:space="preserve">icular fractional concept may be detrimental to the learner’s understanding of it. </w:t>
      </w:r>
      <w:r w:rsidR="0070035F">
        <w:t>For instance, despite being an appropriate entry-level model for the teaching of the part-whole relationship (</w:t>
      </w:r>
      <w:proofErr w:type="spellStart"/>
      <w:r w:rsidR="0070035F">
        <w:t>Pesen</w:t>
      </w:r>
      <w:proofErr w:type="spellEnd"/>
      <w:r w:rsidR="0070035F">
        <w:t>, 2007), there are certain usages of the area-model in teaching the concept of addition and subtraction of fractions which can lead to certain misconceptions being reinforced. This can happen if for example the sum 3/8 + 3/8 is represented visually as two separate circles divided into 8 separate pieces with 3 pieces of each shaded in. It is possible in this case that the child may interpret the answer in relation to the whole area of both circles and give an answer of 6/16 r</w:t>
      </w:r>
      <w:r w:rsidR="00CB7E7E">
        <w:t xml:space="preserve">ather </w:t>
      </w:r>
      <w:r w:rsidR="00CB7E7E">
        <w:lastRenderedPageBreak/>
        <w:t>than 6/8, and thus serve</w:t>
      </w:r>
      <w:r w:rsidR="0070035F">
        <w:t xml:space="preserve"> to justify the misconception of adding the numerators and denominators separately (Dickson, Brown and Gibson, 1982). Problems might also arise when adding fractions that result in a number more than a whole unit such as 5/8 + 7/8; in this case the area model might naturally lead students to the incorrect answer of 12/16 rather than 1 </w:t>
      </w:r>
      <m:oMath>
        <m:f>
          <m:fPr>
            <m:ctrlPr>
              <w:rPr>
                <w:rFonts w:ascii="Cambria Math" w:hAnsi="Cambria Math"/>
                <w:i/>
              </w:rPr>
            </m:ctrlPr>
          </m:fPr>
          <m:num>
            <m:r>
              <w:rPr>
                <w:rFonts w:ascii="Cambria Math" w:hAnsi="Cambria Math"/>
              </w:rPr>
              <m:t>4</m:t>
            </m:r>
          </m:num>
          <m:den>
            <m:r>
              <w:rPr>
                <w:rFonts w:ascii="Cambria Math" w:hAnsi="Cambria Math"/>
              </w:rPr>
              <m:t>8</m:t>
            </m:r>
          </m:den>
        </m:f>
      </m:oMath>
      <w:r w:rsidR="0070035F">
        <w:t xml:space="preserve">  or 1 </w:t>
      </w:r>
      <m:oMath>
        <m:f>
          <m:fPr>
            <m:ctrlPr>
              <w:rPr>
                <w:rFonts w:ascii="Cambria Math" w:hAnsi="Cambria Math"/>
                <w:i/>
              </w:rPr>
            </m:ctrlPr>
          </m:fPr>
          <m:num>
            <m:r>
              <w:rPr>
                <w:rFonts w:ascii="Cambria Math" w:hAnsi="Cambria Math"/>
              </w:rPr>
              <m:t>1</m:t>
            </m:r>
          </m:num>
          <m:den>
            <m:r>
              <w:rPr>
                <w:rFonts w:ascii="Cambria Math" w:hAnsi="Cambria Math"/>
              </w:rPr>
              <m:t>2</m:t>
            </m:r>
          </m:den>
        </m:f>
      </m:oMath>
      <w:r w:rsidR="0070035F">
        <w:t xml:space="preserve">  (Dickson et al., 1982). Although the area-model might be the easiest for learner’s to relate to (</w:t>
      </w:r>
      <w:proofErr w:type="spellStart"/>
      <w:r w:rsidR="0070035F">
        <w:t>Pesen</w:t>
      </w:r>
      <w:proofErr w:type="spellEnd"/>
      <w:r w:rsidR="0070035F">
        <w:t xml:space="preserve">, 2007) it is important that it is used in a way that can avoid such misconceptions and that teachers can draw upon other models which may be more suitable to the specific learning need of the student. For example, in the case of adding fractions that result in a number greater than a unit, a number line model may better illustrate the concept while avoiding the pitfalls of the area model (Dickson et al., 1982). </w:t>
      </w:r>
    </w:p>
    <w:p w:rsidR="0070035F" w:rsidRDefault="0070035F" w:rsidP="0070035F">
      <w:r>
        <w:t>As pointed out by Lamon (2005) fractions can prove difficult for children to grasp as their schemas or mental models around the addition, subtraction, multiplication and division of whole numbers are no longer applicable (as they currently stand) to these operations in the context of fractions. For example, it is frequently noted that students might think of 5/20 as being greater than ¼ since both the numerator and denominators of 5 and 20 respectively are larger than 1 and 4 (</w:t>
      </w:r>
      <w:proofErr w:type="spellStart"/>
      <w:r>
        <w:t>Bezuk</w:t>
      </w:r>
      <w:proofErr w:type="spellEnd"/>
      <w:r>
        <w:t xml:space="preserve"> and Kramer, 1989). Such errors may be due to children’s conf</w:t>
      </w:r>
      <w:r w:rsidR="00CB7E7E">
        <w:t xml:space="preserve">usion around the fact that </w:t>
      </w:r>
      <w:r>
        <w:t xml:space="preserve">fractions consist of two numbers, yet only represent one amount (Cramer and </w:t>
      </w:r>
      <w:proofErr w:type="spellStart"/>
      <w:r>
        <w:t>Wyberg</w:t>
      </w:r>
      <w:proofErr w:type="spellEnd"/>
      <w:r>
        <w:t xml:space="preserve">, 2009). Other studies have found slightly different results, perhaps due to the difference in age of the participants, </w:t>
      </w:r>
      <w:r w:rsidR="00CB7E7E">
        <w:t>for example, the APU (1980) study</w:t>
      </w:r>
      <w:r>
        <w:t xml:space="preserve"> found that when a group of 11 year olds were asked to compare the size of fractions with mixed numerators and denominators, 36% made errors which appeared to involve ignoring the numerators and follow the ‘rule’ of ‘the larger the denominator, the smaller the fraction’ (Lee and </w:t>
      </w:r>
      <w:proofErr w:type="spellStart"/>
      <w:r>
        <w:t>Boyadzhiev</w:t>
      </w:r>
      <w:proofErr w:type="spellEnd"/>
      <w:r>
        <w:t>, 2015, p30) while 10 % made errors that appeared to be the reverse of this by judging fracti</w:t>
      </w:r>
      <w:r w:rsidR="00E26114">
        <w:t>ons with the larger numerators</w:t>
      </w:r>
      <w:r>
        <w:t xml:space="preserve"> to be the smallest. Due to the complexity and variable interpretations of fractions, </w:t>
      </w:r>
      <w:proofErr w:type="spellStart"/>
      <w:r>
        <w:t>Bezuk</w:t>
      </w:r>
      <w:proofErr w:type="spellEnd"/>
      <w:r>
        <w:t xml:space="preserve"> &amp; Kramer (1989) advocate the use of ‘manipulatives’ and visual aids such as fraction strips and cubes to support and enhance the development of pupils’ understanding of fractions.</w:t>
      </w:r>
    </w:p>
    <w:p w:rsidR="0070035F" w:rsidRDefault="00CB7E7E" w:rsidP="0070035F">
      <w:r>
        <w:t>I</w:t>
      </w:r>
      <w:r w:rsidR="00E26114">
        <w:t>t is widely believed</w:t>
      </w:r>
      <w:r w:rsidR="0070035F">
        <w:t xml:space="preserve"> that the teaching of mathematical topics such as fractions should occur at a concrete level prior to moving </w:t>
      </w:r>
      <w:r>
        <w:t xml:space="preserve">on to more abstract approaches. However, </w:t>
      </w:r>
      <w:r w:rsidR="0070035F">
        <w:t xml:space="preserve">it is interesting to </w:t>
      </w:r>
      <w:r>
        <w:t xml:space="preserve">note </w:t>
      </w:r>
      <w:r w:rsidR="0070035F">
        <w:t xml:space="preserve">that in a comprehensive study of teaching the concept of fraction equivalence to children between the ages of 10 and </w:t>
      </w:r>
      <w:r>
        <w:t>12 by Hart and colleagues (</w:t>
      </w:r>
      <w:r w:rsidR="0070035F">
        <w:t>see chapter 4 of Hart et al., 1989) that despite teaching which used a number of visual and concrete teaching aids such as blocks and fraction strips, that at post-test children maintained some commonly held misconceptions and were not able to demonstrate the equivalence of two fractions such as 1/7 and 2/17 using the visual methods that were used in teaching them these concepts. When asked about the teaching methods, secondary school children said that they found the visual illustrations demonstrating equivalency useful, however these were either not used or used incorrectly when answering questions at post-</w:t>
      </w:r>
      <w:r>
        <w:t>test. Additionally, one student</w:t>
      </w:r>
      <w:r w:rsidR="0070035F">
        <w:t xml:space="preserve"> who was successful in answering the assessment questions mentioned that he preferred working with the numbers rather than the diagrams, and many after a period of 3-months after the assessment</w:t>
      </w:r>
      <w:r>
        <w:t>,</w:t>
      </w:r>
      <w:r w:rsidR="0070035F">
        <w:t xml:space="preserve"> couldn’t remember ever using materials during the learning block of the study. It is quite difficult to interpret such a finding, however, the study did not conclude that the use of such materials were of no use or counterproductive – in fact the authors remain advocates of the approaches they utilised as a means of developing conceptual mathematical knowledge. One possible reason for the findings is that the teaching part of the intervention comprised just a couple of one-hour ‘lessons’ and hence it can’t expected that an area as complex as fractions is going to be fully understood after such a short period of instruction; it is likely that repeated exposure to such teaching will be required over a prolonged period of time for the concepts to fully embed in the child’s mind. Furthermore, the use of materials that help facilitate concept development are merely </w:t>
      </w:r>
      <w:r w:rsidR="0070035F">
        <w:lastRenderedPageBreak/>
        <w:t xml:space="preserve">part of a more comprehensive teaching system which can support the use </w:t>
      </w:r>
      <w:r w:rsidR="00AE33E9">
        <w:t xml:space="preserve">of </w:t>
      </w:r>
      <w:r w:rsidR="0070035F">
        <w:t>and</w:t>
      </w:r>
      <w:r w:rsidR="00AE33E9">
        <w:t xml:space="preserve"> indeed</w:t>
      </w:r>
      <w:r w:rsidR="0070035F">
        <w:t xml:space="preserve"> justify the abstraction of general rules and procedures which in turn come to take precedence over the concrete. Approaches which focus only on the procedural is missing the vital link which exists within mathematics between concrete and abstract representations</w:t>
      </w:r>
      <w:r w:rsidR="00AE33E9">
        <w:t xml:space="preserve"> (Hart et al., 1989)</w:t>
      </w:r>
      <w:r w:rsidR="0070035F">
        <w:t xml:space="preserve">. </w:t>
      </w:r>
    </w:p>
    <w:p w:rsidR="0070035F" w:rsidRDefault="0070035F" w:rsidP="0070035F">
      <w:r>
        <w:t>The curre</w:t>
      </w:r>
      <w:r w:rsidR="00AE33E9">
        <w:t xml:space="preserve">nt study is concerned with the misconceptions that a class of year 8 </w:t>
      </w:r>
      <w:r w:rsidR="004F518A">
        <w:t xml:space="preserve">‘middle-lower attainment’ </w:t>
      </w:r>
      <w:r w:rsidR="00AE33E9">
        <w:t>students have with certain fraction topics and then assesses the effectiveness of a teaching programme designed to address and overcome these misconceptions. The fraction topics that are assessed include: fraction addition/subtraction;</w:t>
      </w:r>
      <w:r>
        <w:t xml:space="preserve"> c</w:t>
      </w:r>
      <w:r w:rsidR="00AE33E9">
        <w:t>omparing and ordering fractions;</w:t>
      </w:r>
      <w:r>
        <w:t xml:space="preserve"> calculating fractions of a value. A pre-test/</w:t>
      </w:r>
      <w:proofErr w:type="spellStart"/>
      <w:r>
        <w:t>pos</w:t>
      </w:r>
      <w:proofErr w:type="spellEnd"/>
      <w:r>
        <w:t>-test approach was used in which students were given a sample of 10 questions assessing the previously mentioned concepts and given the same questions again after a period of around 3 weeks following the completion of the scheme of work</w:t>
      </w:r>
      <w:r w:rsidR="00AE33E9">
        <w:t xml:space="preserve"> (i.e. the teaching block)</w:t>
      </w:r>
      <w:r>
        <w:t xml:space="preserve"> covering these topics, in order to </w:t>
      </w:r>
      <w:r w:rsidR="00AE33E9">
        <w:t xml:space="preserve">be able to </w:t>
      </w:r>
      <w:r>
        <w:t>assess the impact of the teaching on pupil performance on the same test. Similar to the studies carried out by the Hart et al (1</w:t>
      </w:r>
      <w:r w:rsidR="004F518A">
        <w:t>982) the teaching approach may</w:t>
      </w:r>
      <w:r>
        <w:t xml:space="preserve"> be summarised as initially focusing on developing pupils’ conceptual understanding through the use of concrete visual examples, follow</w:t>
      </w:r>
      <w:r w:rsidR="00AE33E9">
        <w:t>ing which the pupils are</w:t>
      </w:r>
      <w:r>
        <w:t xml:space="preserve"> invited to generalise a rule for the particular operation (e.g. generalise a rule for the addition of fractions, producing equivalent fractions etc.)</w:t>
      </w:r>
    </w:p>
    <w:p w:rsidR="00DD161C" w:rsidRDefault="00DD161C"/>
    <w:p w:rsidR="00E3615C" w:rsidRDefault="00E3615C">
      <w:pPr>
        <w:rPr>
          <w:b/>
          <w:sz w:val="28"/>
          <w:szCs w:val="28"/>
        </w:rPr>
      </w:pPr>
      <w:r w:rsidRPr="00E3615C">
        <w:rPr>
          <w:b/>
          <w:sz w:val="28"/>
          <w:szCs w:val="28"/>
        </w:rPr>
        <w:t xml:space="preserve">School and policy practice </w:t>
      </w:r>
    </w:p>
    <w:p w:rsidR="000D5ED4" w:rsidRDefault="000D5ED4" w:rsidP="000D5ED4">
      <w:r>
        <w:t>E</w:t>
      </w:r>
      <w:r>
        <w:t xml:space="preserve">ach pupil owned an A4-sized booklet which contained all the topics that were to be covered during a particular term. The booklet consisted of a range of topics and a single side of A4 was dedicated to each one, in which a brief description/explanation was given along with a few worked examples that demonstrated the methodology along with a few examples for the student to complete. This was usually done at some point during a lesson on that topic. Although the topics in the booklet followed a logical developmental progression, the scheme of work afforded some flexibility in terms of the order in which some topics could be taught as there were a number of different equally suitable topic sequences that could have been devised from this.  </w:t>
      </w:r>
    </w:p>
    <w:p w:rsidR="00E3615C" w:rsidRDefault="00E3615C"/>
    <w:p w:rsidR="0070035F" w:rsidRPr="00525489" w:rsidRDefault="0070035F" w:rsidP="0070035F">
      <w:pPr>
        <w:rPr>
          <w:b/>
          <w:sz w:val="28"/>
          <w:szCs w:val="28"/>
        </w:rPr>
      </w:pPr>
      <w:r w:rsidRPr="00525489">
        <w:rPr>
          <w:b/>
          <w:sz w:val="28"/>
          <w:szCs w:val="28"/>
        </w:rPr>
        <w:t xml:space="preserve">Methodology </w:t>
      </w:r>
    </w:p>
    <w:p w:rsidR="0070035F" w:rsidRPr="006A417F" w:rsidRDefault="0070035F" w:rsidP="0070035F">
      <w:pPr>
        <w:rPr>
          <w:b/>
          <w:sz w:val="24"/>
          <w:szCs w:val="24"/>
        </w:rPr>
      </w:pPr>
      <w:r w:rsidRPr="006A417F">
        <w:rPr>
          <w:b/>
          <w:sz w:val="24"/>
          <w:szCs w:val="24"/>
        </w:rPr>
        <w:t xml:space="preserve">Participants </w:t>
      </w:r>
    </w:p>
    <w:p w:rsidR="0070035F" w:rsidRPr="00E669E9" w:rsidRDefault="0070035F" w:rsidP="0070035F">
      <w:r>
        <w:t>The p</w:t>
      </w:r>
      <w:r w:rsidR="006A417F">
        <w:t xml:space="preserve">articipants of the study were 18 year 8 pupils in a </w:t>
      </w:r>
      <w:r w:rsidR="00677E4A">
        <w:t>middle/</w:t>
      </w:r>
      <w:r w:rsidR="006A417F">
        <w:t>lower set</w:t>
      </w:r>
      <w:r>
        <w:t>.</w:t>
      </w:r>
      <w:r w:rsidR="006A417F">
        <w:t xml:space="preserve"> There were 30 in the class, but due to absences at pre-test and/or post-test, only 18 pupils managed to complete both pre and post-test assessments.</w:t>
      </w:r>
      <w:r>
        <w:t xml:space="preserve"> The topics that they were due to cover during this term were on fractions, decimals, ratios and percentages. Prior to my involvement they had been taught how to multiply together two fractions. Based on my knowledge of the school, the participants of this study would have been taught the topics covered in the current scheme of work in the p</w:t>
      </w:r>
      <w:r w:rsidR="00696F77">
        <w:t>revious year, however to a less advanced level</w:t>
      </w:r>
      <w:r>
        <w:t xml:space="preserve">. For example, they would have been taught how to add up fractions with the same denominators in year 7, but perhaps not fractions with different denominators. It is also likely that the participants would have received teaching on simplifying fractions to their simplest forms, and encountered the concept of fraction equivalency prior to this teaching intervention. </w:t>
      </w:r>
    </w:p>
    <w:p w:rsidR="0070035F" w:rsidRPr="006A417F" w:rsidRDefault="0070035F" w:rsidP="0070035F">
      <w:pPr>
        <w:rPr>
          <w:b/>
          <w:sz w:val="24"/>
          <w:szCs w:val="24"/>
        </w:rPr>
      </w:pPr>
      <w:r w:rsidRPr="006A417F">
        <w:rPr>
          <w:b/>
          <w:sz w:val="24"/>
          <w:szCs w:val="24"/>
        </w:rPr>
        <w:t>Design of the study (pre-/post-test)</w:t>
      </w:r>
    </w:p>
    <w:p w:rsidR="0070035F" w:rsidRDefault="0070035F" w:rsidP="0070035F">
      <w:r>
        <w:lastRenderedPageBreak/>
        <w:t>The current study examined the effectiveness of a teaching progra</w:t>
      </w:r>
      <w:r w:rsidR="00677E4A">
        <w:t xml:space="preserve">mme on some topics in fractions, these </w:t>
      </w:r>
      <w:r>
        <w:t>included: comparing the value of two fractions; ordering fractions in term of magnitude (or value); adding and subtracting fractions, and finding a fraction of an amount other than one. Note that these topics were not necessarily taught in that order, and further detail relating to the sequence of lessons will be provided in the next section. This particular study was concerned with conceptual misunderstandings that learners can have with fraction</w:t>
      </w:r>
      <w:r w:rsidR="00696F77">
        <w:t>s and the teaching programme utilised</w:t>
      </w:r>
      <w:r>
        <w:t xml:space="preserve"> methods aimed to overcome these. In order to be able to assess the misconceptions that students may have had and </w:t>
      </w:r>
      <w:r w:rsidR="00696F77">
        <w:t xml:space="preserve">to </w:t>
      </w:r>
      <w:r>
        <w:t>evaluate the teaching programme,</w:t>
      </w:r>
      <w:r w:rsidR="00696F77">
        <w:t xml:space="preserve"> the target class who were involved in</w:t>
      </w:r>
      <w:r>
        <w:t xml:space="preserve"> the teaching intervention were given a series of eleven questions on the fraction topics mentioned above prior to the series of lessons on those topics, which will be referred to as the ‘pre-test’ from here on</w:t>
      </w:r>
      <w:r w:rsidR="00696F77">
        <w:t xml:space="preserve"> (see appendix 1)</w:t>
      </w:r>
      <w:r>
        <w:t xml:space="preserve">.  The objective of the pre-test was two-fold. Firstly, in order to evaluate the effectiveness of the teaching </w:t>
      </w:r>
      <w:r w:rsidR="00696F77">
        <w:t>programme</w:t>
      </w:r>
      <w:r>
        <w:t xml:space="preserve"> it was necessary to gain a baseline measure of pupils’ ability in these particular fraction areas prior to the intervention. Secondly, pupils’ performance on the pre-test was expected to provide valuable information as to the misconceptions and misunderstandings that these particular students may have had, and hence could be used </w:t>
      </w:r>
      <w:r w:rsidR="00696F77">
        <w:t xml:space="preserve">to tailor the scheme of work to the </w:t>
      </w:r>
      <w:r>
        <w:t xml:space="preserve">particular </w:t>
      </w:r>
      <w:r w:rsidR="00696F77">
        <w:t xml:space="preserve">needs of the students of this class. </w:t>
      </w:r>
      <w:r>
        <w:t>Although this data did not influence the content of the scheme of work vastly (as the lesson content was already based on a comprehensive sample of research literature), it did give a good idea as to the current level of ability of the class; this was valuable as at that time the class was new and hence unfamiliar to the teacher and gave some indication as to which areas of the scheme of work on fractions required additional attention. Having said this, the nuances of the entire teaching programme could obviously not be devised on the basis of the outcomes of this test, but of course would</w:t>
      </w:r>
      <w:r w:rsidR="00696F77">
        <w:t xml:space="preserve"> also</w:t>
      </w:r>
      <w:r>
        <w:t xml:space="preserve"> occur naturally throughout the course of the teaching sessions in response to student needs. </w:t>
      </w:r>
    </w:p>
    <w:p w:rsidR="0070035F" w:rsidRDefault="0070035F" w:rsidP="0070035F">
      <w:r>
        <w:t>Following an initial debrief, which is explained in the section “Ethics and consent” below, pupils were asked to carry out the pre-test under exam conditions, and were given appr</w:t>
      </w:r>
      <w:r w:rsidR="00696F77">
        <w:t>oximately 4</w:t>
      </w:r>
      <w:r>
        <w:t xml:space="preserve">0 minutes to complete the test, which was felt to be sufficient to work through the assessment at a comfortable pace for the class. The time limit was merely a guide so that pupils were not given too much time, as a lack of a definite time might influence students’ motivation to complete the test in a timely fashion and potentially result in minor behavioural issues. However, it was important to afford pupils sufficient time to be able to demonstrate their abilities without the pressures brought on by overly restrictive time limits.  </w:t>
      </w:r>
    </w:p>
    <w:p w:rsidR="0070035F" w:rsidRDefault="0070035F" w:rsidP="0070035F">
      <w:r>
        <w:t>Following the series of lessons, which spanned a period of approximately 3 weeks (equivalent to 9 lessons), another test, which will be referred to as the ‘post-test’ from here on, was administered</w:t>
      </w:r>
      <w:r w:rsidR="00746435">
        <w:t xml:space="preserve"> (see appendix 1)</w:t>
      </w:r>
      <w:r>
        <w:t>. The post-test was identical to the pre-test, and was given to the pupils at the beginning of the lesson following the final lesson in the scheme of work which included the topics to be assessed. Considering that there had been a period of just over 3 weeks (9 lessons) between the two tests and that the pupils were not told in advance at the start of the study that they would be asked to answer identical questions at post-test</w:t>
      </w:r>
      <w:r w:rsidR="0033265C">
        <w:t xml:space="preserve">, </w:t>
      </w:r>
      <w:r>
        <w:t>it was felt that including the same pre and p</w:t>
      </w:r>
      <w:r w:rsidR="00746435">
        <w:t>ost-test did not present</w:t>
      </w:r>
      <w:r>
        <w:t xml:space="preserve"> the risk of a significant carry-over effect from the first to the second test. It was felt that given the substantial time period between the first and second test, that any differences observed in the performance of the two tests would be largely attributed to the intervening teaching programme. </w:t>
      </w:r>
    </w:p>
    <w:p w:rsidR="0033265C" w:rsidRDefault="0033265C" w:rsidP="0070035F">
      <w:pPr>
        <w:rPr>
          <w:b/>
          <w:sz w:val="24"/>
          <w:szCs w:val="24"/>
        </w:rPr>
      </w:pPr>
    </w:p>
    <w:p w:rsidR="0033265C" w:rsidRDefault="0033265C" w:rsidP="0070035F">
      <w:pPr>
        <w:rPr>
          <w:b/>
          <w:sz w:val="24"/>
          <w:szCs w:val="24"/>
        </w:rPr>
      </w:pPr>
    </w:p>
    <w:p w:rsidR="00B20919" w:rsidRDefault="00B20919" w:rsidP="0070035F">
      <w:pPr>
        <w:rPr>
          <w:b/>
          <w:sz w:val="24"/>
          <w:szCs w:val="24"/>
        </w:rPr>
      </w:pPr>
    </w:p>
    <w:p w:rsidR="0070035F" w:rsidRPr="0084426A" w:rsidRDefault="0070035F" w:rsidP="0070035F">
      <w:pPr>
        <w:rPr>
          <w:b/>
          <w:sz w:val="24"/>
          <w:szCs w:val="24"/>
        </w:rPr>
      </w:pPr>
      <w:r w:rsidRPr="0084426A">
        <w:rPr>
          <w:b/>
          <w:sz w:val="24"/>
          <w:szCs w:val="24"/>
        </w:rPr>
        <w:lastRenderedPageBreak/>
        <w:t>Content of the Pre-/post-tests (including limitations of the tests)</w:t>
      </w:r>
    </w:p>
    <w:p w:rsidR="0070035F" w:rsidRPr="00E310B9" w:rsidRDefault="0070035F" w:rsidP="0070035F">
      <w:pPr>
        <w:rPr>
          <w:b/>
          <w:i/>
        </w:rPr>
      </w:pPr>
      <w:r w:rsidRPr="00E310B9">
        <w:rPr>
          <w:b/>
          <w:i/>
        </w:rPr>
        <w:t>Adding/subtracting fractions</w:t>
      </w:r>
      <w:r>
        <w:rPr>
          <w:b/>
          <w:i/>
        </w:rPr>
        <w:t xml:space="preserve">: </w:t>
      </w:r>
      <w:r>
        <w:t>The questions on adding and subtracting fractions contained ones in which: both numerators and denominators were the same (e.g. 1/3 + 1/3); denominators were the same (e.g. 4/15 + 1/15), and both numerators and denominators were different (e.g. 2/5 + 1/10). The questions with two different denominators were comprised of two different types: those in which one of the denominators was also the lowest common multiple (LCM) (e.g. 2/5 + 1/10), and also those in which the least common denominator was neither of the denominators (but could, as it happens, be found by multiplying both denominators together e.g. 2/3 – 3/5). It is expected that the questions included would, together, be able to detect the common types of misconceptions that have previously been highlighted in the literature for example, adding the numerators and denominators separately a</w:t>
      </w:r>
      <w:r w:rsidR="00B20919">
        <w:t>s in ½ + 1/3 = 2/5</w:t>
      </w:r>
      <w:r>
        <w:t>, or adding the numerators and placing over the largest denominator as in the example</w:t>
      </w:r>
      <w:r w:rsidR="009F700F">
        <w:t xml:space="preserve"> ½ + 1/3 = 2/3 (A</w:t>
      </w:r>
      <w:r w:rsidR="002B4BCF">
        <w:t xml:space="preserve">PU, 1980; Hart et al., 1989; Lee and </w:t>
      </w:r>
      <w:proofErr w:type="spellStart"/>
      <w:r w:rsidR="002B4BCF">
        <w:t>Boyadzhiev</w:t>
      </w:r>
      <w:proofErr w:type="spellEnd"/>
      <w:r w:rsidR="002B4BCF">
        <w:t xml:space="preserve">, 2015; </w:t>
      </w:r>
      <w:proofErr w:type="spellStart"/>
      <w:r w:rsidR="002B4BCF">
        <w:t>Bezuk</w:t>
      </w:r>
      <w:proofErr w:type="spellEnd"/>
      <w:r w:rsidR="002B4BCF">
        <w:t xml:space="preserve"> &amp; Kramer, 1989)</w:t>
      </w:r>
    </w:p>
    <w:p w:rsidR="0070035F" w:rsidRDefault="0070035F" w:rsidP="0070035F">
      <w:r w:rsidRPr="00E310B9">
        <w:rPr>
          <w:b/>
          <w:i/>
        </w:rPr>
        <w:t>Comparing the value (or magnitude) of fractions</w:t>
      </w:r>
      <w:r>
        <w:t>: Due to the limited number of questions in the pre and post-test assessments, the questions that required participants to select the smallest of a pair of fractions included only fractions with mixed numerators and denominators. In previ</w:t>
      </w:r>
      <w:r w:rsidR="00B11161">
        <w:t>ous research (</w:t>
      </w:r>
      <w:proofErr w:type="spellStart"/>
      <w:r w:rsidR="00B11161">
        <w:t>e.g</w:t>
      </w:r>
      <w:proofErr w:type="spellEnd"/>
      <w:r w:rsidR="00B11161">
        <w:t xml:space="preserve"> APU report 1980; Hart et al., 1989</w:t>
      </w:r>
      <w:r>
        <w:t xml:space="preserve">) these were shown to be the most problematic for children between the ages of 11 and 15, as compared to cases where the fractions either had the same numerators or denominators. It is likely therefore, that if pupils were able to correctly compare fractions with mixed numerators and denominators, they would also be able to effectively deal with cases where the numerators or denominators were the same. There were three questions of this type; two in which one of the denominators was also the LCM (e.g. 2/3 or 5/9 and 5/6 or 11/12) and one in which the denominators </w:t>
      </w:r>
      <w:r w:rsidR="009B7400">
        <w:t xml:space="preserve">shared a least common multiple which </w:t>
      </w:r>
      <w:r>
        <w:t>could be found by multiplying together both denominators e.g. 2/3 or 3/5). Asking participants to always select the</w:t>
      </w:r>
      <w:r w:rsidR="00B11161">
        <w:t xml:space="preserve"> smallest fraction as opposed </w:t>
      </w:r>
      <w:r>
        <w:t xml:space="preserve">to sometimes select the </w:t>
      </w:r>
      <w:proofErr w:type="gramStart"/>
      <w:r>
        <w:t>largest</w:t>
      </w:r>
      <w:proofErr w:type="gramEnd"/>
      <w:r>
        <w:t xml:space="preserve"> of the two fractions</w:t>
      </w:r>
      <w:r w:rsidR="00B11161">
        <w:t>,</w:t>
      </w:r>
      <w:r>
        <w:t xml:space="preserve"> was intended to reduce the likelihood of confusion. It was felt that the conceptual knowledge and skill required to compare the magnitude of fractions could be assessed</w:t>
      </w:r>
      <w:r w:rsidR="009B7400">
        <w:t xml:space="preserve"> most accurately and minimise</w:t>
      </w:r>
      <w:r>
        <w:t xml:space="preserve"> the chan</w:t>
      </w:r>
      <w:r w:rsidR="009B7400">
        <w:t xml:space="preserve">ce of ‘false negative’ results </w:t>
      </w:r>
      <w:r>
        <w:t xml:space="preserve">by keeping the wording of the question the same for each fraction pair. </w:t>
      </w:r>
    </w:p>
    <w:p w:rsidR="0070035F" w:rsidRDefault="0070035F" w:rsidP="0070035F">
      <w:r>
        <w:t>Considering the misconception that larger numerators and denominators represent a fraction of greater value (</w:t>
      </w:r>
      <w:proofErr w:type="spellStart"/>
      <w:r>
        <w:t>Bezuk</w:t>
      </w:r>
      <w:proofErr w:type="spellEnd"/>
      <w:r>
        <w:t xml:space="preserve"> and Kramer, 1989), some questions deliberately included a comparison in which the fraction with the smallest numerator and denominator was also the largest. In this way, any misconceptions of this type</w:t>
      </w:r>
      <w:r w:rsidR="00410A8B">
        <w:t xml:space="preserve"> </w:t>
      </w:r>
      <w:r>
        <w:t xml:space="preserve">could be detected by the test. There were also questions which would be answered incorrectly if the participant ignored the numerator and applied the rule “the bigger the denominator, the smaller the fraction” (Lee and </w:t>
      </w:r>
      <w:proofErr w:type="spellStart"/>
      <w:r>
        <w:t>Boyadzhiev</w:t>
      </w:r>
      <w:proofErr w:type="spellEnd"/>
      <w:r>
        <w:t xml:space="preserve">, 2015, p30) as was seen in the responses of 36% of 11 year </w:t>
      </w:r>
      <w:r w:rsidR="00B11161">
        <w:t xml:space="preserve">olds in the APU report </w:t>
      </w:r>
      <w:r w:rsidR="00410A8B">
        <w:t>(</w:t>
      </w:r>
      <w:r w:rsidR="00B11161">
        <w:t>1980</w:t>
      </w:r>
      <w:r>
        <w:t xml:space="preserve">). </w:t>
      </w:r>
    </w:p>
    <w:p w:rsidR="0070035F" w:rsidRDefault="0070035F" w:rsidP="00B11161">
      <w:r>
        <w:t>There are a number of other misconceptions that could be responsible for errors in this task as discussed in the previous section.</w:t>
      </w:r>
      <w:r w:rsidR="00B11161">
        <w:t xml:space="preserve"> One such misconception that has been frequently highlighted </w:t>
      </w:r>
      <w:r>
        <w:t>(</w:t>
      </w:r>
      <w:r w:rsidR="00B11161">
        <w:t xml:space="preserve">e.g. APU, 1980; </w:t>
      </w:r>
      <w:proofErr w:type="spellStart"/>
      <w:r w:rsidR="00B11161">
        <w:t>Bezuk</w:t>
      </w:r>
      <w:proofErr w:type="spellEnd"/>
      <w:r w:rsidR="00B11161">
        <w:t xml:space="preserve"> and Kramer, 1989; Cramer and </w:t>
      </w:r>
      <w:proofErr w:type="spellStart"/>
      <w:r w:rsidR="00B11161">
        <w:t>Wyberg</w:t>
      </w:r>
      <w:proofErr w:type="spellEnd"/>
      <w:r w:rsidR="00B11161">
        <w:t>, 2009;</w:t>
      </w:r>
      <w:r w:rsidR="00B11161" w:rsidRPr="00B11161">
        <w:t xml:space="preserve"> </w:t>
      </w:r>
      <w:r w:rsidR="00B11161">
        <w:t>Hart et al., 1989;</w:t>
      </w:r>
      <w:r w:rsidR="00B11161" w:rsidRPr="00B11161">
        <w:t xml:space="preserve"> </w:t>
      </w:r>
      <w:r w:rsidR="00B11161">
        <w:t xml:space="preserve">Lamon, 2005; Lee and </w:t>
      </w:r>
      <w:proofErr w:type="spellStart"/>
      <w:r w:rsidR="00B11161">
        <w:t>Boyadzhiev</w:t>
      </w:r>
      <w:proofErr w:type="spellEnd"/>
      <w:r w:rsidR="00B11161">
        <w:t xml:space="preserve">, 2015) is </w:t>
      </w:r>
      <w:r>
        <w:t xml:space="preserve">the misapplication of the rule “whatever you do to the </w:t>
      </w:r>
      <w:r w:rsidR="00B11161">
        <w:t xml:space="preserve">top you must do to the bottom”. This </w:t>
      </w:r>
      <w:r>
        <w:t>can lead children to erroneously attempt to construct an equivalent fraction by adding or subtracting the same number to the numerator and denominator of a fraction, as opposed to dividing or multiplying by the same factor. When comparing the size of two fractions it is possible that a child misapplying such a rule might attempt to conv</w:t>
      </w:r>
      <w:r w:rsidR="003C6902">
        <w:t>ert one of the fraction pairs using this additive method</w:t>
      </w:r>
      <w:r>
        <w:t xml:space="preserve"> </w:t>
      </w:r>
      <w:r w:rsidR="003C6902">
        <w:t xml:space="preserve">in order </w:t>
      </w:r>
      <w:r>
        <w:t xml:space="preserve">to obtain the same numerator or denominator as the other fraction and then make their comparisons on this basis. There is one question included in the test which asks </w:t>
      </w:r>
      <w:r>
        <w:lastRenderedPageBreak/>
        <w:t xml:space="preserve">participants to state the smallest of the fractions 5/6 and 11/12, which might lead them to erroneously state that the two fractions are equivalent since there is an equal difference of 6 between the numerators and denominators of the fractions. </w:t>
      </w:r>
    </w:p>
    <w:p w:rsidR="0070035F" w:rsidRDefault="003C6902" w:rsidP="0070035F">
      <w:r>
        <w:t>T</w:t>
      </w:r>
      <w:r w:rsidR="0070035F">
        <w:t>he questions were designed in such a way that together (as a col</w:t>
      </w:r>
      <w:r>
        <w:t>lection of questions) they would</w:t>
      </w:r>
      <w:r w:rsidR="0070035F">
        <w:t xml:space="preserve"> provide clues as to the kinds of misconceptions the participants had, </w:t>
      </w:r>
      <w:r>
        <w:t xml:space="preserve">even </w:t>
      </w:r>
      <w:r w:rsidR="0070035F">
        <w:t>in the absence of narrat</w:t>
      </w:r>
      <w:r>
        <w:t xml:space="preserve">ive feedback from the student. </w:t>
      </w:r>
    </w:p>
    <w:p w:rsidR="0070035F" w:rsidRDefault="0070035F" w:rsidP="0070035F">
      <w:r w:rsidRPr="00AA190E">
        <w:rPr>
          <w:b/>
          <w:i/>
        </w:rPr>
        <w:t>Ordering fractions</w:t>
      </w:r>
      <w:r>
        <w:rPr>
          <w:b/>
        </w:rPr>
        <w:t xml:space="preserve">: </w:t>
      </w:r>
      <w:r>
        <w:t>This question asked participants to order the three fractions 2/3, 5/6, and 7/12 in order from smallest to largest. Again these particular fractions were selected so as to be able to potentially discriminate between various common misconceptions that have been highlighted in the literature</w:t>
      </w:r>
      <w:r w:rsidR="003C6902">
        <w:t xml:space="preserve"> as</w:t>
      </w:r>
      <w:r>
        <w:t xml:space="preserve"> mentioned above.  </w:t>
      </w:r>
    </w:p>
    <w:p w:rsidR="0070035F" w:rsidRPr="003C6902" w:rsidRDefault="0070035F" w:rsidP="0070035F">
      <w:pPr>
        <w:rPr>
          <w:b/>
          <w:sz w:val="28"/>
          <w:szCs w:val="28"/>
        </w:rPr>
      </w:pPr>
      <w:r w:rsidRPr="003C6902">
        <w:rPr>
          <w:b/>
          <w:sz w:val="28"/>
          <w:szCs w:val="28"/>
        </w:rPr>
        <w:t>Limitations</w:t>
      </w:r>
    </w:p>
    <w:p w:rsidR="0070035F" w:rsidRDefault="0070035F" w:rsidP="0070035F">
      <w:r>
        <w:t>Although every effort was made to include questions which could detect some of the most commonly held conceptual misunderstandings that children may have in operating with fractions, given the number of possible misconceptions and hence the number of permutations of question that would be needed to  ‘detect’ all such misconceptions, it was not possi</w:t>
      </w:r>
      <w:r w:rsidR="00914B4B">
        <w:t>ble to create a sufficiently</w:t>
      </w:r>
      <w:r>
        <w:t xml:space="preserve"> comprehensive assessment that could reliably achieve this aim, hence the need for caution when interpreting the errors made by participants. </w:t>
      </w:r>
    </w:p>
    <w:p w:rsidR="0070035F" w:rsidRDefault="0070035F" w:rsidP="0070035F">
      <w:r>
        <w:t>Prior to being given the assessment, participants were asked to provide calculations to support their answers, however some did not include any. This leads on to one of the major limitations of the study, which was the lack of narrative accounts from participants, which might have provided valuable insight</w:t>
      </w:r>
      <w:r w:rsidR="00914B4B">
        <w:t xml:space="preserve"> into their reasoning</w:t>
      </w:r>
      <w:r w:rsidR="003C6902">
        <w:t xml:space="preserve"> and </w:t>
      </w:r>
      <w:r>
        <w:t xml:space="preserve">conceptual misunderstandings. </w:t>
      </w:r>
    </w:p>
    <w:p w:rsidR="003C6902" w:rsidRDefault="003C6902" w:rsidP="0070035F">
      <w:pPr>
        <w:rPr>
          <w:b/>
          <w:sz w:val="28"/>
          <w:szCs w:val="28"/>
        </w:rPr>
      </w:pPr>
    </w:p>
    <w:p w:rsidR="003C6902" w:rsidRDefault="003C6902" w:rsidP="0070035F">
      <w:pPr>
        <w:rPr>
          <w:b/>
          <w:sz w:val="28"/>
          <w:szCs w:val="28"/>
        </w:rPr>
      </w:pPr>
    </w:p>
    <w:p w:rsidR="003C6902" w:rsidRDefault="003C6902" w:rsidP="0070035F">
      <w:pPr>
        <w:rPr>
          <w:b/>
          <w:sz w:val="28"/>
          <w:szCs w:val="28"/>
        </w:rPr>
      </w:pPr>
    </w:p>
    <w:p w:rsidR="0070035F" w:rsidRPr="003C6902" w:rsidRDefault="0070035F" w:rsidP="0070035F">
      <w:pPr>
        <w:rPr>
          <w:sz w:val="28"/>
          <w:szCs w:val="28"/>
        </w:rPr>
      </w:pPr>
      <w:r w:rsidRPr="003C6902">
        <w:rPr>
          <w:b/>
          <w:sz w:val="28"/>
          <w:szCs w:val="28"/>
        </w:rPr>
        <w:t xml:space="preserve">Evaluation </w:t>
      </w:r>
      <w:r w:rsidRPr="003C6902">
        <w:rPr>
          <w:sz w:val="28"/>
          <w:szCs w:val="28"/>
        </w:rPr>
        <w:t xml:space="preserve"> </w:t>
      </w:r>
    </w:p>
    <w:p w:rsidR="0070035F" w:rsidRDefault="0070035F" w:rsidP="0070035F">
      <w:r>
        <w:t>Although the mathematical procedures and techniques that allow people to work with mathematical objects are clearly useful and indeed central to the discipline, it is widely argued by experts involved in mathematical education that the teaching of these procedures should not occur in the absence of teaching which grounds the procedural aspects of the discipline in a foundation which has a firm conceptual basis (e.g. D</w:t>
      </w:r>
      <w:r w:rsidR="003C6902">
        <w:t>ickson et al., 1984; Bolger, 2007</w:t>
      </w:r>
      <w:r>
        <w:t xml:space="preserve">; Hecht and </w:t>
      </w:r>
      <w:proofErr w:type="spellStart"/>
      <w:r>
        <w:t>Vagi</w:t>
      </w:r>
      <w:proofErr w:type="spellEnd"/>
      <w:r>
        <w:t xml:space="preserve">, 2011). As has been pointed out by many authors, fractions is an area of mathematics that causes particular problems for learners, and understandably so due to the various meanings that they can have, for example, as part of a whole, as representing more than a unit (in the case of ‘top-heavy’ fractions), </w:t>
      </w:r>
      <w:r w:rsidR="00E73E2E">
        <w:t xml:space="preserve">as </w:t>
      </w:r>
      <w:r>
        <w:t>a single value resulting from a division operation, a</w:t>
      </w:r>
      <w:r w:rsidR="00E73E2E">
        <w:t>nd as a</w:t>
      </w:r>
      <w:r>
        <w:t xml:space="preserve"> ratio in a different form and so forth (Lee and </w:t>
      </w:r>
      <w:proofErr w:type="spellStart"/>
      <w:r>
        <w:t>Boyadzhiev</w:t>
      </w:r>
      <w:proofErr w:type="spellEnd"/>
      <w:r>
        <w:t>, 2015). As well as the difficulties brought about by the inherent complexity of the concept of ‘fraction’, the argument is often made that less-than-optimal teaching strategies compound these inherent difficulties. Specifically, the often quoted criticism levelled against teachers is that teaching fr</w:t>
      </w:r>
      <w:r w:rsidR="00E73E2E">
        <w:t>actions focuses prematurely on</w:t>
      </w:r>
      <w:r>
        <w:t xml:space="preserve"> how to operate with them in a mechanistic way prior to the development of a firm conceptual and relational grounding in the topic which for example makes links to learners’ existing knowledge of whole numbers (McNamara and Shaughnessy, 2010). If teaching</w:t>
      </w:r>
      <w:r w:rsidRPr="008D58BA">
        <w:t xml:space="preserve"> </w:t>
      </w:r>
      <w:r>
        <w:t xml:space="preserve">focuses on </w:t>
      </w:r>
      <w:r w:rsidRPr="008D44E3">
        <w:t>calcula</w:t>
      </w:r>
      <w:r>
        <w:t xml:space="preserve">ting with fractions by giving the rules before </w:t>
      </w:r>
      <w:r>
        <w:lastRenderedPageBreak/>
        <w:t>helping develop learners’ concrete sense of what the operations mean in the context of fractions it is likely that that the rules learnt are in danger of being quickly forgotten (</w:t>
      </w:r>
      <w:proofErr w:type="spellStart"/>
      <w:r>
        <w:t>Aksu</w:t>
      </w:r>
      <w:proofErr w:type="spellEnd"/>
      <w:r>
        <w:t xml:space="preserve">, 1997; </w:t>
      </w:r>
      <w:proofErr w:type="spellStart"/>
      <w:r>
        <w:t>Siap</w:t>
      </w:r>
      <w:proofErr w:type="spellEnd"/>
      <w:r>
        <w:t xml:space="preserve"> and </w:t>
      </w:r>
      <w:proofErr w:type="spellStart"/>
      <w:r>
        <w:t>Duru</w:t>
      </w:r>
      <w:proofErr w:type="spellEnd"/>
      <w:r>
        <w:t>, 2004). Furthermore, due to the multiple ways in which fractions can be conceptualised, not all models are equally useful for teaching all topics</w:t>
      </w:r>
      <w:r w:rsidR="00E73E2E">
        <w:t xml:space="preserve"> within the domain of fractions;</w:t>
      </w:r>
      <w:r>
        <w:t xml:space="preserve"> for example, as discussed in a previous section, the number-line model may be better able to illustrate the addition of fractions that lead to a number greater than one as opposed to the area-model (e.g. Dickson et al., 1982). </w:t>
      </w:r>
    </w:p>
    <w:p w:rsidR="0070035F" w:rsidRDefault="0070035F" w:rsidP="0070035F">
      <w:r>
        <w:t xml:space="preserve">In accordance with these contentions, the approach employed for the teaching of fractions in this study focused heavily on developing learners’ conceptual understanding of fractions through visual illustrations (e.g. the </w:t>
      </w:r>
      <w:r w:rsidR="00E73E2E">
        <w:t>‘</w:t>
      </w:r>
      <w:r>
        <w:t>area</w:t>
      </w:r>
      <w:r w:rsidR="00E73E2E">
        <w:t>’</w:t>
      </w:r>
      <w:r>
        <w:t xml:space="preserve"> or </w:t>
      </w:r>
      <w:r w:rsidR="00E73E2E">
        <w:t>‘</w:t>
      </w:r>
      <w:r>
        <w:t>set model</w:t>
      </w:r>
      <w:r w:rsidR="00E73E2E">
        <w:t>’</w:t>
      </w:r>
      <w:r>
        <w:t xml:space="preserve"> and the </w:t>
      </w:r>
      <w:r w:rsidR="00E73E2E">
        <w:t>‘</w:t>
      </w:r>
      <w:r>
        <w:t>number line model</w:t>
      </w:r>
      <w:r w:rsidR="00E73E2E">
        <w:t>’</w:t>
      </w:r>
      <w:r>
        <w:t>) and then linking these with the more abstract representations and procedural rules that are required to calculate with fractions. By providing concrete representations of fractions and operations involving fractions, it was hoped that learners would develop a sense of what these operations meant in the context of fracti</w:t>
      </w:r>
      <w:r w:rsidR="00AC0076">
        <w:t>ons, and in turn enable them</w:t>
      </w:r>
      <w:r>
        <w:t xml:space="preserve"> to generalise rules for these operations, which might be more meaningful for them given that they would have been supported to build up these rules form the bottom up (i.e.</w:t>
      </w:r>
      <w:r w:rsidR="00E73E2E">
        <w:t xml:space="preserve"> progressing</w:t>
      </w:r>
      <w:r>
        <w:t xml:space="preserve"> from the concrete to the abstract). </w:t>
      </w:r>
    </w:p>
    <w:p w:rsidR="0070035F" w:rsidRPr="00E73E2E" w:rsidRDefault="0070035F" w:rsidP="0070035F">
      <w:pPr>
        <w:rPr>
          <w:b/>
          <w:sz w:val="24"/>
          <w:szCs w:val="24"/>
        </w:rPr>
      </w:pPr>
      <w:r w:rsidRPr="00E73E2E">
        <w:rPr>
          <w:b/>
          <w:sz w:val="24"/>
          <w:szCs w:val="24"/>
        </w:rPr>
        <w:t>Fractional representations</w:t>
      </w:r>
    </w:p>
    <w:p w:rsidR="0070035F" w:rsidRDefault="0070035F" w:rsidP="0070035F">
      <w:r>
        <w:t>The first lesson of the teaching intervention introduced fractions using the area model as this is widely considered to be the most suitable entry point for the teaching of fractions (</w:t>
      </w:r>
      <w:r w:rsidR="00E73E2E">
        <w:t xml:space="preserve">e.g. </w:t>
      </w:r>
      <w:r w:rsidR="007108B2" w:rsidRPr="00976E8A">
        <w:t xml:space="preserve">McNamara, </w:t>
      </w:r>
      <w:r w:rsidR="007108B2">
        <w:t>and Shaughnessy,</w:t>
      </w:r>
      <w:r w:rsidR="007108B2" w:rsidRPr="00976E8A">
        <w:t xml:space="preserve"> 2010</w:t>
      </w:r>
      <w:r w:rsidR="007108B2">
        <w:t xml:space="preserve">; </w:t>
      </w:r>
      <w:r w:rsidR="00E73E2E">
        <w:t xml:space="preserve">Hecht and </w:t>
      </w:r>
      <w:proofErr w:type="spellStart"/>
      <w:r w:rsidR="00E73E2E">
        <w:t>Vagi</w:t>
      </w:r>
      <w:proofErr w:type="spellEnd"/>
      <w:r w:rsidR="00E73E2E">
        <w:t>, 2011</w:t>
      </w:r>
      <w:r>
        <w:t>) and then this followed on to representations of a fraction as a sub-set of a set, which differs from the area model in that the elem</w:t>
      </w:r>
      <w:r w:rsidR="007108B2">
        <w:t>ents are discrete objects</w:t>
      </w:r>
      <w:r>
        <w:t xml:space="preserve">. Furthermore, the equal-size of the parts was emphasised and the concept was reinforced effectively by asking pupils to mark the answers of a fictional </w:t>
      </w:r>
      <w:r w:rsidR="007108B2">
        <w:t>student which showed</w:t>
      </w:r>
      <w:r>
        <w:t xml:space="preserve"> fractional value</w:t>
      </w:r>
      <w:r w:rsidR="007108B2">
        <w:t>s</w:t>
      </w:r>
      <w:r>
        <w:t xml:space="preserve"> such as ¾ alongside a</w:t>
      </w:r>
      <w:r w:rsidR="007108B2">
        <w:t xml:space="preserve">n </w:t>
      </w:r>
      <w:r w:rsidR="00AC0076">
        <w:t>i</w:t>
      </w:r>
      <w:r w:rsidR="007108B2">
        <w:t>ncorrect</w:t>
      </w:r>
      <w:r>
        <w:t xml:space="preserve"> fractional illustration (using the area model) in which 3 out of 4 parts were shaded but where the parts were of unequal size (e.g. see McNamara and Shaughnessy, 2010). In order to expand the concept of a fraction further to emphasise that a fraction is also a single value, the area, sub-set, and the common written representation of a fraction as, say ¾  were presented alongside a number-line representation of the fraction as a single value. Furthermore, the strategy of sometimes reading the fraction 1/3 as ‘one-third’ as opposed to ‘one out of three’ or ‘one over three’  was also used as it can help learners to develop the notion of a fraction as representing a single value (Lee and </w:t>
      </w:r>
      <w:proofErr w:type="spellStart"/>
      <w:r>
        <w:t>Boyadzhiev</w:t>
      </w:r>
      <w:proofErr w:type="spellEnd"/>
      <w:r>
        <w:t xml:space="preserve">, 2015). </w:t>
      </w:r>
    </w:p>
    <w:p w:rsidR="0070035F" w:rsidRPr="007108B2" w:rsidRDefault="0070035F" w:rsidP="0070035F">
      <w:pPr>
        <w:rPr>
          <w:b/>
          <w:sz w:val="24"/>
          <w:szCs w:val="24"/>
        </w:rPr>
      </w:pPr>
      <w:r w:rsidRPr="007108B2">
        <w:rPr>
          <w:b/>
          <w:sz w:val="24"/>
          <w:szCs w:val="24"/>
        </w:rPr>
        <w:t>Fraction of a quantity</w:t>
      </w:r>
    </w:p>
    <w:p w:rsidR="0070035F" w:rsidRDefault="0070035F" w:rsidP="0070035F">
      <w:r>
        <w:t>Following the introduction of a variety of models of the unit fraction, the concept of fractions of a quantity other 1 was developed. Drawing from the methods used in Singapore (</w:t>
      </w:r>
      <w:r w:rsidR="00A87E50">
        <w:t>e.g. Bolger, 2007</w:t>
      </w:r>
      <w:r>
        <w:t>), an approach similar to their ‘bar-method’ was utilised to show what a fraction of an amount translates to in concrete terms. Pupils were initially given blank rectangles or ‘bars’ and practiced dividing them into halves, thirds, and quarters etc. From here the idea of finding a fraction such as 1/3 or 2/3 of 12 for example was developed, where 12 represented the length of the whole bar. By becoming familiar with visualising the fractional amounts of a quantity in this way, they were able to generalise the method of ‘dividing by the numerator and multiplying by the denominator’, which, rather than being remembered as a ‘rule’ disconnected from reality, was developed from their own concrete ex</w:t>
      </w:r>
      <w:r w:rsidR="00924E90">
        <w:t xml:space="preserve">periences of fractions. </w:t>
      </w:r>
    </w:p>
    <w:p w:rsidR="0070035F" w:rsidRPr="00A87E50" w:rsidRDefault="0070035F" w:rsidP="0070035F">
      <w:pPr>
        <w:rPr>
          <w:b/>
          <w:sz w:val="24"/>
          <w:szCs w:val="24"/>
        </w:rPr>
      </w:pPr>
      <w:r w:rsidRPr="00A87E50">
        <w:rPr>
          <w:b/>
          <w:sz w:val="24"/>
          <w:szCs w:val="24"/>
        </w:rPr>
        <w:t>Fraction equivalence and comparing fractions</w:t>
      </w:r>
    </w:p>
    <w:p w:rsidR="008332A0" w:rsidRDefault="0070035F" w:rsidP="0070035F">
      <w:r>
        <w:lastRenderedPageBreak/>
        <w:t xml:space="preserve">The equivalence of different fractional representations of equal value (e.g. 2/3 = 8/12 etc.) was illustrated through use of the ‘area model’ using rectangles and circles divided into equal parts. Equivalency of different fractional representations of the same value was demonstrated by the equal areas that were shaded in the two diagrams, despite there being a different number of sub-pieces shaded. This equivalency was further reinforced by a number line representation of fractions such as ½, 2/4, and 3/6 (see Lee and </w:t>
      </w:r>
      <w:proofErr w:type="spellStart"/>
      <w:r>
        <w:t>Boyadzhiev</w:t>
      </w:r>
      <w:proofErr w:type="spellEnd"/>
      <w:r>
        <w:t xml:space="preserve">, 2015). In addition, the concept of equivalence was further enriched by the method used by Hart et al., (1982), and which drew upon the previously learnt concept of ‘fraction of a quantity’.  For instance learners were given a set of 12 drawn objects and asked questions such as ‘what is 2/4 of 12?’ and ‘what is ½ of 12?’ and </w:t>
      </w:r>
      <w:r w:rsidR="008332A0">
        <w:t xml:space="preserve">then asked </w:t>
      </w:r>
      <w:r>
        <w:t xml:space="preserve">to state what they noticed about the two answers. Since 2/4 and ½ of 12 were equal, students could infer that ½ was indeed equal to 2/4, hence </w:t>
      </w:r>
      <w:r w:rsidR="008332A0">
        <w:t xml:space="preserve">they were </w:t>
      </w:r>
      <w:r>
        <w:t xml:space="preserve">provided further support for the fact that 2/4 = ½, which had already been ‘proved’ visually with the previous example. </w:t>
      </w:r>
    </w:p>
    <w:p w:rsidR="0070035F" w:rsidRDefault="0070035F" w:rsidP="0070035F">
      <w:r>
        <w:t xml:space="preserve">After laying the conceptual framework, pupils were invited to suggest a method for checking whether fractions were equivalent, and </w:t>
      </w:r>
      <w:r w:rsidR="008332A0">
        <w:t xml:space="preserve">given examples to check/mark </w:t>
      </w:r>
      <w:r>
        <w:t xml:space="preserve">solutions which involved the use of an additive/subtraction as opposed to a multiplication/division approach. This approach of asking learners to spot common errors was intended to reinforce the correct procedural methods and has been shown to be an effective learning strategy (e.g. </w:t>
      </w:r>
      <w:r w:rsidR="008332A0">
        <w:t>Ryan and W</w:t>
      </w:r>
      <w:r w:rsidR="003E08A8">
        <w:t>i</w:t>
      </w:r>
      <w:r w:rsidR="008332A0">
        <w:t xml:space="preserve">lliams, 2007). </w:t>
      </w:r>
      <w:r>
        <w:t>Similar visual manipulations were utilised in order to develop the concept of comparing fractions. For instance, in order to compare the fractions ¼ and 3/8, pupils were shown two rectangles, one divided into 4 equal squares (of which one was shaded) and the other into 8 equal squares (of which 3 had been shaded). Pupils were then encouraged to think about how the two pictures could be adapted to enable a ‘direct’ comparison of one visual representation with the other, which led to students stating that the diagram divided into 4 pieces should be divided into 8 pieces. It was also suggested that the number of parts</w:t>
      </w:r>
      <w:r w:rsidR="00E44635">
        <w:t xml:space="preserve"> could be changed</w:t>
      </w:r>
      <w:r>
        <w:t xml:space="preserve"> from 8 to 4, but that this would not be the most useful option as it would result in a non-whole number in the numerator of one of the fractions (i.e. 3/8 would be transformed to 1.5/4). From working in this way, pupils suggested the approach of getting both fractions over the same denominator as a means of being able to compare them with one another. This was then linked to the idea of ‘least common multiple’ of the denominators of a fraction, and hence the procedural methods for comparing the size of fractions was built upon concrete examples of why these particular procedures needed to be carried</w:t>
      </w:r>
      <w:r w:rsidR="00E44635">
        <w:t xml:space="preserve"> out</w:t>
      </w:r>
      <w:r>
        <w:t xml:space="preserve">. Once the conceptual foundation had been set, the teaching focussed mostly on the procedural </w:t>
      </w:r>
      <w:r w:rsidR="00924E90">
        <w:t>methods of comparing fractions.</w:t>
      </w:r>
    </w:p>
    <w:p w:rsidR="0070035F" w:rsidRPr="00E44635" w:rsidRDefault="0070035F" w:rsidP="0070035F">
      <w:pPr>
        <w:rPr>
          <w:sz w:val="24"/>
          <w:szCs w:val="24"/>
        </w:rPr>
      </w:pPr>
      <w:r w:rsidRPr="00E44635">
        <w:rPr>
          <w:b/>
          <w:sz w:val="24"/>
          <w:szCs w:val="24"/>
        </w:rPr>
        <w:t>Adding and subtracting fractions</w:t>
      </w:r>
    </w:p>
    <w:p w:rsidR="00E44635" w:rsidRDefault="0070035F" w:rsidP="0070035F">
      <w:r>
        <w:t xml:space="preserve">The concept of fraction addition and subtraction is traditionally developed using an ‘area’ model (Dickson et al., 1984) and this method was used in the current scheme of work in order to ground the operation of addition and subtraction of fractions in concrete terms. However, as noted by the aforementioned authors, there are certain usages of the area-model in teaching the concept of addition and subtraction of fractions which can lead to certain misconceptions being reinforced. This can happen if for example the sum 3/8 + 3/8 is represented visually as two separate circles divided into 8 separate pieces with 3 pieces of each shaded in. It is possible in this case that the child may interpret the answer in relation to the whole area of both circles and give an answer of 6/16 rather than 6/8, and thus be used to justify the misconception of adding the numerators and denominators separately (Dickson, Brown and Gibson, 1982). Given this possible misconception, the above calculation was shown by shading in the same rectangle in two different colours – red and blue in the fractions 3/8 and 3/8 respectively. While 3/8 of the rectangle was coloured in red and 3/8 in </w:t>
      </w:r>
      <w:r>
        <w:lastRenderedPageBreak/>
        <w:t xml:space="preserve">blue, it was clear that 6/8 was coloured in </w:t>
      </w:r>
      <w:r w:rsidRPr="00E44635">
        <w:rPr>
          <w:i/>
        </w:rPr>
        <w:t>red or blue</w:t>
      </w:r>
      <w:r w:rsidR="00E44635">
        <w:t>, and hence justif</w:t>
      </w:r>
      <w:r w:rsidR="001344EC">
        <w:t>i</w:t>
      </w:r>
      <w:r w:rsidR="00E44635">
        <w:t>ed</w:t>
      </w:r>
      <w:r>
        <w:t xml:space="preserve"> the rule for adding fractions with the same denominator. </w:t>
      </w:r>
    </w:p>
    <w:p w:rsidR="0070035F" w:rsidRDefault="0070035F" w:rsidP="0070035F">
      <w:r>
        <w:t xml:space="preserve">Even though the denominators were different, the strategy of representing the addition of two fractions on a single diagram also worked for the case ½ + ¼ since the pupils could easily relate their knowledge of what a quarter and half a circle looks to produce a circle in which ¾ was shaded in. However, where the fractions were not as easy to visualise as in the case of 1/6 + 1/3 for example, using separate diagrams for each fraction was required. Given that the two diagrams were divided up into a different number of equal pieces, pupils were then encouraged to think about how the two pictures could be adapted to enable the addition to be carried out, which led to students stating that the diagram divided into 3 pieces should be divided into 6 pieces. As in the case of </w:t>
      </w:r>
      <w:r w:rsidR="001344EC">
        <w:t xml:space="preserve">‘equivalent fractions’ this visual method ‘provoked’ pupils to </w:t>
      </w:r>
      <w:r>
        <w:t>suggest the approach of ‘getting’ the fractions over the same denominator in order to be able to add or subtract them. This was then linked to the idea of ‘least common multiple’ of the denominators of a fraction, and hence the procedural methods f</w:t>
      </w:r>
      <w:r w:rsidR="00E44635">
        <w:t>or adding/subtracting fractions.</w:t>
      </w:r>
      <w:r>
        <w:t xml:space="preserve"> </w:t>
      </w: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E44635" w:rsidRDefault="00E44635" w:rsidP="0070035F">
      <w:pPr>
        <w:rPr>
          <w:b/>
          <w:u w:val="single"/>
        </w:rPr>
      </w:pPr>
    </w:p>
    <w:p w:rsidR="0070035F" w:rsidRPr="00E44635" w:rsidRDefault="0070035F" w:rsidP="0070035F">
      <w:pPr>
        <w:rPr>
          <w:b/>
          <w:sz w:val="24"/>
          <w:szCs w:val="24"/>
        </w:rPr>
      </w:pPr>
      <w:r w:rsidRPr="00E44635">
        <w:rPr>
          <w:b/>
          <w:sz w:val="24"/>
          <w:szCs w:val="24"/>
        </w:rPr>
        <w:t>Results of the pre and post-test assessments</w:t>
      </w:r>
    </w:p>
    <w:p w:rsidR="0070035F" w:rsidRDefault="0070035F" w:rsidP="0070035F">
      <w:r>
        <w:t xml:space="preserve">The graph below (fig 1) displays the average score of each student at pre-test and post-test. It can be seen that there is a substantial increase of 43% in the average test score after the students had completed the teaching programme on fractions. </w:t>
      </w:r>
    </w:p>
    <w:p w:rsidR="0070035F" w:rsidRDefault="0070035F" w:rsidP="0070035F"/>
    <w:p w:rsidR="0070035F" w:rsidRDefault="0070035F" w:rsidP="0070035F">
      <w:r>
        <w:rPr>
          <w:noProof/>
          <w:lang w:eastAsia="en-GB"/>
        </w:rPr>
        <w:drawing>
          <wp:inline distT="0" distB="0" distL="0" distR="0" wp14:anchorId="6107AE00" wp14:editId="7EAB190D">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0035F" w:rsidRDefault="0070035F" w:rsidP="0070035F">
      <w:pPr>
        <w:rPr>
          <w:i/>
        </w:rPr>
      </w:pPr>
      <w:r>
        <w:t xml:space="preserve">Figure 1. </w:t>
      </w:r>
      <w:r w:rsidRPr="00C249C0">
        <w:rPr>
          <w:i/>
        </w:rPr>
        <w:t>Average test scores of each student before and after the teaching programme</w:t>
      </w:r>
    </w:p>
    <w:p w:rsidR="0070035F" w:rsidRDefault="0070035F" w:rsidP="0070035F">
      <w:r>
        <w:lastRenderedPageBreak/>
        <w:t>The data relating to the pre and post-test scores of each of the 18 participants is illustrated in figure 2 below. It can be seen that each pupil scored more highly on the post-test than the pre-test, but that this difference varied considerably between participants. An increase from 9% to 100% for pupils 6 and 8 (i.e. a difference of 91%) represents the biggest increase</w:t>
      </w:r>
      <w:r w:rsidR="00E44635">
        <w:t>,</w:t>
      </w:r>
      <w:r>
        <w:t xml:space="preserve"> while an increase from 18% to 36% for pupil 15 (i.e. a difference of 18%) was the smallest increase. </w:t>
      </w:r>
    </w:p>
    <w:p w:rsidR="0070035F" w:rsidRPr="00C249C0" w:rsidRDefault="0070035F" w:rsidP="0070035F">
      <w:r>
        <w:rPr>
          <w:noProof/>
          <w:lang w:eastAsia="en-GB"/>
        </w:rPr>
        <w:drawing>
          <wp:inline distT="0" distB="0" distL="0" distR="0" wp14:anchorId="04ED0CE0" wp14:editId="1513985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0035F" w:rsidRDefault="0070035F" w:rsidP="0070035F">
      <w:r>
        <w:t xml:space="preserve">Figure 2. </w:t>
      </w:r>
      <w:r w:rsidRPr="002F2D9D">
        <w:rPr>
          <w:i/>
        </w:rPr>
        <w:t>Pre and post-test scores for each participant.</w:t>
      </w:r>
    </w:p>
    <w:p w:rsidR="0070035F" w:rsidRDefault="0070035F" w:rsidP="0070035F"/>
    <w:p w:rsidR="0070035F" w:rsidRDefault="0070035F" w:rsidP="0070035F">
      <w:r>
        <w:t xml:space="preserve">The test contained questions that assessed different aspects of fraction knowledge and were categorised into the following three domains: </w:t>
      </w:r>
    </w:p>
    <w:p w:rsidR="0070035F" w:rsidRDefault="0070035F" w:rsidP="0070035F">
      <w:r>
        <w:t xml:space="preserve">1) </w:t>
      </w:r>
      <w:proofErr w:type="gramStart"/>
      <w:r>
        <w:t>fraction</w:t>
      </w:r>
      <w:proofErr w:type="gramEnd"/>
      <w:r>
        <w:t xml:space="preserve"> addition/subtraction (6 questions)</w:t>
      </w:r>
    </w:p>
    <w:p w:rsidR="0070035F" w:rsidRDefault="0070035F" w:rsidP="0070035F">
      <w:r>
        <w:t>2) comparing/ordering fractions (4 questions)</w:t>
      </w:r>
    </w:p>
    <w:p w:rsidR="0070035F" w:rsidRDefault="0070035F" w:rsidP="0070035F">
      <w:r>
        <w:t xml:space="preserve">3) </w:t>
      </w:r>
      <w:proofErr w:type="gramStart"/>
      <w:r>
        <w:t>calculating</w:t>
      </w:r>
      <w:proofErr w:type="gramEnd"/>
      <w:r>
        <w:t xml:space="preserve"> fractions of a quantity (2 questions).</w:t>
      </w:r>
    </w:p>
    <w:p w:rsidR="0070035F" w:rsidRDefault="0070035F" w:rsidP="0070035F">
      <w:r>
        <w:t>Given that the test assessed abilities in different fraction domains, the following s</w:t>
      </w:r>
      <w:r w:rsidR="00E44635">
        <w:t>ection will present data relating</w:t>
      </w:r>
      <w:r>
        <w:t xml:space="preserve"> to the performances of pupils within each of these three domains. </w:t>
      </w:r>
    </w:p>
    <w:p w:rsidR="0070035F" w:rsidRDefault="0070035F" w:rsidP="0070035F"/>
    <w:p w:rsidR="0070035F" w:rsidRDefault="0070035F" w:rsidP="0070035F">
      <w:r>
        <w:rPr>
          <w:noProof/>
          <w:lang w:eastAsia="en-GB"/>
        </w:rPr>
        <w:lastRenderedPageBreak/>
        <w:drawing>
          <wp:inline distT="0" distB="0" distL="0" distR="0" wp14:anchorId="2BC6EB9D" wp14:editId="0949A282">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0035F" w:rsidRPr="00C16EEB" w:rsidRDefault="0070035F" w:rsidP="0070035F">
      <w:pPr>
        <w:rPr>
          <w:i/>
        </w:rPr>
      </w:pPr>
      <w:r>
        <w:t xml:space="preserve">Figure 3. </w:t>
      </w:r>
      <w:r w:rsidRPr="00C16EEB">
        <w:rPr>
          <w:i/>
        </w:rPr>
        <w:t xml:space="preserve">Average pre/post-test scores in each of the 3 domains </w:t>
      </w:r>
    </w:p>
    <w:p w:rsidR="0070035F" w:rsidRDefault="0070035F" w:rsidP="0070035F">
      <w:r>
        <w:t xml:space="preserve">The graph above shows that the average score of participants in all three domains was higher after the teaching programme than prior to it, with the largest improvement being observed in students’ ability to add/subtract fractions. Pupil-level data in each of the three domains will be discussed further below. </w:t>
      </w: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Default="0070035F" w:rsidP="0070035F">
      <w:pPr>
        <w:rPr>
          <w:b/>
          <w:u w:val="single"/>
        </w:rPr>
      </w:pPr>
    </w:p>
    <w:p w:rsidR="0070035F" w:rsidRPr="00E10554" w:rsidRDefault="0070035F" w:rsidP="0070035F">
      <w:pPr>
        <w:rPr>
          <w:b/>
          <w:sz w:val="24"/>
          <w:szCs w:val="24"/>
        </w:rPr>
      </w:pPr>
      <w:r w:rsidRPr="00E10554">
        <w:rPr>
          <w:b/>
          <w:sz w:val="24"/>
          <w:szCs w:val="24"/>
        </w:rPr>
        <w:t>Adding/subtracting fractions</w:t>
      </w:r>
    </w:p>
    <w:p w:rsidR="0070035F" w:rsidRPr="00996B40" w:rsidRDefault="0070035F" w:rsidP="0070035F">
      <w:r>
        <w:t xml:space="preserve">The graph below (figure 1) shows the pre and post-test scores of pupils in the adding/subtracting fraction domain. </w:t>
      </w:r>
    </w:p>
    <w:p w:rsidR="0070035F" w:rsidRDefault="0070035F" w:rsidP="0070035F">
      <w:r>
        <w:lastRenderedPageBreak/>
        <w:t xml:space="preserve"> </w:t>
      </w:r>
      <w:r>
        <w:rPr>
          <w:noProof/>
          <w:lang w:eastAsia="en-GB"/>
        </w:rPr>
        <w:drawing>
          <wp:inline distT="0" distB="0" distL="0" distR="0" wp14:anchorId="68EBF8BE" wp14:editId="3FB26E9C">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0035F" w:rsidRDefault="0070035F" w:rsidP="0070035F">
      <w:r>
        <w:t xml:space="preserve">Figure 4. </w:t>
      </w:r>
      <w:r w:rsidRPr="00E2667D">
        <w:rPr>
          <w:i/>
        </w:rPr>
        <w:t>Pre and pot-test scores in the domain of fraction addition/subtraction</w:t>
      </w:r>
    </w:p>
    <w:p w:rsidR="0070035F" w:rsidRDefault="00E10554" w:rsidP="0070035F">
      <w:r>
        <w:t xml:space="preserve">It can be seen from </w:t>
      </w:r>
      <w:r w:rsidR="0070035F">
        <w:t>the graph that most of the participants (apart from two) gained 0% at pre-test, and that 5 gained full marks at post-test. In two cases (i.e. for participants 12 and 15) the same score of 0% was achieved at both pre and post-test. On closer inspection of the test papers for these individuals, it was interesting to note that the answers given were not the same at pre-test and post-test, which suggests that the teaching</w:t>
      </w:r>
      <w:r>
        <w:t xml:space="preserve"> may have</w:t>
      </w:r>
      <w:r w:rsidR="0070035F">
        <w:t xml:space="preserve"> had some kind of impact on how the learners viewed the process of fraction addition, but unfortunately </w:t>
      </w:r>
      <w:r>
        <w:t xml:space="preserve">this was </w:t>
      </w:r>
      <w:r w:rsidR="0070035F">
        <w:t>not</w:t>
      </w:r>
      <w:r w:rsidR="00CB36CF">
        <w:t xml:space="preserve"> sufficient to lead to a complete</w:t>
      </w:r>
      <w:r w:rsidR="0070035F">
        <w:t xml:space="preserve"> understanding of the process. In both cases, at pre-test participants had answered incorrectly by adding the numerators and denominators of the two fractions as in the following example: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6</m:t>
            </m:r>
          </m:den>
        </m:f>
      </m:oMath>
      <w:r w:rsidR="0070035F">
        <w:rPr>
          <w:rFonts w:eastAsiaTheme="minorEastAsia"/>
          <w:sz w:val="28"/>
          <w:szCs w:val="28"/>
        </w:rPr>
        <w:t xml:space="preserve"> </w:t>
      </w:r>
      <w:r w:rsidR="0070035F">
        <w:rPr>
          <w:rFonts w:eastAsiaTheme="minorEastAsia"/>
        </w:rPr>
        <w:t xml:space="preserve">(incidentally, this was the cause for the majority of the students’ errors at pre-test). However, at post –test both participants’ solutions showed confused use of some of the strategies that had been taught during the teaching programme. For example, for the sum </w:t>
      </w:r>
      <m:oMath>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oMath>
    </w:p>
    <w:p w:rsidR="00E10554" w:rsidRDefault="0070035F" w:rsidP="0070035F">
      <w:r>
        <w:t xml:space="preserve">one of the participants correctly demonstrated the need to change the 2/5 to an equivalent fraction with a denominator of 10, hence producing 4/10, but proceeded to get 4/10 + 1/10 = 5/10 + 2/10 rather than just 5/10. In the other questions, the idea of getting the denominators to be equal was evident, but there was considerable confusion shown in his solutions, for which the method could not be clearly understood – this is where </w:t>
      </w:r>
      <w:r w:rsidR="00CB36CF">
        <w:t>asking pupils to describe their</w:t>
      </w:r>
      <w:r>
        <w:t xml:space="preserve"> methods might have been helpful. For the other participant, the confusion appeared to be greater still, but there was evidently some appreciation that the denominators of the two fractions needed to be the same in order to add. </w:t>
      </w:r>
    </w:p>
    <w:p w:rsidR="0070035F" w:rsidRDefault="0070035F" w:rsidP="0070035F">
      <w:r>
        <w:t xml:space="preserve">As this topic had been taught approximately 3 weeks prior to the test, it seems as though the pupils had retained </w:t>
      </w:r>
      <w:r w:rsidRPr="00830755">
        <w:rPr>
          <w:i/>
        </w:rPr>
        <w:t>some</w:t>
      </w:r>
      <w:r>
        <w:t xml:space="preserve"> knowledge of the procedure required to add fractions, but this was incomplete, and hence led to various incorrect ways of trying to get a solution. The majority of participants who did not achieve full marks in the ‘addition/subtraction’ domain at post-test managed to achieve correct solutions to the examples where the denominators of the fractions were the same. However, they showed an incomplete understanding of the process of adding/subtracting fractions when the denominators were different, but, nevertheless showed an awareness that the denominators of the fractions needed to be the same in order to add or subtract. Furthermore, the correct multiplying</w:t>
      </w:r>
      <w:r w:rsidR="00D835D3">
        <w:t xml:space="preserve"> factor was also chosen, but</w:t>
      </w:r>
      <w:r>
        <w:t xml:space="preserve">, for some </w:t>
      </w:r>
      <w:r w:rsidR="00D835D3">
        <w:t>(unknown) reason</w:t>
      </w:r>
      <w:r>
        <w:t xml:space="preserve"> the correct answer was not achieved. </w:t>
      </w:r>
    </w:p>
    <w:p w:rsidR="0070035F" w:rsidRPr="00E10554" w:rsidRDefault="0070035F" w:rsidP="0070035F">
      <w:pPr>
        <w:rPr>
          <w:b/>
          <w:sz w:val="24"/>
          <w:szCs w:val="24"/>
        </w:rPr>
      </w:pPr>
      <w:r w:rsidRPr="00E10554">
        <w:rPr>
          <w:b/>
          <w:sz w:val="24"/>
          <w:szCs w:val="24"/>
        </w:rPr>
        <w:lastRenderedPageBreak/>
        <w:t>Comparing/ordering fractions</w:t>
      </w:r>
    </w:p>
    <w:p w:rsidR="0070035F" w:rsidRPr="009F6C86" w:rsidRDefault="0070035F" w:rsidP="0070035F">
      <w:r>
        <w:t>Skills i</w:t>
      </w:r>
      <w:r w:rsidR="00E10554">
        <w:t>n this domain were assessed by three</w:t>
      </w:r>
      <w:r>
        <w:t xml:space="preserve"> questions which asked participants to state which of a pair of f</w:t>
      </w:r>
      <w:r w:rsidR="00E10554">
        <w:t>ractions was the smallest, and one</w:t>
      </w:r>
      <w:r>
        <w:t xml:space="preserve"> question which ask</w:t>
      </w:r>
      <w:r w:rsidR="00E10554">
        <w:t>ed them to order a sequence of three</w:t>
      </w:r>
      <w:r>
        <w:t xml:space="preserve"> fractions in ascending order from the smallest to the largest. The average score of each participant on this series of questions is shown in the graph below (figure 3). </w:t>
      </w:r>
    </w:p>
    <w:p w:rsidR="0070035F" w:rsidRDefault="0070035F" w:rsidP="0070035F">
      <w:r>
        <w:rPr>
          <w:noProof/>
          <w:lang w:eastAsia="en-GB"/>
        </w:rPr>
        <w:drawing>
          <wp:inline distT="0" distB="0" distL="0" distR="0" wp14:anchorId="3B4A2B7E" wp14:editId="27734BEE">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0035F" w:rsidRDefault="0070035F" w:rsidP="0070035F">
      <w:r>
        <w:t xml:space="preserve">Figure 5. </w:t>
      </w:r>
    </w:p>
    <w:p w:rsidR="0070035F" w:rsidRDefault="0070035F" w:rsidP="0070035F">
      <w:r>
        <w:t>It can be seen from the above graph that, unlike the adding/subtraction domain, where the post-test scores were either equal to or higher than the pre-test scores, there are cases where participants have scored less after the series of lessons than at the start of the teaching programme. Six participants gained the sa</w:t>
      </w:r>
      <w:r w:rsidR="000A17E7">
        <w:t>me grade at pre and post-test, three</w:t>
      </w:r>
      <w:r>
        <w:t xml:space="preserve"> sc</w:t>
      </w:r>
      <w:r w:rsidR="000A17E7">
        <w:t>ored lower at post-test, while nine scored more at post-test, six</w:t>
      </w:r>
      <w:r>
        <w:t xml:space="preserve"> of whom scored 100%. </w:t>
      </w:r>
    </w:p>
    <w:p w:rsidR="0070035F" w:rsidRDefault="0070035F" w:rsidP="0070035F">
      <w:r>
        <w:t>Of the six students who achieved the same result at pre and post-test, four got the same questions correct, while two got different questions correct. In the majority of cases in which 100% was not achieved at post-test, pupils were more likely to get the question which asked them to compare 2/3 and 3/5 incorrect. This differed from the other questions</w:t>
      </w:r>
      <w:r w:rsidR="000A17E7">
        <w:t xml:space="preserve"> in this domain where</w:t>
      </w:r>
      <w:r>
        <w:t xml:space="preserve"> one of the denominators was also the LCM of the two denominators, since in this case the LCM was neither of the denominators and hence added another level of complexity to the problem. Most incorrectly selected 2/3 as the smaller of the two fractions and presumably follows the common misconception that the smaller numerator and denominators</w:t>
      </w:r>
      <w:r w:rsidR="000A17E7">
        <w:t xml:space="preserve"> gives the smaller fraction (e.g. </w:t>
      </w:r>
      <w:proofErr w:type="spellStart"/>
      <w:r w:rsidR="000A17E7">
        <w:t>Bezuk</w:t>
      </w:r>
      <w:proofErr w:type="spellEnd"/>
      <w:r w:rsidR="000A17E7">
        <w:t xml:space="preserve"> and Kramer, 1989</w:t>
      </w:r>
      <w:r>
        <w:t xml:space="preserve">). </w:t>
      </w:r>
    </w:p>
    <w:p w:rsidR="0070035F" w:rsidRDefault="0070035F" w:rsidP="0070035F">
      <w:r>
        <w:t>Since these questions required participants to circle the correct answer rather than produce the correct solution themselves ‘from scratch’, guessing might have been more of a factor here than in the questions on adding/subtracting fractions. For this reason, if the students did not get all the questions in this section correct, it is difficult to conclude whether a higher g</w:t>
      </w:r>
      <w:r w:rsidR="00D835D3">
        <w:t>rade at post-test indicated a genuine improvement in</w:t>
      </w:r>
      <w:r>
        <w:t xml:space="preserve"> understanding, or conversely, whether a lower grade meant that the student had a weaker understanding at post-test than at pre-test. In two cases in which the participant achieved the same score at pre and post-test, it is possible that they might have got confused with the q</w:t>
      </w:r>
      <w:r w:rsidR="000A17E7">
        <w:t>uestion on ordering fractions since</w:t>
      </w:r>
      <w:r>
        <w:t xml:space="preserve"> they ordered the fractions in the opposite way as to what was asked (i.e. instead of ordering in ascending order, they ordered in descending </w:t>
      </w:r>
      <w:r>
        <w:lastRenderedPageBreak/>
        <w:t xml:space="preserve">order). Due to the absence of calculations shown by students for this question, it was difficult to assess the quality of their understanding here. </w:t>
      </w:r>
    </w:p>
    <w:p w:rsidR="0070035F" w:rsidRPr="00552E53" w:rsidRDefault="0070035F" w:rsidP="0070035F">
      <w:pPr>
        <w:rPr>
          <w:b/>
          <w:sz w:val="24"/>
          <w:szCs w:val="24"/>
        </w:rPr>
      </w:pPr>
      <w:r w:rsidRPr="00552E53">
        <w:rPr>
          <w:b/>
          <w:sz w:val="24"/>
          <w:szCs w:val="24"/>
        </w:rPr>
        <w:t>Fraction of a quantity</w:t>
      </w:r>
    </w:p>
    <w:p w:rsidR="0070035F" w:rsidRDefault="0070035F" w:rsidP="0070035F"/>
    <w:p w:rsidR="0070035F" w:rsidRDefault="0070035F" w:rsidP="0070035F">
      <w:r>
        <w:rPr>
          <w:noProof/>
          <w:lang w:eastAsia="en-GB"/>
        </w:rPr>
        <w:drawing>
          <wp:inline distT="0" distB="0" distL="0" distR="0" wp14:anchorId="0D34A40F" wp14:editId="37868893">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0035F" w:rsidRDefault="0070035F" w:rsidP="0070035F">
      <w:r>
        <w:t xml:space="preserve">Figure 6. </w:t>
      </w:r>
    </w:p>
    <w:p w:rsidR="0070035F" w:rsidRDefault="0070035F" w:rsidP="0070035F">
      <w:r>
        <w:t>Again, in contrast the average pre and post-test scores, which shows a clear improvement at post-test, the pupil-level data</w:t>
      </w:r>
      <w:r w:rsidR="00552E53">
        <w:t xml:space="preserve"> shows more variability. Here, six</w:t>
      </w:r>
      <w:r>
        <w:t xml:space="preserve"> participants scored the same at pre and post-test, however two of which scored full marks in both test, hence couldn’t show improvement, which means that 4 showed no improvement where impro</w:t>
      </w:r>
      <w:r w:rsidR="00552E53">
        <w:t>vement was possible. A further two</w:t>
      </w:r>
      <w:r w:rsidR="00DC48DB">
        <w:t xml:space="preserve"> participants showed</w:t>
      </w:r>
      <w:r>
        <w:t xml:space="preserve"> a drop in score at</w:t>
      </w:r>
      <w:r w:rsidR="00552E53">
        <w:t xml:space="preserve"> post-test, but a majo</w:t>
      </w:r>
      <w:r w:rsidR="00DC48DB">
        <w:t>rity of ten participants scored</w:t>
      </w:r>
      <w:r w:rsidR="00552E53">
        <w:t xml:space="preserve"> higher at post-test, </w:t>
      </w:r>
      <w:r>
        <w:t>as would be expected. For the participants who scored the same at pre and post-test in this domain, the same question was answered correctly (</w:t>
      </w:r>
      <w:r w:rsidR="00DC48DB">
        <w:t xml:space="preserve">i.e. </w:t>
      </w:r>
      <w:r>
        <w:t>1/3 of 9). The other question asking for 5/6 of 12 was answered incorrectly either by dividing the value by the denominator and ignoring the numerator, or by not answering the question at all. For the two participants (10 and 15) who achieved a lower score at post-test, the answers were marked as incorrect either because one or both questions in this domain had not been answered. This might be due to the individual at post-test knowing that a certain method wouldn’t work on the one hand but on the other hand not being confident of the correct method, hence showing more reluctance to ‘have a go’ and risk making an incorrect attempt at post-test. Interestingly, participant 10 answered both questions correctly at pre-test (100%) hence it is unclear</w:t>
      </w:r>
      <w:r w:rsidR="00552E53">
        <w:t xml:space="preserve"> if</w:t>
      </w:r>
      <w:r>
        <w:t xml:space="preserve"> this participant </w:t>
      </w:r>
      <w:r w:rsidR="00552E53">
        <w:t>genuinely has less understanding</w:t>
      </w:r>
      <w:r>
        <w:t xml:space="preserve"> at post-test or that the initial score is not an accurate reflection of his ability in this area. The potential for copying answers from neighbours at pre or post-test cannot be ruled out and without knowledge of the seating plan at the time of the tests, it is not possible to </w:t>
      </w:r>
      <w:r w:rsidR="00DC48DB">
        <w:t xml:space="preserve">cross-reference the results with the seating plan to </w:t>
      </w:r>
      <w:r>
        <w:t xml:space="preserve">check whether this was possibly the case. Of course lack of motivation to complete the test cannot be ruled out either – it is possible that if the individual spent a ‘long time’ on the previous questions in the test and was not very comfortable in their fraction knowledge, they may have been demotivated by the time they got to the last question. </w:t>
      </w:r>
    </w:p>
    <w:p w:rsidR="00DC48DB" w:rsidRDefault="00DC48DB" w:rsidP="0070035F">
      <w:pPr>
        <w:rPr>
          <w:b/>
          <w:sz w:val="28"/>
          <w:szCs w:val="28"/>
        </w:rPr>
      </w:pPr>
    </w:p>
    <w:p w:rsidR="0070035F" w:rsidRPr="00552E53" w:rsidRDefault="0070035F" w:rsidP="0070035F">
      <w:pPr>
        <w:rPr>
          <w:b/>
          <w:sz w:val="28"/>
          <w:szCs w:val="28"/>
        </w:rPr>
      </w:pPr>
      <w:r w:rsidRPr="00552E53">
        <w:rPr>
          <w:b/>
          <w:sz w:val="28"/>
          <w:szCs w:val="28"/>
        </w:rPr>
        <w:lastRenderedPageBreak/>
        <w:t>Conclusion and recommendations for future study</w:t>
      </w:r>
    </w:p>
    <w:p w:rsidR="0070035F" w:rsidRDefault="0070035F" w:rsidP="0070035F">
      <w:r>
        <w:t xml:space="preserve">As would be expected, the average test scores were higher after the teaching programme than prior to it, and </w:t>
      </w:r>
      <w:r w:rsidR="00F967E7">
        <w:t>this increase was substantial with the average score rising</w:t>
      </w:r>
      <w:r>
        <w:t xml:space="preserve"> from 22% at pre-test to 43% at post-test</w:t>
      </w:r>
      <w:r w:rsidR="006E5842">
        <w:t>, representing an increase of 21</w:t>
      </w:r>
      <w:r>
        <w:t>%. Furthermore, the overall performance of each pupil improved after the teaching block, reflecting each student’s improved state of knowledge and understanding of fractions as a result of the teaching. From a constructivist point of view, the process of learning in this case refers to the ‘construction’ of mental models/cognitive schemas/analogues that enabled the participants to more effectively deal with the mathematical problems with which they were presented (</w:t>
      </w:r>
      <w:proofErr w:type="spellStart"/>
      <w:r>
        <w:t>Gick</w:t>
      </w:r>
      <w:proofErr w:type="spellEnd"/>
      <w:r>
        <w:t xml:space="preserve"> and </w:t>
      </w:r>
      <w:proofErr w:type="spellStart"/>
      <w:r>
        <w:t>Holyoak</w:t>
      </w:r>
      <w:proofErr w:type="spellEnd"/>
      <w:r>
        <w:t xml:space="preserve">, 1987; Piaget, 1980b; Sidney and </w:t>
      </w:r>
      <w:proofErr w:type="spellStart"/>
      <w:r>
        <w:t>Alibali</w:t>
      </w:r>
      <w:proofErr w:type="spellEnd"/>
      <w:r>
        <w:t xml:space="preserve">, 2015). As previously explained, the test was subdivided into questions that examined student knowledge within three fraction ‘domains’ which included: adding/subtraction, comparing/ordering by size, fractions of a value. </w:t>
      </w:r>
    </w:p>
    <w:p w:rsidR="0070035F" w:rsidRDefault="0070035F" w:rsidP="0070035F">
      <w:r>
        <w:t>Within the domain of addition/subtraction, the difference between the pre and post-test scores appeared to remain more clear and distinct across participants and in line with what was expected than was the case in the other domains. For instance, most participants achieved lower scores prior to the teaching block and higher scores following it; this was true of all but two participants who scored the same at pre and post-test. In contrast, in the domain of ‘comparing/ordering’ there were more cases in which the results were contrary to expectations</w:t>
      </w:r>
      <w:r w:rsidR="00F967E7">
        <w:t>,</w:t>
      </w:r>
      <w:r>
        <w:t xml:space="preserve"> with either the participants scoring the same at pre and post-test, or less at post-test than at the beginning prior to the teaching block. Such unexpected outcomes was also the case for the ‘fraction </w:t>
      </w:r>
      <w:r w:rsidR="00F967E7">
        <w:t xml:space="preserve">of a quantity’ domain, however </w:t>
      </w:r>
      <w:r>
        <w:t xml:space="preserve">these counter-intuitive cases were in the minority. One possible reason why the performance of learners differed in these ways between the domains might be attributed to the nature or format of the questions in these domains. Whereas the questions on ‘adding/subtracting’ fractions required participants to calculate their solutions ‘from scratch’, for the questions in the ‘comparing/ordering’ domain participants had </w:t>
      </w:r>
      <w:r w:rsidR="00F967E7">
        <w:t xml:space="preserve">only </w:t>
      </w:r>
      <w:r>
        <w:t>to select the correct solution out of a limited set of options; for the ‘comparing’ questions there were 2 possibilities, one of which was correct, while for the ‘ordering’ questions there were 6 possible ways of ordering the fractions, of which one was correct. These types of questions increase the chance that false positive results could be produced through ‘lucky guesses’ (i.e. correct guesses when the individual is not actually sure of the correct answer). An approach which is driven more by a guessing strategy clearly makes interpretation of the result</w:t>
      </w:r>
      <w:r w:rsidR="001D1883">
        <w:t>s more problematic</w:t>
      </w:r>
      <w:r w:rsidR="00F967E7">
        <w:t xml:space="preserve">, especially since </w:t>
      </w:r>
      <w:r>
        <w:t xml:space="preserve">statistical significance testing was not used as a means of analysing the results; for example, it is possible that an individual guessed an equal number of questions correctly at pre-test as they got genuinely correct at post-test, or conversely, an individual might have guessed incorrectly at pre-test and guessed correctly at post-test, thus giving the false impression that effective learning had occurred during the period in between the two tests. A number of different permutations are possible here, all of which mask the actual effect (or lack of) attributed to the teaching intervention itself. </w:t>
      </w:r>
    </w:p>
    <w:p w:rsidR="0070035F" w:rsidRDefault="0070035F" w:rsidP="0070035F">
      <w:r>
        <w:t>Although the questions in the domain of ‘fraction of a quantity’ did require participants to ‘answer f</w:t>
      </w:r>
      <w:r w:rsidR="001D1883">
        <w:t xml:space="preserve">rom scratch’ (i.e. did not offer </w:t>
      </w:r>
      <w:r>
        <w:t xml:space="preserve">choices) they perhaps suffered the same kind of validity and reliability issues mentioned above. Arguably, these questions were quite vulnerable to correct guesses – this was especially so when the numerator of the fraction was 1 (e.g. 1/3 of 9) since there were only a limited number of ways that the numbers could be operated on together (for example for the question 1/3 of 9, multiplying or dividing by 1 wouldn’t change anything, which leaves the following possible guesses; 3x9 = 27, 3/9 =1/3 or 9/3=3). Again, an approach that is heavily reliant on guessing as a means of producing answers at pre and/or post-test invalidates the process of making inferences about the level </w:t>
      </w:r>
      <w:r w:rsidR="001D1883">
        <w:t>of learning that has occurred</w:t>
      </w:r>
      <w:r>
        <w:t xml:space="preserve">. Strongly emphasising that calculations must </w:t>
      </w:r>
      <w:r>
        <w:lastRenderedPageBreak/>
        <w:t>be shown as well as setting more (including a wider variety of) questions</w:t>
      </w:r>
      <w:r w:rsidR="00F967E7">
        <w:t>,</w:t>
      </w:r>
      <w:r>
        <w:t xml:space="preserve"> might have helped produce data that could enable more valid inferences to be made regarding the level of learning and understanding that had occurred as a result of the teaching programme. </w:t>
      </w:r>
    </w:p>
    <w:p w:rsidR="0070035F" w:rsidRDefault="0070035F" w:rsidP="0070035F">
      <w:r>
        <w:t>It can be inferred that on the wh</w:t>
      </w:r>
      <w:r w:rsidR="00F967E7">
        <w:t>ole (in most cases) learning had</w:t>
      </w:r>
      <w:r>
        <w:t xml:space="preserve"> occurred as a result of the teaching block. Drawing on the idea of analogical transfer (</w:t>
      </w:r>
      <w:proofErr w:type="spellStart"/>
      <w:r>
        <w:t>Gentner</w:t>
      </w:r>
      <w:proofErr w:type="spellEnd"/>
      <w:r>
        <w:t xml:space="preserve">, 1983; </w:t>
      </w:r>
      <w:proofErr w:type="spellStart"/>
      <w:r>
        <w:t>Gick</w:t>
      </w:r>
      <w:proofErr w:type="spellEnd"/>
      <w:r>
        <w:t xml:space="preserve"> and </w:t>
      </w:r>
      <w:proofErr w:type="spellStart"/>
      <w:r>
        <w:t>Holyoak</w:t>
      </w:r>
      <w:proofErr w:type="spellEnd"/>
      <w:r>
        <w:t xml:space="preserve">, 1987), the results suggest that following the teaching programme, most participants were able to identify a suitable analogue (i.e. a cognitive model that was relevant to the problem), and then adapt the relevant aspects of this analogue to the specific requirements of the problem and correctly solve it– a process referred to as ‘positive transfer’ under this model (Sidney and </w:t>
      </w:r>
      <w:proofErr w:type="spellStart"/>
      <w:r>
        <w:t>Alibali</w:t>
      </w:r>
      <w:proofErr w:type="spellEnd"/>
      <w:r>
        <w:t xml:space="preserve">, 2015). However, it is not clear to what extent the improved performance was underpinned by a sound conceptual understanding of fractions as opposed to a more surface level of understanding which might have resulted in improved use of the necessary procedures in a more mechanistic sense (e.g. </w:t>
      </w:r>
      <w:proofErr w:type="spellStart"/>
      <w:r>
        <w:t>Skemp</w:t>
      </w:r>
      <w:proofErr w:type="spellEnd"/>
      <w:r>
        <w:t xml:space="preserve">, 1976). It is more likely that the individuals who scored full marks at post-test had a better conceptual understanding of fractions than those who didn’t, however, it is felt that it would have been easier to determine the degree of conceptual understanding of these learners with more varied types of questions and different problem contexts. For the individuals who did not achieve full marks, and especially those who answered a substantial amount incorrectly at post-test, although they might have shown an improvement in their test scores, it cannot be stated with confidence that significant relational or deep learning had occurred </w:t>
      </w:r>
      <w:r w:rsidR="00F967E7">
        <w:t xml:space="preserve">in these cases </w:t>
      </w:r>
      <w:r>
        <w:t xml:space="preserve">(see </w:t>
      </w:r>
      <w:proofErr w:type="spellStart"/>
      <w:r>
        <w:t>Skemp</w:t>
      </w:r>
      <w:proofErr w:type="spellEnd"/>
      <w:r>
        <w:t xml:space="preserve"> 1976). From the answers produced in a variety of these test papers, it appears that there may have been partial retention of some of the procedural ‘rules’ required to operate with fractions, but the lack of a sound</w:t>
      </w:r>
      <w:r w:rsidR="001D1883">
        <w:t xml:space="preserve"> and robust</w:t>
      </w:r>
      <w:r>
        <w:t xml:space="preserve"> conceptual basis for these was evi</w:t>
      </w:r>
      <w:r w:rsidR="001D1883">
        <w:t xml:space="preserve">dent by a range of incorrect and/or </w:t>
      </w:r>
      <w:r>
        <w:t xml:space="preserve">lack of answers. </w:t>
      </w:r>
    </w:p>
    <w:p w:rsidR="0070035F" w:rsidRDefault="0070035F" w:rsidP="0070035F">
      <w:r>
        <w:t xml:space="preserve">Drawing on the model of </w:t>
      </w:r>
      <w:proofErr w:type="spellStart"/>
      <w:r>
        <w:t>Gick</w:t>
      </w:r>
      <w:proofErr w:type="spellEnd"/>
      <w:r>
        <w:t xml:space="preserve"> and </w:t>
      </w:r>
      <w:proofErr w:type="spellStart"/>
      <w:r>
        <w:t>Holyoak</w:t>
      </w:r>
      <w:proofErr w:type="spellEnd"/>
      <w:r>
        <w:t xml:space="preserve"> (1987), there are two ways in which an individual can produce incorrect solutions – a process which they refer to as negative analogical transfer. Firstly, there could be a failure to identify a helpful analogue or conceptual model, or secondly, a helpful analogue may have been selected but the person may be unable to successfully use or transfer this information successfully to the current problem. This might be a helpful model to make sense of some of the attempted solutions observed in this study, and it also accommodates the possibility that a student can show a varying degree of</w:t>
      </w:r>
      <w:r w:rsidR="001D1883">
        <w:t xml:space="preserve"> success with a question even </w:t>
      </w:r>
      <w:r>
        <w:t>in the case of incorrect solutions. Although a distinction is made between deep and surface learning, it might not be accurate to interpret learning as either purely deep or surface, as there are likely to be intermediate stages to the learning process and hence the level of conceptual understanding. I</w:t>
      </w:r>
      <w:r w:rsidR="00F967E7">
        <w:t>n the case of incorrect answers for example,</w:t>
      </w:r>
      <w:r>
        <w:t xml:space="preserve"> although all </w:t>
      </w:r>
      <w:r w:rsidR="00F967E7">
        <w:t>incorrect answers are awarded</w:t>
      </w:r>
      <w:r>
        <w:t xml:space="preserve"> zero marks, there appeared to be different levels of conceptual understanding shown </w:t>
      </w:r>
      <w:r w:rsidR="00F967E7">
        <w:t>by pupils in their attempts</w:t>
      </w:r>
      <w:r>
        <w:t>, and it would be essential that in such cases, the specific difficultie</w:t>
      </w:r>
      <w:r w:rsidR="00F967E7">
        <w:t>s of the student are addressed immediately in order to avoid the development of misconceptions and maximise positive learning.</w:t>
      </w:r>
      <w:r>
        <w:t xml:space="preserve"> </w:t>
      </w:r>
    </w:p>
    <w:p w:rsidR="0070035F" w:rsidRDefault="0070035F" w:rsidP="0070035F">
      <w:r>
        <w:t>Another issue that needs to be considered when interpreting the results is the period of time between teaching/learning the concept and being assessed on it. It is possible that learners may have made progress in terms of their conceptual understanding at the time of teaching, but due to the novelty of the information, and insufficient practice</w:t>
      </w:r>
      <w:r w:rsidR="007B6A88">
        <w:t xml:space="preserve"> with the new concept, may</w:t>
      </w:r>
      <w:r>
        <w:t xml:space="preserve"> not</w:t>
      </w:r>
      <w:r w:rsidR="007B6A88">
        <w:t xml:space="preserve"> have been able to fully retain</w:t>
      </w:r>
      <w:r>
        <w:t xml:space="preserve"> the knowledge in long-term memory. However, it has been argued by many authors that a good conceptual understanding of a topic is more likely to embed more securely in long-term memory and hence be less susceptible to the effects of de</w:t>
      </w:r>
      <w:r w:rsidR="007B6A88">
        <w:t xml:space="preserve">gradation over time (e.g. Lee and </w:t>
      </w:r>
      <w:proofErr w:type="spellStart"/>
      <w:r w:rsidR="007B6A88">
        <w:t>Boyadzhiev</w:t>
      </w:r>
      <w:proofErr w:type="spellEnd"/>
      <w:r w:rsidR="007B6A88">
        <w:t>, 2015</w:t>
      </w:r>
      <w:r>
        <w:t xml:space="preserve">), but nevertheless, it is felt that gaining a deep structural understanding occurs over time and requires repeated practice to embed fully. </w:t>
      </w:r>
    </w:p>
    <w:p w:rsidR="0070035F" w:rsidRDefault="0070035F" w:rsidP="0070035F">
      <w:r>
        <w:lastRenderedPageBreak/>
        <w:t>In closing, the current s</w:t>
      </w:r>
      <w:r w:rsidR="007B6A88">
        <w:t>tudy found that a teaching programme</w:t>
      </w:r>
      <w:r>
        <w:t xml:space="preserve"> which used a variety of methods designed to overcome the common m</w:t>
      </w:r>
      <w:r w:rsidR="007B6A88">
        <w:t>isconceptions that students demonstrated</w:t>
      </w:r>
      <w:r>
        <w:t xml:space="preserve"> in working with fractions was, on </w:t>
      </w:r>
      <w:r w:rsidR="007B6A88">
        <w:t>the whole successful in achieving these aims</w:t>
      </w:r>
      <w:r>
        <w:t>. However, it is felt that in future the assessment tool should be modified to include a wider variety of question types, and also opportunities to acquire verbal feedback from students relating to the</w:t>
      </w:r>
      <w:r w:rsidR="007B6A88">
        <w:t>ir solutions or way of thinking</w:t>
      </w:r>
      <w:r>
        <w:t xml:space="preserve"> should be included</w:t>
      </w:r>
      <w:r w:rsidR="007B6A88">
        <w:t xml:space="preserve"> in the assessment</w:t>
      </w:r>
      <w:r>
        <w:t xml:space="preserve">. This may provide valuable information that would enable the teacher to more fully understand pupils’ level of understanding and the nature of any difficulties they might have. As previously mentioned, despite the shortcoming of this current study, </w:t>
      </w:r>
      <w:r w:rsidR="001D1883">
        <w:t xml:space="preserve">it is felt that </w:t>
      </w:r>
      <w:r>
        <w:t>action-research methods of this type provide</w:t>
      </w:r>
      <w:r w:rsidR="001D1883">
        <w:t>s</w:t>
      </w:r>
      <w:r>
        <w:t xml:space="preserve"> a useful source of feedback</w:t>
      </w:r>
      <w:r w:rsidR="007B6A88">
        <w:t xml:space="preserve"> that enables the teacher to </w:t>
      </w:r>
      <w:r>
        <w:t xml:space="preserve">tailor </w:t>
      </w:r>
      <w:r w:rsidR="007B6A88">
        <w:t xml:space="preserve">his/her </w:t>
      </w:r>
      <w:r>
        <w:t xml:space="preserve">future teaching methods to the needs of the student.  </w:t>
      </w:r>
    </w:p>
    <w:p w:rsidR="007B6A88" w:rsidRDefault="007B6A88" w:rsidP="0070035F">
      <w:pPr>
        <w:rPr>
          <w:b/>
          <w:sz w:val="28"/>
          <w:szCs w:val="28"/>
        </w:rPr>
      </w:pPr>
    </w:p>
    <w:p w:rsidR="0070035F" w:rsidRPr="00CF715A" w:rsidRDefault="0070035F" w:rsidP="0070035F">
      <w:pPr>
        <w:rPr>
          <w:b/>
          <w:sz w:val="28"/>
          <w:szCs w:val="28"/>
        </w:rPr>
      </w:pPr>
      <w:r w:rsidRPr="00CF715A">
        <w:rPr>
          <w:b/>
          <w:sz w:val="28"/>
          <w:szCs w:val="28"/>
        </w:rPr>
        <w:t xml:space="preserve">References </w:t>
      </w:r>
    </w:p>
    <w:p w:rsidR="0070035F" w:rsidRDefault="0070035F" w:rsidP="0070035F">
      <w:proofErr w:type="spellStart"/>
      <w:r>
        <w:t>Aksoy</w:t>
      </w:r>
      <w:proofErr w:type="spellEnd"/>
      <w:r>
        <w:t xml:space="preserve">, N. C., </w:t>
      </w:r>
      <w:proofErr w:type="spellStart"/>
      <w:r>
        <w:t>Yazlik</w:t>
      </w:r>
      <w:proofErr w:type="spellEnd"/>
      <w:r>
        <w:t xml:space="preserve">, D. O. (2017). Student Errors in Fractions and Possible Causes of These Errors. </w:t>
      </w:r>
      <w:r w:rsidRPr="00740BA1">
        <w:rPr>
          <w:i/>
        </w:rPr>
        <w:t>Journal of Education and Training Studies</w:t>
      </w:r>
      <w:r>
        <w:t>. 5(11), 219-233.</w:t>
      </w:r>
    </w:p>
    <w:p w:rsidR="0070035F" w:rsidRDefault="0070035F" w:rsidP="0070035F">
      <w:proofErr w:type="spellStart"/>
      <w:r w:rsidRPr="00FE2683">
        <w:t>Aksu</w:t>
      </w:r>
      <w:proofErr w:type="spellEnd"/>
      <w:r w:rsidRPr="00FE2683">
        <w:t xml:space="preserve">, M. (1997). </w:t>
      </w:r>
      <w:proofErr w:type="gramStart"/>
      <w:r w:rsidRPr="00FE2683">
        <w:t>Students</w:t>
      </w:r>
      <w:proofErr w:type="gramEnd"/>
      <w:r w:rsidRPr="00FE2683">
        <w:t xml:space="preserve"> performance dealing with fractions. </w:t>
      </w:r>
      <w:r w:rsidRPr="00FE2683">
        <w:rPr>
          <w:i/>
        </w:rPr>
        <w:t>The Journal of Educational Research</w:t>
      </w:r>
      <w:r w:rsidRPr="00FE2683">
        <w:t xml:space="preserve">, 90(6), 375-380. </w:t>
      </w:r>
    </w:p>
    <w:p w:rsidR="0070035F" w:rsidRDefault="0070035F" w:rsidP="0070035F">
      <w:proofErr w:type="spellStart"/>
      <w:r w:rsidRPr="002F4BB4">
        <w:t>Baroody</w:t>
      </w:r>
      <w:proofErr w:type="spellEnd"/>
      <w:r w:rsidRPr="002F4BB4">
        <w:t xml:space="preserve">, A. J., &amp; </w:t>
      </w:r>
      <w:proofErr w:type="spellStart"/>
      <w:r w:rsidRPr="002F4BB4">
        <w:t>Dowker</w:t>
      </w:r>
      <w:proofErr w:type="spellEnd"/>
      <w:r w:rsidRPr="002F4BB4">
        <w:t>, A. (2003). The development of arithmetic concepts and skills: Constructing adaptive expertise. Mahwah, NJ: Erlbaum.</w:t>
      </w:r>
    </w:p>
    <w:p w:rsidR="0070035F" w:rsidRDefault="0070035F" w:rsidP="0070035F">
      <w:proofErr w:type="spellStart"/>
      <w:r w:rsidRPr="00330ED0">
        <w:t>Baki</w:t>
      </w:r>
      <w:proofErr w:type="spellEnd"/>
      <w:r w:rsidRPr="00330ED0">
        <w:t xml:space="preserve">, A. (2008). Mathematics Education from the Theory to Practice. Ankara: </w:t>
      </w:r>
      <w:proofErr w:type="spellStart"/>
      <w:r w:rsidRPr="00330ED0">
        <w:t>Harf</w:t>
      </w:r>
      <w:proofErr w:type="spellEnd"/>
      <w:r w:rsidRPr="00330ED0">
        <w:t xml:space="preserve"> </w:t>
      </w:r>
      <w:proofErr w:type="spellStart"/>
      <w:r w:rsidRPr="00330ED0">
        <w:t>Eğitim</w:t>
      </w:r>
      <w:proofErr w:type="spellEnd"/>
      <w:r w:rsidRPr="00330ED0">
        <w:t xml:space="preserve"> Publishing.</w:t>
      </w:r>
    </w:p>
    <w:p w:rsidR="0070035F" w:rsidRDefault="0070035F" w:rsidP="0070035F">
      <w:proofErr w:type="spellStart"/>
      <w:r w:rsidRPr="00976E8A">
        <w:t>Bezuk</w:t>
      </w:r>
      <w:proofErr w:type="spellEnd"/>
      <w:r w:rsidRPr="00976E8A">
        <w:t xml:space="preserve">, N., &amp; Cramer, K. (1989). ‘Teaching About Fractions: What, When, and How?’ National Council of Teachers of Mathematics 1989 Yearbook: New Directions </w:t>
      </w:r>
      <w:proofErr w:type="gramStart"/>
      <w:r w:rsidRPr="00976E8A">
        <w:t>For</w:t>
      </w:r>
      <w:proofErr w:type="gramEnd"/>
      <w:r w:rsidRPr="00976E8A">
        <w:t xml:space="preserve"> Elementary </w:t>
      </w:r>
      <w:r>
        <w:t>School Mathematics. pp. 156-167.</w:t>
      </w:r>
    </w:p>
    <w:p w:rsidR="0070035F" w:rsidRDefault="0070035F" w:rsidP="0070035F">
      <w:proofErr w:type="spellStart"/>
      <w:r w:rsidRPr="00587261">
        <w:t>Catrambone</w:t>
      </w:r>
      <w:proofErr w:type="spellEnd"/>
      <w:r w:rsidRPr="00587261">
        <w:t xml:space="preserve">, R., &amp; </w:t>
      </w:r>
      <w:proofErr w:type="spellStart"/>
      <w:r w:rsidRPr="00587261">
        <w:t>Holyoak</w:t>
      </w:r>
      <w:proofErr w:type="spellEnd"/>
      <w:r w:rsidRPr="00587261">
        <w:t>, K. J. (1989). Overcoming contextual limitations on problem-solving transfer. Journal of Experimental Psychology: Learning, Memory, and Cognition, 15, 1147–1156.</w:t>
      </w:r>
    </w:p>
    <w:p w:rsidR="0070035F" w:rsidRDefault="0070035F" w:rsidP="0070035F">
      <w:pPr>
        <w:tabs>
          <w:tab w:val="left" w:pos="1545"/>
        </w:tabs>
      </w:pPr>
      <w:r>
        <w:t xml:space="preserve">Chambers, P. and </w:t>
      </w:r>
      <w:proofErr w:type="spellStart"/>
      <w:r>
        <w:t>Timlin</w:t>
      </w:r>
      <w:proofErr w:type="spellEnd"/>
      <w:r>
        <w:t xml:space="preserve">, R. (2013) </w:t>
      </w:r>
      <w:r>
        <w:rPr>
          <w:i/>
        </w:rPr>
        <w:t>Teaching Mathematics in the Secondary School.</w:t>
      </w:r>
      <w:r>
        <w:t xml:space="preserve"> London: SAGE Publications Ltd.</w:t>
      </w:r>
    </w:p>
    <w:p w:rsidR="0070035F" w:rsidRDefault="0070035F" w:rsidP="0070035F">
      <w:r w:rsidRPr="00C067C3">
        <w:t xml:space="preserve">Chan, W. H., </w:t>
      </w:r>
      <w:proofErr w:type="spellStart"/>
      <w:r w:rsidRPr="00C067C3">
        <w:t>Leu</w:t>
      </w:r>
      <w:proofErr w:type="spellEnd"/>
      <w:r w:rsidRPr="00C067C3">
        <w:t>, Y. C., &amp; Chen, C. M. (2007). Exploring group-wise conceptual deficiencies of fractions for fifth and sixth graders in Taiwan. The Journal of Experimental Education, 76(1), 26-57.</w:t>
      </w:r>
    </w:p>
    <w:p w:rsidR="0070035F" w:rsidRDefault="0070035F" w:rsidP="0070035F">
      <w:r w:rsidRPr="002F4BB4">
        <w:t xml:space="preserve">Chi, M. T. H., </w:t>
      </w:r>
      <w:proofErr w:type="spellStart"/>
      <w:r w:rsidRPr="002F4BB4">
        <w:t>Feltovich</w:t>
      </w:r>
      <w:proofErr w:type="spellEnd"/>
      <w:r w:rsidRPr="002F4BB4">
        <w:t>, P. J., &amp; Glaser, R. (1981). Categorization and representation of physics problems by experts and novices. Cognitive Science, 5, 121–152.</w:t>
      </w:r>
    </w:p>
    <w:p w:rsidR="0070035F" w:rsidRDefault="0070035F" w:rsidP="0070035F">
      <w:r w:rsidRPr="00976E8A">
        <w:t xml:space="preserve">Cramer, K. &amp; </w:t>
      </w:r>
      <w:proofErr w:type="spellStart"/>
      <w:r w:rsidRPr="00976E8A">
        <w:t>Wyberg</w:t>
      </w:r>
      <w:proofErr w:type="spellEnd"/>
      <w:r w:rsidRPr="00976E8A">
        <w:t>, T. (2009)–</w:t>
      </w:r>
      <w:proofErr w:type="gramStart"/>
      <w:r w:rsidRPr="00976E8A">
        <w:t>‘ ‘0</w:t>
      </w:r>
      <w:proofErr w:type="gramEnd"/>
      <w:r w:rsidRPr="00976E8A">
        <w:t xml:space="preserve"> Efficacy of Different Concrete Models for Teaching the </w:t>
      </w:r>
      <w:proofErr w:type="spellStart"/>
      <w:r w:rsidRPr="00976E8A">
        <w:t>Partwhole</w:t>
      </w:r>
      <w:proofErr w:type="spellEnd"/>
      <w:r w:rsidRPr="00976E8A">
        <w:t xml:space="preserve"> Construct if Fractions’ Mathematical Thinking &amp; Learning. 11 (4), pp226-257</w:t>
      </w:r>
      <w:r>
        <w:t>.</w:t>
      </w:r>
    </w:p>
    <w:p w:rsidR="0070035F" w:rsidRDefault="0070035F" w:rsidP="0070035F">
      <w:r>
        <w:t xml:space="preserve">Dickson, L., Brown, M., &amp; Gibson, O. (1984). </w:t>
      </w:r>
      <w:r w:rsidRPr="007C025E">
        <w:rPr>
          <w:i/>
        </w:rPr>
        <w:t>Children Learning Mathematics: A Teacher’s Guide to Recent Research</w:t>
      </w:r>
      <w:r>
        <w:t xml:space="preserve">. The Alden Press Ltd, Oxford. </w:t>
      </w:r>
    </w:p>
    <w:p w:rsidR="0070035F" w:rsidRDefault="0070035F" w:rsidP="0070035F">
      <w:proofErr w:type="spellStart"/>
      <w:r w:rsidRPr="00587261">
        <w:t>Gentner</w:t>
      </w:r>
      <w:proofErr w:type="spellEnd"/>
      <w:r w:rsidRPr="00587261">
        <w:t>, D. (1983). Structure-mapping: A theoretical framework for analogy. Cognitive Science, 7, 155–170.</w:t>
      </w:r>
    </w:p>
    <w:p w:rsidR="0070035F" w:rsidRDefault="0070035F" w:rsidP="0070035F">
      <w:proofErr w:type="spellStart"/>
      <w:r w:rsidRPr="00587261">
        <w:t>Gick</w:t>
      </w:r>
      <w:proofErr w:type="spellEnd"/>
      <w:r w:rsidRPr="00587261">
        <w:t xml:space="preserve">, M. L., &amp; </w:t>
      </w:r>
      <w:proofErr w:type="spellStart"/>
      <w:r w:rsidRPr="00587261">
        <w:t>Holyoak</w:t>
      </w:r>
      <w:proofErr w:type="spellEnd"/>
      <w:r w:rsidRPr="00587261">
        <w:t xml:space="preserve">, K. J. (1980). Analogical problem solving. Cognitive Psychology, 12, 306–355. </w:t>
      </w:r>
    </w:p>
    <w:p w:rsidR="0070035F" w:rsidRDefault="0070035F" w:rsidP="0070035F">
      <w:proofErr w:type="spellStart"/>
      <w:r w:rsidRPr="00587261">
        <w:lastRenderedPageBreak/>
        <w:t>Gick</w:t>
      </w:r>
      <w:proofErr w:type="spellEnd"/>
      <w:r w:rsidRPr="00587261">
        <w:t xml:space="preserve">, M. L., &amp; </w:t>
      </w:r>
      <w:proofErr w:type="spellStart"/>
      <w:r w:rsidRPr="00587261">
        <w:t>Holyoak</w:t>
      </w:r>
      <w:proofErr w:type="spellEnd"/>
      <w:r w:rsidRPr="00587261">
        <w:t>, K. J. (1987). The cognitive basis of knowledge transfer. In S. M. Cormier &amp; J. D. Hagman (Eds.), Transfer of learning: Contemporary research and applications (pp. 9–46). Orlando, FL: Academic Press</w:t>
      </w:r>
      <w:r>
        <w:t>.</w:t>
      </w:r>
    </w:p>
    <w:p w:rsidR="0070035F" w:rsidRDefault="0070035F" w:rsidP="0070035F">
      <w:r>
        <w:t xml:space="preserve">Hart, K (Ed) (1981). </w:t>
      </w:r>
      <w:r w:rsidRPr="000A2EFA">
        <w:rPr>
          <w:i/>
        </w:rPr>
        <w:t>Children’s Understanding of Mathematics</w:t>
      </w:r>
      <w:r>
        <w:t xml:space="preserve">: 11-16. London: John Murray. </w:t>
      </w:r>
    </w:p>
    <w:p w:rsidR="0070035F" w:rsidRDefault="0070035F" w:rsidP="0070035F">
      <w:r>
        <w:t xml:space="preserve">Hart, K., Johnson, D. C., Brown, M., Dickson, L., &amp; Clarkson. R. (1989). </w:t>
      </w:r>
      <w:r w:rsidRPr="00CB0506">
        <w:rPr>
          <w:i/>
        </w:rPr>
        <w:t>Children’s Mathematical Frameworks 8-13: A Study of Classroom Teaching</w:t>
      </w:r>
      <w:r>
        <w:t xml:space="preserve">. The NFER-NELSON Publishing Company Ltd, Oxford. </w:t>
      </w:r>
    </w:p>
    <w:p w:rsidR="0070035F" w:rsidRDefault="0070035F" w:rsidP="0070035F">
      <w:r w:rsidRPr="004C4932">
        <w:t xml:space="preserve">Hecht, S. A., &amp; </w:t>
      </w:r>
      <w:proofErr w:type="spellStart"/>
      <w:r w:rsidRPr="004C4932">
        <w:t>Vagi</w:t>
      </w:r>
      <w:proofErr w:type="spellEnd"/>
      <w:r w:rsidRPr="004C4932">
        <w:t xml:space="preserve">, K. J. (2011). Patterns of strengths and weaknesses in children’s knowledge about fractions. </w:t>
      </w:r>
      <w:r w:rsidRPr="009D6D3C">
        <w:rPr>
          <w:i/>
        </w:rPr>
        <w:t>Journal of Experimental Child Psychology</w:t>
      </w:r>
      <w:r>
        <w:t xml:space="preserve">, 111, 212–229. </w:t>
      </w:r>
    </w:p>
    <w:p w:rsidR="0070035F" w:rsidRDefault="0070035F" w:rsidP="0070035F">
      <w:proofErr w:type="spellStart"/>
      <w:r w:rsidRPr="00EF26E6">
        <w:t>Hiebert</w:t>
      </w:r>
      <w:proofErr w:type="spellEnd"/>
      <w:r w:rsidRPr="00EF26E6">
        <w:t xml:space="preserve">, J., &amp; </w:t>
      </w:r>
      <w:proofErr w:type="spellStart"/>
      <w:r w:rsidRPr="00EF26E6">
        <w:t>Lefevre</w:t>
      </w:r>
      <w:proofErr w:type="spellEnd"/>
      <w:r w:rsidRPr="00EF26E6">
        <w:t xml:space="preserve">, P. (1986). Conceptual and procedural knowledge in mathematics: An introductory analysis. In J. </w:t>
      </w:r>
      <w:proofErr w:type="spellStart"/>
      <w:r w:rsidRPr="00EF26E6">
        <w:t>Hiebert</w:t>
      </w:r>
      <w:proofErr w:type="spellEnd"/>
      <w:r w:rsidRPr="00EF26E6">
        <w:t xml:space="preserve"> (Ed.), Conceptual and procedural knowledge: The case of mathematics (pp. 1–27). Hillsdale, NJ: Erlbaum</w:t>
      </w:r>
      <w:r>
        <w:t>.</w:t>
      </w:r>
    </w:p>
    <w:p w:rsidR="0070035F" w:rsidRDefault="0070035F" w:rsidP="0070035F">
      <w:proofErr w:type="spellStart"/>
      <w:r w:rsidRPr="0088405B">
        <w:t>Isik</w:t>
      </w:r>
      <w:proofErr w:type="spellEnd"/>
      <w:r w:rsidRPr="0088405B">
        <w:t xml:space="preserve">, C., &amp; </w:t>
      </w:r>
      <w:proofErr w:type="spellStart"/>
      <w:r w:rsidRPr="0088405B">
        <w:t>Kar</w:t>
      </w:r>
      <w:proofErr w:type="spellEnd"/>
      <w:r w:rsidRPr="0088405B">
        <w:t xml:space="preserve">, T. (2012). </w:t>
      </w:r>
      <w:proofErr w:type="spellStart"/>
      <w:r w:rsidRPr="0088405B">
        <w:t>Analyzing</w:t>
      </w:r>
      <w:proofErr w:type="spellEnd"/>
      <w:r w:rsidRPr="0088405B">
        <w:t xml:space="preserve"> problems posed by 7th grade students for addition operation with fractions. Elementary Education Online, 11(4), 1021-1035</w:t>
      </w:r>
      <w:r>
        <w:t>.</w:t>
      </w:r>
    </w:p>
    <w:p w:rsidR="0070035F" w:rsidRDefault="0070035F" w:rsidP="0070035F">
      <w:r w:rsidRPr="00503C1F">
        <w:t>Lamon, S, J. (2005) Teaching Fractions and Ratios for Understanding. 2nd Edition New Jersey: Lawrence Erlbaum Associates, Inc</w:t>
      </w:r>
      <w:r>
        <w:t>.</w:t>
      </w:r>
    </w:p>
    <w:p w:rsidR="0070035F" w:rsidRDefault="0070035F" w:rsidP="0070035F">
      <w:r w:rsidRPr="00503C1F">
        <w:t xml:space="preserve">Lee, H.J. &amp; </w:t>
      </w:r>
      <w:proofErr w:type="spellStart"/>
      <w:r w:rsidRPr="00503C1F">
        <w:t>Boyadzhiev</w:t>
      </w:r>
      <w:proofErr w:type="spellEnd"/>
      <w:r w:rsidRPr="00503C1F">
        <w:t xml:space="preserve">, I. (2013). Challenging Common Misconceptions of Fractions through </w:t>
      </w:r>
      <w:proofErr w:type="spellStart"/>
      <w:r w:rsidRPr="00503C1F">
        <w:t>GeoGebra</w:t>
      </w:r>
      <w:proofErr w:type="spellEnd"/>
      <w:r w:rsidRPr="00503C1F">
        <w:t xml:space="preserve">. In R. McBride &amp; M. </w:t>
      </w:r>
      <w:proofErr w:type="spellStart"/>
      <w:r w:rsidRPr="00503C1F">
        <w:t>Searson</w:t>
      </w:r>
      <w:proofErr w:type="spellEnd"/>
      <w:r w:rsidRPr="00503C1F">
        <w:t xml:space="preserve"> (Eds.), Proceedings of Society for Information Technology &amp; Teacher Education International Conference 2013 (pp. 2893-2898). Chesapeake, VA: AACE.</w:t>
      </w:r>
    </w:p>
    <w:p w:rsidR="0070035F" w:rsidRDefault="0070035F" w:rsidP="0070035F">
      <w:r w:rsidRPr="00976E8A">
        <w:t>McNamara, Julie C., and Shaughnessy, Megan M. 2010. Beyond pizzas &amp; pies: Ten essential strategies for supporting fraction sense (Grades 3-5). Sausalito, CA: Math Solutions.</w:t>
      </w:r>
    </w:p>
    <w:p w:rsidR="0070035F" w:rsidRDefault="0070035F" w:rsidP="0070035F">
      <w:proofErr w:type="spellStart"/>
      <w:r w:rsidRPr="002F4BB4">
        <w:t>Novick</w:t>
      </w:r>
      <w:proofErr w:type="spellEnd"/>
      <w:r w:rsidRPr="002F4BB4">
        <w:t>, L. R. (1988). Analogical transfer, problem similarity, and expertise. Journal of Experimental Psychology, 14, 510–520.</w:t>
      </w:r>
    </w:p>
    <w:p w:rsidR="0070035F" w:rsidRDefault="0070035F" w:rsidP="0070035F">
      <w:proofErr w:type="spellStart"/>
      <w:r w:rsidRPr="005137F0">
        <w:t>Pesen</w:t>
      </w:r>
      <w:proofErr w:type="spellEnd"/>
      <w:r w:rsidRPr="005137F0">
        <w:t>, C. (2007). Students’ misconceptions about fractions. Education and Science, 32(143), 79-88.</w:t>
      </w:r>
    </w:p>
    <w:p w:rsidR="0070035F" w:rsidRDefault="0070035F" w:rsidP="0070035F">
      <w:r>
        <w:t xml:space="preserve">Peterson, A., Dumont, H., </w:t>
      </w:r>
      <w:proofErr w:type="spellStart"/>
      <w:r>
        <w:t>Lafuente</w:t>
      </w:r>
      <w:proofErr w:type="spellEnd"/>
      <w:r>
        <w:t xml:space="preserve">, M., &amp; Law, N. (2018) </w:t>
      </w:r>
      <w:r w:rsidRPr="00EF784C">
        <w:rPr>
          <w:i/>
        </w:rPr>
        <w:t>Understanding innovative pedagogies: Key themes to analyse new approaches to teaching and learning</w:t>
      </w:r>
      <w:r w:rsidRPr="00EF784C">
        <w:t xml:space="preserve">, OECD Education Working Papers, No. 172, OECD Publishing, Paris. </w:t>
      </w:r>
      <w:hyperlink r:id="rId15" w:history="1">
        <w:r w:rsidRPr="008175E2">
          <w:rPr>
            <w:rStyle w:val="Hyperlink"/>
            <w:rFonts w:cstheme="minorBidi"/>
          </w:rPr>
          <w:t>http://dx.doi.org/10.1787/9f843a6e-en</w:t>
        </w:r>
      </w:hyperlink>
    </w:p>
    <w:p w:rsidR="0070035F" w:rsidRDefault="0070035F" w:rsidP="0070035F">
      <w:r>
        <w:t xml:space="preserve">Piaget, J. (1980b) ‘The psychogenesis of knowledge and epistemological significance’, in M. </w:t>
      </w:r>
      <w:proofErr w:type="spellStart"/>
      <w:r>
        <w:t>Piatelli-Palmarini</w:t>
      </w:r>
      <w:proofErr w:type="spellEnd"/>
      <w:r>
        <w:t xml:space="preserve"> (ed</w:t>
      </w:r>
      <w:r w:rsidRPr="00A53325">
        <w:rPr>
          <w:i/>
        </w:rPr>
        <w:t xml:space="preserve">.) Language and Learning: The Debate </w:t>
      </w:r>
      <w:proofErr w:type="gramStart"/>
      <w:r w:rsidRPr="00A53325">
        <w:rPr>
          <w:i/>
        </w:rPr>
        <w:t>Between</w:t>
      </w:r>
      <w:proofErr w:type="gramEnd"/>
      <w:r w:rsidRPr="00A53325">
        <w:rPr>
          <w:i/>
        </w:rPr>
        <w:t xml:space="preserve"> Jean Piaget and Noam Chomsky</w:t>
      </w:r>
      <w:r>
        <w:t xml:space="preserve">, pp. 23-34, London: Routledge &amp; Kegan Paul.  </w:t>
      </w:r>
    </w:p>
    <w:p w:rsidR="0070035F" w:rsidRDefault="0070035F" w:rsidP="0070035F">
      <w:proofErr w:type="spellStart"/>
      <w:r w:rsidRPr="00C310F7">
        <w:t>Rittle</w:t>
      </w:r>
      <w:proofErr w:type="spellEnd"/>
      <w:r w:rsidRPr="00C310F7">
        <w:t xml:space="preserve">-Johnson, B., </w:t>
      </w:r>
      <w:proofErr w:type="spellStart"/>
      <w:r w:rsidRPr="00C310F7">
        <w:t>Siegler</w:t>
      </w:r>
      <w:proofErr w:type="spellEnd"/>
      <w:r w:rsidRPr="00C310F7">
        <w:t xml:space="preserve">, R. S., &amp; </w:t>
      </w:r>
      <w:proofErr w:type="spellStart"/>
      <w:r w:rsidRPr="00C310F7">
        <w:t>Alibali</w:t>
      </w:r>
      <w:proofErr w:type="spellEnd"/>
      <w:r w:rsidRPr="00C310F7">
        <w:t xml:space="preserve">, M. W. (2001). Developing conceptual understanding and procedural skill in mathematics: An iterative process. </w:t>
      </w:r>
      <w:r w:rsidRPr="009D6D3C">
        <w:rPr>
          <w:i/>
        </w:rPr>
        <w:t>Journal of Educational Psychology</w:t>
      </w:r>
      <w:r w:rsidRPr="00C310F7">
        <w:t>, 93, 346–362</w:t>
      </w:r>
      <w:r>
        <w:t>.</w:t>
      </w:r>
    </w:p>
    <w:p w:rsidR="0070035F" w:rsidRDefault="0070035F" w:rsidP="0070035F">
      <w:r>
        <w:t xml:space="preserve">Ryan, J. &amp; Williams, J. (2007). </w:t>
      </w:r>
      <w:r w:rsidRPr="00400C9B">
        <w:rPr>
          <w:i/>
        </w:rPr>
        <w:t>Children’s Mathematics 4-15. Learning from Errors and Misconceptions</w:t>
      </w:r>
      <w:r>
        <w:t xml:space="preserve">. Open University Press. </w:t>
      </w:r>
    </w:p>
    <w:p w:rsidR="0070035F" w:rsidRDefault="0070035F" w:rsidP="0070035F">
      <w:proofErr w:type="spellStart"/>
      <w:r w:rsidRPr="003C3CD0">
        <w:t>Siap</w:t>
      </w:r>
      <w:proofErr w:type="spellEnd"/>
      <w:r w:rsidRPr="003C3CD0">
        <w:t xml:space="preserve">, I., &amp; </w:t>
      </w:r>
      <w:proofErr w:type="spellStart"/>
      <w:r w:rsidRPr="003C3CD0">
        <w:t>Duru</w:t>
      </w:r>
      <w:proofErr w:type="spellEnd"/>
      <w:r w:rsidRPr="003C3CD0">
        <w:t xml:space="preserve">, A. (2004). The Ability to Use Geometrical Models in Fractions. </w:t>
      </w:r>
      <w:proofErr w:type="spellStart"/>
      <w:r w:rsidRPr="003C3CD0">
        <w:t>Gazi</w:t>
      </w:r>
      <w:proofErr w:type="spellEnd"/>
      <w:r w:rsidRPr="003C3CD0">
        <w:t xml:space="preserve"> University </w:t>
      </w:r>
      <w:proofErr w:type="spellStart"/>
      <w:r w:rsidRPr="003C3CD0">
        <w:t>Kastamonu</w:t>
      </w:r>
      <w:proofErr w:type="spellEnd"/>
      <w:r w:rsidRPr="003C3CD0">
        <w:t xml:space="preserve"> Education Journal, 12(1), 89-96.</w:t>
      </w:r>
    </w:p>
    <w:p w:rsidR="0070035F" w:rsidRDefault="0070035F" w:rsidP="0070035F">
      <w:r>
        <w:t xml:space="preserve">Sidney, P. G., &amp; </w:t>
      </w:r>
      <w:proofErr w:type="spellStart"/>
      <w:r>
        <w:t>Alibali</w:t>
      </w:r>
      <w:proofErr w:type="spellEnd"/>
      <w:r>
        <w:t xml:space="preserve">, M. W. (2015). Making Connections in Math: Activating a Prior Knowledge Analogue Matters for Learning. </w:t>
      </w:r>
      <w:r w:rsidRPr="00587261">
        <w:rPr>
          <w:i/>
        </w:rPr>
        <w:t>Jou</w:t>
      </w:r>
      <w:r>
        <w:rPr>
          <w:i/>
        </w:rPr>
        <w:t>r</w:t>
      </w:r>
      <w:r w:rsidRPr="00587261">
        <w:rPr>
          <w:i/>
        </w:rPr>
        <w:t>nal of Cognition and Development</w:t>
      </w:r>
      <w:r>
        <w:t xml:space="preserve">, 16(1):160-185. </w:t>
      </w:r>
    </w:p>
    <w:p w:rsidR="0070035F" w:rsidRDefault="0070035F" w:rsidP="0070035F">
      <w:proofErr w:type="spellStart"/>
      <w:r>
        <w:lastRenderedPageBreak/>
        <w:t>Skemp</w:t>
      </w:r>
      <w:proofErr w:type="spellEnd"/>
      <w:r>
        <w:t xml:space="preserve">, R. R. (1976). Relational Understanding and Instrumental Understanding. </w:t>
      </w:r>
      <w:r w:rsidRPr="00CB0506">
        <w:rPr>
          <w:i/>
        </w:rPr>
        <w:t>Mathematics Teaching</w:t>
      </w:r>
      <w:r>
        <w:t>, 77, 20-26.</w:t>
      </w:r>
    </w:p>
    <w:p w:rsidR="0070035F" w:rsidRDefault="0070035F" w:rsidP="0070035F">
      <w:pPr>
        <w:spacing w:line="240" w:lineRule="auto"/>
      </w:pPr>
      <w:r>
        <w:t xml:space="preserve">Vygotsky, L. (1987) </w:t>
      </w:r>
      <w:proofErr w:type="gramStart"/>
      <w:r w:rsidRPr="0029565A">
        <w:rPr>
          <w:i/>
        </w:rPr>
        <w:t>The</w:t>
      </w:r>
      <w:proofErr w:type="gramEnd"/>
      <w:r w:rsidRPr="0029565A">
        <w:rPr>
          <w:i/>
        </w:rPr>
        <w:t xml:space="preserve"> Collected Works of L.S. Vygotsky Volume 1: Problems of General Psychology</w:t>
      </w:r>
      <w:r>
        <w:t xml:space="preserve">. New York: Plenum Press. </w:t>
      </w:r>
    </w:p>
    <w:p w:rsidR="0070035F" w:rsidRDefault="0070035F" w:rsidP="0070035F">
      <w:proofErr w:type="spellStart"/>
      <w:r w:rsidRPr="0088405B">
        <w:t>Yenilmez</w:t>
      </w:r>
      <w:proofErr w:type="spellEnd"/>
      <w:r w:rsidRPr="0088405B">
        <w:t xml:space="preserve">, K., &amp; </w:t>
      </w:r>
      <w:proofErr w:type="spellStart"/>
      <w:r w:rsidRPr="0088405B">
        <w:t>Yasa</w:t>
      </w:r>
      <w:proofErr w:type="spellEnd"/>
      <w:r w:rsidRPr="0088405B">
        <w:t xml:space="preserve">, E. (2008). Primary school students’ misconceptions about geometry. Journal of </w:t>
      </w:r>
      <w:proofErr w:type="spellStart"/>
      <w:r w:rsidRPr="0088405B">
        <w:t>Uludag</w:t>
      </w:r>
      <w:proofErr w:type="spellEnd"/>
      <w:r w:rsidRPr="0088405B">
        <w:t xml:space="preserve"> University Education Faculty, 21(2), 461-483.</w:t>
      </w:r>
    </w:p>
    <w:p w:rsidR="006E3B3A" w:rsidRDefault="006E3B3A"/>
    <w:p w:rsidR="0070035F" w:rsidRDefault="0070035F"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Default="006E3B3A" w:rsidP="006E3B3A"/>
    <w:p w:rsidR="006E3B3A" w:rsidRPr="006E3B3A" w:rsidRDefault="006E3B3A" w:rsidP="006E3B3A">
      <w:pPr>
        <w:jc w:val="center"/>
        <w:rPr>
          <w:rFonts w:cstheme="minorHAnsi"/>
          <w:b/>
          <w:sz w:val="24"/>
          <w:szCs w:val="24"/>
          <w:u w:val="single"/>
        </w:rPr>
      </w:pPr>
      <w:r w:rsidRPr="006E3B3A">
        <w:rPr>
          <w:rFonts w:cstheme="minorHAnsi"/>
          <w:b/>
          <w:sz w:val="24"/>
          <w:szCs w:val="24"/>
          <w:u w:val="single"/>
        </w:rPr>
        <w:lastRenderedPageBreak/>
        <w:t>Appendix 1 – pre/post-test</w:t>
      </w:r>
      <w:bookmarkStart w:id="0" w:name="_GoBack"/>
      <w:bookmarkEnd w:id="0"/>
    </w:p>
    <w:p w:rsidR="006E3B3A" w:rsidRDefault="006E3B3A" w:rsidP="006E3B3A">
      <w:pPr>
        <w:rPr>
          <w:rFonts w:ascii="Comic Sans MS" w:hAnsi="Comic Sans MS"/>
        </w:rPr>
      </w:pPr>
      <w:proofErr w:type="spellStart"/>
      <w:r w:rsidRPr="001B0287">
        <w:rPr>
          <w:rFonts w:ascii="Comic Sans MS" w:hAnsi="Comic Sans MS"/>
        </w:rPr>
        <w:t>Enw</w:t>
      </w:r>
      <w:proofErr w:type="spellEnd"/>
      <w:r w:rsidRPr="001B0287">
        <w:rPr>
          <w:rFonts w:ascii="Comic Sans MS" w:hAnsi="Comic Sans MS"/>
        </w:rPr>
        <w:t xml:space="preserve">: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proofErr w:type="spellStart"/>
      <w:r>
        <w:rPr>
          <w:rFonts w:ascii="Comic Sans MS" w:hAnsi="Comic Sans MS"/>
        </w:rPr>
        <w:t>Dyddiad</w:t>
      </w:r>
      <w:proofErr w:type="spellEnd"/>
      <w:r>
        <w:rPr>
          <w:rFonts w:ascii="Comic Sans MS" w:hAnsi="Comic Sans MS"/>
        </w:rPr>
        <w:t>:</w:t>
      </w:r>
    </w:p>
    <w:p w:rsidR="006E3B3A" w:rsidRDefault="006E3B3A" w:rsidP="006E3B3A">
      <w:pPr>
        <w:rPr>
          <w:rFonts w:ascii="Comic Sans MS" w:hAnsi="Comic Sans MS"/>
        </w:rPr>
      </w:pPr>
    </w:p>
    <w:p w:rsidR="006E3B3A" w:rsidRDefault="006E3B3A" w:rsidP="006E3B3A">
      <w:pPr>
        <w:jc w:val="center"/>
        <w:rPr>
          <w:rFonts w:ascii="Comic Sans MS" w:hAnsi="Comic Sans MS"/>
        </w:rPr>
      </w:pPr>
      <w:proofErr w:type="spellStart"/>
      <w:r>
        <w:rPr>
          <w:rFonts w:ascii="Comic Sans MS" w:hAnsi="Comic Sans MS"/>
        </w:rPr>
        <w:t>Cwestiynau</w:t>
      </w:r>
      <w:proofErr w:type="spellEnd"/>
      <w:r>
        <w:rPr>
          <w:rFonts w:ascii="Comic Sans MS" w:hAnsi="Comic Sans MS"/>
        </w:rPr>
        <w:t xml:space="preserve"> </w:t>
      </w:r>
      <w:proofErr w:type="spellStart"/>
      <w:r>
        <w:rPr>
          <w:rFonts w:ascii="Comic Sans MS" w:hAnsi="Comic Sans MS"/>
        </w:rPr>
        <w:t>amrhywiol</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ffracsiynau</w:t>
      </w:r>
      <w:proofErr w:type="spellEnd"/>
    </w:p>
    <w:p w:rsidR="006E3B3A" w:rsidRDefault="006E3B3A" w:rsidP="006E3B3A">
      <w:pPr>
        <w:rPr>
          <w:rFonts w:ascii="Comic Sans MS" w:hAnsi="Comic Sans MS"/>
        </w:rPr>
      </w:pPr>
    </w:p>
    <w:p w:rsidR="006E3B3A" w:rsidRDefault="006E3B3A" w:rsidP="006E3B3A">
      <w:pPr>
        <w:rPr>
          <w:rFonts w:ascii="Comic Sans MS" w:eastAsiaTheme="minorEastAsia" w:hAnsi="Comic Sans MS"/>
          <w:sz w:val="28"/>
          <w:szCs w:val="28"/>
        </w:rPr>
      </w:pPr>
      <w:r>
        <w:rPr>
          <w:rFonts w:ascii="Comic Sans MS" w:hAnsi="Comic Sans MS"/>
        </w:rPr>
        <w:t xml:space="preserve">1) </w:t>
      </w:r>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5</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10</m:t>
            </m:r>
          </m:den>
        </m:f>
        <m:r>
          <w:rPr>
            <w:rFonts w:ascii="Cambria Math" w:hAnsi="Cambria Math"/>
            <w:sz w:val="28"/>
            <w:szCs w:val="28"/>
          </w:rPr>
          <m:t>=</m:t>
        </m:r>
      </m:oMath>
    </w:p>
    <w:p w:rsidR="006E3B3A" w:rsidRDefault="006E3B3A" w:rsidP="006E3B3A">
      <w:pPr>
        <w:rPr>
          <w:rFonts w:ascii="Comic Sans MS" w:hAnsi="Comic Sans MS"/>
        </w:rPr>
      </w:pPr>
    </w:p>
    <w:p w:rsidR="006E3B3A" w:rsidRDefault="006E3B3A" w:rsidP="006E3B3A">
      <w:pPr>
        <w:rPr>
          <w:rFonts w:ascii="Comic Sans MS" w:hAnsi="Comic Sans MS"/>
        </w:rPr>
      </w:pPr>
    </w:p>
    <w:p w:rsidR="006E3B3A" w:rsidRDefault="006E3B3A" w:rsidP="006E3B3A">
      <w:pPr>
        <w:rPr>
          <w:rFonts w:ascii="Comic Sans MS" w:eastAsiaTheme="minorEastAsia" w:hAnsi="Comic Sans MS"/>
          <w:sz w:val="28"/>
          <w:szCs w:val="28"/>
        </w:rPr>
      </w:pPr>
      <w:r>
        <w:rPr>
          <w:rFonts w:ascii="Comic Sans MS" w:hAnsi="Comic Sans MS"/>
        </w:rPr>
        <w:t xml:space="preserve">2)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r>
          <w:rPr>
            <w:rFonts w:ascii="Cambria Math" w:hAnsi="Cambria Math"/>
            <w:sz w:val="28"/>
            <w:szCs w:val="28"/>
          </w:rPr>
          <m:t>=</m:t>
        </m:r>
      </m:oMath>
    </w:p>
    <w:p w:rsidR="006E3B3A" w:rsidRDefault="006E3B3A" w:rsidP="006E3B3A">
      <w:pPr>
        <w:rPr>
          <w:rFonts w:ascii="Comic Sans MS" w:eastAsiaTheme="minorEastAsia" w:hAnsi="Comic Sans MS"/>
          <w:sz w:val="28"/>
          <w:szCs w:val="28"/>
        </w:rPr>
      </w:pPr>
    </w:p>
    <w:p w:rsidR="006E3B3A" w:rsidRDefault="006E3B3A" w:rsidP="006E3B3A">
      <w:pPr>
        <w:rPr>
          <w:rFonts w:ascii="Comic Sans MS" w:eastAsiaTheme="minorEastAsia" w:hAnsi="Comic Sans MS"/>
          <w:sz w:val="28"/>
          <w:szCs w:val="28"/>
        </w:rPr>
      </w:pPr>
      <w:r>
        <w:rPr>
          <w:rFonts w:ascii="Comic Sans MS" w:eastAsiaTheme="minorEastAsia" w:hAnsi="Comic Sans MS"/>
          <w:sz w:val="24"/>
          <w:szCs w:val="24"/>
        </w:rPr>
        <w:t xml:space="preserve">3) </w:t>
      </w:r>
      <m:oMath>
        <m:f>
          <m:fPr>
            <m:ctrlPr>
              <w:rPr>
                <w:rFonts w:ascii="Cambria Math" w:eastAsiaTheme="minorEastAsia" w:hAnsi="Cambria Math"/>
                <w:i/>
                <w:sz w:val="28"/>
                <w:szCs w:val="28"/>
              </w:rPr>
            </m:ctrlPr>
          </m:fPr>
          <m:num>
            <m:r>
              <w:rPr>
                <w:rFonts w:ascii="Cambria Math" w:eastAsiaTheme="minorEastAsia" w:hAnsi="Cambria Math"/>
                <w:sz w:val="28"/>
                <w:szCs w:val="28"/>
              </w:rPr>
              <m:t>5</m:t>
            </m:r>
          </m:num>
          <m:den>
            <m:r>
              <w:rPr>
                <w:rFonts w:ascii="Cambria Math" w:eastAsiaTheme="minorEastAsia" w:hAnsi="Cambria Math"/>
                <w:sz w:val="28"/>
                <w:szCs w:val="28"/>
              </w:rPr>
              <m:t>8</m:t>
            </m:r>
          </m:den>
        </m:f>
        <m:r>
          <w:rPr>
            <w:rFonts w:ascii="Cambria Math" w:eastAsiaTheme="minorEastAsia" w:hAnsi="Cambria Math"/>
            <w:sz w:val="28"/>
            <w:szCs w:val="28"/>
          </w:rPr>
          <m:t>-</m:t>
        </m:r>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4</m:t>
            </m:r>
          </m:den>
        </m:f>
        <m:r>
          <w:rPr>
            <w:rFonts w:ascii="Cambria Math" w:eastAsiaTheme="minorEastAsia" w:hAnsi="Cambria Math"/>
            <w:sz w:val="28"/>
            <w:szCs w:val="28"/>
          </w:rPr>
          <m:t>=</m:t>
        </m:r>
      </m:oMath>
    </w:p>
    <w:p w:rsidR="006E3B3A" w:rsidRDefault="006E3B3A" w:rsidP="006E3B3A">
      <w:pPr>
        <w:rPr>
          <w:rFonts w:ascii="Comic Sans MS" w:eastAsiaTheme="minorEastAsia" w:hAnsi="Comic Sans MS"/>
          <w:sz w:val="28"/>
          <w:szCs w:val="28"/>
        </w:rPr>
      </w:pPr>
    </w:p>
    <w:p w:rsidR="006E3B3A" w:rsidRDefault="006E3B3A" w:rsidP="006E3B3A">
      <w:pPr>
        <w:rPr>
          <w:rFonts w:ascii="Comic Sans MS" w:eastAsiaTheme="minorEastAsia" w:hAnsi="Comic Sans MS"/>
          <w:sz w:val="28"/>
          <w:szCs w:val="28"/>
        </w:rPr>
      </w:pPr>
      <w:r>
        <w:rPr>
          <w:rFonts w:ascii="Comic Sans MS" w:eastAsiaTheme="minorEastAsia" w:hAnsi="Comic Sans MS"/>
          <w:sz w:val="24"/>
          <w:szCs w:val="24"/>
        </w:rPr>
        <w:t xml:space="preserve">4) </w:t>
      </w:r>
      <m:oMath>
        <m:f>
          <m:fPr>
            <m:ctrlPr>
              <w:rPr>
                <w:rFonts w:ascii="Cambria Math" w:eastAsiaTheme="minorEastAsia" w:hAnsi="Cambria Math"/>
                <w:i/>
                <w:sz w:val="28"/>
                <w:szCs w:val="28"/>
              </w:rPr>
            </m:ctrlPr>
          </m:fPr>
          <m:num>
            <m:r>
              <w:rPr>
                <w:rFonts w:ascii="Cambria Math" w:eastAsiaTheme="minorEastAsia" w:hAnsi="Cambria Math"/>
                <w:sz w:val="28"/>
                <w:szCs w:val="28"/>
              </w:rPr>
              <m:t>3</m:t>
            </m:r>
          </m:num>
          <m:den>
            <m:r>
              <w:rPr>
                <w:rFonts w:ascii="Cambria Math" w:eastAsiaTheme="minorEastAsia" w:hAnsi="Cambria Math"/>
                <w:sz w:val="28"/>
                <w:szCs w:val="28"/>
              </w:rPr>
              <m:t>15</m:t>
            </m:r>
          </m:den>
        </m:f>
        <m:r>
          <w:rPr>
            <w:rFonts w:ascii="Cambria Math" w:eastAsiaTheme="minorEastAsia" w:hAnsi="Cambria Math"/>
            <w:sz w:val="28"/>
            <w:szCs w:val="28"/>
          </w:rPr>
          <m:t>-</m:t>
        </m:r>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5</m:t>
            </m:r>
          </m:den>
        </m:f>
        <m:r>
          <w:rPr>
            <w:rFonts w:ascii="Cambria Math" w:eastAsiaTheme="minorEastAsia" w:hAnsi="Cambria Math"/>
            <w:sz w:val="28"/>
            <w:szCs w:val="28"/>
          </w:rPr>
          <m:t>=</m:t>
        </m:r>
      </m:oMath>
    </w:p>
    <w:p w:rsidR="006E3B3A" w:rsidRDefault="006E3B3A" w:rsidP="006E3B3A">
      <w:pPr>
        <w:rPr>
          <w:rFonts w:ascii="Comic Sans MS" w:eastAsiaTheme="minorEastAsia" w:hAnsi="Comic Sans MS"/>
          <w:sz w:val="28"/>
          <w:szCs w:val="28"/>
        </w:rPr>
      </w:pPr>
    </w:p>
    <w:p w:rsidR="006E3B3A" w:rsidRDefault="006E3B3A" w:rsidP="006E3B3A">
      <w:pPr>
        <w:rPr>
          <w:rFonts w:ascii="Comic Sans MS" w:eastAsiaTheme="minorEastAsia" w:hAnsi="Comic Sans MS"/>
          <w:sz w:val="24"/>
          <w:szCs w:val="24"/>
        </w:rPr>
      </w:pPr>
      <w:r>
        <w:rPr>
          <w:rFonts w:ascii="Comic Sans MS" w:eastAsiaTheme="minorEastAsia" w:hAnsi="Comic Sans MS"/>
          <w:sz w:val="24"/>
          <w:szCs w:val="24"/>
        </w:rPr>
        <w:t xml:space="preserve">5) </w:t>
      </w:r>
      <m:oMath>
        <m:f>
          <m:fPr>
            <m:ctrlPr>
              <w:rPr>
                <w:rFonts w:ascii="Cambria Math" w:eastAsiaTheme="minorEastAsia" w:hAnsi="Cambria Math"/>
                <w:i/>
                <w:sz w:val="24"/>
                <w:szCs w:val="24"/>
              </w:rPr>
            </m:ctrlPr>
          </m:fPr>
          <m:num>
            <m:r>
              <w:rPr>
                <w:rFonts w:ascii="Cambria Math" w:eastAsiaTheme="minorEastAsia" w:hAnsi="Cambria Math"/>
                <w:sz w:val="24"/>
                <w:szCs w:val="24"/>
              </w:rPr>
              <m:t>4</m:t>
            </m:r>
          </m:num>
          <m:den>
            <m:r>
              <w:rPr>
                <w:rFonts w:ascii="Cambria Math" w:eastAsiaTheme="minorEastAsia" w:hAnsi="Cambria Math"/>
                <w:sz w:val="24"/>
                <w:szCs w:val="24"/>
              </w:rPr>
              <m:t>15</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15</m:t>
            </m:r>
          </m:den>
        </m:f>
        <m:r>
          <w:rPr>
            <w:rFonts w:ascii="Cambria Math" w:eastAsiaTheme="minorEastAsia" w:hAnsi="Cambria Math"/>
            <w:sz w:val="24"/>
            <w:szCs w:val="24"/>
          </w:rPr>
          <m:t>=</m:t>
        </m:r>
      </m:oMath>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24"/>
          <w:szCs w:val="24"/>
        </w:rPr>
      </w:pPr>
      <w:r>
        <w:rPr>
          <w:rFonts w:ascii="Comic Sans MS" w:eastAsiaTheme="minorEastAsia" w:hAnsi="Comic Sans MS"/>
          <w:sz w:val="24"/>
          <w:szCs w:val="24"/>
        </w:rPr>
        <w:t xml:space="preserve">6) Pa </w:t>
      </w:r>
      <w:proofErr w:type="spellStart"/>
      <w:r>
        <w:rPr>
          <w:rFonts w:ascii="Comic Sans MS" w:eastAsiaTheme="minorEastAsia" w:hAnsi="Comic Sans MS"/>
          <w:sz w:val="24"/>
          <w:szCs w:val="24"/>
        </w:rPr>
        <w:t>ffracsiwn</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sydd</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lleiaf</w:t>
      </w:r>
      <w:proofErr w:type="spellEnd"/>
      <w:r>
        <w:rPr>
          <w:rFonts w:ascii="Comic Sans MS" w:eastAsiaTheme="minorEastAsia" w:hAnsi="Comic Sans MS"/>
          <w:sz w:val="24"/>
          <w:szCs w:val="24"/>
        </w:rPr>
        <w:t>?</w:t>
      </w:r>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32"/>
          <w:szCs w:val="32"/>
        </w:rPr>
      </w:pPr>
      <w:r>
        <w:rPr>
          <w:rFonts w:ascii="Comic Sans MS" w:eastAsiaTheme="minorEastAsia" w:hAnsi="Comic Sans MS"/>
          <w:sz w:val="24"/>
          <w:szCs w:val="24"/>
        </w:rPr>
        <w:t xml:space="preserve">a) </w:t>
      </w:r>
      <m:oMath>
        <m:f>
          <m:fPr>
            <m:ctrlPr>
              <w:rPr>
                <w:rFonts w:ascii="Cambria Math" w:eastAsiaTheme="minorEastAsia" w:hAnsi="Cambria Math"/>
                <w:i/>
                <w:sz w:val="32"/>
                <w:szCs w:val="32"/>
              </w:rPr>
            </m:ctrlPr>
          </m:fPr>
          <m:num>
            <m:r>
              <w:rPr>
                <w:rFonts w:ascii="Cambria Math" w:eastAsiaTheme="minorEastAsia" w:hAnsi="Cambria Math"/>
                <w:sz w:val="32"/>
                <w:szCs w:val="32"/>
              </w:rPr>
              <m:t>2</m:t>
            </m:r>
          </m:num>
          <m:den>
            <m:r>
              <w:rPr>
                <w:rFonts w:ascii="Cambria Math" w:eastAsiaTheme="minorEastAsia" w:hAnsi="Cambria Math"/>
                <w:sz w:val="32"/>
                <w:szCs w:val="32"/>
              </w:rPr>
              <m:t>3</m:t>
            </m:r>
          </m:den>
        </m:f>
      </m:oMath>
      <w:r w:rsidRPr="001B0287">
        <w:rPr>
          <w:rFonts w:ascii="Comic Sans MS" w:eastAsiaTheme="minorEastAsia" w:hAnsi="Comic Sans MS"/>
          <w:sz w:val="32"/>
          <w:szCs w:val="32"/>
        </w:rPr>
        <w:t xml:space="preserve"> </w:t>
      </w:r>
      <w:proofErr w:type="gramStart"/>
      <w:r w:rsidRPr="001B0287">
        <w:rPr>
          <w:rFonts w:ascii="Comic Sans MS" w:eastAsiaTheme="minorEastAsia" w:hAnsi="Comic Sans MS"/>
          <w:sz w:val="32"/>
          <w:szCs w:val="32"/>
        </w:rPr>
        <w:t xml:space="preserve">neu </w:t>
      </w:r>
      <w:proofErr w:type="gramEnd"/>
      <m:oMath>
        <m:f>
          <m:fPr>
            <m:ctrlPr>
              <w:rPr>
                <w:rFonts w:ascii="Cambria Math" w:eastAsiaTheme="minorEastAsia" w:hAnsi="Cambria Math"/>
                <w:i/>
                <w:sz w:val="32"/>
                <w:szCs w:val="32"/>
              </w:rPr>
            </m:ctrlPr>
          </m:fPr>
          <m:num>
            <m:r>
              <w:rPr>
                <w:rFonts w:ascii="Cambria Math" w:eastAsiaTheme="minorEastAsia" w:hAnsi="Cambria Math"/>
                <w:sz w:val="32"/>
                <w:szCs w:val="32"/>
              </w:rPr>
              <m:t>5</m:t>
            </m:r>
          </m:num>
          <m:den>
            <m:r>
              <w:rPr>
                <w:rFonts w:ascii="Cambria Math" w:eastAsiaTheme="minorEastAsia" w:hAnsi="Cambria Math"/>
                <w:sz w:val="32"/>
                <w:szCs w:val="32"/>
              </w:rPr>
              <m:t>9</m:t>
            </m:r>
          </m:den>
        </m:f>
        <m:r>
          <w:rPr>
            <w:rFonts w:ascii="Cambria Math" w:eastAsiaTheme="minorEastAsia" w:hAnsi="Cambria Math"/>
            <w:sz w:val="32"/>
            <w:szCs w:val="32"/>
          </w:rPr>
          <m:t xml:space="preserve"> </m:t>
        </m:r>
      </m:oMath>
      <w:r w:rsidRPr="001B0287">
        <w:rPr>
          <w:rFonts w:ascii="Comic Sans MS" w:eastAsiaTheme="minorEastAsia" w:hAnsi="Comic Sans MS"/>
          <w:sz w:val="32"/>
          <w:szCs w:val="32"/>
        </w:rPr>
        <w:t>?</w:t>
      </w:r>
    </w:p>
    <w:p w:rsidR="006E3B3A" w:rsidRDefault="006E3B3A" w:rsidP="006E3B3A">
      <w:pPr>
        <w:rPr>
          <w:rFonts w:ascii="Comic Sans MS" w:eastAsiaTheme="minorEastAsia" w:hAnsi="Comic Sans MS"/>
          <w:sz w:val="32"/>
          <w:szCs w:val="32"/>
        </w:rPr>
      </w:pPr>
    </w:p>
    <w:p w:rsidR="006E3B3A" w:rsidRDefault="006E3B3A" w:rsidP="006E3B3A">
      <w:pPr>
        <w:rPr>
          <w:rFonts w:ascii="Comic Sans MS" w:eastAsiaTheme="minorEastAsia" w:hAnsi="Comic Sans MS"/>
          <w:sz w:val="32"/>
          <w:szCs w:val="32"/>
        </w:rPr>
      </w:pPr>
    </w:p>
    <w:p w:rsidR="006E3B3A" w:rsidRDefault="006E3B3A" w:rsidP="006E3B3A">
      <w:pPr>
        <w:rPr>
          <w:rFonts w:ascii="Comic Sans MS" w:eastAsiaTheme="minorEastAsia" w:hAnsi="Comic Sans MS"/>
          <w:sz w:val="32"/>
          <w:szCs w:val="32"/>
        </w:rPr>
      </w:pPr>
      <w:r>
        <w:rPr>
          <w:rFonts w:ascii="Comic Sans MS" w:eastAsiaTheme="minorEastAsia" w:hAnsi="Comic Sans MS"/>
          <w:sz w:val="24"/>
          <w:szCs w:val="24"/>
        </w:rPr>
        <w:t xml:space="preserve">b) </w:t>
      </w:r>
      <m:oMath>
        <m:f>
          <m:fPr>
            <m:ctrlPr>
              <w:rPr>
                <w:rFonts w:ascii="Cambria Math" w:eastAsiaTheme="minorEastAsia" w:hAnsi="Cambria Math"/>
                <w:i/>
                <w:sz w:val="32"/>
                <w:szCs w:val="32"/>
              </w:rPr>
            </m:ctrlPr>
          </m:fPr>
          <m:num>
            <m:r>
              <w:rPr>
                <w:rFonts w:ascii="Cambria Math" w:eastAsiaTheme="minorEastAsia" w:hAnsi="Cambria Math"/>
                <w:sz w:val="32"/>
                <w:szCs w:val="32"/>
              </w:rPr>
              <m:t>5</m:t>
            </m:r>
          </m:num>
          <m:den>
            <m:r>
              <w:rPr>
                <w:rFonts w:ascii="Cambria Math" w:eastAsiaTheme="minorEastAsia" w:hAnsi="Cambria Math"/>
                <w:sz w:val="32"/>
                <w:szCs w:val="32"/>
              </w:rPr>
              <m:t>6</m:t>
            </m:r>
          </m:den>
        </m:f>
        <m:r>
          <w:rPr>
            <w:rFonts w:ascii="Cambria Math" w:eastAsiaTheme="minorEastAsia" w:hAnsi="Cambria Math"/>
            <w:sz w:val="32"/>
            <w:szCs w:val="32"/>
          </w:rPr>
          <m:t xml:space="preserve"> </m:t>
        </m:r>
      </m:oMath>
      <w:proofErr w:type="gramStart"/>
      <w:r w:rsidRPr="001B0287">
        <w:rPr>
          <w:rFonts w:ascii="Comic Sans MS" w:eastAsiaTheme="minorEastAsia" w:hAnsi="Comic Sans MS"/>
          <w:sz w:val="32"/>
          <w:szCs w:val="32"/>
        </w:rPr>
        <w:t xml:space="preserve">neu </w:t>
      </w:r>
      <m:oMath>
        <m:f>
          <m:fPr>
            <m:ctrlPr>
              <w:rPr>
                <w:rFonts w:ascii="Cambria Math" w:eastAsiaTheme="minorEastAsia" w:hAnsi="Cambria Math"/>
                <w:i/>
                <w:sz w:val="32"/>
                <w:szCs w:val="32"/>
              </w:rPr>
            </m:ctrlPr>
          </m:fPr>
          <m:num>
            <w:proofErr w:type="gramEnd"/>
            <m:r>
              <w:rPr>
                <w:rFonts w:ascii="Cambria Math" w:eastAsiaTheme="minorEastAsia" w:hAnsi="Cambria Math"/>
                <w:sz w:val="32"/>
                <w:szCs w:val="32"/>
              </w:rPr>
              <m:t>11</m:t>
            </m:r>
          </m:num>
          <m:den>
            <m:r>
              <w:rPr>
                <w:rFonts w:ascii="Cambria Math" w:eastAsiaTheme="minorEastAsia" w:hAnsi="Cambria Math"/>
                <w:sz w:val="32"/>
                <w:szCs w:val="32"/>
              </w:rPr>
              <m:t>12</m:t>
            </m:r>
          </m:den>
        </m:f>
      </m:oMath>
      <w:r w:rsidRPr="001B0287">
        <w:rPr>
          <w:rFonts w:ascii="Comic Sans MS" w:eastAsiaTheme="minorEastAsia" w:hAnsi="Comic Sans MS"/>
          <w:sz w:val="32"/>
          <w:szCs w:val="32"/>
        </w:rPr>
        <w:t xml:space="preserve"> ?</w:t>
      </w:r>
    </w:p>
    <w:p w:rsidR="006E3B3A" w:rsidRDefault="006E3B3A" w:rsidP="006E3B3A">
      <w:pPr>
        <w:rPr>
          <w:rFonts w:ascii="Comic Sans MS" w:eastAsiaTheme="minorEastAsia" w:hAnsi="Comic Sans MS"/>
          <w:sz w:val="32"/>
          <w:szCs w:val="32"/>
        </w:rPr>
      </w:pPr>
    </w:p>
    <w:p w:rsidR="006E3B3A" w:rsidRDefault="006E3B3A" w:rsidP="006E3B3A">
      <w:pPr>
        <w:rPr>
          <w:rFonts w:ascii="Comic Sans MS" w:eastAsiaTheme="minorEastAsia" w:hAnsi="Comic Sans MS"/>
          <w:sz w:val="32"/>
          <w:szCs w:val="32"/>
        </w:rPr>
      </w:pPr>
      <w:r w:rsidRPr="001B0287">
        <w:rPr>
          <w:rFonts w:ascii="Comic Sans MS" w:eastAsiaTheme="minorEastAsia" w:hAnsi="Comic Sans MS"/>
          <w:sz w:val="28"/>
          <w:szCs w:val="28"/>
        </w:rPr>
        <w:t>c)</w:t>
      </w:r>
      <w:r>
        <w:rPr>
          <w:rFonts w:ascii="Comic Sans MS" w:eastAsiaTheme="minorEastAsia" w:hAnsi="Comic Sans MS"/>
          <w:sz w:val="28"/>
          <w:szCs w:val="28"/>
        </w:rPr>
        <w:t xml:space="preserve"> </w:t>
      </w:r>
      <m:oMath>
        <m:f>
          <m:fPr>
            <m:ctrlPr>
              <w:rPr>
                <w:rFonts w:ascii="Cambria Math" w:eastAsiaTheme="minorEastAsia" w:hAnsi="Cambria Math"/>
                <w:i/>
                <w:sz w:val="32"/>
                <w:szCs w:val="32"/>
              </w:rPr>
            </m:ctrlPr>
          </m:fPr>
          <m:num>
            <m:r>
              <w:rPr>
                <w:rFonts w:ascii="Cambria Math" w:eastAsiaTheme="minorEastAsia" w:hAnsi="Cambria Math"/>
                <w:sz w:val="32"/>
                <w:szCs w:val="32"/>
              </w:rPr>
              <m:t>2</m:t>
            </m:r>
          </m:num>
          <m:den>
            <m:r>
              <w:rPr>
                <w:rFonts w:ascii="Cambria Math" w:eastAsiaTheme="minorEastAsia" w:hAnsi="Cambria Math"/>
                <w:sz w:val="32"/>
                <w:szCs w:val="32"/>
              </w:rPr>
              <m:t>3</m:t>
            </m:r>
          </m:den>
        </m:f>
        <m:r>
          <w:rPr>
            <w:rFonts w:ascii="Cambria Math" w:eastAsiaTheme="minorEastAsia" w:hAnsi="Cambria Math"/>
            <w:sz w:val="32"/>
            <w:szCs w:val="32"/>
          </w:rPr>
          <m:t xml:space="preserve"> </m:t>
        </m:r>
      </m:oMath>
      <w:proofErr w:type="gramStart"/>
      <w:r w:rsidRPr="001B0287">
        <w:rPr>
          <w:rFonts w:ascii="Comic Sans MS" w:eastAsiaTheme="minorEastAsia" w:hAnsi="Comic Sans MS"/>
          <w:sz w:val="32"/>
          <w:szCs w:val="32"/>
        </w:rPr>
        <w:t>n</w:t>
      </w:r>
      <w:proofErr w:type="spellStart"/>
      <w:r w:rsidRPr="001B0287">
        <w:rPr>
          <w:rFonts w:ascii="Comic Sans MS" w:eastAsiaTheme="minorEastAsia" w:hAnsi="Comic Sans MS"/>
          <w:sz w:val="32"/>
          <w:szCs w:val="32"/>
        </w:rPr>
        <w:t>eu</w:t>
      </w:r>
      <w:proofErr w:type="spellEnd"/>
      <w:proofErr w:type="gramEnd"/>
      <m:oMath>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r>
              <w:rPr>
                <w:rFonts w:ascii="Cambria Math" w:eastAsiaTheme="minorEastAsia" w:hAnsi="Cambria Math"/>
                <w:sz w:val="32"/>
                <w:szCs w:val="32"/>
              </w:rPr>
              <m:t>3</m:t>
            </m:r>
          </m:num>
          <m:den>
            <m:r>
              <w:rPr>
                <w:rFonts w:ascii="Cambria Math" w:eastAsiaTheme="minorEastAsia" w:hAnsi="Cambria Math"/>
                <w:sz w:val="32"/>
                <w:szCs w:val="32"/>
              </w:rPr>
              <m:t>5</m:t>
            </m:r>
          </m:den>
        </m:f>
        <m:r>
          <w:rPr>
            <w:rFonts w:ascii="Cambria Math" w:eastAsiaTheme="minorEastAsia" w:hAnsi="Cambria Math"/>
            <w:sz w:val="32"/>
            <w:szCs w:val="32"/>
          </w:rPr>
          <m:t xml:space="preserve"> </m:t>
        </m:r>
      </m:oMath>
      <w:r w:rsidRPr="001B0287">
        <w:rPr>
          <w:rFonts w:ascii="Comic Sans MS" w:eastAsiaTheme="minorEastAsia" w:hAnsi="Comic Sans MS"/>
          <w:sz w:val="32"/>
          <w:szCs w:val="32"/>
        </w:rPr>
        <w:t>?</w:t>
      </w:r>
    </w:p>
    <w:p w:rsidR="006E3B3A" w:rsidRDefault="006E3B3A" w:rsidP="006E3B3A">
      <w:pPr>
        <w:rPr>
          <w:rFonts w:ascii="Comic Sans MS" w:eastAsiaTheme="minorEastAsia" w:hAnsi="Comic Sans MS"/>
          <w:sz w:val="24"/>
          <w:szCs w:val="24"/>
        </w:rPr>
      </w:pPr>
      <w:r w:rsidRPr="001B0287">
        <w:rPr>
          <w:rFonts w:ascii="Comic Sans MS" w:eastAsiaTheme="minorEastAsia" w:hAnsi="Comic Sans MS"/>
          <w:sz w:val="24"/>
          <w:szCs w:val="24"/>
        </w:rPr>
        <w:lastRenderedPageBreak/>
        <w:t>9)</w:t>
      </w:r>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Rhowch</w:t>
      </w:r>
      <w:proofErr w:type="spellEnd"/>
      <w:r>
        <w:rPr>
          <w:rFonts w:ascii="Comic Sans MS" w:eastAsiaTheme="minorEastAsia" w:hAnsi="Comic Sans MS"/>
          <w:sz w:val="24"/>
          <w:szCs w:val="24"/>
        </w:rPr>
        <w:t xml:space="preserve"> y </w:t>
      </w:r>
      <w:proofErr w:type="spellStart"/>
      <w:r>
        <w:rPr>
          <w:rFonts w:ascii="Comic Sans MS" w:eastAsiaTheme="minorEastAsia" w:hAnsi="Comic Sans MS"/>
          <w:sz w:val="24"/>
          <w:szCs w:val="24"/>
        </w:rPr>
        <w:t>ffracsiynau</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canlynol</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yn</w:t>
      </w:r>
      <w:proofErr w:type="spellEnd"/>
      <w:r>
        <w:rPr>
          <w:rFonts w:ascii="Comic Sans MS" w:eastAsiaTheme="minorEastAsia" w:hAnsi="Comic Sans MS"/>
          <w:sz w:val="24"/>
          <w:szCs w:val="24"/>
        </w:rPr>
        <w:t xml:space="preserve"> y </w:t>
      </w:r>
      <w:proofErr w:type="spellStart"/>
      <w:r>
        <w:rPr>
          <w:rFonts w:ascii="Comic Sans MS" w:eastAsiaTheme="minorEastAsia" w:hAnsi="Comic Sans MS"/>
          <w:sz w:val="24"/>
          <w:szCs w:val="24"/>
        </w:rPr>
        <w:t>drefn</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esynnol</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lleiaf</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i’r</w:t>
      </w:r>
      <w:proofErr w:type="spell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mwyaf</w:t>
      </w:r>
      <w:proofErr w:type="spellEnd"/>
      <w:r>
        <w:rPr>
          <w:rFonts w:ascii="Comic Sans MS" w:eastAsiaTheme="minorEastAsia" w:hAnsi="Comic Sans MS"/>
          <w:sz w:val="24"/>
          <w:szCs w:val="24"/>
        </w:rPr>
        <w:t>)</w:t>
      </w:r>
    </w:p>
    <w:p w:rsidR="006E3B3A" w:rsidRPr="001B0287" w:rsidRDefault="006E3B3A" w:rsidP="006E3B3A">
      <w:pPr>
        <w:rPr>
          <w:rFonts w:ascii="Comic Sans MS" w:eastAsiaTheme="minorEastAsia" w:hAnsi="Comic Sans MS"/>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6</m:t>
              </m:r>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12</m:t>
              </m:r>
            </m:den>
          </m:f>
        </m:oMath>
      </m:oMathPara>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24"/>
          <w:szCs w:val="24"/>
        </w:rPr>
      </w:pPr>
      <w:r>
        <w:rPr>
          <w:rFonts w:ascii="Comic Sans MS" w:eastAsiaTheme="minorEastAsia" w:hAnsi="Comic Sans MS"/>
          <w:sz w:val="24"/>
          <w:szCs w:val="24"/>
        </w:rPr>
        <w:t xml:space="preserve">10) Beth </w:t>
      </w:r>
      <w:proofErr w:type="spellStart"/>
      <w:r>
        <w:rPr>
          <w:rFonts w:ascii="Comic Sans MS" w:eastAsiaTheme="minorEastAsia" w:hAnsi="Comic Sans MS"/>
          <w:sz w:val="24"/>
          <w:szCs w:val="24"/>
        </w:rPr>
        <w:t>yw</w:t>
      </w:r>
      <w:proofErr w:type="spellEnd"/>
      <w:r>
        <w:rPr>
          <w:rFonts w:ascii="Comic Sans MS" w:eastAsiaTheme="minorEastAsia" w:hAnsi="Comic Sans MS"/>
          <w:sz w:val="24"/>
          <w:szCs w:val="24"/>
        </w:rPr>
        <w:t xml:space="preserve"> 1/3 </w:t>
      </w:r>
      <w:proofErr w:type="spellStart"/>
      <w:r>
        <w:rPr>
          <w:rFonts w:ascii="Comic Sans MS" w:eastAsiaTheme="minorEastAsia" w:hAnsi="Comic Sans MS"/>
          <w:sz w:val="24"/>
          <w:szCs w:val="24"/>
        </w:rPr>
        <w:t>o</w:t>
      </w:r>
      <w:proofErr w:type="spellEnd"/>
      <w:r>
        <w:rPr>
          <w:rFonts w:ascii="Comic Sans MS" w:eastAsiaTheme="minorEastAsia" w:hAnsi="Comic Sans MS"/>
          <w:sz w:val="24"/>
          <w:szCs w:val="24"/>
        </w:rPr>
        <w:t xml:space="preserve"> 9?</w:t>
      </w:r>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24"/>
          <w:szCs w:val="24"/>
        </w:rPr>
      </w:pPr>
    </w:p>
    <w:p w:rsidR="006E3B3A" w:rsidRDefault="006E3B3A" w:rsidP="006E3B3A">
      <w:pPr>
        <w:rPr>
          <w:rFonts w:ascii="Comic Sans MS" w:eastAsiaTheme="minorEastAsia" w:hAnsi="Comic Sans MS"/>
          <w:sz w:val="24"/>
          <w:szCs w:val="24"/>
        </w:rPr>
      </w:pPr>
    </w:p>
    <w:p w:rsidR="006E3B3A" w:rsidRPr="001B0287" w:rsidRDefault="006E3B3A" w:rsidP="006E3B3A">
      <w:pPr>
        <w:rPr>
          <w:rFonts w:ascii="Comic Sans MS" w:eastAsiaTheme="minorEastAsia" w:hAnsi="Comic Sans MS"/>
          <w:sz w:val="24"/>
          <w:szCs w:val="24"/>
        </w:rPr>
      </w:pPr>
      <w:r>
        <w:rPr>
          <w:rFonts w:ascii="Comic Sans MS" w:eastAsiaTheme="minorEastAsia" w:hAnsi="Comic Sans MS"/>
          <w:sz w:val="24"/>
          <w:szCs w:val="24"/>
        </w:rPr>
        <w:t xml:space="preserve">11) </w:t>
      </w:r>
      <w:proofErr w:type="spellStart"/>
      <w:proofErr w:type="gramStart"/>
      <w:r>
        <w:rPr>
          <w:rFonts w:ascii="Comic Sans MS" w:eastAsiaTheme="minorEastAsia" w:hAnsi="Comic Sans MS"/>
          <w:sz w:val="24"/>
          <w:szCs w:val="24"/>
        </w:rPr>
        <w:t>beth</w:t>
      </w:r>
      <w:proofErr w:type="spellEnd"/>
      <w:proofErr w:type="gramEnd"/>
      <w:r>
        <w:rPr>
          <w:rFonts w:ascii="Comic Sans MS" w:eastAsiaTheme="minorEastAsia" w:hAnsi="Comic Sans MS"/>
          <w:sz w:val="24"/>
          <w:szCs w:val="24"/>
        </w:rPr>
        <w:t xml:space="preserve"> </w:t>
      </w:r>
      <w:proofErr w:type="spellStart"/>
      <w:r>
        <w:rPr>
          <w:rFonts w:ascii="Comic Sans MS" w:eastAsiaTheme="minorEastAsia" w:hAnsi="Comic Sans MS"/>
          <w:sz w:val="24"/>
          <w:szCs w:val="24"/>
        </w:rPr>
        <w:t>yw</w:t>
      </w:r>
      <w:proofErr w:type="spellEnd"/>
      <w:r>
        <w:rPr>
          <w:rFonts w:ascii="Comic Sans MS" w:eastAsiaTheme="minorEastAsia" w:hAnsi="Comic Sans MS"/>
          <w:sz w:val="24"/>
          <w:szCs w:val="24"/>
        </w:rPr>
        <w:t xml:space="preserve"> 5/6 </w:t>
      </w:r>
      <w:proofErr w:type="spellStart"/>
      <w:r>
        <w:rPr>
          <w:rFonts w:ascii="Comic Sans MS" w:eastAsiaTheme="minorEastAsia" w:hAnsi="Comic Sans MS"/>
          <w:sz w:val="24"/>
          <w:szCs w:val="24"/>
        </w:rPr>
        <w:t>o</w:t>
      </w:r>
      <w:proofErr w:type="spellEnd"/>
      <w:r>
        <w:rPr>
          <w:rFonts w:ascii="Comic Sans MS" w:eastAsiaTheme="minorEastAsia" w:hAnsi="Comic Sans MS"/>
          <w:sz w:val="24"/>
          <w:szCs w:val="24"/>
        </w:rPr>
        <w:t xml:space="preserve"> 12? </w:t>
      </w:r>
    </w:p>
    <w:p w:rsidR="006E3B3A" w:rsidRDefault="006E3B3A" w:rsidP="006E3B3A"/>
    <w:p w:rsidR="006E3B3A" w:rsidRPr="006E3B3A" w:rsidRDefault="006E3B3A" w:rsidP="006E3B3A"/>
    <w:sectPr w:rsidR="006E3B3A" w:rsidRPr="006E3B3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338" w:rsidRDefault="00296338" w:rsidP="00296338">
      <w:pPr>
        <w:spacing w:after="0" w:line="240" w:lineRule="auto"/>
      </w:pPr>
      <w:r>
        <w:separator/>
      </w:r>
    </w:p>
  </w:endnote>
  <w:endnote w:type="continuationSeparator" w:id="0">
    <w:p w:rsidR="00296338" w:rsidRDefault="00296338" w:rsidP="0029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3687263"/>
      <w:docPartObj>
        <w:docPartGallery w:val="Page Numbers (Bottom of Page)"/>
        <w:docPartUnique/>
      </w:docPartObj>
    </w:sdtPr>
    <w:sdtEndPr>
      <w:rPr>
        <w:color w:val="7F7F7F" w:themeColor="background1" w:themeShade="7F"/>
        <w:spacing w:val="60"/>
      </w:rPr>
    </w:sdtEndPr>
    <w:sdtContent>
      <w:p w:rsidR="00296338" w:rsidRDefault="0029633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3357B" w:rsidRPr="00F3357B">
          <w:rPr>
            <w:b/>
            <w:bCs/>
            <w:noProof/>
          </w:rPr>
          <w:t>2</w:t>
        </w:r>
        <w:r>
          <w:rPr>
            <w:b/>
            <w:bCs/>
            <w:noProof/>
          </w:rPr>
          <w:fldChar w:fldCharType="end"/>
        </w:r>
        <w:r>
          <w:rPr>
            <w:b/>
            <w:bCs/>
          </w:rPr>
          <w:t xml:space="preserve"> | </w:t>
        </w:r>
        <w:r>
          <w:rPr>
            <w:color w:val="7F7F7F" w:themeColor="background1" w:themeShade="7F"/>
            <w:spacing w:val="60"/>
          </w:rPr>
          <w:t>Page</w:t>
        </w:r>
      </w:p>
    </w:sdtContent>
  </w:sdt>
  <w:p w:rsidR="00296338" w:rsidRDefault="002963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338" w:rsidRDefault="00296338" w:rsidP="00296338">
      <w:pPr>
        <w:spacing w:after="0" w:line="240" w:lineRule="auto"/>
      </w:pPr>
      <w:r>
        <w:separator/>
      </w:r>
    </w:p>
  </w:footnote>
  <w:footnote w:type="continuationSeparator" w:id="0">
    <w:p w:rsidR="00296338" w:rsidRDefault="00296338" w:rsidP="002963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5F"/>
    <w:rsid w:val="000A17E7"/>
    <w:rsid w:val="000D5ED4"/>
    <w:rsid w:val="001344EC"/>
    <w:rsid w:val="001D1883"/>
    <w:rsid w:val="00237DF9"/>
    <w:rsid w:val="00296338"/>
    <w:rsid w:val="002A3E59"/>
    <w:rsid w:val="002B4BCF"/>
    <w:rsid w:val="0033265C"/>
    <w:rsid w:val="003C6902"/>
    <w:rsid w:val="003E08A8"/>
    <w:rsid w:val="00410A8B"/>
    <w:rsid w:val="004440EE"/>
    <w:rsid w:val="004F518A"/>
    <w:rsid w:val="00525489"/>
    <w:rsid w:val="00552E53"/>
    <w:rsid w:val="00556FF2"/>
    <w:rsid w:val="005D710C"/>
    <w:rsid w:val="005F052D"/>
    <w:rsid w:val="00674E58"/>
    <w:rsid w:val="00677E4A"/>
    <w:rsid w:val="00696F77"/>
    <w:rsid w:val="006A417F"/>
    <w:rsid w:val="006A551B"/>
    <w:rsid w:val="006E395B"/>
    <w:rsid w:val="006E3B3A"/>
    <w:rsid w:val="006E5842"/>
    <w:rsid w:val="0070035F"/>
    <w:rsid w:val="007108B2"/>
    <w:rsid w:val="00746435"/>
    <w:rsid w:val="007B6A88"/>
    <w:rsid w:val="00821CFC"/>
    <w:rsid w:val="008332A0"/>
    <w:rsid w:val="0084426A"/>
    <w:rsid w:val="00877862"/>
    <w:rsid w:val="00884D40"/>
    <w:rsid w:val="008C39C2"/>
    <w:rsid w:val="008D014C"/>
    <w:rsid w:val="00914B4B"/>
    <w:rsid w:val="00924E90"/>
    <w:rsid w:val="009258BE"/>
    <w:rsid w:val="0099526B"/>
    <w:rsid w:val="009B7400"/>
    <w:rsid w:val="009C3CA9"/>
    <w:rsid w:val="009F700F"/>
    <w:rsid w:val="00A87E50"/>
    <w:rsid w:val="00AC0076"/>
    <w:rsid w:val="00AE33E9"/>
    <w:rsid w:val="00AE4983"/>
    <w:rsid w:val="00B11161"/>
    <w:rsid w:val="00B20919"/>
    <w:rsid w:val="00B40275"/>
    <w:rsid w:val="00B43A8B"/>
    <w:rsid w:val="00B43B66"/>
    <w:rsid w:val="00B611E0"/>
    <w:rsid w:val="00BE4A8F"/>
    <w:rsid w:val="00BF3EDF"/>
    <w:rsid w:val="00C05B34"/>
    <w:rsid w:val="00C14A59"/>
    <w:rsid w:val="00CB3227"/>
    <w:rsid w:val="00CB36CF"/>
    <w:rsid w:val="00CB7E7E"/>
    <w:rsid w:val="00D2283B"/>
    <w:rsid w:val="00D835D3"/>
    <w:rsid w:val="00DC48DB"/>
    <w:rsid w:val="00DD161C"/>
    <w:rsid w:val="00E10554"/>
    <w:rsid w:val="00E26114"/>
    <w:rsid w:val="00E3615C"/>
    <w:rsid w:val="00E44635"/>
    <w:rsid w:val="00E57465"/>
    <w:rsid w:val="00E73E2E"/>
    <w:rsid w:val="00EA152D"/>
    <w:rsid w:val="00ED00E8"/>
    <w:rsid w:val="00F3357B"/>
    <w:rsid w:val="00F967E7"/>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C91DDE-5351-44C8-93F3-02B508E94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161"/>
  </w:style>
  <w:style w:type="paragraph" w:styleId="Heading2">
    <w:name w:val="heading 2"/>
    <w:basedOn w:val="Normal"/>
    <w:next w:val="Normal"/>
    <w:link w:val="Heading2Char"/>
    <w:qFormat/>
    <w:rsid w:val="00AE498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E498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0035F"/>
    <w:rPr>
      <w:rFonts w:cs="Times New Roman"/>
      <w:color w:val="0000FF"/>
      <w:u w:val="single"/>
    </w:rPr>
  </w:style>
  <w:style w:type="paragraph" w:styleId="Header">
    <w:name w:val="header"/>
    <w:basedOn w:val="Normal"/>
    <w:link w:val="HeaderChar"/>
    <w:unhideWhenUsed/>
    <w:rsid w:val="00296338"/>
    <w:pPr>
      <w:tabs>
        <w:tab w:val="center" w:pos="4513"/>
        <w:tab w:val="right" w:pos="9026"/>
      </w:tabs>
      <w:spacing w:after="0" w:line="240" w:lineRule="auto"/>
    </w:pPr>
  </w:style>
  <w:style w:type="character" w:customStyle="1" w:styleId="HeaderChar">
    <w:name w:val="Header Char"/>
    <w:basedOn w:val="DefaultParagraphFont"/>
    <w:link w:val="Header"/>
    <w:rsid w:val="00296338"/>
  </w:style>
  <w:style w:type="paragraph" w:styleId="Footer">
    <w:name w:val="footer"/>
    <w:basedOn w:val="Normal"/>
    <w:link w:val="FooterChar"/>
    <w:uiPriority w:val="99"/>
    <w:unhideWhenUsed/>
    <w:rsid w:val="00296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338"/>
  </w:style>
  <w:style w:type="paragraph" w:styleId="BalloonText">
    <w:name w:val="Balloon Text"/>
    <w:basedOn w:val="Normal"/>
    <w:link w:val="BalloonTextChar"/>
    <w:uiPriority w:val="99"/>
    <w:semiHidden/>
    <w:unhideWhenUsed/>
    <w:rsid w:val="00296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338"/>
    <w:rPr>
      <w:rFonts w:ascii="Segoe UI" w:hAnsi="Segoe UI" w:cs="Segoe UI"/>
      <w:sz w:val="18"/>
      <w:szCs w:val="18"/>
    </w:rPr>
  </w:style>
  <w:style w:type="character" w:customStyle="1" w:styleId="Heading2Char">
    <w:name w:val="Heading 2 Char"/>
    <w:basedOn w:val="DefaultParagraphFont"/>
    <w:link w:val="Heading2"/>
    <w:rsid w:val="00AE498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E4983"/>
    <w:rPr>
      <w:rFonts w:ascii="Times New Roman" w:eastAsia="Times New Roman" w:hAnsi="Times New Roman" w:cs="Times New Roman"/>
      <w:sz w:val="40"/>
      <w:szCs w:val="20"/>
      <w:lang w:eastAsia="en-GB"/>
    </w:rPr>
  </w:style>
  <w:style w:type="paragraph" w:styleId="NormalWeb">
    <w:name w:val="Normal (Web)"/>
    <w:basedOn w:val="Normal"/>
    <w:uiPriority w:val="99"/>
    <w:rsid w:val="00AE4983"/>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hyperlink" Target="http://dx.doi.org/10.1787/9f843a6e-en" TargetMode="Externa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pre/post-test scores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layout/>
              <c:showLegendKey val="0"/>
              <c:showVal val="1"/>
              <c:showCatName val="0"/>
              <c:showSerName val="0"/>
              <c:showPercent val="0"/>
              <c:showBubbleSize val="0"/>
              <c:extLst>
                <c:ext xmlns:c15="http://schemas.microsoft.com/office/drawing/2012/chart" uri="{CE6537A1-D6FC-4f65-9D91-7224C49458BB}">
                  <c15:layout/>
                </c:ext>
              </c:extLst>
            </c:dLbl>
            <c:dLbl>
              <c:idx val="1"/>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Sheet1!$E$2:$F$2</c:f>
              <c:strCache>
                <c:ptCount val="2"/>
                <c:pt idx="0">
                  <c:v>pre-test</c:v>
                </c:pt>
                <c:pt idx="1">
                  <c:v>post-test</c:v>
                </c:pt>
              </c:strCache>
            </c:strRef>
          </c:cat>
          <c:val>
            <c:numRef>
              <c:f>Sheet1!$E$3:$F$3</c:f>
              <c:numCache>
                <c:formatCode>General</c:formatCode>
                <c:ptCount val="2"/>
                <c:pt idx="0">
                  <c:v>22</c:v>
                </c:pt>
                <c:pt idx="1">
                  <c:v>65</c:v>
                </c:pt>
              </c:numCache>
            </c:numRef>
          </c:val>
        </c:ser>
        <c:dLbls>
          <c:showLegendKey val="0"/>
          <c:showVal val="0"/>
          <c:showCatName val="0"/>
          <c:showSerName val="0"/>
          <c:showPercent val="0"/>
          <c:showBubbleSize val="0"/>
        </c:dLbls>
        <c:gapWidth val="47"/>
        <c:overlap val="-27"/>
        <c:axId val="98879032"/>
        <c:axId val="98879424"/>
      </c:barChart>
      <c:catAx>
        <c:axId val="98879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879424"/>
        <c:crosses val="autoZero"/>
        <c:auto val="1"/>
        <c:lblAlgn val="ctr"/>
        <c:lblOffset val="100"/>
        <c:noMultiLvlLbl val="0"/>
      </c:catAx>
      <c:valAx>
        <c:axId val="9887942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a:t>
                </a:r>
                <a:r>
                  <a:rPr lang="en-GB" baseline="0"/>
                  <a:t> score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879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pre/post</a:t>
            </a:r>
            <a:r>
              <a:rPr lang="en-GB" baseline="0"/>
              <a:t>-test grades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c:f>
              <c:strCache>
                <c:ptCount val="1"/>
                <c:pt idx="0">
                  <c:v>pre-test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Sheet1!$C$3:$C$20</c:f>
              <c:numCache>
                <c:formatCode>General</c:formatCode>
                <c:ptCount val="18"/>
                <c:pt idx="0">
                  <c:v>27</c:v>
                </c:pt>
                <c:pt idx="1">
                  <c:v>9</c:v>
                </c:pt>
                <c:pt idx="2">
                  <c:v>45</c:v>
                </c:pt>
                <c:pt idx="3">
                  <c:v>27</c:v>
                </c:pt>
                <c:pt idx="4">
                  <c:v>27</c:v>
                </c:pt>
                <c:pt idx="5">
                  <c:v>9</c:v>
                </c:pt>
                <c:pt idx="6">
                  <c:v>27</c:v>
                </c:pt>
                <c:pt idx="7">
                  <c:v>9</c:v>
                </c:pt>
                <c:pt idx="8">
                  <c:v>27</c:v>
                </c:pt>
                <c:pt idx="9">
                  <c:v>45</c:v>
                </c:pt>
                <c:pt idx="10">
                  <c:v>18</c:v>
                </c:pt>
                <c:pt idx="11">
                  <c:v>27</c:v>
                </c:pt>
                <c:pt idx="12">
                  <c:v>27</c:v>
                </c:pt>
                <c:pt idx="13">
                  <c:v>9</c:v>
                </c:pt>
                <c:pt idx="14">
                  <c:v>9</c:v>
                </c:pt>
                <c:pt idx="15">
                  <c:v>9</c:v>
                </c:pt>
                <c:pt idx="16">
                  <c:v>18</c:v>
                </c:pt>
                <c:pt idx="17">
                  <c:v>18</c:v>
                </c:pt>
              </c:numCache>
            </c:numRef>
          </c:val>
          <c:smooth val="0"/>
        </c:ser>
        <c:ser>
          <c:idx val="2"/>
          <c:order val="1"/>
          <c:tx>
            <c:strRef>
              <c:f>Sheet1!$D$2</c:f>
              <c:strCache>
                <c:ptCount val="1"/>
                <c:pt idx="0">
                  <c:v>post-test</c:v>
                </c:pt>
              </c:strCache>
            </c:strRef>
          </c:tx>
          <c:spPr>
            <a:ln w="28575" cap="rnd">
              <a:solidFill>
                <a:schemeClr val="accent3"/>
              </a:solidFill>
              <a:round/>
            </a:ln>
            <a:effectLst/>
          </c:spPr>
          <c:marker>
            <c:symbol val="plus"/>
            <c:size val="6"/>
            <c:spPr>
              <a:noFill/>
              <a:ln w="9525">
                <a:solidFill>
                  <a:schemeClr val="accent3"/>
                </a:solidFill>
              </a:ln>
              <a:effectLst/>
            </c:spPr>
          </c:marker>
          <c:val>
            <c:numRef>
              <c:f>Sheet1!$D$3:$D$20</c:f>
              <c:numCache>
                <c:formatCode>General</c:formatCode>
                <c:ptCount val="18"/>
                <c:pt idx="0">
                  <c:v>55</c:v>
                </c:pt>
                <c:pt idx="1">
                  <c:v>56</c:v>
                </c:pt>
                <c:pt idx="2">
                  <c:v>82</c:v>
                </c:pt>
                <c:pt idx="3">
                  <c:v>91</c:v>
                </c:pt>
                <c:pt idx="4">
                  <c:v>100</c:v>
                </c:pt>
                <c:pt idx="5">
                  <c:v>100</c:v>
                </c:pt>
                <c:pt idx="6">
                  <c:v>100</c:v>
                </c:pt>
                <c:pt idx="7">
                  <c:v>100</c:v>
                </c:pt>
                <c:pt idx="8">
                  <c:v>45</c:v>
                </c:pt>
                <c:pt idx="9">
                  <c:v>64</c:v>
                </c:pt>
                <c:pt idx="10">
                  <c:v>36</c:v>
                </c:pt>
                <c:pt idx="11">
                  <c:v>46</c:v>
                </c:pt>
                <c:pt idx="12">
                  <c:v>82</c:v>
                </c:pt>
                <c:pt idx="13">
                  <c:v>27</c:v>
                </c:pt>
                <c:pt idx="14">
                  <c:v>18</c:v>
                </c:pt>
                <c:pt idx="15">
                  <c:v>27</c:v>
                </c:pt>
                <c:pt idx="16">
                  <c:v>64</c:v>
                </c:pt>
                <c:pt idx="17">
                  <c:v>82</c:v>
                </c:pt>
              </c:numCache>
            </c:numRef>
          </c:val>
          <c:smooth val="0"/>
        </c:ser>
        <c:dLbls>
          <c:showLegendKey val="0"/>
          <c:showVal val="0"/>
          <c:showCatName val="0"/>
          <c:showSerName val="0"/>
          <c:showPercent val="0"/>
          <c:showBubbleSize val="0"/>
        </c:dLbls>
        <c:marker val="1"/>
        <c:smooth val="0"/>
        <c:axId val="123782504"/>
        <c:axId val="123784072"/>
      </c:lineChart>
      <c:catAx>
        <c:axId val="123782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4072"/>
        <c:crosses val="autoZero"/>
        <c:auto val="1"/>
        <c:lblAlgn val="ctr"/>
        <c:lblOffset val="100"/>
        <c:noMultiLvlLbl val="0"/>
      </c:catAx>
      <c:valAx>
        <c:axId val="12378407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Test scores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25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pre</a:t>
            </a:r>
            <a:r>
              <a:rPr lang="en-GB" baseline="0"/>
              <a:t>/post test scores per sub-topic</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pre-test</c:v>
          </c:tx>
          <c:spPr>
            <a:pattFill prst="smCheck">
              <a:fgClr>
                <a:schemeClr val="tx1">
                  <a:lumMod val="65000"/>
                  <a:lumOff val="35000"/>
                </a:schemeClr>
              </a:fgClr>
              <a:bgClr>
                <a:schemeClr val="bg1"/>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Sheet1!$K$62:$M$62</c:f>
              <c:strCache>
                <c:ptCount val="3"/>
                <c:pt idx="0">
                  <c:v>pre-test/post-test (adding/subtracting)</c:v>
                </c:pt>
                <c:pt idx="1">
                  <c:v>pre-test/post-test (comparing)</c:v>
                </c:pt>
                <c:pt idx="2">
                  <c:v>pre-test/post-test (fraction of a quantity)</c:v>
                </c:pt>
              </c:strCache>
            </c:strRef>
          </c:cat>
          <c:val>
            <c:numRef>
              <c:f>Sheet1!$K$63:$M$63</c:f>
              <c:numCache>
                <c:formatCode>General</c:formatCode>
                <c:ptCount val="3"/>
                <c:pt idx="0">
                  <c:v>3</c:v>
                </c:pt>
                <c:pt idx="1">
                  <c:v>35</c:v>
                </c:pt>
                <c:pt idx="2">
                  <c:v>43</c:v>
                </c:pt>
              </c:numCache>
            </c:numRef>
          </c:val>
        </c:ser>
        <c:ser>
          <c:idx val="1"/>
          <c:order val="1"/>
          <c:tx>
            <c:v>post-test</c:v>
          </c:tx>
          <c:spPr>
            <a:solidFill>
              <a:schemeClr val="bg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Sheet1!$K$62:$M$62</c:f>
              <c:strCache>
                <c:ptCount val="3"/>
                <c:pt idx="0">
                  <c:v>pre-test/post-test (adding/subtracting)</c:v>
                </c:pt>
                <c:pt idx="1">
                  <c:v>pre-test/post-test (comparing)</c:v>
                </c:pt>
                <c:pt idx="2">
                  <c:v>pre-test/post-test (fraction of a quantity)</c:v>
                </c:pt>
              </c:strCache>
            </c:strRef>
          </c:cat>
          <c:val>
            <c:numRef>
              <c:f>Sheet1!$K$64:$M$64</c:f>
              <c:numCache>
                <c:formatCode>General</c:formatCode>
                <c:ptCount val="3"/>
                <c:pt idx="0">
                  <c:v>64</c:v>
                </c:pt>
                <c:pt idx="1">
                  <c:v>57</c:v>
                </c:pt>
                <c:pt idx="2">
                  <c:v>72</c:v>
                </c:pt>
              </c:numCache>
            </c:numRef>
          </c:val>
        </c:ser>
        <c:dLbls>
          <c:showLegendKey val="0"/>
          <c:showVal val="0"/>
          <c:showCatName val="0"/>
          <c:showSerName val="0"/>
          <c:showPercent val="0"/>
          <c:showBubbleSize val="0"/>
        </c:dLbls>
        <c:gapWidth val="330"/>
        <c:axId val="123784464"/>
        <c:axId val="123782112"/>
      </c:barChart>
      <c:catAx>
        <c:axId val="12378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2112"/>
        <c:crosses val="autoZero"/>
        <c:auto val="1"/>
        <c:lblAlgn val="ctr"/>
        <c:lblOffset val="100"/>
        <c:noMultiLvlLbl val="0"/>
      </c:catAx>
      <c:valAx>
        <c:axId val="12378211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a:t>
                </a:r>
                <a:r>
                  <a:rPr lang="en-GB" baseline="0"/>
                  <a:t> s</a:t>
                </a:r>
                <a:r>
                  <a:rPr lang="en-GB"/>
                  <a:t>cores</a:t>
                </a:r>
                <a:r>
                  <a:rPr lang="en-GB" baseline="0"/>
                  <a:t>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4464"/>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pre/post-test scores - adding/subtracting</a:t>
            </a:r>
            <a:r>
              <a:rPr lang="en-GB" baseline="0"/>
              <a:t> fractions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Sheet1!$C$22</c:f>
              <c:strCache>
                <c:ptCount val="1"/>
                <c:pt idx="0">
                  <c:v>pre-test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Sheet1!$C$23:$C$40</c:f>
              <c:numCache>
                <c:formatCode>General</c:formatCode>
                <c:ptCount val="18"/>
                <c:pt idx="0">
                  <c:v>0</c:v>
                </c:pt>
                <c:pt idx="1">
                  <c:v>0</c:v>
                </c:pt>
                <c:pt idx="2">
                  <c:v>0</c:v>
                </c:pt>
                <c:pt idx="3">
                  <c:v>0</c:v>
                </c:pt>
                <c:pt idx="4">
                  <c:v>40</c:v>
                </c:pt>
                <c:pt idx="5">
                  <c:v>9</c:v>
                </c:pt>
                <c:pt idx="6">
                  <c:v>0</c:v>
                </c:pt>
                <c:pt idx="7">
                  <c:v>0</c:v>
                </c:pt>
                <c:pt idx="8">
                  <c:v>0</c:v>
                </c:pt>
                <c:pt idx="9">
                  <c:v>0</c:v>
                </c:pt>
                <c:pt idx="10">
                  <c:v>0</c:v>
                </c:pt>
                <c:pt idx="11">
                  <c:v>0</c:v>
                </c:pt>
                <c:pt idx="12">
                  <c:v>0</c:v>
                </c:pt>
                <c:pt idx="13">
                  <c:v>0</c:v>
                </c:pt>
                <c:pt idx="14">
                  <c:v>0</c:v>
                </c:pt>
                <c:pt idx="15">
                  <c:v>0</c:v>
                </c:pt>
                <c:pt idx="16">
                  <c:v>0</c:v>
                </c:pt>
                <c:pt idx="17">
                  <c:v>0</c:v>
                </c:pt>
              </c:numCache>
            </c:numRef>
          </c:val>
          <c:smooth val="0"/>
        </c:ser>
        <c:ser>
          <c:idx val="2"/>
          <c:order val="1"/>
          <c:tx>
            <c:strRef>
              <c:f>Sheet1!$D$22</c:f>
              <c:strCache>
                <c:ptCount val="1"/>
                <c:pt idx="0">
                  <c:v>post-test</c:v>
                </c:pt>
              </c:strCache>
            </c:strRef>
          </c:tx>
          <c:spPr>
            <a:ln w="28575" cap="rnd">
              <a:solidFill>
                <a:schemeClr val="accent3"/>
              </a:solidFill>
              <a:round/>
            </a:ln>
            <a:effectLst/>
          </c:spPr>
          <c:marker>
            <c:symbol val="plus"/>
            <c:size val="6"/>
            <c:spPr>
              <a:noFill/>
              <a:ln w="9525">
                <a:solidFill>
                  <a:schemeClr val="accent3"/>
                </a:solidFill>
              </a:ln>
              <a:effectLst/>
            </c:spPr>
          </c:marker>
          <c:val>
            <c:numRef>
              <c:f>Sheet1!$D$23:$D$40</c:f>
              <c:numCache>
                <c:formatCode>General</c:formatCode>
                <c:ptCount val="18"/>
                <c:pt idx="0">
                  <c:v>60</c:v>
                </c:pt>
                <c:pt idx="1">
                  <c:v>80</c:v>
                </c:pt>
                <c:pt idx="2">
                  <c:v>60</c:v>
                </c:pt>
                <c:pt idx="3">
                  <c:v>100</c:v>
                </c:pt>
                <c:pt idx="4">
                  <c:v>100</c:v>
                </c:pt>
                <c:pt idx="5">
                  <c:v>100</c:v>
                </c:pt>
                <c:pt idx="6">
                  <c:v>100</c:v>
                </c:pt>
                <c:pt idx="7">
                  <c:v>100</c:v>
                </c:pt>
                <c:pt idx="8">
                  <c:v>40</c:v>
                </c:pt>
                <c:pt idx="9">
                  <c:v>60</c:v>
                </c:pt>
                <c:pt idx="10">
                  <c:v>40</c:v>
                </c:pt>
                <c:pt idx="11">
                  <c:v>0</c:v>
                </c:pt>
                <c:pt idx="12">
                  <c:v>80</c:v>
                </c:pt>
                <c:pt idx="13">
                  <c:v>40</c:v>
                </c:pt>
                <c:pt idx="14">
                  <c:v>0</c:v>
                </c:pt>
                <c:pt idx="15">
                  <c:v>40</c:v>
                </c:pt>
                <c:pt idx="16">
                  <c:v>60</c:v>
                </c:pt>
                <c:pt idx="17">
                  <c:v>100</c:v>
                </c:pt>
              </c:numCache>
            </c:numRef>
          </c:val>
          <c:smooth val="0"/>
        </c:ser>
        <c:dLbls>
          <c:showLegendKey val="0"/>
          <c:showVal val="0"/>
          <c:showCatName val="0"/>
          <c:showSerName val="0"/>
          <c:showPercent val="0"/>
          <c:showBubbleSize val="0"/>
        </c:dLbls>
        <c:marker val="1"/>
        <c:smooth val="0"/>
        <c:axId val="123787208"/>
        <c:axId val="123783288"/>
      </c:lineChart>
      <c:catAx>
        <c:axId val="123787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3288"/>
        <c:crosses val="autoZero"/>
        <c:auto val="1"/>
        <c:lblAlgn val="ctr"/>
        <c:lblOffset val="100"/>
        <c:noMultiLvlLbl val="0"/>
      </c:catAx>
      <c:valAx>
        <c:axId val="12378328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Test score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72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pre/post-test grades - comparing/ordering</a:t>
            </a:r>
            <a:r>
              <a:rPr lang="en-GB" baseline="0"/>
              <a:t> fractions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Sheet1!$H$22</c:f>
              <c:strCache>
                <c:ptCount val="1"/>
                <c:pt idx="0">
                  <c:v>pre-test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Sheet1!$H$23:$H$40</c:f>
              <c:numCache>
                <c:formatCode>General</c:formatCode>
                <c:ptCount val="18"/>
                <c:pt idx="0">
                  <c:v>25</c:v>
                </c:pt>
                <c:pt idx="1">
                  <c:v>25</c:v>
                </c:pt>
                <c:pt idx="2">
                  <c:v>75</c:v>
                </c:pt>
                <c:pt idx="3">
                  <c:v>50</c:v>
                </c:pt>
                <c:pt idx="4">
                  <c:v>25</c:v>
                </c:pt>
                <c:pt idx="5">
                  <c:v>25</c:v>
                </c:pt>
                <c:pt idx="6">
                  <c:v>40</c:v>
                </c:pt>
                <c:pt idx="7">
                  <c:v>9</c:v>
                </c:pt>
                <c:pt idx="8">
                  <c:v>50</c:v>
                </c:pt>
                <c:pt idx="9">
                  <c:v>75</c:v>
                </c:pt>
                <c:pt idx="10">
                  <c:v>25</c:v>
                </c:pt>
                <c:pt idx="11">
                  <c:v>50</c:v>
                </c:pt>
                <c:pt idx="12">
                  <c:v>25</c:v>
                </c:pt>
                <c:pt idx="13">
                  <c:v>25</c:v>
                </c:pt>
                <c:pt idx="14">
                  <c:v>25</c:v>
                </c:pt>
                <c:pt idx="15">
                  <c:v>25</c:v>
                </c:pt>
                <c:pt idx="16">
                  <c:v>25</c:v>
                </c:pt>
                <c:pt idx="17">
                  <c:v>33</c:v>
                </c:pt>
              </c:numCache>
            </c:numRef>
          </c:val>
          <c:smooth val="0"/>
        </c:ser>
        <c:ser>
          <c:idx val="2"/>
          <c:order val="1"/>
          <c:tx>
            <c:strRef>
              <c:f>Sheet1!$I$22</c:f>
              <c:strCache>
                <c:ptCount val="1"/>
                <c:pt idx="0">
                  <c:v>post-test</c:v>
                </c:pt>
              </c:strCache>
            </c:strRef>
          </c:tx>
          <c:spPr>
            <a:ln w="28575" cap="rnd">
              <a:solidFill>
                <a:schemeClr val="accent3"/>
              </a:solidFill>
              <a:round/>
            </a:ln>
            <a:effectLst/>
          </c:spPr>
          <c:marker>
            <c:symbol val="plus"/>
            <c:size val="6"/>
            <c:spPr>
              <a:noFill/>
              <a:ln w="9525">
                <a:solidFill>
                  <a:schemeClr val="accent3"/>
                </a:solidFill>
              </a:ln>
              <a:effectLst/>
            </c:spPr>
          </c:marker>
          <c:val>
            <c:numRef>
              <c:f>Sheet1!$I$23:$I$40</c:f>
              <c:numCache>
                <c:formatCode>General</c:formatCode>
                <c:ptCount val="18"/>
                <c:pt idx="0">
                  <c:v>25</c:v>
                </c:pt>
                <c:pt idx="1">
                  <c:v>25</c:v>
                </c:pt>
                <c:pt idx="2">
                  <c:v>100</c:v>
                </c:pt>
                <c:pt idx="3">
                  <c:v>100</c:v>
                </c:pt>
                <c:pt idx="4">
                  <c:v>100</c:v>
                </c:pt>
                <c:pt idx="5">
                  <c:v>100</c:v>
                </c:pt>
                <c:pt idx="6">
                  <c:v>100</c:v>
                </c:pt>
                <c:pt idx="7">
                  <c:v>100</c:v>
                </c:pt>
                <c:pt idx="8">
                  <c:v>50</c:v>
                </c:pt>
                <c:pt idx="9">
                  <c:v>50</c:v>
                </c:pt>
                <c:pt idx="10">
                  <c:v>25</c:v>
                </c:pt>
                <c:pt idx="11">
                  <c:v>25</c:v>
                </c:pt>
                <c:pt idx="12">
                  <c:v>75</c:v>
                </c:pt>
                <c:pt idx="13">
                  <c:v>25</c:v>
                </c:pt>
                <c:pt idx="14">
                  <c:v>25</c:v>
                </c:pt>
                <c:pt idx="15">
                  <c:v>0</c:v>
                </c:pt>
                <c:pt idx="16">
                  <c:v>50</c:v>
                </c:pt>
                <c:pt idx="17">
                  <c:v>50</c:v>
                </c:pt>
              </c:numCache>
            </c:numRef>
          </c:val>
          <c:smooth val="0"/>
        </c:ser>
        <c:dLbls>
          <c:showLegendKey val="0"/>
          <c:showVal val="0"/>
          <c:showCatName val="0"/>
          <c:showSerName val="0"/>
          <c:showPercent val="0"/>
          <c:showBubbleSize val="0"/>
        </c:dLbls>
        <c:marker val="1"/>
        <c:smooth val="0"/>
        <c:axId val="123783680"/>
        <c:axId val="123784856"/>
      </c:lineChart>
      <c:catAx>
        <c:axId val="123783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4856"/>
        <c:crosses val="autoZero"/>
        <c:auto val="1"/>
        <c:lblAlgn val="ctr"/>
        <c:lblOffset val="100"/>
        <c:noMultiLvlLbl val="0"/>
      </c:catAx>
      <c:valAx>
        <c:axId val="12378485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 score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36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fraction</a:t>
            </a:r>
            <a:r>
              <a:rPr lang="en-GB" baseline="0"/>
              <a:t> of a quantity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Sheet1!$M$22</c:f>
              <c:strCache>
                <c:ptCount val="1"/>
                <c:pt idx="0">
                  <c:v>pre-test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Sheet1!$M$23:$M$40</c:f>
              <c:numCache>
                <c:formatCode>General</c:formatCode>
                <c:ptCount val="18"/>
                <c:pt idx="0">
                  <c:v>100</c:v>
                </c:pt>
                <c:pt idx="1">
                  <c:v>0</c:v>
                </c:pt>
                <c:pt idx="2">
                  <c:v>100</c:v>
                </c:pt>
                <c:pt idx="3">
                  <c:v>50</c:v>
                </c:pt>
                <c:pt idx="4">
                  <c:v>0</c:v>
                </c:pt>
                <c:pt idx="5">
                  <c:v>0</c:v>
                </c:pt>
                <c:pt idx="6">
                  <c:v>50</c:v>
                </c:pt>
                <c:pt idx="7">
                  <c:v>0</c:v>
                </c:pt>
                <c:pt idx="8">
                  <c:v>50</c:v>
                </c:pt>
                <c:pt idx="9">
                  <c:v>100</c:v>
                </c:pt>
                <c:pt idx="10">
                  <c:v>50</c:v>
                </c:pt>
                <c:pt idx="11">
                  <c:v>50</c:v>
                </c:pt>
                <c:pt idx="12">
                  <c:v>67</c:v>
                </c:pt>
                <c:pt idx="13">
                  <c:v>0</c:v>
                </c:pt>
                <c:pt idx="14">
                  <c:v>50</c:v>
                </c:pt>
                <c:pt idx="15">
                  <c:v>0</c:v>
                </c:pt>
                <c:pt idx="16">
                  <c:v>50</c:v>
                </c:pt>
                <c:pt idx="17">
                  <c:v>50</c:v>
                </c:pt>
              </c:numCache>
            </c:numRef>
          </c:val>
          <c:smooth val="0"/>
        </c:ser>
        <c:ser>
          <c:idx val="2"/>
          <c:order val="1"/>
          <c:tx>
            <c:strRef>
              <c:f>Sheet1!$N$22</c:f>
              <c:strCache>
                <c:ptCount val="1"/>
                <c:pt idx="0">
                  <c:v>post-test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Sheet1!$N$23:$N$40</c:f>
              <c:numCache>
                <c:formatCode>General</c:formatCode>
                <c:ptCount val="18"/>
                <c:pt idx="0">
                  <c:v>100</c:v>
                </c:pt>
                <c:pt idx="1">
                  <c:v>50</c:v>
                </c:pt>
                <c:pt idx="2">
                  <c:v>100</c:v>
                </c:pt>
                <c:pt idx="3">
                  <c:v>50</c:v>
                </c:pt>
                <c:pt idx="4">
                  <c:v>100</c:v>
                </c:pt>
                <c:pt idx="5">
                  <c:v>100</c:v>
                </c:pt>
                <c:pt idx="6">
                  <c:v>100</c:v>
                </c:pt>
                <c:pt idx="7">
                  <c:v>100</c:v>
                </c:pt>
                <c:pt idx="8">
                  <c:v>50</c:v>
                </c:pt>
                <c:pt idx="9">
                  <c:v>50</c:v>
                </c:pt>
                <c:pt idx="10">
                  <c:v>100</c:v>
                </c:pt>
                <c:pt idx="11">
                  <c:v>50</c:v>
                </c:pt>
                <c:pt idx="12">
                  <c:v>100</c:v>
                </c:pt>
                <c:pt idx="13">
                  <c:v>0</c:v>
                </c:pt>
                <c:pt idx="14">
                  <c:v>0</c:v>
                </c:pt>
                <c:pt idx="15">
                  <c:v>50</c:v>
                </c:pt>
                <c:pt idx="16">
                  <c:v>100</c:v>
                </c:pt>
                <c:pt idx="17">
                  <c:v>100</c:v>
                </c:pt>
              </c:numCache>
            </c:numRef>
          </c:val>
          <c:smooth val="0"/>
        </c:ser>
        <c:dLbls>
          <c:showLegendKey val="0"/>
          <c:showVal val="0"/>
          <c:showCatName val="0"/>
          <c:showSerName val="0"/>
          <c:showPercent val="0"/>
          <c:showBubbleSize val="0"/>
        </c:dLbls>
        <c:marker val="1"/>
        <c:smooth val="0"/>
        <c:axId val="123786424"/>
        <c:axId val="123780152"/>
      </c:lineChart>
      <c:catAx>
        <c:axId val="12378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0152"/>
        <c:crosses val="autoZero"/>
        <c:auto val="1"/>
        <c:lblAlgn val="ctr"/>
        <c:lblOffset val="100"/>
        <c:noMultiLvlLbl val="0"/>
      </c:catAx>
      <c:valAx>
        <c:axId val="12378015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r>
                  <a:rPr lang="en-GB" baseline="0"/>
                  <a:t>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86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9EA72-0AA7-4693-8233-439153C6E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24</Pages>
  <Words>10205</Words>
  <Characters>58174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Stephen Davies</dc:creator>
  <cp:keywords/>
  <dc:description/>
  <cp:lastModifiedBy>Thomas Stephen Davies</cp:lastModifiedBy>
  <cp:revision>33</cp:revision>
  <cp:lastPrinted>2019-04-07T19:27:00Z</cp:lastPrinted>
  <dcterms:created xsi:type="dcterms:W3CDTF">2019-05-10T19:44:00Z</dcterms:created>
  <dcterms:modified xsi:type="dcterms:W3CDTF">2019-05-10T21:57:00Z</dcterms:modified>
</cp:coreProperties>
</file>