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7146E4" w14:textId="77777777" w:rsidR="002E018A" w:rsidRPr="00AB0BD3" w:rsidRDefault="002E018A" w:rsidP="002E018A">
      <w:pPr>
        <w:spacing w:after="158" w:line="360" w:lineRule="auto"/>
        <w:ind w:left="49"/>
        <w:jc w:val="center"/>
        <w:rPr>
          <w:rFonts w:ascii="Arial" w:hAnsi="Arial" w:cs="Arial"/>
        </w:rPr>
      </w:pPr>
      <w:r w:rsidRPr="00AB0BD3">
        <w:rPr>
          <w:rFonts w:ascii="Arial" w:hAnsi="Arial" w:cs="Arial"/>
          <w:noProof/>
        </w:rPr>
        <w:drawing>
          <wp:inline distT="0" distB="0" distL="0" distR="0" wp14:anchorId="491A7461" wp14:editId="16EF9B63">
            <wp:extent cx="2411095" cy="954860"/>
            <wp:effectExtent l="0" t="0" r="8255" b="0"/>
            <wp:docPr id="2" name="Picture 2"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lack text on a white background&#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27263" cy="961263"/>
                    </a:xfrm>
                    <a:prstGeom prst="rect">
                      <a:avLst/>
                    </a:prstGeom>
                    <a:noFill/>
                  </pic:spPr>
                </pic:pic>
              </a:graphicData>
            </a:graphic>
          </wp:inline>
        </w:drawing>
      </w:r>
      <w:r w:rsidRPr="00AB0BD3">
        <w:rPr>
          <w:rFonts w:ascii="Arial" w:eastAsia="Calibri" w:hAnsi="Arial" w:cs="Arial"/>
        </w:rPr>
        <w:t xml:space="preserve"> </w:t>
      </w:r>
    </w:p>
    <w:p w14:paraId="69B97F07" w14:textId="77777777" w:rsidR="002E018A" w:rsidRPr="00AB0BD3" w:rsidRDefault="002E018A" w:rsidP="002E018A">
      <w:pPr>
        <w:spacing w:line="360" w:lineRule="auto"/>
        <w:ind w:left="49"/>
        <w:jc w:val="center"/>
        <w:rPr>
          <w:rFonts w:ascii="Arial" w:hAnsi="Arial" w:cs="Arial"/>
        </w:rPr>
      </w:pPr>
      <w:r w:rsidRPr="00AB0BD3">
        <w:rPr>
          <w:rFonts w:ascii="Arial" w:eastAsia="Calibri" w:hAnsi="Arial" w:cs="Arial"/>
        </w:rPr>
        <w:t xml:space="preserve"> </w:t>
      </w:r>
    </w:p>
    <w:p w14:paraId="0C4B2675" w14:textId="77777777" w:rsidR="002E018A" w:rsidRPr="00AB0BD3" w:rsidRDefault="002E018A" w:rsidP="002E018A">
      <w:pPr>
        <w:spacing w:after="158" w:line="360" w:lineRule="auto"/>
        <w:ind w:left="49"/>
        <w:jc w:val="center"/>
        <w:rPr>
          <w:rFonts w:ascii="Arial" w:hAnsi="Arial" w:cs="Arial"/>
        </w:rPr>
      </w:pPr>
      <w:r w:rsidRPr="00AB0BD3">
        <w:rPr>
          <w:rFonts w:ascii="Arial" w:eastAsia="Calibri" w:hAnsi="Arial" w:cs="Arial"/>
        </w:rPr>
        <w:t xml:space="preserve"> </w:t>
      </w:r>
    </w:p>
    <w:p w14:paraId="3A0F1418" w14:textId="77777777" w:rsidR="002E018A" w:rsidRPr="00AB0BD3" w:rsidRDefault="002E018A" w:rsidP="002E018A">
      <w:pPr>
        <w:spacing w:line="360" w:lineRule="auto"/>
        <w:ind w:left="49"/>
        <w:jc w:val="center"/>
        <w:rPr>
          <w:rFonts w:ascii="Arial" w:hAnsi="Arial" w:cs="Arial"/>
        </w:rPr>
      </w:pPr>
      <w:r w:rsidRPr="00AB0BD3">
        <w:rPr>
          <w:rFonts w:ascii="Arial" w:eastAsia="Calibri" w:hAnsi="Arial" w:cs="Arial"/>
        </w:rPr>
        <w:t xml:space="preserve"> </w:t>
      </w:r>
    </w:p>
    <w:p w14:paraId="6F82C265" w14:textId="77777777" w:rsidR="002E018A" w:rsidRPr="00AB0BD3" w:rsidRDefault="002E018A" w:rsidP="002E018A">
      <w:pPr>
        <w:jc w:val="center"/>
        <w:rPr>
          <w:rFonts w:ascii="Arial" w:hAnsi="Arial" w:cs="Arial"/>
          <w:b/>
          <w:bCs/>
          <w:lang w:val="en-US"/>
        </w:rPr>
      </w:pPr>
      <w:r w:rsidRPr="00AB0BD3">
        <w:rPr>
          <w:rFonts w:ascii="Arial" w:hAnsi="Arial" w:cs="Arial"/>
          <w:b/>
          <w:bCs/>
          <w:lang w:val="en-US"/>
        </w:rPr>
        <w:t>Evaluating the impact of BCG (Bacillus Calmette Guerin) vaccination campaign on Tuberculosis (TB) in High-Risk Districts of Delhi’s (India) populations aged 15 to 60 years</w:t>
      </w:r>
      <w:r w:rsidRPr="00AB0BD3">
        <w:rPr>
          <w:rFonts w:ascii="Arial" w:hAnsi="Arial" w:cs="Arial"/>
          <w:b/>
          <w:bCs/>
          <w:color w:val="000000"/>
          <w:lang w:val="en-US"/>
        </w:rPr>
        <w:t>: A Systematic Review</w:t>
      </w:r>
    </w:p>
    <w:p w14:paraId="06688931" w14:textId="77777777" w:rsidR="002E018A" w:rsidRPr="00AB0BD3" w:rsidRDefault="002E018A" w:rsidP="002E018A">
      <w:pPr>
        <w:spacing w:after="42" w:line="360" w:lineRule="auto"/>
        <w:ind w:left="89"/>
        <w:jc w:val="center"/>
        <w:rPr>
          <w:rFonts w:ascii="Arial" w:hAnsi="Arial" w:cs="Arial"/>
          <w:b/>
          <w:bCs/>
        </w:rPr>
      </w:pPr>
      <w:r w:rsidRPr="00AB0BD3">
        <w:rPr>
          <w:rFonts w:ascii="Arial" w:hAnsi="Arial" w:cs="Arial"/>
          <w:b/>
          <w:bCs/>
        </w:rPr>
        <w:t xml:space="preserve"> </w:t>
      </w:r>
    </w:p>
    <w:p w14:paraId="7363D0E0" w14:textId="77777777" w:rsidR="002E018A" w:rsidRPr="00AB0BD3" w:rsidRDefault="002E018A" w:rsidP="002E018A">
      <w:pPr>
        <w:spacing w:after="157" w:line="360" w:lineRule="auto"/>
        <w:ind w:left="2367" w:right="2358"/>
        <w:jc w:val="center"/>
        <w:rPr>
          <w:rFonts w:ascii="Arial" w:hAnsi="Arial" w:cs="Arial"/>
          <w:b/>
          <w:bCs/>
          <w:sz w:val="28"/>
          <w:szCs w:val="28"/>
        </w:rPr>
      </w:pPr>
      <w:r w:rsidRPr="00AB0BD3">
        <w:rPr>
          <w:rFonts w:ascii="Arial" w:hAnsi="Arial" w:cs="Arial"/>
          <w:b/>
          <w:bCs/>
          <w:sz w:val="28"/>
          <w:szCs w:val="28"/>
        </w:rPr>
        <w:t xml:space="preserve">by </w:t>
      </w:r>
    </w:p>
    <w:p w14:paraId="5751046E" w14:textId="77777777" w:rsidR="002E018A" w:rsidRPr="00AB0BD3" w:rsidRDefault="002E018A" w:rsidP="002E018A">
      <w:pPr>
        <w:spacing w:after="158" w:line="360" w:lineRule="auto"/>
        <w:ind w:left="59"/>
        <w:jc w:val="center"/>
        <w:rPr>
          <w:rFonts w:ascii="Arial" w:hAnsi="Arial" w:cs="Arial"/>
        </w:rPr>
      </w:pPr>
      <w:r w:rsidRPr="00AB0BD3">
        <w:rPr>
          <w:rFonts w:ascii="Arial" w:hAnsi="Arial" w:cs="Arial"/>
        </w:rPr>
        <w:t xml:space="preserve"> </w:t>
      </w:r>
    </w:p>
    <w:p w14:paraId="5A23CEE5" w14:textId="57C4A083" w:rsidR="002E018A" w:rsidRPr="00570C95" w:rsidRDefault="002E018A" w:rsidP="002E018A">
      <w:pPr>
        <w:spacing w:after="158" w:line="360" w:lineRule="auto"/>
        <w:ind w:left="59"/>
        <w:jc w:val="center"/>
        <w:rPr>
          <w:rFonts w:ascii="Arial" w:hAnsi="Arial" w:cs="Arial"/>
          <w:b/>
          <w:bCs/>
        </w:rPr>
      </w:pPr>
      <w:r w:rsidRPr="00570C95">
        <w:rPr>
          <w:rFonts w:ascii="Arial" w:hAnsi="Arial" w:cs="Arial"/>
          <w:b/>
          <w:bCs/>
        </w:rPr>
        <w:t>Kruti</w:t>
      </w:r>
      <w:r w:rsidR="00570C95" w:rsidRPr="00570C95">
        <w:rPr>
          <w:rFonts w:ascii="Arial" w:hAnsi="Arial" w:cs="Arial"/>
          <w:b/>
          <w:bCs/>
        </w:rPr>
        <w:t xml:space="preserve"> Borad</w:t>
      </w:r>
    </w:p>
    <w:p w14:paraId="2AC5065A" w14:textId="77777777" w:rsidR="002E018A" w:rsidRPr="00AB0BD3" w:rsidRDefault="002E018A" w:rsidP="002E018A">
      <w:pPr>
        <w:spacing w:after="156" w:line="360" w:lineRule="auto"/>
        <w:ind w:left="59"/>
        <w:jc w:val="center"/>
        <w:rPr>
          <w:rFonts w:ascii="Arial" w:hAnsi="Arial" w:cs="Arial"/>
        </w:rPr>
      </w:pPr>
      <w:r w:rsidRPr="00AB0BD3">
        <w:rPr>
          <w:rFonts w:ascii="Arial" w:hAnsi="Arial" w:cs="Arial"/>
        </w:rPr>
        <w:t xml:space="preserve">   </w:t>
      </w:r>
    </w:p>
    <w:p w14:paraId="63917865" w14:textId="1CD6C1E9" w:rsidR="002E018A" w:rsidRPr="00AB0BD3" w:rsidRDefault="002E018A" w:rsidP="002E018A">
      <w:pPr>
        <w:spacing w:after="156" w:line="360" w:lineRule="auto"/>
        <w:ind w:left="59"/>
        <w:jc w:val="center"/>
        <w:rPr>
          <w:rFonts w:ascii="Arial" w:hAnsi="Arial" w:cs="Arial"/>
        </w:rPr>
      </w:pPr>
      <w:r w:rsidRPr="00AB0BD3">
        <w:rPr>
          <w:rFonts w:ascii="Arial" w:hAnsi="Arial" w:cs="Arial"/>
        </w:rPr>
        <w:t xml:space="preserve">A Dissertation submitted in partial fulfilment of the requirements for the degree of </w:t>
      </w:r>
      <w:r w:rsidR="00FB66E1">
        <w:rPr>
          <w:rFonts w:ascii="Arial" w:hAnsi="Arial" w:cs="Arial"/>
        </w:rPr>
        <w:t>Master</w:t>
      </w:r>
      <w:r w:rsidRPr="00AB0BD3">
        <w:rPr>
          <w:rFonts w:ascii="Arial" w:hAnsi="Arial" w:cs="Arial"/>
        </w:rPr>
        <w:t xml:space="preserve"> of Science in Public Health and Social Care in Practice</w:t>
      </w:r>
    </w:p>
    <w:p w14:paraId="5EC4A264" w14:textId="77777777" w:rsidR="002E018A" w:rsidRPr="00AB0BD3" w:rsidRDefault="002E018A" w:rsidP="002E018A">
      <w:pPr>
        <w:spacing w:after="169" w:line="360" w:lineRule="auto"/>
        <w:jc w:val="center"/>
        <w:rPr>
          <w:rFonts w:ascii="Arial" w:hAnsi="Arial" w:cs="Arial"/>
          <w:b/>
          <w:bCs/>
        </w:rPr>
      </w:pPr>
    </w:p>
    <w:p w14:paraId="3896BF27" w14:textId="77777777" w:rsidR="002E018A" w:rsidRPr="00AB0BD3" w:rsidRDefault="002E018A" w:rsidP="002E018A">
      <w:pPr>
        <w:spacing w:after="169" w:line="360" w:lineRule="auto"/>
        <w:jc w:val="center"/>
        <w:rPr>
          <w:rFonts w:ascii="Arial" w:hAnsi="Arial" w:cs="Arial"/>
          <w:b/>
          <w:bCs/>
        </w:rPr>
      </w:pPr>
      <w:r w:rsidRPr="00AB0BD3">
        <w:rPr>
          <w:rFonts w:ascii="Arial" w:hAnsi="Arial" w:cs="Arial"/>
          <w:b/>
          <w:bCs/>
        </w:rPr>
        <w:t>The Institute of Inner-City Learning</w:t>
      </w:r>
    </w:p>
    <w:p w14:paraId="0A30196E" w14:textId="77777777" w:rsidR="002E018A" w:rsidRPr="00AB0BD3" w:rsidRDefault="002E018A" w:rsidP="002E018A">
      <w:pPr>
        <w:spacing w:after="169" w:line="360" w:lineRule="auto"/>
        <w:jc w:val="center"/>
        <w:rPr>
          <w:rFonts w:ascii="Arial" w:hAnsi="Arial" w:cs="Arial"/>
          <w:b/>
          <w:bCs/>
        </w:rPr>
      </w:pPr>
      <w:r w:rsidRPr="00AB0BD3">
        <w:rPr>
          <w:rFonts w:ascii="Arial" w:hAnsi="Arial" w:cs="Arial"/>
          <w:b/>
          <w:bCs/>
        </w:rPr>
        <w:t>University of Wales Trinity Saint David – London Campus</w:t>
      </w:r>
    </w:p>
    <w:p w14:paraId="724C57C4" w14:textId="77777777" w:rsidR="002E018A" w:rsidRPr="00AB0BD3" w:rsidRDefault="002E018A" w:rsidP="002E018A">
      <w:pPr>
        <w:spacing w:after="157" w:line="360" w:lineRule="auto"/>
        <w:ind w:left="2367" w:right="2357"/>
        <w:jc w:val="center"/>
        <w:rPr>
          <w:rFonts w:ascii="Arial" w:hAnsi="Arial" w:cs="Arial"/>
          <w:b/>
          <w:bCs/>
        </w:rPr>
      </w:pPr>
    </w:p>
    <w:p w14:paraId="75CFECFE" w14:textId="3B6CAF14" w:rsidR="002E018A" w:rsidRPr="00AB0BD3" w:rsidRDefault="00490080" w:rsidP="002E018A">
      <w:pPr>
        <w:spacing w:after="157" w:line="360" w:lineRule="auto"/>
        <w:ind w:left="2367" w:right="2357"/>
        <w:jc w:val="center"/>
        <w:rPr>
          <w:rFonts w:ascii="Arial" w:hAnsi="Arial" w:cs="Arial"/>
          <w:b/>
          <w:bCs/>
        </w:rPr>
      </w:pPr>
      <w:r>
        <w:rPr>
          <w:rFonts w:ascii="Arial" w:hAnsi="Arial" w:cs="Arial"/>
          <w:b/>
          <w:bCs/>
        </w:rPr>
        <w:t>January, 2026</w:t>
      </w:r>
    </w:p>
    <w:p w14:paraId="44C3B09A" w14:textId="77777777" w:rsidR="002E018A" w:rsidRPr="00AB0BD3" w:rsidRDefault="002E018A" w:rsidP="002E018A">
      <w:pPr>
        <w:rPr>
          <w:rFonts w:ascii="Arial" w:hAnsi="Arial" w:cs="Arial"/>
          <w:lang w:val="en-US"/>
        </w:rPr>
      </w:pPr>
    </w:p>
    <w:p w14:paraId="225AE62E" w14:textId="77777777" w:rsidR="002E018A" w:rsidRDefault="002E018A" w:rsidP="002E018A">
      <w:pPr>
        <w:rPr>
          <w:rFonts w:ascii="Arial" w:hAnsi="Arial" w:cs="Arial"/>
          <w:lang w:val="en-US"/>
        </w:rPr>
      </w:pPr>
    </w:p>
    <w:p w14:paraId="393054F8" w14:textId="77777777" w:rsidR="00F50BD3" w:rsidRDefault="00F50BD3" w:rsidP="002E018A">
      <w:pPr>
        <w:rPr>
          <w:rFonts w:ascii="Arial" w:hAnsi="Arial" w:cs="Arial"/>
          <w:lang w:val="en-US"/>
        </w:rPr>
      </w:pPr>
    </w:p>
    <w:p w14:paraId="26EF4E17" w14:textId="77777777" w:rsidR="00F50BD3" w:rsidRDefault="00F50BD3" w:rsidP="002E018A">
      <w:pPr>
        <w:rPr>
          <w:rFonts w:ascii="Arial" w:hAnsi="Arial" w:cs="Arial"/>
          <w:lang w:val="en-US"/>
        </w:rPr>
      </w:pPr>
    </w:p>
    <w:p w14:paraId="4658A82C" w14:textId="77777777" w:rsidR="00F50BD3" w:rsidRDefault="00F50BD3" w:rsidP="002E018A">
      <w:pPr>
        <w:rPr>
          <w:rFonts w:ascii="Arial" w:hAnsi="Arial" w:cs="Arial"/>
          <w:lang w:val="en-US"/>
        </w:rPr>
      </w:pPr>
    </w:p>
    <w:p w14:paraId="4ADDF660" w14:textId="77777777" w:rsidR="003F434E" w:rsidRPr="009D2180" w:rsidRDefault="003F434E" w:rsidP="003F434E">
      <w:pPr>
        <w:spacing w:line="360" w:lineRule="auto"/>
        <w:rPr>
          <w:rFonts w:ascii="Arial" w:hAnsi="Arial" w:cs="Arial"/>
          <w:b/>
          <w:bCs/>
        </w:rPr>
      </w:pPr>
      <w:r w:rsidRPr="00E955DE">
        <w:rPr>
          <w:rFonts w:ascii="Arial" w:eastAsia="Times New Roman" w:hAnsi="Arial" w:cs="Arial"/>
          <w:b/>
          <w:bCs/>
          <w:color w:val="000000" w:themeColor="text1"/>
          <w:lang w:val="hr-HR"/>
        </w:rPr>
        <w:lastRenderedPageBreak/>
        <w:t>DECLARATION</w:t>
      </w:r>
    </w:p>
    <w:p w14:paraId="4041AF65" w14:textId="77777777" w:rsidR="003F434E" w:rsidRPr="00E955DE" w:rsidRDefault="003F434E" w:rsidP="003F434E">
      <w:pPr>
        <w:spacing w:after="200" w:line="360" w:lineRule="auto"/>
        <w:rPr>
          <w:rFonts w:ascii="Arial" w:eastAsia="Times New Roman" w:hAnsi="Arial" w:cs="Arial"/>
          <w:color w:val="000000" w:themeColor="text1"/>
          <w:lang w:val="hr-HR"/>
        </w:rPr>
      </w:pPr>
    </w:p>
    <w:p w14:paraId="32F28C76" w14:textId="4ECD89B1" w:rsidR="003F434E" w:rsidRPr="00E955DE" w:rsidRDefault="003F434E" w:rsidP="003F434E">
      <w:pPr>
        <w:spacing w:after="200" w:line="360" w:lineRule="auto"/>
        <w:rPr>
          <w:rFonts w:ascii="Arial" w:eastAsia="Times New Roman" w:hAnsi="Arial" w:cs="Arial"/>
          <w:color w:val="000000" w:themeColor="text1"/>
          <w:lang w:val="hr-HR"/>
        </w:rPr>
      </w:pPr>
      <w:r w:rsidRPr="00E955DE">
        <w:rPr>
          <w:rFonts w:ascii="Arial" w:hAnsi="Arial" w:cs="Arial"/>
          <w:noProof/>
        </w:rPr>
        <mc:AlternateContent>
          <mc:Choice Requires="wpi">
            <w:drawing>
              <wp:anchor distT="0" distB="0" distL="114300" distR="114300" simplePos="0" relativeHeight="251677696" behindDoc="0" locked="0" layoutInCell="1" allowOverlap="1" wp14:anchorId="63C00FF4" wp14:editId="5A30F3CF">
                <wp:simplePos x="0" y="0"/>
                <wp:positionH relativeFrom="column">
                  <wp:posOffset>-1623695</wp:posOffset>
                </wp:positionH>
                <wp:positionV relativeFrom="paragraph">
                  <wp:posOffset>235585</wp:posOffset>
                </wp:positionV>
                <wp:extent cx="18415" cy="18415"/>
                <wp:effectExtent l="62230" t="65405" r="52705" b="59055"/>
                <wp:wrapNone/>
                <wp:docPr id="1585084435" name="Ink 16"/>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8">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type w14:anchorId="4B39493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6" o:spid="_x0000_s1026" type="#_x0000_t75" style="position:absolute;margin-left:-164.1pt;margin-top:-17.7pt;width:72.5pt;height:72.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">
                <v:imagedata r:id="rId9" o:title=""/>
                <o:lock v:ext="edit" rotation="t" verticies="t" shapetype="t"/>
              </v:shape>
            </w:pict>
          </mc:Fallback>
        </mc:AlternateContent>
      </w:r>
      <w:r w:rsidRPr="00E955DE">
        <w:rPr>
          <w:rFonts w:ascii="Arial" w:hAnsi="Arial" w:cs="Arial"/>
          <w:noProof/>
        </w:rPr>
        <mc:AlternateContent>
          <mc:Choice Requires="wpi">
            <w:drawing>
              <wp:anchor distT="0" distB="0" distL="114300" distR="114300" simplePos="0" relativeHeight="251678720" behindDoc="0" locked="0" layoutInCell="1" allowOverlap="1" wp14:anchorId="230622D2" wp14:editId="3D7284DE">
                <wp:simplePos x="0" y="0"/>
                <wp:positionH relativeFrom="column">
                  <wp:posOffset>-1623695</wp:posOffset>
                </wp:positionH>
                <wp:positionV relativeFrom="paragraph">
                  <wp:posOffset>241935</wp:posOffset>
                </wp:positionV>
                <wp:extent cx="18415" cy="23495"/>
                <wp:effectExtent l="62230" t="62230" r="52705" b="47625"/>
                <wp:wrapNone/>
                <wp:docPr id="1665893575" name="Ink 15"/>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0">
                      <w14:nvContentPartPr>
                        <w14:cNvContentPartPr>
                          <a14:cpLocks xmlns:a14="http://schemas.microsoft.com/office/drawing/2010/main" noRot="1" noChangeAspect="1" noEditPoints="1" noChangeArrowheads="1" noChangeShapeType="1"/>
                        </w14:cNvContentPartPr>
                      </w14:nvContentPartPr>
                      <w14:xfrm>
                        <a:off x="0" y="0"/>
                        <a:ext cx="18415" cy="23495"/>
                      </w14:xfrm>
                    </w14:contentPart>
                  </a:graphicData>
                </a:graphic>
                <wp14:sizeRelH relativeFrom="page">
                  <wp14:pctWidth>0</wp14:pctWidth>
                </wp14:sizeRelH>
                <wp14:sizeRelV relativeFrom="page">
                  <wp14:pctHeight>0</wp14:pctHeight>
                </wp14:sizeRelV>
              </wp:anchor>
            </w:drawing>
          </mc:Choice>
          <mc:Fallback>
            <w:pict>
              <v:shape w14:anchorId="573C7639" id="Ink 15" o:spid="_x0000_s1026" type="#_x0000_t75" style="position:absolute;margin-left:-164.1pt;margin-top:18.35pt;width:72.5pt;height:3.2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">
                <v:imagedata r:id="rId11" o:title=""/>
                <o:lock v:ext="edit" rotation="t" verticies="t" shapetype="t"/>
              </v:shape>
            </w:pict>
          </mc:Fallback>
        </mc:AlternateContent>
      </w:r>
      <w:r w:rsidRPr="00E955DE">
        <w:rPr>
          <w:rFonts w:ascii="Arial" w:hAnsi="Arial" w:cs="Arial"/>
          <w:noProof/>
        </w:rPr>
        <mc:AlternateContent>
          <mc:Choice Requires="wpi">
            <w:drawing>
              <wp:anchor distT="0" distB="0" distL="114300" distR="114300" simplePos="0" relativeHeight="251679744" behindDoc="0" locked="0" layoutInCell="1" allowOverlap="1" wp14:anchorId="6D60036D" wp14:editId="17705114">
                <wp:simplePos x="0" y="0"/>
                <wp:positionH relativeFrom="column">
                  <wp:posOffset>-1623695</wp:posOffset>
                </wp:positionH>
                <wp:positionV relativeFrom="paragraph">
                  <wp:posOffset>245745</wp:posOffset>
                </wp:positionV>
                <wp:extent cx="18415" cy="18415"/>
                <wp:effectExtent l="62230" t="66040" r="52705" b="58420"/>
                <wp:wrapNone/>
                <wp:docPr id="292278982" name="Ink 14"/>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2">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 w14:anchorId="2624D33F" id="Ink 14" o:spid="_x0000_s1026" type="#_x0000_t75" style="position:absolute;margin-left:-164.1pt;margin-top:-16.9pt;width:72.5pt;height:72.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">
                <v:imagedata r:id="rId9" o:title=""/>
                <o:lock v:ext="edit" rotation="t" verticies="t" shapetype="t"/>
              </v:shape>
            </w:pict>
          </mc:Fallback>
        </mc:AlternateContent>
      </w:r>
      <w:r w:rsidRPr="00E955DE">
        <w:rPr>
          <w:rFonts w:ascii="Arial" w:hAnsi="Arial" w:cs="Arial"/>
          <w:noProof/>
        </w:rPr>
        <mc:AlternateContent>
          <mc:Choice Requires="wpi">
            <w:drawing>
              <wp:anchor distT="0" distB="0" distL="114300" distR="114300" simplePos="0" relativeHeight="251680768" behindDoc="0" locked="0" layoutInCell="1" allowOverlap="1" wp14:anchorId="4AE33612" wp14:editId="099E2729">
                <wp:simplePos x="0" y="0"/>
                <wp:positionH relativeFrom="column">
                  <wp:posOffset>-1935480</wp:posOffset>
                </wp:positionH>
                <wp:positionV relativeFrom="paragraph">
                  <wp:posOffset>243840</wp:posOffset>
                </wp:positionV>
                <wp:extent cx="18415" cy="18415"/>
                <wp:effectExtent l="64770" t="63500" r="50165" b="51435"/>
                <wp:wrapNone/>
                <wp:docPr id="968857555" name="Ink 11"/>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3">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 w14:anchorId="016AEE2C" id="Ink 11" o:spid="_x0000_s1026" type="#_x0000_t75" style="position:absolute;margin-left:-188.65pt;margin-top:-17.05pt;width:72.5pt;height:72.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">
                <v:imagedata r:id="rId9" o:title=""/>
                <o:lock v:ext="edit" rotation="t" verticies="t" shapetype="t"/>
              </v:shape>
            </w:pict>
          </mc:Fallback>
        </mc:AlternateContent>
      </w:r>
      <w:r w:rsidRPr="00E955DE">
        <w:rPr>
          <w:rFonts w:ascii="Arial" w:eastAsia="Times New Roman" w:hAnsi="Arial" w:cs="Arial"/>
          <w:color w:val="000000" w:themeColor="text1"/>
          <w:lang w:val="hr-HR"/>
        </w:rPr>
        <w:t xml:space="preserve">I, </w:t>
      </w:r>
      <w:r>
        <w:rPr>
          <w:rFonts w:ascii="Arial" w:eastAsia="Times New Roman" w:hAnsi="Arial" w:cs="Arial"/>
          <w:color w:val="000000" w:themeColor="text1"/>
          <w:lang w:val="hr-HR"/>
        </w:rPr>
        <w:t>Kruti Borad</w:t>
      </w:r>
      <w:r w:rsidR="004F2450">
        <w:rPr>
          <w:rFonts w:ascii="Arial" w:eastAsia="Times New Roman" w:hAnsi="Arial" w:cs="Arial"/>
          <w:color w:val="000000" w:themeColor="text1"/>
          <w:lang w:val="hr-HR"/>
        </w:rPr>
        <w:t>,</w:t>
      </w:r>
      <w:r>
        <w:rPr>
          <w:rFonts w:ascii="Arial" w:eastAsia="Times New Roman" w:hAnsi="Arial" w:cs="Arial"/>
          <w:color w:val="000000" w:themeColor="text1"/>
          <w:lang w:val="hr-HR"/>
        </w:rPr>
        <w:t xml:space="preserve"> </w:t>
      </w:r>
      <w:r w:rsidRPr="00E955DE">
        <w:rPr>
          <w:rFonts w:ascii="Arial" w:eastAsia="Times New Roman" w:hAnsi="Arial" w:cs="Arial"/>
          <w:color w:val="000000" w:themeColor="text1"/>
          <w:lang w:val="hr-HR"/>
        </w:rPr>
        <w:t>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1E034B62" w14:textId="77777777" w:rsidR="003F434E" w:rsidRPr="00E955DE" w:rsidRDefault="003F434E" w:rsidP="003F434E">
      <w:pPr>
        <w:spacing w:after="200" w:line="360" w:lineRule="auto"/>
        <w:rPr>
          <w:rFonts w:ascii="Arial" w:eastAsia="Times New Roman" w:hAnsi="Arial" w:cs="Arial"/>
          <w:color w:val="000000" w:themeColor="text1"/>
          <w:lang w:val="hr-HR"/>
        </w:rPr>
      </w:pPr>
    </w:p>
    <w:p w14:paraId="7F6FB122" w14:textId="77777777" w:rsidR="003F434E" w:rsidRPr="00E955DE" w:rsidRDefault="003F434E" w:rsidP="003F434E">
      <w:pPr>
        <w:spacing w:after="200" w:line="360" w:lineRule="auto"/>
        <w:rPr>
          <w:rFonts w:ascii="Arial" w:eastAsia="Times New Roman" w:hAnsi="Arial" w:cs="Arial"/>
          <w:color w:val="000000" w:themeColor="text1"/>
          <w:lang w:val="hr-HR"/>
        </w:rPr>
      </w:pPr>
    </w:p>
    <w:p w14:paraId="7AEB70F1" w14:textId="77777777" w:rsidR="003F434E" w:rsidRPr="00E955DE" w:rsidRDefault="003F434E" w:rsidP="003F434E">
      <w:pPr>
        <w:spacing w:after="200" w:line="360" w:lineRule="auto"/>
        <w:rPr>
          <w:rFonts w:ascii="Arial" w:eastAsia="Times New Roman" w:hAnsi="Arial" w:cs="Arial"/>
          <w:color w:val="000000" w:themeColor="text1"/>
          <w:lang w:val="hr-HR"/>
        </w:rPr>
      </w:pPr>
      <w:r w:rsidRPr="00E955DE">
        <w:rPr>
          <w:rFonts w:ascii="Arial" w:eastAsia="Times New Roman" w:hAnsi="Arial" w:cs="Arial"/>
          <w:color w:val="000000" w:themeColor="text1"/>
          <w:lang w:val="hr-HR"/>
        </w:rPr>
        <w:t>Signed:………………………………………………</w:t>
      </w:r>
    </w:p>
    <w:p w14:paraId="3558B6AD" w14:textId="77777777" w:rsidR="003F434E" w:rsidRPr="00E955DE" w:rsidRDefault="003F434E" w:rsidP="003F434E">
      <w:pPr>
        <w:spacing w:after="200" w:line="360" w:lineRule="auto"/>
        <w:rPr>
          <w:rFonts w:ascii="Arial" w:eastAsia="Times New Roman" w:hAnsi="Arial" w:cs="Arial"/>
          <w:color w:val="000000" w:themeColor="text1"/>
          <w:lang w:val="hr-HR"/>
        </w:rPr>
      </w:pPr>
    </w:p>
    <w:p w14:paraId="2764DEB2" w14:textId="77777777" w:rsidR="003F434E" w:rsidRPr="00E955DE" w:rsidRDefault="003F434E" w:rsidP="003F434E">
      <w:pPr>
        <w:spacing w:after="200" w:line="360" w:lineRule="auto"/>
        <w:rPr>
          <w:rFonts w:ascii="Arial" w:eastAsia="Times New Roman" w:hAnsi="Arial" w:cs="Arial"/>
          <w:color w:val="000000" w:themeColor="text1"/>
          <w:lang w:val="hr-HR"/>
        </w:rPr>
      </w:pPr>
      <w:r w:rsidRPr="00E955DE">
        <w:rPr>
          <w:rFonts w:ascii="Arial" w:eastAsia="Times New Roman" w:hAnsi="Arial" w:cs="Arial"/>
          <w:color w:val="000000" w:themeColor="text1"/>
          <w:lang w:val="hr-HR"/>
        </w:rPr>
        <w:t>Date:...………………………………………………</w:t>
      </w:r>
    </w:p>
    <w:p w14:paraId="2A3EEB84" w14:textId="77777777" w:rsidR="003F434E" w:rsidRDefault="003F434E" w:rsidP="002E018A">
      <w:pPr>
        <w:rPr>
          <w:rFonts w:ascii="Arial" w:hAnsi="Arial" w:cs="Arial"/>
          <w:lang w:val="en-US"/>
        </w:rPr>
      </w:pPr>
    </w:p>
    <w:p w14:paraId="22D4C9FA" w14:textId="77777777" w:rsidR="003F434E" w:rsidRDefault="003F434E" w:rsidP="002E018A">
      <w:pPr>
        <w:rPr>
          <w:rFonts w:ascii="Arial" w:hAnsi="Arial" w:cs="Arial"/>
          <w:lang w:val="en-US"/>
        </w:rPr>
      </w:pPr>
    </w:p>
    <w:p w14:paraId="57E19E52" w14:textId="77777777" w:rsidR="003F434E" w:rsidRDefault="003F434E" w:rsidP="002E018A">
      <w:pPr>
        <w:rPr>
          <w:rFonts w:ascii="Arial" w:hAnsi="Arial" w:cs="Arial"/>
          <w:lang w:val="en-US"/>
        </w:rPr>
      </w:pPr>
    </w:p>
    <w:p w14:paraId="2662A7B3" w14:textId="77777777" w:rsidR="003F434E" w:rsidRDefault="003F434E" w:rsidP="002E018A">
      <w:pPr>
        <w:rPr>
          <w:rFonts w:ascii="Arial" w:hAnsi="Arial" w:cs="Arial"/>
          <w:lang w:val="en-US"/>
        </w:rPr>
      </w:pPr>
    </w:p>
    <w:p w14:paraId="6B5EAE28" w14:textId="77777777" w:rsidR="003F434E" w:rsidRDefault="003F434E" w:rsidP="002E018A">
      <w:pPr>
        <w:rPr>
          <w:rFonts w:ascii="Arial" w:hAnsi="Arial" w:cs="Arial"/>
          <w:lang w:val="en-US"/>
        </w:rPr>
      </w:pPr>
    </w:p>
    <w:p w14:paraId="483C85DE" w14:textId="77777777" w:rsidR="003F434E" w:rsidRDefault="003F434E" w:rsidP="002E018A">
      <w:pPr>
        <w:rPr>
          <w:rFonts w:ascii="Arial" w:hAnsi="Arial" w:cs="Arial"/>
          <w:lang w:val="en-US"/>
        </w:rPr>
      </w:pPr>
    </w:p>
    <w:p w14:paraId="76B8E12C" w14:textId="77777777" w:rsidR="003F434E" w:rsidRDefault="003F434E" w:rsidP="002E018A">
      <w:pPr>
        <w:rPr>
          <w:rFonts w:ascii="Arial" w:hAnsi="Arial" w:cs="Arial"/>
          <w:lang w:val="en-US"/>
        </w:rPr>
      </w:pPr>
    </w:p>
    <w:p w14:paraId="6A16F180" w14:textId="77777777" w:rsidR="003F434E" w:rsidRDefault="003F434E" w:rsidP="002E018A">
      <w:pPr>
        <w:rPr>
          <w:rFonts w:ascii="Arial" w:hAnsi="Arial" w:cs="Arial"/>
          <w:lang w:val="en-US"/>
        </w:rPr>
      </w:pPr>
    </w:p>
    <w:p w14:paraId="45D96E5E" w14:textId="77777777" w:rsidR="003F434E" w:rsidRDefault="003F434E" w:rsidP="002E018A">
      <w:pPr>
        <w:rPr>
          <w:rFonts w:ascii="Arial" w:hAnsi="Arial" w:cs="Arial"/>
          <w:lang w:val="en-US"/>
        </w:rPr>
      </w:pPr>
    </w:p>
    <w:p w14:paraId="628B5648" w14:textId="77777777" w:rsidR="003F434E" w:rsidRDefault="003F434E" w:rsidP="002E018A">
      <w:pPr>
        <w:rPr>
          <w:rFonts w:ascii="Arial" w:hAnsi="Arial" w:cs="Arial"/>
          <w:lang w:val="en-US"/>
        </w:rPr>
      </w:pPr>
    </w:p>
    <w:p w14:paraId="5D21E255" w14:textId="77777777" w:rsidR="003F434E" w:rsidRDefault="003F434E" w:rsidP="002E018A">
      <w:pPr>
        <w:rPr>
          <w:rFonts w:ascii="Arial" w:hAnsi="Arial" w:cs="Arial"/>
          <w:lang w:val="en-US"/>
        </w:rPr>
      </w:pPr>
    </w:p>
    <w:p w14:paraId="04261240" w14:textId="77777777" w:rsidR="003F434E" w:rsidRDefault="003F434E" w:rsidP="002E018A">
      <w:pPr>
        <w:rPr>
          <w:rFonts w:ascii="Arial" w:hAnsi="Arial" w:cs="Arial"/>
          <w:lang w:val="en-US"/>
        </w:rPr>
      </w:pPr>
    </w:p>
    <w:p w14:paraId="09AE54CD" w14:textId="77777777" w:rsidR="003F434E" w:rsidRDefault="003F434E" w:rsidP="002E018A">
      <w:pPr>
        <w:rPr>
          <w:rFonts w:ascii="Arial" w:hAnsi="Arial" w:cs="Arial"/>
          <w:lang w:val="en-US"/>
        </w:rPr>
      </w:pPr>
    </w:p>
    <w:p w14:paraId="66E241C2" w14:textId="77777777" w:rsidR="003F434E" w:rsidRDefault="003F434E" w:rsidP="002E018A">
      <w:pPr>
        <w:rPr>
          <w:rFonts w:ascii="Arial" w:hAnsi="Arial" w:cs="Arial"/>
          <w:lang w:val="en-US"/>
        </w:rPr>
      </w:pPr>
    </w:p>
    <w:p w14:paraId="032BB808" w14:textId="77777777" w:rsidR="003F434E" w:rsidRDefault="003F434E" w:rsidP="002E018A">
      <w:pPr>
        <w:rPr>
          <w:rFonts w:ascii="Arial" w:hAnsi="Arial" w:cs="Arial"/>
          <w:lang w:val="en-US"/>
        </w:rPr>
      </w:pPr>
    </w:p>
    <w:p w14:paraId="0D04356F" w14:textId="77777777" w:rsidR="003F434E" w:rsidRDefault="003F434E" w:rsidP="002E018A">
      <w:pPr>
        <w:rPr>
          <w:rFonts w:ascii="Arial" w:hAnsi="Arial" w:cs="Arial"/>
          <w:lang w:val="en-US"/>
        </w:rPr>
      </w:pPr>
    </w:p>
    <w:p w14:paraId="507D2205" w14:textId="77777777" w:rsidR="00F50BD3" w:rsidRPr="00F50BD3" w:rsidRDefault="00F50BD3" w:rsidP="00FB66E1">
      <w:pPr>
        <w:spacing w:line="360" w:lineRule="auto"/>
        <w:jc w:val="center"/>
        <w:rPr>
          <w:rFonts w:ascii="Arial" w:hAnsi="Arial" w:cs="Arial"/>
        </w:rPr>
      </w:pPr>
      <w:r w:rsidRPr="00F50BD3">
        <w:rPr>
          <w:rFonts w:ascii="Arial" w:hAnsi="Arial" w:cs="Arial"/>
          <w:b/>
          <w:bCs/>
        </w:rPr>
        <w:lastRenderedPageBreak/>
        <w:t>Abstract</w:t>
      </w:r>
    </w:p>
    <w:p w14:paraId="6B8F0809" w14:textId="77777777" w:rsidR="00F50BD3" w:rsidRPr="00F50BD3" w:rsidRDefault="00F50BD3" w:rsidP="00A66B7A">
      <w:pPr>
        <w:spacing w:line="360" w:lineRule="auto"/>
        <w:jc w:val="both"/>
        <w:rPr>
          <w:rFonts w:ascii="Arial" w:hAnsi="Arial" w:cs="Arial"/>
        </w:rPr>
      </w:pPr>
      <w:r w:rsidRPr="00F50BD3">
        <w:rPr>
          <w:rFonts w:ascii="Arial" w:hAnsi="Arial" w:cs="Arial"/>
        </w:rPr>
        <w:t>Tuberculosis (TB) remains a major public health challenge in India, with Delhi’s high-risk districts experiencing a disproportionately high burden due to overcrowding, migration, and socio-economic deprivation. Bacillus Calmette–Guérin (BCG) vaccination has long been a cornerstone of TB prevention; however, its effectiveness in adult populations and high-risk urban settings remains uncertain. This systematic review aimed to evaluate the impact of BCG vaccination campaigns on TB control among populations aged 15–60 years in selected high-risk districts of Delhi, India. Using PRISMA-guided methods, peer-reviewed studies published between 2010 and 2025 were systematically identified and synthesised. Evidence from modelling, observational, qualitative, and policy-focused studies was analysed to examine trends in TB incidence and morbidity, vaccination coverage and outreach, and barriers to effective programme implementation.</w:t>
      </w:r>
    </w:p>
    <w:p w14:paraId="69342286" w14:textId="7EE25DA4" w:rsidR="00F50BD3" w:rsidRPr="00F50BD3" w:rsidRDefault="00F50BD3" w:rsidP="00A66B7A">
      <w:pPr>
        <w:spacing w:line="360" w:lineRule="auto"/>
        <w:jc w:val="both"/>
        <w:rPr>
          <w:rFonts w:ascii="Arial" w:hAnsi="Arial" w:cs="Arial"/>
        </w:rPr>
      </w:pPr>
      <w:r w:rsidRPr="00F50BD3">
        <w:rPr>
          <w:rFonts w:ascii="Arial" w:hAnsi="Arial" w:cs="Arial"/>
        </w:rPr>
        <w:t>The findings indicate that while BCG vaccination and revaccination have a modest direct impact on adult TB incidence, their population-level benefits are contextually significant when strategically targeted and integrated with broader TB control measures. Persistent challenges</w:t>
      </w:r>
      <w:r w:rsidR="00A66B7A">
        <w:rPr>
          <w:rFonts w:ascii="Arial" w:hAnsi="Arial" w:cs="Arial"/>
        </w:rPr>
        <w:t xml:space="preserve">, </w:t>
      </w:r>
      <w:r w:rsidRPr="00F50BD3">
        <w:rPr>
          <w:rFonts w:ascii="Arial" w:hAnsi="Arial" w:cs="Arial"/>
        </w:rPr>
        <w:t>including inequitable coverage, limited outreach to migrants and urban poor populations, socio-cultural resistance, and health-system constraints</w:t>
      </w:r>
      <w:r w:rsidR="00A66B7A">
        <w:rPr>
          <w:rFonts w:ascii="Arial" w:hAnsi="Arial" w:cs="Arial"/>
        </w:rPr>
        <w:t xml:space="preserve">, </w:t>
      </w:r>
      <w:r w:rsidRPr="00F50BD3">
        <w:rPr>
          <w:rFonts w:ascii="Arial" w:hAnsi="Arial" w:cs="Arial"/>
        </w:rPr>
        <w:t>substantially undermine campaign effectiveness. Reported coverage rates often masked delays and missed vaccination opportunities among vulnerable groups. Evidence consistently supported the need for equity-focused, risk-based strategies, strengthened routine primary healthcare systems, and community-based delivery models. Emerging research on BCG revaccination and novel TB vaccines further highlights opportunities to enhance adult protection if supported by robust implementation frameworks. Overall, the review underscores that optimising BCG campaign design, delivery, and equity is essential for achieving sustainable TB control in high-burden urban settings such as Delhi.</w:t>
      </w:r>
    </w:p>
    <w:p w14:paraId="5A4D74D8" w14:textId="77777777" w:rsidR="00F50BD3" w:rsidRPr="00AB0BD3" w:rsidRDefault="00F50BD3" w:rsidP="00A66B7A">
      <w:pPr>
        <w:spacing w:line="360" w:lineRule="auto"/>
        <w:jc w:val="both"/>
        <w:rPr>
          <w:rFonts w:ascii="Arial" w:hAnsi="Arial" w:cs="Arial"/>
          <w:lang w:val="en-US"/>
        </w:rPr>
      </w:pPr>
    </w:p>
    <w:p w14:paraId="143D2B36" w14:textId="77777777" w:rsidR="002E018A" w:rsidRPr="00AB0BD3" w:rsidRDefault="002E018A" w:rsidP="002E018A">
      <w:pPr>
        <w:rPr>
          <w:rFonts w:ascii="Arial" w:hAnsi="Arial" w:cs="Arial"/>
          <w:lang w:val="en-US"/>
        </w:rPr>
      </w:pPr>
    </w:p>
    <w:p w14:paraId="09AF6873" w14:textId="77777777" w:rsidR="002E018A" w:rsidRPr="00AB0BD3" w:rsidRDefault="002E018A" w:rsidP="002E018A">
      <w:pPr>
        <w:rPr>
          <w:rFonts w:ascii="Arial" w:hAnsi="Arial" w:cs="Arial"/>
          <w:lang w:val="en-US"/>
        </w:rPr>
      </w:pPr>
    </w:p>
    <w:p w14:paraId="2946AF3D" w14:textId="77777777" w:rsidR="002E018A" w:rsidRDefault="002E018A" w:rsidP="002E018A">
      <w:pPr>
        <w:spacing w:before="240" w:line="360" w:lineRule="auto"/>
        <w:jc w:val="both"/>
        <w:rPr>
          <w:rFonts w:ascii="Arial" w:hAnsi="Arial" w:cs="Arial"/>
          <w:lang w:val="en-US"/>
        </w:rPr>
      </w:pPr>
    </w:p>
    <w:sdt>
      <w:sdtPr>
        <w:rPr>
          <w:rFonts w:asciiTheme="minorHAnsi" w:eastAsiaTheme="minorHAnsi" w:hAnsiTheme="minorHAnsi" w:cstheme="minorBidi"/>
          <w:color w:val="auto"/>
          <w:kern w:val="2"/>
          <w:sz w:val="24"/>
          <w:szCs w:val="24"/>
          <w:lang w:eastAsia="en-US"/>
          <w14:ligatures w14:val="standardContextual"/>
        </w:rPr>
        <w:id w:val="-679267686"/>
        <w:docPartObj>
          <w:docPartGallery w:val="Table of Contents"/>
          <w:docPartUnique/>
        </w:docPartObj>
      </w:sdtPr>
      <w:sdtEndPr>
        <w:rPr>
          <w:rFonts w:ascii="Arial" w:hAnsi="Arial" w:cs="Arial"/>
          <w:b/>
          <w:bCs/>
        </w:rPr>
      </w:sdtEndPr>
      <w:sdtContent>
        <w:p w14:paraId="26F391D2" w14:textId="5C481C73" w:rsidR="00584C66" w:rsidRPr="004F2450" w:rsidRDefault="00584C66" w:rsidP="004F2450">
          <w:pPr>
            <w:pStyle w:val="TOCHeading"/>
          </w:pPr>
          <w:r w:rsidRPr="004F2450">
            <w:t>Table of Contents</w:t>
          </w:r>
        </w:p>
        <w:p w14:paraId="0E036755" w14:textId="3E7663BA" w:rsidR="004F2450" w:rsidRPr="004F2450" w:rsidRDefault="00584C66" w:rsidP="004F2450">
          <w:pPr>
            <w:pStyle w:val="TOC1"/>
            <w:tabs>
              <w:tab w:val="right" w:leader="dot" w:pos="9016"/>
            </w:tabs>
            <w:spacing w:line="360" w:lineRule="auto"/>
            <w:jc w:val="both"/>
            <w:rPr>
              <w:rFonts w:ascii="Arial" w:eastAsiaTheme="minorEastAsia" w:hAnsi="Arial" w:cs="Arial"/>
              <w:noProof/>
              <w:lang w:eastAsia="en-GB"/>
            </w:rPr>
          </w:pPr>
          <w:r w:rsidRPr="004F2450">
            <w:rPr>
              <w:rFonts w:ascii="Arial" w:hAnsi="Arial" w:cs="Arial"/>
            </w:rPr>
            <w:fldChar w:fldCharType="begin"/>
          </w:r>
          <w:r w:rsidRPr="004F2450">
            <w:rPr>
              <w:rFonts w:ascii="Arial" w:hAnsi="Arial" w:cs="Arial"/>
            </w:rPr>
            <w:instrText xml:space="preserve"> TOC \o "1-3" \h \z \u </w:instrText>
          </w:r>
          <w:r w:rsidRPr="004F2450">
            <w:rPr>
              <w:rFonts w:ascii="Arial" w:hAnsi="Arial" w:cs="Arial"/>
            </w:rPr>
            <w:fldChar w:fldCharType="separate"/>
          </w:r>
          <w:hyperlink w:anchor="_Toc218418654" w:history="1">
            <w:r w:rsidR="004F2450" w:rsidRPr="004F2450">
              <w:rPr>
                <w:rStyle w:val="Hyperlink"/>
                <w:rFonts w:ascii="Arial" w:hAnsi="Arial" w:cs="Arial"/>
                <w:noProof/>
              </w:rPr>
              <w:t>Chapter 1: Introduction</w:t>
            </w:r>
            <w:r w:rsidR="004F2450" w:rsidRPr="004F2450">
              <w:rPr>
                <w:rFonts w:ascii="Arial" w:hAnsi="Arial" w:cs="Arial"/>
                <w:noProof/>
                <w:webHidden/>
              </w:rPr>
              <w:tab/>
            </w:r>
            <w:r w:rsidR="004F2450" w:rsidRPr="004F2450">
              <w:rPr>
                <w:rFonts w:ascii="Arial" w:hAnsi="Arial" w:cs="Arial"/>
                <w:noProof/>
                <w:webHidden/>
              </w:rPr>
              <w:fldChar w:fldCharType="begin"/>
            </w:r>
            <w:r w:rsidR="004F2450" w:rsidRPr="004F2450">
              <w:rPr>
                <w:rFonts w:ascii="Arial" w:hAnsi="Arial" w:cs="Arial"/>
                <w:noProof/>
                <w:webHidden/>
              </w:rPr>
              <w:instrText xml:space="preserve"> PAGEREF _Toc218418654 \h </w:instrText>
            </w:r>
            <w:r w:rsidR="004F2450" w:rsidRPr="004F2450">
              <w:rPr>
                <w:rFonts w:ascii="Arial" w:hAnsi="Arial" w:cs="Arial"/>
                <w:noProof/>
                <w:webHidden/>
              </w:rPr>
            </w:r>
            <w:r w:rsidR="004F2450" w:rsidRPr="004F2450">
              <w:rPr>
                <w:rFonts w:ascii="Arial" w:hAnsi="Arial" w:cs="Arial"/>
                <w:noProof/>
                <w:webHidden/>
              </w:rPr>
              <w:fldChar w:fldCharType="separate"/>
            </w:r>
            <w:r w:rsidR="00084D07">
              <w:rPr>
                <w:rFonts w:ascii="Arial" w:hAnsi="Arial" w:cs="Arial"/>
                <w:noProof/>
                <w:webHidden/>
              </w:rPr>
              <w:t>7</w:t>
            </w:r>
            <w:r w:rsidR="004F2450" w:rsidRPr="004F2450">
              <w:rPr>
                <w:rFonts w:ascii="Arial" w:hAnsi="Arial" w:cs="Arial"/>
                <w:noProof/>
                <w:webHidden/>
              </w:rPr>
              <w:fldChar w:fldCharType="end"/>
            </w:r>
          </w:hyperlink>
        </w:p>
        <w:p w14:paraId="339FDECD" w14:textId="146D7816" w:rsidR="004F2450" w:rsidRPr="004F2450" w:rsidRDefault="004F2450" w:rsidP="004F2450">
          <w:pPr>
            <w:pStyle w:val="TOC1"/>
            <w:tabs>
              <w:tab w:val="right" w:leader="dot" w:pos="9016"/>
            </w:tabs>
            <w:spacing w:line="360" w:lineRule="auto"/>
            <w:jc w:val="both"/>
            <w:rPr>
              <w:rFonts w:ascii="Arial" w:eastAsiaTheme="minorEastAsia" w:hAnsi="Arial" w:cs="Arial"/>
              <w:noProof/>
              <w:lang w:eastAsia="en-GB"/>
            </w:rPr>
          </w:pPr>
          <w:hyperlink w:anchor="_Toc218418655" w:history="1">
            <w:r w:rsidRPr="004F2450">
              <w:rPr>
                <w:rStyle w:val="Hyperlink"/>
                <w:rFonts w:ascii="Arial" w:hAnsi="Arial" w:cs="Arial"/>
                <w:noProof/>
              </w:rPr>
              <w:t>1.1 Establishing the Research Topic</w:t>
            </w:r>
            <w:r w:rsidRPr="004F2450">
              <w:rPr>
                <w:rFonts w:ascii="Arial" w:hAnsi="Arial" w:cs="Arial"/>
                <w:noProof/>
                <w:webHidden/>
              </w:rPr>
              <w:tab/>
            </w:r>
            <w:r w:rsidRPr="004F2450">
              <w:rPr>
                <w:rFonts w:ascii="Arial" w:hAnsi="Arial" w:cs="Arial"/>
                <w:noProof/>
                <w:webHidden/>
              </w:rPr>
              <w:fldChar w:fldCharType="begin"/>
            </w:r>
            <w:r w:rsidRPr="004F2450">
              <w:rPr>
                <w:rFonts w:ascii="Arial" w:hAnsi="Arial" w:cs="Arial"/>
                <w:noProof/>
                <w:webHidden/>
              </w:rPr>
              <w:instrText xml:space="preserve"> PAGEREF _Toc218418655 \h </w:instrText>
            </w:r>
            <w:r w:rsidRPr="004F2450">
              <w:rPr>
                <w:rFonts w:ascii="Arial" w:hAnsi="Arial" w:cs="Arial"/>
                <w:noProof/>
                <w:webHidden/>
              </w:rPr>
            </w:r>
            <w:r w:rsidRPr="004F2450">
              <w:rPr>
                <w:rFonts w:ascii="Arial" w:hAnsi="Arial" w:cs="Arial"/>
                <w:noProof/>
                <w:webHidden/>
              </w:rPr>
              <w:fldChar w:fldCharType="separate"/>
            </w:r>
            <w:r w:rsidR="00084D07">
              <w:rPr>
                <w:rFonts w:ascii="Arial" w:hAnsi="Arial" w:cs="Arial"/>
                <w:noProof/>
                <w:webHidden/>
              </w:rPr>
              <w:t>7</w:t>
            </w:r>
            <w:r w:rsidRPr="004F2450">
              <w:rPr>
                <w:rFonts w:ascii="Arial" w:hAnsi="Arial" w:cs="Arial"/>
                <w:noProof/>
                <w:webHidden/>
              </w:rPr>
              <w:fldChar w:fldCharType="end"/>
            </w:r>
          </w:hyperlink>
        </w:p>
        <w:p w14:paraId="17333DC9" w14:textId="46B72819" w:rsidR="004F2450" w:rsidRPr="004F2450" w:rsidRDefault="004F2450" w:rsidP="004F2450">
          <w:pPr>
            <w:pStyle w:val="TOC1"/>
            <w:tabs>
              <w:tab w:val="right" w:leader="dot" w:pos="9016"/>
            </w:tabs>
            <w:spacing w:line="360" w:lineRule="auto"/>
            <w:jc w:val="both"/>
            <w:rPr>
              <w:rFonts w:ascii="Arial" w:eastAsiaTheme="minorEastAsia" w:hAnsi="Arial" w:cs="Arial"/>
              <w:noProof/>
              <w:lang w:eastAsia="en-GB"/>
            </w:rPr>
          </w:pPr>
          <w:hyperlink w:anchor="_Toc218418656" w:history="1">
            <w:r w:rsidRPr="004F2450">
              <w:rPr>
                <w:rStyle w:val="Hyperlink"/>
                <w:rFonts w:ascii="Arial" w:hAnsi="Arial" w:cs="Arial"/>
                <w:noProof/>
              </w:rPr>
              <w:t>1.2 Background and Current Research</w:t>
            </w:r>
            <w:r w:rsidRPr="004F2450">
              <w:rPr>
                <w:rFonts w:ascii="Arial" w:hAnsi="Arial" w:cs="Arial"/>
                <w:noProof/>
                <w:webHidden/>
              </w:rPr>
              <w:tab/>
            </w:r>
            <w:r w:rsidRPr="004F2450">
              <w:rPr>
                <w:rFonts w:ascii="Arial" w:hAnsi="Arial" w:cs="Arial"/>
                <w:noProof/>
                <w:webHidden/>
              </w:rPr>
              <w:fldChar w:fldCharType="begin"/>
            </w:r>
            <w:r w:rsidRPr="004F2450">
              <w:rPr>
                <w:rFonts w:ascii="Arial" w:hAnsi="Arial" w:cs="Arial"/>
                <w:noProof/>
                <w:webHidden/>
              </w:rPr>
              <w:instrText xml:space="preserve"> PAGEREF _Toc218418656 \h </w:instrText>
            </w:r>
            <w:r w:rsidRPr="004F2450">
              <w:rPr>
                <w:rFonts w:ascii="Arial" w:hAnsi="Arial" w:cs="Arial"/>
                <w:noProof/>
                <w:webHidden/>
              </w:rPr>
            </w:r>
            <w:r w:rsidRPr="004F2450">
              <w:rPr>
                <w:rFonts w:ascii="Arial" w:hAnsi="Arial" w:cs="Arial"/>
                <w:noProof/>
                <w:webHidden/>
              </w:rPr>
              <w:fldChar w:fldCharType="separate"/>
            </w:r>
            <w:r w:rsidR="00084D07">
              <w:rPr>
                <w:rFonts w:ascii="Arial" w:hAnsi="Arial" w:cs="Arial"/>
                <w:noProof/>
                <w:webHidden/>
              </w:rPr>
              <w:t>8</w:t>
            </w:r>
            <w:r w:rsidRPr="004F2450">
              <w:rPr>
                <w:rFonts w:ascii="Arial" w:hAnsi="Arial" w:cs="Arial"/>
                <w:noProof/>
                <w:webHidden/>
              </w:rPr>
              <w:fldChar w:fldCharType="end"/>
            </w:r>
          </w:hyperlink>
        </w:p>
        <w:p w14:paraId="23D5FD4C" w14:textId="24DC1D27" w:rsidR="004F2450" w:rsidRPr="004F2450" w:rsidRDefault="004F2450" w:rsidP="004F2450">
          <w:pPr>
            <w:pStyle w:val="TOC1"/>
            <w:tabs>
              <w:tab w:val="right" w:leader="dot" w:pos="9016"/>
            </w:tabs>
            <w:spacing w:line="360" w:lineRule="auto"/>
            <w:jc w:val="both"/>
            <w:rPr>
              <w:rFonts w:ascii="Arial" w:eastAsiaTheme="minorEastAsia" w:hAnsi="Arial" w:cs="Arial"/>
              <w:noProof/>
              <w:lang w:eastAsia="en-GB"/>
            </w:rPr>
          </w:pPr>
          <w:hyperlink w:anchor="_Toc218418657" w:history="1">
            <w:r w:rsidRPr="004F2450">
              <w:rPr>
                <w:rStyle w:val="Hyperlink"/>
                <w:rFonts w:ascii="Arial" w:hAnsi="Arial" w:cs="Arial"/>
                <w:noProof/>
              </w:rPr>
              <w:t>1.3 Rationale for the Study</w:t>
            </w:r>
            <w:r w:rsidRPr="004F2450">
              <w:rPr>
                <w:rFonts w:ascii="Arial" w:hAnsi="Arial" w:cs="Arial"/>
                <w:noProof/>
                <w:webHidden/>
              </w:rPr>
              <w:tab/>
            </w:r>
            <w:r w:rsidRPr="004F2450">
              <w:rPr>
                <w:rFonts w:ascii="Arial" w:hAnsi="Arial" w:cs="Arial"/>
                <w:noProof/>
                <w:webHidden/>
              </w:rPr>
              <w:fldChar w:fldCharType="begin"/>
            </w:r>
            <w:r w:rsidRPr="004F2450">
              <w:rPr>
                <w:rFonts w:ascii="Arial" w:hAnsi="Arial" w:cs="Arial"/>
                <w:noProof/>
                <w:webHidden/>
              </w:rPr>
              <w:instrText xml:space="preserve"> PAGEREF _Toc218418657 \h </w:instrText>
            </w:r>
            <w:r w:rsidRPr="004F2450">
              <w:rPr>
                <w:rFonts w:ascii="Arial" w:hAnsi="Arial" w:cs="Arial"/>
                <w:noProof/>
                <w:webHidden/>
              </w:rPr>
            </w:r>
            <w:r w:rsidRPr="004F2450">
              <w:rPr>
                <w:rFonts w:ascii="Arial" w:hAnsi="Arial" w:cs="Arial"/>
                <w:noProof/>
                <w:webHidden/>
              </w:rPr>
              <w:fldChar w:fldCharType="separate"/>
            </w:r>
            <w:r w:rsidR="00084D07">
              <w:rPr>
                <w:rFonts w:ascii="Arial" w:hAnsi="Arial" w:cs="Arial"/>
                <w:noProof/>
                <w:webHidden/>
              </w:rPr>
              <w:t>9</w:t>
            </w:r>
            <w:r w:rsidRPr="004F2450">
              <w:rPr>
                <w:rFonts w:ascii="Arial" w:hAnsi="Arial" w:cs="Arial"/>
                <w:noProof/>
                <w:webHidden/>
              </w:rPr>
              <w:fldChar w:fldCharType="end"/>
            </w:r>
          </w:hyperlink>
        </w:p>
        <w:p w14:paraId="636305B4" w14:textId="0752E32D" w:rsidR="004F2450" w:rsidRPr="004F2450" w:rsidRDefault="004F2450" w:rsidP="004F2450">
          <w:pPr>
            <w:pStyle w:val="TOC1"/>
            <w:tabs>
              <w:tab w:val="right" w:leader="dot" w:pos="9016"/>
            </w:tabs>
            <w:spacing w:line="360" w:lineRule="auto"/>
            <w:jc w:val="both"/>
            <w:rPr>
              <w:rFonts w:ascii="Arial" w:eastAsiaTheme="minorEastAsia" w:hAnsi="Arial" w:cs="Arial"/>
              <w:noProof/>
              <w:lang w:eastAsia="en-GB"/>
            </w:rPr>
          </w:pPr>
          <w:hyperlink w:anchor="_Toc218418658" w:history="1">
            <w:r w:rsidRPr="004F2450">
              <w:rPr>
                <w:rStyle w:val="Hyperlink"/>
                <w:rFonts w:ascii="Arial" w:hAnsi="Arial" w:cs="Arial"/>
                <w:noProof/>
              </w:rPr>
              <w:t>1.4 Research Question, Aim and Objectives</w:t>
            </w:r>
            <w:r w:rsidRPr="004F2450">
              <w:rPr>
                <w:rFonts w:ascii="Arial" w:hAnsi="Arial" w:cs="Arial"/>
                <w:noProof/>
                <w:webHidden/>
              </w:rPr>
              <w:tab/>
            </w:r>
            <w:r w:rsidRPr="004F2450">
              <w:rPr>
                <w:rFonts w:ascii="Arial" w:hAnsi="Arial" w:cs="Arial"/>
                <w:noProof/>
                <w:webHidden/>
              </w:rPr>
              <w:fldChar w:fldCharType="begin"/>
            </w:r>
            <w:r w:rsidRPr="004F2450">
              <w:rPr>
                <w:rFonts w:ascii="Arial" w:hAnsi="Arial" w:cs="Arial"/>
                <w:noProof/>
                <w:webHidden/>
              </w:rPr>
              <w:instrText xml:space="preserve"> PAGEREF _Toc218418658 \h </w:instrText>
            </w:r>
            <w:r w:rsidRPr="004F2450">
              <w:rPr>
                <w:rFonts w:ascii="Arial" w:hAnsi="Arial" w:cs="Arial"/>
                <w:noProof/>
                <w:webHidden/>
              </w:rPr>
            </w:r>
            <w:r w:rsidRPr="004F2450">
              <w:rPr>
                <w:rFonts w:ascii="Arial" w:hAnsi="Arial" w:cs="Arial"/>
                <w:noProof/>
                <w:webHidden/>
              </w:rPr>
              <w:fldChar w:fldCharType="separate"/>
            </w:r>
            <w:r w:rsidR="00084D07">
              <w:rPr>
                <w:rFonts w:ascii="Arial" w:hAnsi="Arial" w:cs="Arial"/>
                <w:noProof/>
                <w:webHidden/>
              </w:rPr>
              <w:t>10</w:t>
            </w:r>
            <w:r w:rsidRPr="004F2450">
              <w:rPr>
                <w:rFonts w:ascii="Arial" w:hAnsi="Arial" w:cs="Arial"/>
                <w:noProof/>
                <w:webHidden/>
              </w:rPr>
              <w:fldChar w:fldCharType="end"/>
            </w:r>
          </w:hyperlink>
        </w:p>
        <w:p w14:paraId="68DEB3F6" w14:textId="072A2F66" w:rsidR="004F2450" w:rsidRPr="004F2450" w:rsidRDefault="004F2450" w:rsidP="004F2450">
          <w:pPr>
            <w:pStyle w:val="TOC1"/>
            <w:tabs>
              <w:tab w:val="right" w:leader="dot" w:pos="9016"/>
            </w:tabs>
            <w:spacing w:line="360" w:lineRule="auto"/>
            <w:jc w:val="both"/>
            <w:rPr>
              <w:rFonts w:ascii="Arial" w:eastAsiaTheme="minorEastAsia" w:hAnsi="Arial" w:cs="Arial"/>
              <w:noProof/>
              <w:lang w:eastAsia="en-GB"/>
            </w:rPr>
          </w:pPr>
          <w:hyperlink w:anchor="_Toc218418659" w:history="1">
            <w:r w:rsidRPr="004F2450">
              <w:rPr>
                <w:rStyle w:val="Hyperlink"/>
                <w:rFonts w:ascii="Arial" w:hAnsi="Arial" w:cs="Arial"/>
                <w:noProof/>
              </w:rPr>
              <w:t>1.5 Overview of the Dissertation Structure</w:t>
            </w:r>
            <w:r w:rsidRPr="004F2450">
              <w:rPr>
                <w:rFonts w:ascii="Arial" w:hAnsi="Arial" w:cs="Arial"/>
                <w:noProof/>
                <w:webHidden/>
              </w:rPr>
              <w:tab/>
            </w:r>
            <w:r w:rsidRPr="004F2450">
              <w:rPr>
                <w:rFonts w:ascii="Arial" w:hAnsi="Arial" w:cs="Arial"/>
                <w:noProof/>
                <w:webHidden/>
              </w:rPr>
              <w:fldChar w:fldCharType="begin"/>
            </w:r>
            <w:r w:rsidRPr="004F2450">
              <w:rPr>
                <w:rFonts w:ascii="Arial" w:hAnsi="Arial" w:cs="Arial"/>
                <w:noProof/>
                <w:webHidden/>
              </w:rPr>
              <w:instrText xml:space="preserve"> PAGEREF _Toc218418659 \h </w:instrText>
            </w:r>
            <w:r w:rsidRPr="004F2450">
              <w:rPr>
                <w:rFonts w:ascii="Arial" w:hAnsi="Arial" w:cs="Arial"/>
                <w:noProof/>
                <w:webHidden/>
              </w:rPr>
            </w:r>
            <w:r w:rsidRPr="004F2450">
              <w:rPr>
                <w:rFonts w:ascii="Arial" w:hAnsi="Arial" w:cs="Arial"/>
                <w:noProof/>
                <w:webHidden/>
              </w:rPr>
              <w:fldChar w:fldCharType="separate"/>
            </w:r>
            <w:r w:rsidR="00084D07">
              <w:rPr>
                <w:rFonts w:ascii="Arial" w:hAnsi="Arial" w:cs="Arial"/>
                <w:noProof/>
                <w:webHidden/>
              </w:rPr>
              <w:t>10</w:t>
            </w:r>
            <w:r w:rsidRPr="004F2450">
              <w:rPr>
                <w:rFonts w:ascii="Arial" w:hAnsi="Arial" w:cs="Arial"/>
                <w:noProof/>
                <w:webHidden/>
              </w:rPr>
              <w:fldChar w:fldCharType="end"/>
            </w:r>
          </w:hyperlink>
        </w:p>
        <w:p w14:paraId="42AAE1F2" w14:textId="3A807258" w:rsidR="004F2450" w:rsidRPr="004F2450" w:rsidRDefault="004F2450" w:rsidP="004F2450">
          <w:pPr>
            <w:pStyle w:val="TOC1"/>
            <w:tabs>
              <w:tab w:val="right" w:leader="dot" w:pos="9016"/>
            </w:tabs>
            <w:spacing w:line="360" w:lineRule="auto"/>
            <w:jc w:val="both"/>
            <w:rPr>
              <w:rFonts w:ascii="Arial" w:eastAsiaTheme="minorEastAsia" w:hAnsi="Arial" w:cs="Arial"/>
              <w:noProof/>
              <w:lang w:eastAsia="en-GB"/>
            </w:rPr>
          </w:pPr>
          <w:hyperlink w:anchor="_Toc218418660" w:history="1">
            <w:r w:rsidRPr="004F2450">
              <w:rPr>
                <w:rStyle w:val="Hyperlink"/>
                <w:rFonts w:ascii="Arial" w:hAnsi="Arial" w:cs="Arial"/>
                <w:noProof/>
              </w:rPr>
              <w:t>1.6 Chapter Summary</w:t>
            </w:r>
            <w:r w:rsidRPr="004F2450">
              <w:rPr>
                <w:rFonts w:ascii="Arial" w:hAnsi="Arial" w:cs="Arial"/>
                <w:noProof/>
                <w:webHidden/>
              </w:rPr>
              <w:tab/>
            </w:r>
            <w:r w:rsidRPr="004F2450">
              <w:rPr>
                <w:rFonts w:ascii="Arial" w:hAnsi="Arial" w:cs="Arial"/>
                <w:noProof/>
                <w:webHidden/>
              </w:rPr>
              <w:fldChar w:fldCharType="begin"/>
            </w:r>
            <w:r w:rsidRPr="004F2450">
              <w:rPr>
                <w:rFonts w:ascii="Arial" w:hAnsi="Arial" w:cs="Arial"/>
                <w:noProof/>
                <w:webHidden/>
              </w:rPr>
              <w:instrText xml:space="preserve"> PAGEREF _Toc218418660 \h </w:instrText>
            </w:r>
            <w:r w:rsidRPr="004F2450">
              <w:rPr>
                <w:rFonts w:ascii="Arial" w:hAnsi="Arial" w:cs="Arial"/>
                <w:noProof/>
                <w:webHidden/>
              </w:rPr>
            </w:r>
            <w:r w:rsidRPr="004F2450">
              <w:rPr>
                <w:rFonts w:ascii="Arial" w:hAnsi="Arial" w:cs="Arial"/>
                <w:noProof/>
                <w:webHidden/>
              </w:rPr>
              <w:fldChar w:fldCharType="separate"/>
            </w:r>
            <w:r w:rsidR="00084D07">
              <w:rPr>
                <w:rFonts w:ascii="Arial" w:hAnsi="Arial" w:cs="Arial"/>
                <w:noProof/>
                <w:webHidden/>
              </w:rPr>
              <w:t>11</w:t>
            </w:r>
            <w:r w:rsidRPr="004F2450">
              <w:rPr>
                <w:rFonts w:ascii="Arial" w:hAnsi="Arial" w:cs="Arial"/>
                <w:noProof/>
                <w:webHidden/>
              </w:rPr>
              <w:fldChar w:fldCharType="end"/>
            </w:r>
          </w:hyperlink>
        </w:p>
        <w:p w14:paraId="30AAEB3D" w14:textId="69A331D0" w:rsidR="004F2450" w:rsidRPr="004F2450" w:rsidRDefault="004F2450" w:rsidP="004F2450">
          <w:pPr>
            <w:pStyle w:val="TOC1"/>
            <w:tabs>
              <w:tab w:val="right" w:leader="dot" w:pos="9016"/>
            </w:tabs>
            <w:spacing w:line="360" w:lineRule="auto"/>
            <w:jc w:val="both"/>
            <w:rPr>
              <w:rFonts w:ascii="Arial" w:eastAsiaTheme="minorEastAsia" w:hAnsi="Arial" w:cs="Arial"/>
              <w:noProof/>
              <w:lang w:eastAsia="en-GB"/>
            </w:rPr>
          </w:pPr>
          <w:hyperlink w:anchor="_Toc218418661" w:history="1">
            <w:r w:rsidRPr="004F2450">
              <w:rPr>
                <w:rStyle w:val="Hyperlink"/>
                <w:rFonts w:ascii="Arial" w:hAnsi="Arial" w:cs="Arial"/>
                <w:noProof/>
              </w:rPr>
              <w:t>Chapter 2: Literature Review</w:t>
            </w:r>
            <w:r w:rsidRPr="004F2450">
              <w:rPr>
                <w:rFonts w:ascii="Arial" w:hAnsi="Arial" w:cs="Arial"/>
                <w:noProof/>
                <w:webHidden/>
              </w:rPr>
              <w:tab/>
            </w:r>
            <w:r w:rsidRPr="004F2450">
              <w:rPr>
                <w:rFonts w:ascii="Arial" w:hAnsi="Arial" w:cs="Arial"/>
                <w:noProof/>
                <w:webHidden/>
              </w:rPr>
              <w:fldChar w:fldCharType="begin"/>
            </w:r>
            <w:r w:rsidRPr="004F2450">
              <w:rPr>
                <w:rFonts w:ascii="Arial" w:hAnsi="Arial" w:cs="Arial"/>
                <w:noProof/>
                <w:webHidden/>
              </w:rPr>
              <w:instrText xml:space="preserve"> PAGEREF _Toc218418661 \h </w:instrText>
            </w:r>
            <w:r w:rsidRPr="004F2450">
              <w:rPr>
                <w:rFonts w:ascii="Arial" w:hAnsi="Arial" w:cs="Arial"/>
                <w:noProof/>
                <w:webHidden/>
              </w:rPr>
            </w:r>
            <w:r w:rsidRPr="004F2450">
              <w:rPr>
                <w:rFonts w:ascii="Arial" w:hAnsi="Arial" w:cs="Arial"/>
                <w:noProof/>
                <w:webHidden/>
              </w:rPr>
              <w:fldChar w:fldCharType="separate"/>
            </w:r>
            <w:r w:rsidR="00084D07">
              <w:rPr>
                <w:rFonts w:ascii="Arial" w:hAnsi="Arial" w:cs="Arial"/>
                <w:noProof/>
                <w:webHidden/>
              </w:rPr>
              <w:t>12</w:t>
            </w:r>
            <w:r w:rsidRPr="004F2450">
              <w:rPr>
                <w:rFonts w:ascii="Arial" w:hAnsi="Arial" w:cs="Arial"/>
                <w:noProof/>
                <w:webHidden/>
              </w:rPr>
              <w:fldChar w:fldCharType="end"/>
            </w:r>
          </w:hyperlink>
        </w:p>
        <w:p w14:paraId="280F5356" w14:textId="41C61215" w:rsidR="004F2450" w:rsidRPr="004F2450" w:rsidRDefault="004F2450" w:rsidP="004F2450">
          <w:pPr>
            <w:pStyle w:val="TOC1"/>
            <w:tabs>
              <w:tab w:val="right" w:leader="dot" w:pos="9016"/>
            </w:tabs>
            <w:spacing w:line="360" w:lineRule="auto"/>
            <w:jc w:val="both"/>
            <w:rPr>
              <w:rFonts w:ascii="Arial" w:eastAsiaTheme="minorEastAsia" w:hAnsi="Arial" w:cs="Arial"/>
              <w:noProof/>
              <w:lang w:eastAsia="en-GB"/>
            </w:rPr>
          </w:pPr>
          <w:hyperlink w:anchor="_Toc218418662" w:history="1">
            <w:r w:rsidRPr="004F2450">
              <w:rPr>
                <w:rStyle w:val="Hyperlink"/>
                <w:rFonts w:ascii="Arial" w:hAnsi="Arial" w:cs="Arial"/>
                <w:noProof/>
              </w:rPr>
              <w:t>2.1 Introduction</w:t>
            </w:r>
            <w:r w:rsidRPr="004F2450">
              <w:rPr>
                <w:rFonts w:ascii="Arial" w:hAnsi="Arial" w:cs="Arial"/>
                <w:noProof/>
                <w:webHidden/>
              </w:rPr>
              <w:tab/>
            </w:r>
            <w:r w:rsidRPr="004F2450">
              <w:rPr>
                <w:rFonts w:ascii="Arial" w:hAnsi="Arial" w:cs="Arial"/>
                <w:noProof/>
                <w:webHidden/>
              </w:rPr>
              <w:fldChar w:fldCharType="begin"/>
            </w:r>
            <w:r w:rsidRPr="004F2450">
              <w:rPr>
                <w:rFonts w:ascii="Arial" w:hAnsi="Arial" w:cs="Arial"/>
                <w:noProof/>
                <w:webHidden/>
              </w:rPr>
              <w:instrText xml:space="preserve"> PAGEREF _Toc218418662 \h </w:instrText>
            </w:r>
            <w:r w:rsidRPr="004F2450">
              <w:rPr>
                <w:rFonts w:ascii="Arial" w:hAnsi="Arial" w:cs="Arial"/>
                <w:noProof/>
                <w:webHidden/>
              </w:rPr>
            </w:r>
            <w:r w:rsidRPr="004F2450">
              <w:rPr>
                <w:rFonts w:ascii="Arial" w:hAnsi="Arial" w:cs="Arial"/>
                <w:noProof/>
                <w:webHidden/>
              </w:rPr>
              <w:fldChar w:fldCharType="separate"/>
            </w:r>
            <w:r w:rsidR="00084D07">
              <w:rPr>
                <w:rFonts w:ascii="Arial" w:hAnsi="Arial" w:cs="Arial"/>
                <w:noProof/>
                <w:webHidden/>
              </w:rPr>
              <w:t>12</w:t>
            </w:r>
            <w:r w:rsidRPr="004F2450">
              <w:rPr>
                <w:rFonts w:ascii="Arial" w:hAnsi="Arial" w:cs="Arial"/>
                <w:noProof/>
                <w:webHidden/>
              </w:rPr>
              <w:fldChar w:fldCharType="end"/>
            </w:r>
          </w:hyperlink>
        </w:p>
        <w:p w14:paraId="6EFCCB5A" w14:textId="375B12B0" w:rsidR="004F2450" w:rsidRPr="004F2450" w:rsidRDefault="004F2450" w:rsidP="004F2450">
          <w:pPr>
            <w:pStyle w:val="TOC1"/>
            <w:tabs>
              <w:tab w:val="right" w:leader="dot" w:pos="9016"/>
            </w:tabs>
            <w:spacing w:line="360" w:lineRule="auto"/>
            <w:jc w:val="both"/>
            <w:rPr>
              <w:rFonts w:ascii="Arial" w:eastAsiaTheme="minorEastAsia" w:hAnsi="Arial" w:cs="Arial"/>
              <w:noProof/>
              <w:lang w:eastAsia="en-GB"/>
            </w:rPr>
          </w:pPr>
          <w:hyperlink w:anchor="_Toc218418663" w:history="1">
            <w:r w:rsidRPr="004F2450">
              <w:rPr>
                <w:rStyle w:val="Hyperlink"/>
                <w:rFonts w:ascii="Arial" w:hAnsi="Arial" w:cs="Arial"/>
                <w:noProof/>
              </w:rPr>
              <w:t>2.2 Definition of Tuberculosis (TB)</w:t>
            </w:r>
            <w:r w:rsidRPr="004F2450">
              <w:rPr>
                <w:rFonts w:ascii="Arial" w:hAnsi="Arial" w:cs="Arial"/>
                <w:noProof/>
                <w:webHidden/>
              </w:rPr>
              <w:tab/>
            </w:r>
            <w:r w:rsidRPr="004F2450">
              <w:rPr>
                <w:rFonts w:ascii="Arial" w:hAnsi="Arial" w:cs="Arial"/>
                <w:noProof/>
                <w:webHidden/>
              </w:rPr>
              <w:fldChar w:fldCharType="begin"/>
            </w:r>
            <w:r w:rsidRPr="004F2450">
              <w:rPr>
                <w:rFonts w:ascii="Arial" w:hAnsi="Arial" w:cs="Arial"/>
                <w:noProof/>
                <w:webHidden/>
              </w:rPr>
              <w:instrText xml:space="preserve"> PAGEREF _Toc218418663 \h </w:instrText>
            </w:r>
            <w:r w:rsidRPr="004F2450">
              <w:rPr>
                <w:rFonts w:ascii="Arial" w:hAnsi="Arial" w:cs="Arial"/>
                <w:noProof/>
                <w:webHidden/>
              </w:rPr>
            </w:r>
            <w:r w:rsidRPr="004F2450">
              <w:rPr>
                <w:rFonts w:ascii="Arial" w:hAnsi="Arial" w:cs="Arial"/>
                <w:noProof/>
                <w:webHidden/>
              </w:rPr>
              <w:fldChar w:fldCharType="separate"/>
            </w:r>
            <w:r w:rsidR="00084D07">
              <w:rPr>
                <w:rFonts w:ascii="Arial" w:hAnsi="Arial" w:cs="Arial"/>
                <w:noProof/>
                <w:webHidden/>
              </w:rPr>
              <w:t>12</w:t>
            </w:r>
            <w:r w:rsidRPr="004F2450">
              <w:rPr>
                <w:rFonts w:ascii="Arial" w:hAnsi="Arial" w:cs="Arial"/>
                <w:noProof/>
                <w:webHidden/>
              </w:rPr>
              <w:fldChar w:fldCharType="end"/>
            </w:r>
          </w:hyperlink>
        </w:p>
        <w:p w14:paraId="731235FA" w14:textId="2CD7E12E" w:rsidR="004F2450" w:rsidRPr="004F2450" w:rsidRDefault="004F2450" w:rsidP="004F2450">
          <w:pPr>
            <w:pStyle w:val="TOC1"/>
            <w:tabs>
              <w:tab w:val="right" w:leader="dot" w:pos="9016"/>
            </w:tabs>
            <w:spacing w:line="360" w:lineRule="auto"/>
            <w:jc w:val="both"/>
            <w:rPr>
              <w:rFonts w:ascii="Arial" w:eastAsiaTheme="minorEastAsia" w:hAnsi="Arial" w:cs="Arial"/>
              <w:noProof/>
              <w:lang w:eastAsia="en-GB"/>
            </w:rPr>
          </w:pPr>
          <w:hyperlink w:anchor="_Toc218418664" w:history="1">
            <w:r w:rsidRPr="004F2450">
              <w:rPr>
                <w:rStyle w:val="Hyperlink"/>
                <w:rFonts w:ascii="Arial" w:hAnsi="Arial" w:cs="Arial"/>
                <w:noProof/>
              </w:rPr>
              <w:t>2.3 Causes of Tuberculosis</w:t>
            </w:r>
            <w:r w:rsidRPr="004F2450">
              <w:rPr>
                <w:rFonts w:ascii="Arial" w:hAnsi="Arial" w:cs="Arial"/>
                <w:noProof/>
                <w:webHidden/>
              </w:rPr>
              <w:tab/>
            </w:r>
            <w:r w:rsidRPr="004F2450">
              <w:rPr>
                <w:rFonts w:ascii="Arial" w:hAnsi="Arial" w:cs="Arial"/>
                <w:noProof/>
                <w:webHidden/>
              </w:rPr>
              <w:fldChar w:fldCharType="begin"/>
            </w:r>
            <w:r w:rsidRPr="004F2450">
              <w:rPr>
                <w:rFonts w:ascii="Arial" w:hAnsi="Arial" w:cs="Arial"/>
                <w:noProof/>
                <w:webHidden/>
              </w:rPr>
              <w:instrText xml:space="preserve"> PAGEREF _Toc218418664 \h </w:instrText>
            </w:r>
            <w:r w:rsidRPr="004F2450">
              <w:rPr>
                <w:rFonts w:ascii="Arial" w:hAnsi="Arial" w:cs="Arial"/>
                <w:noProof/>
                <w:webHidden/>
              </w:rPr>
            </w:r>
            <w:r w:rsidRPr="004F2450">
              <w:rPr>
                <w:rFonts w:ascii="Arial" w:hAnsi="Arial" w:cs="Arial"/>
                <w:noProof/>
                <w:webHidden/>
              </w:rPr>
              <w:fldChar w:fldCharType="separate"/>
            </w:r>
            <w:r w:rsidR="00084D07">
              <w:rPr>
                <w:rFonts w:ascii="Arial" w:hAnsi="Arial" w:cs="Arial"/>
                <w:noProof/>
                <w:webHidden/>
              </w:rPr>
              <w:t>12</w:t>
            </w:r>
            <w:r w:rsidRPr="004F2450">
              <w:rPr>
                <w:rFonts w:ascii="Arial" w:hAnsi="Arial" w:cs="Arial"/>
                <w:noProof/>
                <w:webHidden/>
              </w:rPr>
              <w:fldChar w:fldCharType="end"/>
            </w:r>
          </w:hyperlink>
        </w:p>
        <w:p w14:paraId="1CADA272" w14:textId="67B41B9E" w:rsidR="004F2450" w:rsidRPr="004F2450" w:rsidRDefault="004F2450" w:rsidP="004F2450">
          <w:pPr>
            <w:pStyle w:val="TOC1"/>
            <w:tabs>
              <w:tab w:val="right" w:leader="dot" w:pos="9016"/>
            </w:tabs>
            <w:spacing w:line="360" w:lineRule="auto"/>
            <w:jc w:val="both"/>
            <w:rPr>
              <w:rFonts w:ascii="Arial" w:eastAsiaTheme="minorEastAsia" w:hAnsi="Arial" w:cs="Arial"/>
              <w:noProof/>
              <w:lang w:eastAsia="en-GB"/>
            </w:rPr>
          </w:pPr>
          <w:hyperlink w:anchor="_Toc218418665" w:history="1">
            <w:r w:rsidRPr="004F2450">
              <w:rPr>
                <w:rStyle w:val="Hyperlink"/>
                <w:rFonts w:ascii="Arial" w:hAnsi="Arial" w:cs="Arial"/>
                <w:noProof/>
              </w:rPr>
              <w:t>2.4 Symptoms of Tuberculosis</w:t>
            </w:r>
            <w:r w:rsidRPr="004F2450">
              <w:rPr>
                <w:rFonts w:ascii="Arial" w:hAnsi="Arial" w:cs="Arial"/>
                <w:noProof/>
                <w:webHidden/>
              </w:rPr>
              <w:tab/>
            </w:r>
            <w:r w:rsidRPr="004F2450">
              <w:rPr>
                <w:rFonts w:ascii="Arial" w:hAnsi="Arial" w:cs="Arial"/>
                <w:noProof/>
                <w:webHidden/>
              </w:rPr>
              <w:fldChar w:fldCharType="begin"/>
            </w:r>
            <w:r w:rsidRPr="004F2450">
              <w:rPr>
                <w:rFonts w:ascii="Arial" w:hAnsi="Arial" w:cs="Arial"/>
                <w:noProof/>
                <w:webHidden/>
              </w:rPr>
              <w:instrText xml:space="preserve"> PAGEREF _Toc218418665 \h </w:instrText>
            </w:r>
            <w:r w:rsidRPr="004F2450">
              <w:rPr>
                <w:rFonts w:ascii="Arial" w:hAnsi="Arial" w:cs="Arial"/>
                <w:noProof/>
                <w:webHidden/>
              </w:rPr>
            </w:r>
            <w:r w:rsidRPr="004F2450">
              <w:rPr>
                <w:rFonts w:ascii="Arial" w:hAnsi="Arial" w:cs="Arial"/>
                <w:noProof/>
                <w:webHidden/>
              </w:rPr>
              <w:fldChar w:fldCharType="separate"/>
            </w:r>
            <w:r w:rsidR="00084D07">
              <w:rPr>
                <w:rFonts w:ascii="Arial" w:hAnsi="Arial" w:cs="Arial"/>
                <w:noProof/>
                <w:webHidden/>
              </w:rPr>
              <w:t>13</w:t>
            </w:r>
            <w:r w:rsidRPr="004F2450">
              <w:rPr>
                <w:rFonts w:ascii="Arial" w:hAnsi="Arial" w:cs="Arial"/>
                <w:noProof/>
                <w:webHidden/>
              </w:rPr>
              <w:fldChar w:fldCharType="end"/>
            </w:r>
          </w:hyperlink>
        </w:p>
        <w:p w14:paraId="4C3DB52C" w14:textId="24ED2808" w:rsidR="004F2450" w:rsidRPr="004F2450" w:rsidRDefault="004F2450" w:rsidP="004F2450">
          <w:pPr>
            <w:pStyle w:val="TOC1"/>
            <w:tabs>
              <w:tab w:val="right" w:leader="dot" w:pos="9016"/>
            </w:tabs>
            <w:spacing w:line="360" w:lineRule="auto"/>
            <w:jc w:val="both"/>
            <w:rPr>
              <w:rFonts w:ascii="Arial" w:eastAsiaTheme="minorEastAsia" w:hAnsi="Arial" w:cs="Arial"/>
              <w:noProof/>
              <w:lang w:eastAsia="en-GB"/>
            </w:rPr>
          </w:pPr>
          <w:hyperlink w:anchor="_Toc218418666" w:history="1">
            <w:r w:rsidRPr="004F2450">
              <w:rPr>
                <w:rStyle w:val="Hyperlink"/>
                <w:rFonts w:ascii="Arial" w:hAnsi="Arial" w:cs="Arial"/>
                <w:noProof/>
              </w:rPr>
              <w:t>2.5 Global Burden of Tuberculosis</w:t>
            </w:r>
            <w:r w:rsidRPr="004F2450">
              <w:rPr>
                <w:rFonts w:ascii="Arial" w:hAnsi="Arial" w:cs="Arial"/>
                <w:noProof/>
                <w:webHidden/>
              </w:rPr>
              <w:tab/>
            </w:r>
            <w:r w:rsidRPr="004F2450">
              <w:rPr>
                <w:rFonts w:ascii="Arial" w:hAnsi="Arial" w:cs="Arial"/>
                <w:noProof/>
                <w:webHidden/>
              </w:rPr>
              <w:fldChar w:fldCharType="begin"/>
            </w:r>
            <w:r w:rsidRPr="004F2450">
              <w:rPr>
                <w:rFonts w:ascii="Arial" w:hAnsi="Arial" w:cs="Arial"/>
                <w:noProof/>
                <w:webHidden/>
              </w:rPr>
              <w:instrText xml:space="preserve"> PAGEREF _Toc218418666 \h </w:instrText>
            </w:r>
            <w:r w:rsidRPr="004F2450">
              <w:rPr>
                <w:rFonts w:ascii="Arial" w:hAnsi="Arial" w:cs="Arial"/>
                <w:noProof/>
                <w:webHidden/>
              </w:rPr>
            </w:r>
            <w:r w:rsidRPr="004F2450">
              <w:rPr>
                <w:rFonts w:ascii="Arial" w:hAnsi="Arial" w:cs="Arial"/>
                <w:noProof/>
                <w:webHidden/>
              </w:rPr>
              <w:fldChar w:fldCharType="separate"/>
            </w:r>
            <w:r w:rsidR="00084D07">
              <w:rPr>
                <w:rFonts w:ascii="Arial" w:hAnsi="Arial" w:cs="Arial"/>
                <w:noProof/>
                <w:webHidden/>
              </w:rPr>
              <w:t>14</w:t>
            </w:r>
            <w:r w:rsidRPr="004F2450">
              <w:rPr>
                <w:rFonts w:ascii="Arial" w:hAnsi="Arial" w:cs="Arial"/>
                <w:noProof/>
                <w:webHidden/>
              </w:rPr>
              <w:fldChar w:fldCharType="end"/>
            </w:r>
          </w:hyperlink>
        </w:p>
        <w:p w14:paraId="765C36F1" w14:textId="7B909EA1" w:rsidR="004F2450" w:rsidRPr="004F2450" w:rsidRDefault="004F2450" w:rsidP="004F2450">
          <w:pPr>
            <w:pStyle w:val="TOC1"/>
            <w:tabs>
              <w:tab w:val="right" w:leader="dot" w:pos="9016"/>
            </w:tabs>
            <w:spacing w:line="360" w:lineRule="auto"/>
            <w:jc w:val="both"/>
            <w:rPr>
              <w:rFonts w:ascii="Arial" w:eastAsiaTheme="minorEastAsia" w:hAnsi="Arial" w:cs="Arial"/>
              <w:noProof/>
              <w:lang w:eastAsia="en-GB"/>
            </w:rPr>
          </w:pPr>
          <w:hyperlink w:anchor="_Toc218418667" w:history="1">
            <w:r w:rsidRPr="004F2450">
              <w:rPr>
                <w:rStyle w:val="Hyperlink"/>
                <w:rFonts w:ascii="Arial" w:hAnsi="Arial" w:cs="Arial"/>
                <w:noProof/>
              </w:rPr>
              <w:t>2.6 Tuberculosis in India</w:t>
            </w:r>
            <w:r w:rsidRPr="004F2450">
              <w:rPr>
                <w:rFonts w:ascii="Arial" w:hAnsi="Arial" w:cs="Arial"/>
                <w:noProof/>
                <w:webHidden/>
              </w:rPr>
              <w:tab/>
            </w:r>
            <w:r w:rsidRPr="004F2450">
              <w:rPr>
                <w:rFonts w:ascii="Arial" w:hAnsi="Arial" w:cs="Arial"/>
                <w:noProof/>
                <w:webHidden/>
              </w:rPr>
              <w:fldChar w:fldCharType="begin"/>
            </w:r>
            <w:r w:rsidRPr="004F2450">
              <w:rPr>
                <w:rFonts w:ascii="Arial" w:hAnsi="Arial" w:cs="Arial"/>
                <w:noProof/>
                <w:webHidden/>
              </w:rPr>
              <w:instrText xml:space="preserve"> PAGEREF _Toc218418667 \h </w:instrText>
            </w:r>
            <w:r w:rsidRPr="004F2450">
              <w:rPr>
                <w:rFonts w:ascii="Arial" w:hAnsi="Arial" w:cs="Arial"/>
                <w:noProof/>
                <w:webHidden/>
              </w:rPr>
            </w:r>
            <w:r w:rsidRPr="004F2450">
              <w:rPr>
                <w:rFonts w:ascii="Arial" w:hAnsi="Arial" w:cs="Arial"/>
                <w:noProof/>
                <w:webHidden/>
              </w:rPr>
              <w:fldChar w:fldCharType="separate"/>
            </w:r>
            <w:r w:rsidR="00084D07">
              <w:rPr>
                <w:rFonts w:ascii="Arial" w:hAnsi="Arial" w:cs="Arial"/>
                <w:noProof/>
                <w:webHidden/>
              </w:rPr>
              <w:t>15</w:t>
            </w:r>
            <w:r w:rsidRPr="004F2450">
              <w:rPr>
                <w:rFonts w:ascii="Arial" w:hAnsi="Arial" w:cs="Arial"/>
                <w:noProof/>
                <w:webHidden/>
              </w:rPr>
              <w:fldChar w:fldCharType="end"/>
            </w:r>
          </w:hyperlink>
        </w:p>
        <w:p w14:paraId="4AB4B336" w14:textId="6308B29B" w:rsidR="004F2450" w:rsidRPr="004F2450" w:rsidRDefault="004F2450" w:rsidP="004F2450">
          <w:pPr>
            <w:pStyle w:val="TOC1"/>
            <w:tabs>
              <w:tab w:val="right" w:leader="dot" w:pos="9016"/>
            </w:tabs>
            <w:spacing w:line="360" w:lineRule="auto"/>
            <w:jc w:val="both"/>
            <w:rPr>
              <w:rFonts w:ascii="Arial" w:eastAsiaTheme="minorEastAsia" w:hAnsi="Arial" w:cs="Arial"/>
              <w:noProof/>
              <w:lang w:eastAsia="en-GB"/>
            </w:rPr>
          </w:pPr>
          <w:hyperlink w:anchor="_Toc218418668" w:history="1">
            <w:r w:rsidRPr="004F2450">
              <w:rPr>
                <w:rStyle w:val="Hyperlink"/>
                <w:rFonts w:ascii="Arial" w:hAnsi="Arial" w:cs="Arial"/>
                <w:noProof/>
              </w:rPr>
              <w:t>2.7 BCG Vaccination: Global and National Perspectives</w:t>
            </w:r>
            <w:r w:rsidRPr="004F2450">
              <w:rPr>
                <w:rFonts w:ascii="Arial" w:hAnsi="Arial" w:cs="Arial"/>
                <w:noProof/>
                <w:webHidden/>
              </w:rPr>
              <w:tab/>
            </w:r>
            <w:r w:rsidRPr="004F2450">
              <w:rPr>
                <w:rFonts w:ascii="Arial" w:hAnsi="Arial" w:cs="Arial"/>
                <w:noProof/>
                <w:webHidden/>
              </w:rPr>
              <w:fldChar w:fldCharType="begin"/>
            </w:r>
            <w:r w:rsidRPr="004F2450">
              <w:rPr>
                <w:rFonts w:ascii="Arial" w:hAnsi="Arial" w:cs="Arial"/>
                <w:noProof/>
                <w:webHidden/>
              </w:rPr>
              <w:instrText xml:space="preserve"> PAGEREF _Toc218418668 \h </w:instrText>
            </w:r>
            <w:r w:rsidRPr="004F2450">
              <w:rPr>
                <w:rFonts w:ascii="Arial" w:hAnsi="Arial" w:cs="Arial"/>
                <w:noProof/>
                <w:webHidden/>
              </w:rPr>
            </w:r>
            <w:r w:rsidRPr="004F2450">
              <w:rPr>
                <w:rFonts w:ascii="Arial" w:hAnsi="Arial" w:cs="Arial"/>
                <w:noProof/>
                <w:webHidden/>
              </w:rPr>
              <w:fldChar w:fldCharType="separate"/>
            </w:r>
            <w:r w:rsidR="00084D07">
              <w:rPr>
                <w:rFonts w:ascii="Arial" w:hAnsi="Arial" w:cs="Arial"/>
                <w:noProof/>
                <w:webHidden/>
              </w:rPr>
              <w:t>15</w:t>
            </w:r>
            <w:r w:rsidRPr="004F2450">
              <w:rPr>
                <w:rFonts w:ascii="Arial" w:hAnsi="Arial" w:cs="Arial"/>
                <w:noProof/>
                <w:webHidden/>
              </w:rPr>
              <w:fldChar w:fldCharType="end"/>
            </w:r>
          </w:hyperlink>
        </w:p>
        <w:p w14:paraId="114BFB9B" w14:textId="2CB8FB86" w:rsidR="004F2450" w:rsidRPr="004F2450" w:rsidRDefault="004F2450" w:rsidP="004F2450">
          <w:pPr>
            <w:pStyle w:val="TOC1"/>
            <w:tabs>
              <w:tab w:val="right" w:leader="dot" w:pos="9016"/>
            </w:tabs>
            <w:spacing w:line="360" w:lineRule="auto"/>
            <w:jc w:val="both"/>
            <w:rPr>
              <w:rFonts w:ascii="Arial" w:eastAsiaTheme="minorEastAsia" w:hAnsi="Arial" w:cs="Arial"/>
              <w:noProof/>
              <w:lang w:eastAsia="en-GB"/>
            </w:rPr>
          </w:pPr>
          <w:hyperlink w:anchor="_Toc218418669" w:history="1">
            <w:r w:rsidRPr="004F2450">
              <w:rPr>
                <w:rStyle w:val="Hyperlink"/>
                <w:rFonts w:ascii="Arial" w:hAnsi="Arial" w:cs="Arial"/>
                <w:noProof/>
              </w:rPr>
              <w:t>2.8 Effectiveness of BCG Vaccination</w:t>
            </w:r>
            <w:r w:rsidRPr="004F2450">
              <w:rPr>
                <w:rFonts w:ascii="Arial" w:hAnsi="Arial" w:cs="Arial"/>
                <w:noProof/>
                <w:webHidden/>
              </w:rPr>
              <w:tab/>
            </w:r>
            <w:r w:rsidRPr="004F2450">
              <w:rPr>
                <w:rFonts w:ascii="Arial" w:hAnsi="Arial" w:cs="Arial"/>
                <w:noProof/>
                <w:webHidden/>
              </w:rPr>
              <w:fldChar w:fldCharType="begin"/>
            </w:r>
            <w:r w:rsidRPr="004F2450">
              <w:rPr>
                <w:rFonts w:ascii="Arial" w:hAnsi="Arial" w:cs="Arial"/>
                <w:noProof/>
                <w:webHidden/>
              </w:rPr>
              <w:instrText xml:space="preserve"> PAGEREF _Toc218418669 \h </w:instrText>
            </w:r>
            <w:r w:rsidRPr="004F2450">
              <w:rPr>
                <w:rFonts w:ascii="Arial" w:hAnsi="Arial" w:cs="Arial"/>
                <w:noProof/>
                <w:webHidden/>
              </w:rPr>
            </w:r>
            <w:r w:rsidRPr="004F2450">
              <w:rPr>
                <w:rFonts w:ascii="Arial" w:hAnsi="Arial" w:cs="Arial"/>
                <w:noProof/>
                <w:webHidden/>
              </w:rPr>
              <w:fldChar w:fldCharType="separate"/>
            </w:r>
            <w:r w:rsidR="00084D07">
              <w:rPr>
                <w:rFonts w:ascii="Arial" w:hAnsi="Arial" w:cs="Arial"/>
                <w:noProof/>
                <w:webHidden/>
              </w:rPr>
              <w:t>16</w:t>
            </w:r>
            <w:r w:rsidRPr="004F2450">
              <w:rPr>
                <w:rFonts w:ascii="Arial" w:hAnsi="Arial" w:cs="Arial"/>
                <w:noProof/>
                <w:webHidden/>
              </w:rPr>
              <w:fldChar w:fldCharType="end"/>
            </w:r>
          </w:hyperlink>
        </w:p>
        <w:p w14:paraId="2B002CBF" w14:textId="15A29D3F" w:rsidR="004F2450" w:rsidRPr="004F2450" w:rsidRDefault="004F2450" w:rsidP="004F2450">
          <w:pPr>
            <w:pStyle w:val="TOC1"/>
            <w:tabs>
              <w:tab w:val="right" w:leader="dot" w:pos="9016"/>
            </w:tabs>
            <w:spacing w:line="360" w:lineRule="auto"/>
            <w:jc w:val="both"/>
            <w:rPr>
              <w:rFonts w:ascii="Arial" w:eastAsiaTheme="minorEastAsia" w:hAnsi="Arial" w:cs="Arial"/>
              <w:noProof/>
              <w:lang w:eastAsia="en-GB"/>
            </w:rPr>
          </w:pPr>
          <w:hyperlink w:anchor="_Toc218418670" w:history="1">
            <w:r w:rsidRPr="004F2450">
              <w:rPr>
                <w:rStyle w:val="Hyperlink"/>
                <w:rFonts w:ascii="Arial" w:hAnsi="Arial" w:cs="Arial"/>
                <w:noProof/>
              </w:rPr>
              <w:t>2.9 BCG Vaccination Campaigns in Delhi</w:t>
            </w:r>
            <w:r w:rsidRPr="004F2450">
              <w:rPr>
                <w:rFonts w:ascii="Arial" w:hAnsi="Arial" w:cs="Arial"/>
                <w:noProof/>
                <w:webHidden/>
              </w:rPr>
              <w:tab/>
            </w:r>
            <w:r w:rsidRPr="004F2450">
              <w:rPr>
                <w:rFonts w:ascii="Arial" w:hAnsi="Arial" w:cs="Arial"/>
                <w:noProof/>
                <w:webHidden/>
              </w:rPr>
              <w:fldChar w:fldCharType="begin"/>
            </w:r>
            <w:r w:rsidRPr="004F2450">
              <w:rPr>
                <w:rFonts w:ascii="Arial" w:hAnsi="Arial" w:cs="Arial"/>
                <w:noProof/>
                <w:webHidden/>
              </w:rPr>
              <w:instrText xml:space="preserve"> PAGEREF _Toc218418670 \h </w:instrText>
            </w:r>
            <w:r w:rsidRPr="004F2450">
              <w:rPr>
                <w:rFonts w:ascii="Arial" w:hAnsi="Arial" w:cs="Arial"/>
                <w:noProof/>
                <w:webHidden/>
              </w:rPr>
            </w:r>
            <w:r w:rsidRPr="004F2450">
              <w:rPr>
                <w:rFonts w:ascii="Arial" w:hAnsi="Arial" w:cs="Arial"/>
                <w:noProof/>
                <w:webHidden/>
              </w:rPr>
              <w:fldChar w:fldCharType="separate"/>
            </w:r>
            <w:r w:rsidR="00084D07">
              <w:rPr>
                <w:rFonts w:ascii="Arial" w:hAnsi="Arial" w:cs="Arial"/>
                <w:noProof/>
                <w:webHidden/>
              </w:rPr>
              <w:t>17</w:t>
            </w:r>
            <w:r w:rsidRPr="004F2450">
              <w:rPr>
                <w:rFonts w:ascii="Arial" w:hAnsi="Arial" w:cs="Arial"/>
                <w:noProof/>
                <w:webHidden/>
              </w:rPr>
              <w:fldChar w:fldCharType="end"/>
            </w:r>
          </w:hyperlink>
        </w:p>
        <w:p w14:paraId="40C16125" w14:textId="3C062E3C" w:rsidR="004F2450" w:rsidRPr="004F2450" w:rsidRDefault="004F2450" w:rsidP="004F2450">
          <w:pPr>
            <w:pStyle w:val="TOC1"/>
            <w:tabs>
              <w:tab w:val="right" w:leader="dot" w:pos="9016"/>
            </w:tabs>
            <w:spacing w:line="360" w:lineRule="auto"/>
            <w:jc w:val="both"/>
            <w:rPr>
              <w:rFonts w:ascii="Arial" w:eastAsiaTheme="minorEastAsia" w:hAnsi="Arial" w:cs="Arial"/>
              <w:noProof/>
              <w:lang w:eastAsia="en-GB"/>
            </w:rPr>
          </w:pPr>
          <w:hyperlink w:anchor="_Toc218418671" w:history="1">
            <w:r w:rsidRPr="004F2450">
              <w:rPr>
                <w:rStyle w:val="Hyperlink"/>
                <w:rFonts w:ascii="Arial" w:hAnsi="Arial" w:cs="Arial"/>
                <w:noProof/>
              </w:rPr>
              <w:t>2.10 Barriers to BCG Vaccination Uptake</w:t>
            </w:r>
            <w:r w:rsidRPr="004F2450">
              <w:rPr>
                <w:rFonts w:ascii="Arial" w:hAnsi="Arial" w:cs="Arial"/>
                <w:noProof/>
                <w:webHidden/>
              </w:rPr>
              <w:tab/>
            </w:r>
            <w:r w:rsidRPr="004F2450">
              <w:rPr>
                <w:rFonts w:ascii="Arial" w:hAnsi="Arial" w:cs="Arial"/>
                <w:noProof/>
                <w:webHidden/>
              </w:rPr>
              <w:fldChar w:fldCharType="begin"/>
            </w:r>
            <w:r w:rsidRPr="004F2450">
              <w:rPr>
                <w:rFonts w:ascii="Arial" w:hAnsi="Arial" w:cs="Arial"/>
                <w:noProof/>
                <w:webHidden/>
              </w:rPr>
              <w:instrText xml:space="preserve"> PAGEREF _Toc218418671 \h </w:instrText>
            </w:r>
            <w:r w:rsidRPr="004F2450">
              <w:rPr>
                <w:rFonts w:ascii="Arial" w:hAnsi="Arial" w:cs="Arial"/>
                <w:noProof/>
                <w:webHidden/>
              </w:rPr>
            </w:r>
            <w:r w:rsidRPr="004F2450">
              <w:rPr>
                <w:rFonts w:ascii="Arial" w:hAnsi="Arial" w:cs="Arial"/>
                <w:noProof/>
                <w:webHidden/>
              </w:rPr>
              <w:fldChar w:fldCharType="separate"/>
            </w:r>
            <w:r w:rsidR="00084D07">
              <w:rPr>
                <w:rFonts w:ascii="Arial" w:hAnsi="Arial" w:cs="Arial"/>
                <w:noProof/>
                <w:webHidden/>
              </w:rPr>
              <w:t>18</w:t>
            </w:r>
            <w:r w:rsidRPr="004F2450">
              <w:rPr>
                <w:rFonts w:ascii="Arial" w:hAnsi="Arial" w:cs="Arial"/>
                <w:noProof/>
                <w:webHidden/>
              </w:rPr>
              <w:fldChar w:fldCharType="end"/>
            </w:r>
          </w:hyperlink>
        </w:p>
        <w:p w14:paraId="55B8A667" w14:textId="5ED7D555" w:rsidR="004F2450" w:rsidRPr="004F2450" w:rsidRDefault="004F2450" w:rsidP="004F2450">
          <w:pPr>
            <w:pStyle w:val="TOC1"/>
            <w:tabs>
              <w:tab w:val="right" w:leader="dot" w:pos="9016"/>
            </w:tabs>
            <w:spacing w:line="360" w:lineRule="auto"/>
            <w:jc w:val="both"/>
            <w:rPr>
              <w:rFonts w:ascii="Arial" w:eastAsiaTheme="minorEastAsia" w:hAnsi="Arial" w:cs="Arial"/>
              <w:noProof/>
              <w:lang w:eastAsia="en-GB"/>
            </w:rPr>
          </w:pPr>
          <w:hyperlink w:anchor="_Toc218418672" w:history="1">
            <w:r w:rsidRPr="004F2450">
              <w:rPr>
                <w:rStyle w:val="Hyperlink"/>
                <w:rFonts w:ascii="Arial" w:hAnsi="Arial" w:cs="Arial"/>
                <w:noProof/>
              </w:rPr>
              <w:t>2.11 Early Detection, Screening, and TB Control Measures</w:t>
            </w:r>
            <w:r w:rsidRPr="004F2450">
              <w:rPr>
                <w:rFonts w:ascii="Arial" w:hAnsi="Arial" w:cs="Arial"/>
                <w:noProof/>
                <w:webHidden/>
              </w:rPr>
              <w:tab/>
            </w:r>
            <w:r w:rsidRPr="004F2450">
              <w:rPr>
                <w:rFonts w:ascii="Arial" w:hAnsi="Arial" w:cs="Arial"/>
                <w:noProof/>
                <w:webHidden/>
              </w:rPr>
              <w:fldChar w:fldCharType="begin"/>
            </w:r>
            <w:r w:rsidRPr="004F2450">
              <w:rPr>
                <w:rFonts w:ascii="Arial" w:hAnsi="Arial" w:cs="Arial"/>
                <w:noProof/>
                <w:webHidden/>
              </w:rPr>
              <w:instrText xml:space="preserve"> PAGEREF _Toc218418672 \h </w:instrText>
            </w:r>
            <w:r w:rsidRPr="004F2450">
              <w:rPr>
                <w:rFonts w:ascii="Arial" w:hAnsi="Arial" w:cs="Arial"/>
                <w:noProof/>
                <w:webHidden/>
              </w:rPr>
            </w:r>
            <w:r w:rsidRPr="004F2450">
              <w:rPr>
                <w:rFonts w:ascii="Arial" w:hAnsi="Arial" w:cs="Arial"/>
                <w:noProof/>
                <w:webHidden/>
              </w:rPr>
              <w:fldChar w:fldCharType="separate"/>
            </w:r>
            <w:r w:rsidR="00084D07">
              <w:rPr>
                <w:rFonts w:ascii="Arial" w:hAnsi="Arial" w:cs="Arial"/>
                <w:noProof/>
                <w:webHidden/>
              </w:rPr>
              <w:t>19</w:t>
            </w:r>
            <w:r w:rsidRPr="004F2450">
              <w:rPr>
                <w:rFonts w:ascii="Arial" w:hAnsi="Arial" w:cs="Arial"/>
                <w:noProof/>
                <w:webHidden/>
              </w:rPr>
              <w:fldChar w:fldCharType="end"/>
            </w:r>
          </w:hyperlink>
        </w:p>
        <w:p w14:paraId="27D48EB8" w14:textId="41579D49" w:rsidR="004F2450" w:rsidRPr="004F2450" w:rsidRDefault="004F2450" w:rsidP="004F2450">
          <w:pPr>
            <w:pStyle w:val="TOC1"/>
            <w:tabs>
              <w:tab w:val="right" w:leader="dot" w:pos="9016"/>
            </w:tabs>
            <w:spacing w:line="360" w:lineRule="auto"/>
            <w:jc w:val="both"/>
            <w:rPr>
              <w:rFonts w:ascii="Arial" w:eastAsiaTheme="minorEastAsia" w:hAnsi="Arial" w:cs="Arial"/>
              <w:noProof/>
              <w:lang w:eastAsia="en-GB"/>
            </w:rPr>
          </w:pPr>
          <w:hyperlink w:anchor="_Toc218418673" w:history="1">
            <w:r w:rsidRPr="004F2450">
              <w:rPr>
                <w:rStyle w:val="Hyperlink"/>
                <w:rFonts w:ascii="Arial" w:hAnsi="Arial" w:cs="Arial"/>
                <w:noProof/>
              </w:rPr>
              <w:t>2.12 Theoretical Framework</w:t>
            </w:r>
            <w:r w:rsidRPr="004F2450">
              <w:rPr>
                <w:rFonts w:ascii="Arial" w:hAnsi="Arial" w:cs="Arial"/>
                <w:noProof/>
                <w:webHidden/>
              </w:rPr>
              <w:tab/>
            </w:r>
            <w:r w:rsidRPr="004F2450">
              <w:rPr>
                <w:rFonts w:ascii="Arial" w:hAnsi="Arial" w:cs="Arial"/>
                <w:noProof/>
                <w:webHidden/>
              </w:rPr>
              <w:fldChar w:fldCharType="begin"/>
            </w:r>
            <w:r w:rsidRPr="004F2450">
              <w:rPr>
                <w:rFonts w:ascii="Arial" w:hAnsi="Arial" w:cs="Arial"/>
                <w:noProof/>
                <w:webHidden/>
              </w:rPr>
              <w:instrText xml:space="preserve"> PAGEREF _Toc218418673 \h </w:instrText>
            </w:r>
            <w:r w:rsidRPr="004F2450">
              <w:rPr>
                <w:rFonts w:ascii="Arial" w:hAnsi="Arial" w:cs="Arial"/>
                <w:noProof/>
                <w:webHidden/>
              </w:rPr>
            </w:r>
            <w:r w:rsidRPr="004F2450">
              <w:rPr>
                <w:rFonts w:ascii="Arial" w:hAnsi="Arial" w:cs="Arial"/>
                <w:noProof/>
                <w:webHidden/>
              </w:rPr>
              <w:fldChar w:fldCharType="separate"/>
            </w:r>
            <w:r w:rsidR="00084D07">
              <w:rPr>
                <w:rFonts w:ascii="Arial" w:hAnsi="Arial" w:cs="Arial"/>
                <w:noProof/>
                <w:webHidden/>
              </w:rPr>
              <w:t>20</w:t>
            </w:r>
            <w:r w:rsidRPr="004F2450">
              <w:rPr>
                <w:rFonts w:ascii="Arial" w:hAnsi="Arial" w:cs="Arial"/>
                <w:noProof/>
                <w:webHidden/>
              </w:rPr>
              <w:fldChar w:fldCharType="end"/>
            </w:r>
          </w:hyperlink>
        </w:p>
        <w:p w14:paraId="2073DF65" w14:textId="2E16D3D4" w:rsidR="004F2450" w:rsidRPr="004F2450" w:rsidRDefault="004F2450" w:rsidP="004F2450">
          <w:pPr>
            <w:pStyle w:val="TOC2"/>
            <w:tabs>
              <w:tab w:val="right" w:leader="dot" w:pos="9016"/>
            </w:tabs>
            <w:spacing w:line="360" w:lineRule="auto"/>
            <w:jc w:val="both"/>
            <w:rPr>
              <w:rFonts w:ascii="Arial" w:eastAsiaTheme="minorEastAsia" w:hAnsi="Arial" w:cs="Arial"/>
              <w:noProof/>
              <w:lang w:eastAsia="en-GB"/>
            </w:rPr>
          </w:pPr>
          <w:hyperlink w:anchor="_Toc218418674" w:history="1">
            <w:r w:rsidRPr="004F2450">
              <w:rPr>
                <w:rStyle w:val="Hyperlink"/>
                <w:rFonts w:ascii="Arial" w:eastAsiaTheme="majorEastAsia" w:hAnsi="Arial" w:cs="Arial"/>
                <w:noProof/>
              </w:rPr>
              <w:t>2.12.1 Health Belief Model (HBM)</w:t>
            </w:r>
            <w:r w:rsidRPr="004F2450">
              <w:rPr>
                <w:rFonts w:ascii="Arial" w:hAnsi="Arial" w:cs="Arial"/>
                <w:noProof/>
                <w:webHidden/>
              </w:rPr>
              <w:tab/>
            </w:r>
            <w:r w:rsidRPr="004F2450">
              <w:rPr>
                <w:rFonts w:ascii="Arial" w:hAnsi="Arial" w:cs="Arial"/>
                <w:noProof/>
                <w:webHidden/>
              </w:rPr>
              <w:fldChar w:fldCharType="begin"/>
            </w:r>
            <w:r w:rsidRPr="004F2450">
              <w:rPr>
                <w:rFonts w:ascii="Arial" w:hAnsi="Arial" w:cs="Arial"/>
                <w:noProof/>
                <w:webHidden/>
              </w:rPr>
              <w:instrText xml:space="preserve"> PAGEREF _Toc218418674 \h </w:instrText>
            </w:r>
            <w:r w:rsidRPr="004F2450">
              <w:rPr>
                <w:rFonts w:ascii="Arial" w:hAnsi="Arial" w:cs="Arial"/>
                <w:noProof/>
                <w:webHidden/>
              </w:rPr>
            </w:r>
            <w:r w:rsidRPr="004F2450">
              <w:rPr>
                <w:rFonts w:ascii="Arial" w:hAnsi="Arial" w:cs="Arial"/>
                <w:noProof/>
                <w:webHidden/>
              </w:rPr>
              <w:fldChar w:fldCharType="separate"/>
            </w:r>
            <w:r w:rsidR="00084D07">
              <w:rPr>
                <w:rFonts w:ascii="Arial" w:hAnsi="Arial" w:cs="Arial"/>
                <w:noProof/>
                <w:webHidden/>
              </w:rPr>
              <w:t>20</w:t>
            </w:r>
            <w:r w:rsidRPr="004F2450">
              <w:rPr>
                <w:rFonts w:ascii="Arial" w:hAnsi="Arial" w:cs="Arial"/>
                <w:noProof/>
                <w:webHidden/>
              </w:rPr>
              <w:fldChar w:fldCharType="end"/>
            </w:r>
          </w:hyperlink>
        </w:p>
        <w:p w14:paraId="184DE229" w14:textId="1FD27269" w:rsidR="004F2450" w:rsidRPr="004F2450" w:rsidRDefault="004F2450" w:rsidP="004F2450">
          <w:pPr>
            <w:pStyle w:val="TOC1"/>
            <w:tabs>
              <w:tab w:val="right" w:leader="dot" w:pos="9016"/>
            </w:tabs>
            <w:spacing w:line="360" w:lineRule="auto"/>
            <w:jc w:val="both"/>
            <w:rPr>
              <w:rFonts w:ascii="Arial" w:eastAsiaTheme="minorEastAsia" w:hAnsi="Arial" w:cs="Arial"/>
              <w:noProof/>
              <w:lang w:eastAsia="en-GB"/>
            </w:rPr>
          </w:pPr>
          <w:hyperlink w:anchor="_Toc218418675" w:history="1">
            <w:r w:rsidRPr="004F2450">
              <w:rPr>
                <w:rStyle w:val="Hyperlink"/>
                <w:rFonts w:ascii="Arial" w:hAnsi="Arial" w:cs="Arial"/>
                <w:noProof/>
              </w:rPr>
              <w:t>2.13 Gaps, Strengths and Weaknesses in Existing Literature</w:t>
            </w:r>
            <w:r w:rsidRPr="004F2450">
              <w:rPr>
                <w:rFonts w:ascii="Arial" w:hAnsi="Arial" w:cs="Arial"/>
                <w:noProof/>
                <w:webHidden/>
              </w:rPr>
              <w:tab/>
            </w:r>
            <w:r w:rsidRPr="004F2450">
              <w:rPr>
                <w:rFonts w:ascii="Arial" w:hAnsi="Arial" w:cs="Arial"/>
                <w:noProof/>
                <w:webHidden/>
              </w:rPr>
              <w:fldChar w:fldCharType="begin"/>
            </w:r>
            <w:r w:rsidRPr="004F2450">
              <w:rPr>
                <w:rFonts w:ascii="Arial" w:hAnsi="Arial" w:cs="Arial"/>
                <w:noProof/>
                <w:webHidden/>
              </w:rPr>
              <w:instrText xml:space="preserve"> PAGEREF _Toc218418675 \h </w:instrText>
            </w:r>
            <w:r w:rsidRPr="004F2450">
              <w:rPr>
                <w:rFonts w:ascii="Arial" w:hAnsi="Arial" w:cs="Arial"/>
                <w:noProof/>
                <w:webHidden/>
              </w:rPr>
            </w:r>
            <w:r w:rsidRPr="004F2450">
              <w:rPr>
                <w:rFonts w:ascii="Arial" w:hAnsi="Arial" w:cs="Arial"/>
                <w:noProof/>
                <w:webHidden/>
              </w:rPr>
              <w:fldChar w:fldCharType="separate"/>
            </w:r>
            <w:r w:rsidR="00084D07">
              <w:rPr>
                <w:rFonts w:ascii="Arial" w:hAnsi="Arial" w:cs="Arial"/>
                <w:noProof/>
                <w:webHidden/>
              </w:rPr>
              <w:t>22</w:t>
            </w:r>
            <w:r w:rsidRPr="004F2450">
              <w:rPr>
                <w:rFonts w:ascii="Arial" w:hAnsi="Arial" w:cs="Arial"/>
                <w:noProof/>
                <w:webHidden/>
              </w:rPr>
              <w:fldChar w:fldCharType="end"/>
            </w:r>
          </w:hyperlink>
        </w:p>
        <w:p w14:paraId="7EEA08C5" w14:textId="7ACF1420" w:rsidR="004F2450" w:rsidRPr="004F2450" w:rsidRDefault="004F2450" w:rsidP="004F2450">
          <w:pPr>
            <w:pStyle w:val="TOC1"/>
            <w:tabs>
              <w:tab w:val="right" w:leader="dot" w:pos="9016"/>
            </w:tabs>
            <w:spacing w:line="360" w:lineRule="auto"/>
            <w:jc w:val="both"/>
            <w:rPr>
              <w:rFonts w:ascii="Arial" w:eastAsiaTheme="minorEastAsia" w:hAnsi="Arial" w:cs="Arial"/>
              <w:noProof/>
              <w:lang w:eastAsia="en-GB"/>
            </w:rPr>
          </w:pPr>
          <w:hyperlink w:anchor="_Toc218418676" w:history="1">
            <w:r w:rsidRPr="004F2450">
              <w:rPr>
                <w:rStyle w:val="Hyperlink"/>
                <w:rFonts w:ascii="Arial" w:hAnsi="Arial" w:cs="Arial"/>
                <w:noProof/>
              </w:rPr>
              <w:t>2.14 Chapter Summary</w:t>
            </w:r>
            <w:r w:rsidRPr="004F2450">
              <w:rPr>
                <w:rFonts w:ascii="Arial" w:hAnsi="Arial" w:cs="Arial"/>
                <w:noProof/>
                <w:webHidden/>
              </w:rPr>
              <w:tab/>
            </w:r>
            <w:r w:rsidRPr="004F2450">
              <w:rPr>
                <w:rFonts w:ascii="Arial" w:hAnsi="Arial" w:cs="Arial"/>
                <w:noProof/>
                <w:webHidden/>
              </w:rPr>
              <w:fldChar w:fldCharType="begin"/>
            </w:r>
            <w:r w:rsidRPr="004F2450">
              <w:rPr>
                <w:rFonts w:ascii="Arial" w:hAnsi="Arial" w:cs="Arial"/>
                <w:noProof/>
                <w:webHidden/>
              </w:rPr>
              <w:instrText xml:space="preserve"> PAGEREF _Toc218418676 \h </w:instrText>
            </w:r>
            <w:r w:rsidRPr="004F2450">
              <w:rPr>
                <w:rFonts w:ascii="Arial" w:hAnsi="Arial" w:cs="Arial"/>
                <w:noProof/>
                <w:webHidden/>
              </w:rPr>
            </w:r>
            <w:r w:rsidRPr="004F2450">
              <w:rPr>
                <w:rFonts w:ascii="Arial" w:hAnsi="Arial" w:cs="Arial"/>
                <w:noProof/>
                <w:webHidden/>
              </w:rPr>
              <w:fldChar w:fldCharType="separate"/>
            </w:r>
            <w:r w:rsidR="00084D07">
              <w:rPr>
                <w:rFonts w:ascii="Arial" w:hAnsi="Arial" w:cs="Arial"/>
                <w:noProof/>
                <w:webHidden/>
              </w:rPr>
              <w:t>23</w:t>
            </w:r>
            <w:r w:rsidRPr="004F2450">
              <w:rPr>
                <w:rFonts w:ascii="Arial" w:hAnsi="Arial" w:cs="Arial"/>
                <w:noProof/>
                <w:webHidden/>
              </w:rPr>
              <w:fldChar w:fldCharType="end"/>
            </w:r>
          </w:hyperlink>
        </w:p>
        <w:p w14:paraId="735F7183" w14:textId="15B9AF18" w:rsidR="004F2450" w:rsidRPr="004F2450" w:rsidRDefault="004F2450" w:rsidP="004F2450">
          <w:pPr>
            <w:pStyle w:val="TOC1"/>
            <w:tabs>
              <w:tab w:val="right" w:leader="dot" w:pos="9016"/>
            </w:tabs>
            <w:spacing w:line="360" w:lineRule="auto"/>
            <w:jc w:val="both"/>
            <w:rPr>
              <w:rFonts w:ascii="Arial" w:eastAsiaTheme="minorEastAsia" w:hAnsi="Arial" w:cs="Arial"/>
              <w:noProof/>
              <w:lang w:eastAsia="en-GB"/>
            </w:rPr>
          </w:pPr>
          <w:hyperlink w:anchor="_Toc218418677" w:history="1">
            <w:r w:rsidRPr="004F2450">
              <w:rPr>
                <w:rStyle w:val="Hyperlink"/>
                <w:rFonts w:ascii="Arial" w:hAnsi="Arial" w:cs="Arial"/>
                <w:noProof/>
              </w:rPr>
              <w:t>Chapter 3: Methodology</w:t>
            </w:r>
            <w:r w:rsidRPr="004F2450">
              <w:rPr>
                <w:rFonts w:ascii="Arial" w:hAnsi="Arial" w:cs="Arial"/>
                <w:noProof/>
                <w:webHidden/>
              </w:rPr>
              <w:tab/>
            </w:r>
            <w:r w:rsidRPr="004F2450">
              <w:rPr>
                <w:rFonts w:ascii="Arial" w:hAnsi="Arial" w:cs="Arial"/>
                <w:noProof/>
                <w:webHidden/>
              </w:rPr>
              <w:fldChar w:fldCharType="begin"/>
            </w:r>
            <w:r w:rsidRPr="004F2450">
              <w:rPr>
                <w:rFonts w:ascii="Arial" w:hAnsi="Arial" w:cs="Arial"/>
                <w:noProof/>
                <w:webHidden/>
              </w:rPr>
              <w:instrText xml:space="preserve"> PAGEREF _Toc218418677 \h </w:instrText>
            </w:r>
            <w:r w:rsidRPr="004F2450">
              <w:rPr>
                <w:rFonts w:ascii="Arial" w:hAnsi="Arial" w:cs="Arial"/>
                <w:noProof/>
                <w:webHidden/>
              </w:rPr>
            </w:r>
            <w:r w:rsidRPr="004F2450">
              <w:rPr>
                <w:rFonts w:ascii="Arial" w:hAnsi="Arial" w:cs="Arial"/>
                <w:noProof/>
                <w:webHidden/>
              </w:rPr>
              <w:fldChar w:fldCharType="separate"/>
            </w:r>
            <w:r w:rsidR="00084D07">
              <w:rPr>
                <w:rFonts w:ascii="Arial" w:hAnsi="Arial" w:cs="Arial"/>
                <w:noProof/>
                <w:webHidden/>
              </w:rPr>
              <w:t>24</w:t>
            </w:r>
            <w:r w:rsidRPr="004F2450">
              <w:rPr>
                <w:rFonts w:ascii="Arial" w:hAnsi="Arial" w:cs="Arial"/>
                <w:noProof/>
                <w:webHidden/>
              </w:rPr>
              <w:fldChar w:fldCharType="end"/>
            </w:r>
          </w:hyperlink>
        </w:p>
        <w:p w14:paraId="2F92A9D9" w14:textId="3CFD61F0" w:rsidR="004F2450" w:rsidRPr="004F2450" w:rsidRDefault="004F2450" w:rsidP="004F2450">
          <w:pPr>
            <w:pStyle w:val="TOC1"/>
            <w:tabs>
              <w:tab w:val="right" w:leader="dot" w:pos="9016"/>
            </w:tabs>
            <w:spacing w:line="360" w:lineRule="auto"/>
            <w:jc w:val="both"/>
            <w:rPr>
              <w:rFonts w:ascii="Arial" w:eastAsiaTheme="minorEastAsia" w:hAnsi="Arial" w:cs="Arial"/>
              <w:noProof/>
              <w:lang w:eastAsia="en-GB"/>
            </w:rPr>
          </w:pPr>
          <w:hyperlink w:anchor="_Toc218418678" w:history="1">
            <w:r w:rsidRPr="004F2450">
              <w:rPr>
                <w:rStyle w:val="Hyperlink"/>
                <w:rFonts w:ascii="Arial" w:hAnsi="Arial" w:cs="Arial"/>
                <w:noProof/>
              </w:rPr>
              <w:t>3.1 Introduction</w:t>
            </w:r>
            <w:r w:rsidRPr="004F2450">
              <w:rPr>
                <w:rFonts w:ascii="Arial" w:hAnsi="Arial" w:cs="Arial"/>
                <w:noProof/>
                <w:webHidden/>
              </w:rPr>
              <w:tab/>
            </w:r>
            <w:r w:rsidRPr="004F2450">
              <w:rPr>
                <w:rFonts w:ascii="Arial" w:hAnsi="Arial" w:cs="Arial"/>
                <w:noProof/>
                <w:webHidden/>
              </w:rPr>
              <w:fldChar w:fldCharType="begin"/>
            </w:r>
            <w:r w:rsidRPr="004F2450">
              <w:rPr>
                <w:rFonts w:ascii="Arial" w:hAnsi="Arial" w:cs="Arial"/>
                <w:noProof/>
                <w:webHidden/>
              </w:rPr>
              <w:instrText xml:space="preserve"> PAGEREF _Toc218418678 \h </w:instrText>
            </w:r>
            <w:r w:rsidRPr="004F2450">
              <w:rPr>
                <w:rFonts w:ascii="Arial" w:hAnsi="Arial" w:cs="Arial"/>
                <w:noProof/>
                <w:webHidden/>
              </w:rPr>
            </w:r>
            <w:r w:rsidRPr="004F2450">
              <w:rPr>
                <w:rFonts w:ascii="Arial" w:hAnsi="Arial" w:cs="Arial"/>
                <w:noProof/>
                <w:webHidden/>
              </w:rPr>
              <w:fldChar w:fldCharType="separate"/>
            </w:r>
            <w:r w:rsidR="00084D07">
              <w:rPr>
                <w:rFonts w:ascii="Arial" w:hAnsi="Arial" w:cs="Arial"/>
                <w:noProof/>
                <w:webHidden/>
              </w:rPr>
              <w:t>24</w:t>
            </w:r>
            <w:r w:rsidRPr="004F2450">
              <w:rPr>
                <w:rFonts w:ascii="Arial" w:hAnsi="Arial" w:cs="Arial"/>
                <w:noProof/>
                <w:webHidden/>
              </w:rPr>
              <w:fldChar w:fldCharType="end"/>
            </w:r>
          </w:hyperlink>
        </w:p>
        <w:p w14:paraId="288ABC08" w14:textId="7F2EBA82" w:rsidR="004F2450" w:rsidRPr="004F2450" w:rsidRDefault="004F2450" w:rsidP="004F2450">
          <w:pPr>
            <w:pStyle w:val="TOC1"/>
            <w:tabs>
              <w:tab w:val="right" w:leader="dot" w:pos="9016"/>
            </w:tabs>
            <w:spacing w:line="360" w:lineRule="auto"/>
            <w:jc w:val="both"/>
            <w:rPr>
              <w:rFonts w:ascii="Arial" w:eastAsiaTheme="minorEastAsia" w:hAnsi="Arial" w:cs="Arial"/>
              <w:noProof/>
              <w:lang w:eastAsia="en-GB"/>
            </w:rPr>
          </w:pPr>
          <w:hyperlink w:anchor="_Toc218418679" w:history="1">
            <w:r w:rsidRPr="004F2450">
              <w:rPr>
                <w:rStyle w:val="Hyperlink"/>
                <w:rFonts w:ascii="Arial" w:hAnsi="Arial" w:cs="Arial"/>
                <w:noProof/>
              </w:rPr>
              <w:t>3.2 Research Philosophy</w:t>
            </w:r>
            <w:r w:rsidRPr="004F2450">
              <w:rPr>
                <w:rFonts w:ascii="Arial" w:hAnsi="Arial" w:cs="Arial"/>
                <w:noProof/>
                <w:webHidden/>
              </w:rPr>
              <w:tab/>
            </w:r>
            <w:r w:rsidRPr="004F2450">
              <w:rPr>
                <w:rFonts w:ascii="Arial" w:hAnsi="Arial" w:cs="Arial"/>
                <w:noProof/>
                <w:webHidden/>
              </w:rPr>
              <w:fldChar w:fldCharType="begin"/>
            </w:r>
            <w:r w:rsidRPr="004F2450">
              <w:rPr>
                <w:rFonts w:ascii="Arial" w:hAnsi="Arial" w:cs="Arial"/>
                <w:noProof/>
                <w:webHidden/>
              </w:rPr>
              <w:instrText xml:space="preserve"> PAGEREF _Toc218418679 \h </w:instrText>
            </w:r>
            <w:r w:rsidRPr="004F2450">
              <w:rPr>
                <w:rFonts w:ascii="Arial" w:hAnsi="Arial" w:cs="Arial"/>
                <w:noProof/>
                <w:webHidden/>
              </w:rPr>
            </w:r>
            <w:r w:rsidRPr="004F2450">
              <w:rPr>
                <w:rFonts w:ascii="Arial" w:hAnsi="Arial" w:cs="Arial"/>
                <w:noProof/>
                <w:webHidden/>
              </w:rPr>
              <w:fldChar w:fldCharType="separate"/>
            </w:r>
            <w:r w:rsidR="00084D07">
              <w:rPr>
                <w:rFonts w:ascii="Arial" w:hAnsi="Arial" w:cs="Arial"/>
                <w:noProof/>
                <w:webHidden/>
              </w:rPr>
              <w:t>24</w:t>
            </w:r>
            <w:r w:rsidRPr="004F2450">
              <w:rPr>
                <w:rFonts w:ascii="Arial" w:hAnsi="Arial" w:cs="Arial"/>
                <w:noProof/>
                <w:webHidden/>
              </w:rPr>
              <w:fldChar w:fldCharType="end"/>
            </w:r>
          </w:hyperlink>
        </w:p>
        <w:p w14:paraId="6D5C3C58" w14:textId="6CFCE0B6" w:rsidR="004F2450" w:rsidRPr="004F2450" w:rsidRDefault="004F2450" w:rsidP="004F2450">
          <w:pPr>
            <w:pStyle w:val="TOC1"/>
            <w:tabs>
              <w:tab w:val="right" w:leader="dot" w:pos="9016"/>
            </w:tabs>
            <w:spacing w:line="360" w:lineRule="auto"/>
            <w:jc w:val="both"/>
            <w:rPr>
              <w:rFonts w:ascii="Arial" w:eastAsiaTheme="minorEastAsia" w:hAnsi="Arial" w:cs="Arial"/>
              <w:noProof/>
              <w:lang w:eastAsia="en-GB"/>
            </w:rPr>
          </w:pPr>
          <w:hyperlink w:anchor="_Toc218418680" w:history="1">
            <w:r w:rsidRPr="004F2450">
              <w:rPr>
                <w:rStyle w:val="Hyperlink"/>
                <w:rFonts w:ascii="Arial" w:hAnsi="Arial" w:cs="Arial"/>
                <w:noProof/>
              </w:rPr>
              <w:t>3.3 Research Approach</w:t>
            </w:r>
            <w:r w:rsidRPr="004F2450">
              <w:rPr>
                <w:rFonts w:ascii="Arial" w:hAnsi="Arial" w:cs="Arial"/>
                <w:noProof/>
                <w:webHidden/>
              </w:rPr>
              <w:tab/>
            </w:r>
            <w:r w:rsidRPr="004F2450">
              <w:rPr>
                <w:rFonts w:ascii="Arial" w:hAnsi="Arial" w:cs="Arial"/>
                <w:noProof/>
                <w:webHidden/>
              </w:rPr>
              <w:fldChar w:fldCharType="begin"/>
            </w:r>
            <w:r w:rsidRPr="004F2450">
              <w:rPr>
                <w:rFonts w:ascii="Arial" w:hAnsi="Arial" w:cs="Arial"/>
                <w:noProof/>
                <w:webHidden/>
              </w:rPr>
              <w:instrText xml:space="preserve"> PAGEREF _Toc218418680 \h </w:instrText>
            </w:r>
            <w:r w:rsidRPr="004F2450">
              <w:rPr>
                <w:rFonts w:ascii="Arial" w:hAnsi="Arial" w:cs="Arial"/>
                <w:noProof/>
                <w:webHidden/>
              </w:rPr>
            </w:r>
            <w:r w:rsidRPr="004F2450">
              <w:rPr>
                <w:rFonts w:ascii="Arial" w:hAnsi="Arial" w:cs="Arial"/>
                <w:noProof/>
                <w:webHidden/>
              </w:rPr>
              <w:fldChar w:fldCharType="separate"/>
            </w:r>
            <w:r w:rsidR="00084D07">
              <w:rPr>
                <w:rFonts w:ascii="Arial" w:hAnsi="Arial" w:cs="Arial"/>
                <w:noProof/>
                <w:webHidden/>
              </w:rPr>
              <w:t>25</w:t>
            </w:r>
            <w:r w:rsidRPr="004F2450">
              <w:rPr>
                <w:rFonts w:ascii="Arial" w:hAnsi="Arial" w:cs="Arial"/>
                <w:noProof/>
                <w:webHidden/>
              </w:rPr>
              <w:fldChar w:fldCharType="end"/>
            </w:r>
          </w:hyperlink>
        </w:p>
        <w:p w14:paraId="0683FA14" w14:textId="406C1870" w:rsidR="004F2450" w:rsidRPr="004F2450" w:rsidRDefault="004F2450" w:rsidP="004F2450">
          <w:pPr>
            <w:pStyle w:val="TOC1"/>
            <w:tabs>
              <w:tab w:val="right" w:leader="dot" w:pos="9016"/>
            </w:tabs>
            <w:spacing w:line="360" w:lineRule="auto"/>
            <w:jc w:val="both"/>
            <w:rPr>
              <w:rFonts w:ascii="Arial" w:eastAsiaTheme="minorEastAsia" w:hAnsi="Arial" w:cs="Arial"/>
              <w:noProof/>
              <w:lang w:eastAsia="en-GB"/>
            </w:rPr>
          </w:pPr>
          <w:hyperlink w:anchor="_Toc218418681" w:history="1">
            <w:r w:rsidRPr="004F2450">
              <w:rPr>
                <w:rStyle w:val="Hyperlink"/>
                <w:rFonts w:ascii="Arial" w:hAnsi="Arial" w:cs="Arial"/>
                <w:noProof/>
              </w:rPr>
              <w:t>3.4 Study Design</w:t>
            </w:r>
            <w:r w:rsidRPr="004F2450">
              <w:rPr>
                <w:rFonts w:ascii="Arial" w:hAnsi="Arial" w:cs="Arial"/>
                <w:noProof/>
                <w:webHidden/>
              </w:rPr>
              <w:tab/>
            </w:r>
            <w:r w:rsidRPr="004F2450">
              <w:rPr>
                <w:rFonts w:ascii="Arial" w:hAnsi="Arial" w:cs="Arial"/>
                <w:noProof/>
                <w:webHidden/>
              </w:rPr>
              <w:fldChar w:fldCharType="begin"/>
            </w:r>
            <w:r w:rsidRPr="004F2450">
              <w:rPr>
                <w:rFonts w:ascii="Arial" w:hAnsi="Arial" w:cs="Arial"/>
                <w:noProof/>
                <w:webHidden/>
              </w:rPr>
              <w:instrText xml:space="preserve"> PAGEREF _Toc218418681 \h </w:instrText>
            </w:r>
            <w:r w:rsidRPr="004F2450">
              <w:rPr>
                <w:rFonts w:ascii="Arial" w:hAnsi="Arial" w:cs="Arial"/>
                <w:noProof/>
                <w:webHidden/>
              </w:rPr>
            </w:r>
            <w:r w:rsidRPr="004F2450">
              <w:rPr>
                <w:rFonts w:ascii="Arial" w:hAnsi="Arial" w:cs="Arial"/>
                <w:noProof/>
                <w:webHidden/>
              </w:rPr>
              <w:fldChar w:fldCharType="separate"/>
            </w:r>
            <w:r w:rsidR="00084D07">
              <w:rPr>
                <w:rFonts w:ascii="Arial" w:hAnsi="Arial" w:cs="Arial"/>
                <w:noProof/>
                <w:webHidden/>
              </w:rPr>
              <w:t>25</w:t>
            </w:r>
            <w:r w:rsidRPr="004F2450">
              <w:rPr>
                <w:rFonts w:ascii="Arial" w:hAnsi="Arial" w:cs="Arial"/>
                <w:noProof/>
                <w:webHidden/>
              </w:rPr>
              <w:fldChar w:fldCharType="end"/>
            </w:r>
          </w:hyperlink>
        </w:p>
        <w:p w14:paraId="101D795B" w14:textId="2BAAEC21" w:rsidR="004F2450" w:rsidRPr="004F2450" w:rsidRDefault="004F2450" w:rsidP="004F2450">
          <w:pPr>
            <w:pStyle w:val="TOC1"/>
            <w:tabs>
              <w:tab w:val="right" w:leader="dot" w:pos="9016"/>
            </w:tabs>
            <w:spacing w:line="360" w:lineRule="auto"/>
            <w:jc w:val="both"/>
            <w:rPr>
              <w:rFonts w:ascii="Arial" w:eastAsiaTheme="minorEastAsia" w:hAnsi="Arial" w:cs="Arial"/>
              <w:noProof/>
              <w:lang w:eastAsia="en-GB"/>
            </w:rPr>
          </w:pPr>
          <w:hyperlink w:anchor="_Toc218418682" w:history="1">
            <w:r w:rsidRPr="004F2450">
              <w:rPr>
                <w:rStyle w:val="Hyperlink"/>
                <w:rFonts w:ascii="Arial" w:hAnsi="Arial" w:cs="Arial"/>
                <w:noProof/>
              </w:rPr>
              <w:t>3.5 Database Search Procedure</w:t>
            </w:r>
            <w:r w:rsidRPr="004F2450">
              <w:rPr>
                <w:rFonts w:ascii="Arial" w:hAnsi="Arial" w:cs="Arial"/>
                <w:noProof/>
                <w:webHidden/>
              </w:rPr>
              <w:tab/>
            </w:r>
            <w:r w:rsidRPr="004F2450">
              <w:rPr>
                <w:rFonts w:ascii="Arial" w:hAnsi="Arial" w:cs="Arial"/>
                <w:noProof/>
                <w:webHidden/>
              </w:rPr>
              <w:fldChar w:fldCharType="begin"/>
            </w:r>
            <w:r w:rsidRPr="004F2450">
              <w:rPr>
                <w:rFonts w:ascii="Arial" w:hAnsi="Arial" w:cs="Arial"/>
                <w:noProof/>
                <w:webHidden/>
              </w:rPr>
              <w:instrText xml:space="preserve"> PAGEREF _Toc218418682 \h </w:instrText>
            </w:r>
            <w:r w:rsidRPr="004F2450">
              <w:rPr>
                <w:rFonts w:ascii="Arial" w:hAnsi="Arial" w:cs="Arial"/>
                <w:noProof/>
                <w:webHidden/>
              </w:rPr>
            </w:r>
            <w:r w:rsidRPr="004F2450">
              <w:rPr>
                <w:rFonts w:ascii="Arial" w:hAnsi="Arial" w:cs="Arial"/>
                <w:noProof/>
                <w:webHidden/>
              </w:rPr>
              <w:fldChar w:fldCharType="separate"/>
            </w:r>
            <w:r w:rsidR="00084D07">
              <w:rPr>
                <w:rFonts w:ascii="Arial" w:hAnsi="Arial" w:cs="Arial"/>
                <w:noProof/>
                <w:webHidden/>
              </w:rPr>
              <w:t>25</w:t>
            </w:r>
            <w:r w:rsidRPr="004F2450">
              <w:rPr>
                <w:rFonts w:ascii="Arial" w:hAnsi="Arial" w:cs="Arial"/>
                <w:noProof/>
                <w:webHidden/>
              </w:rPr>
              <w:fldChar w:fldCharType="end"/>
            </w:r>
          </w:hyperlink>
        </w:p>
        <w:p w14:paraId="55C5525A" w14:textId="1117D2DF" w:rsidR="004F2450" w:rsidRPr="004F2450" w:rsidRDefault="004F2450" w:rsidP="004F2450">
          <w:pPr>
            <w:pStyle w:val="TOC1"/>
            <w:tabs>
              <w:tab w:val="right" w:leader="dot" w:pos="9016"/>
            </w:tabs>
            <w:spacing w:line="360" w:lineRule="auto"/>
            <w:jc w:val="both"/>
            <w:rPr>
              <w:rFonts w:ascii="Arial" w:eastAsiaTheme="minorEastAsia" w:hAnsi="Arial" w:cs="Arial"/>
              <w:noProof/>
              <w:lang w:eastAsia="en-GB"/>
            </w:rPr>
          </w:pPr>
          <w:hyperlink w:anchor="_Toc218418683" w:history="1">
            <w:r w:rsidRPr="004F2450">
              <w:rPr>
                <w:rStyle w:val="Hyperlink"/>
                <w:rFonts w:ascii="Arial" w:hAnsi="Arial" w:cs="Arial"/>
                <w:noProof/>
              </w:rPr>
              <w:t>3.6 Method of Data Collection</w:t>
            </w:r>
            <w:r w:rsidRPr="004F2450">
              <w:rPr>
                <w:rFonts w:ascii="Arial" w:hAnsi="Arial" w:cs="Arial"/>
                <w:noProof/>
                <w:webHidden/>
              </w:rPr>
              <w:tab/>
            </w:r>
            <w:r w:rsidRPr="004F2450">
              <w:rPr>
                <w:rFonts w:ascii="Arial" w:hAnsi="Arial" w:cs="Arial"/>
                <w:noProof/>
                <w:webHidden/>
              </w:rPr>
              <w:fldChar w:fldCharType="begin"/>
            </w:r>
            <w:r w:rsidRPr="004F2450">
              <w:rPr>
                <w:rFonts w:ascii="Arial" w:hAnsi="Arial" w:cs="Arial"/>
                <w:noProof/>
                <w:webHidden/>
              </w:rPr>
              <w:instrText xml:space="preserve"> PAGEREF _Toc218418683 \h </w:instrText>
            </w:r>
            <w:r w:rsidRPr="004F2450">
              <w:rPr>
                <w:rFonts w:ascii="Arial" w:hAnsi="Arial" w:cs="Arial"/>
                <w:noProof/>
                <w:webHidden/>
              </w:rPr>
            </w:r>
            <w:r w:rsidRPr="004F2450">
              <w:rPr>
                <w:rFonts w:ascii="Arial" w:hAnsi="Arial" w:cs="Arial"/>
                <w:noProof/>
                <w:webHidden/>
              </w:rPr>
              <w:fldChar w:fldCharType="separate"/>
            </w:r>
            <w:r w:rsidR="00084D07">
              <w:rPr>
                <w:rFonts w:ascii="Arial" w:hAnsi="Arial" w:cs="Arial"/>
                <w:noProof/>
                <w:webHidden/>
              </w:rPr>
              <w:t>26</w:t>
            </w:r>
            <w:r w:rsidRPr="004F2450">
              <w:rPr>
                <w:rFonts w:ascii="Arial" w:hAnsi="Arial" w:cs="Arial"/>
                <w:noProof/>
                <w:webHidden/>
              </w:rPr>
              <w:fldChar w:fldCharType="end"/>
            </w:r>
          </w:hyperlink>
        </w:p>
        <w:p w14:paraId="0DF52CAD" w14:textId="4BA0F705" w:rsidR="004F2450" w:rsidRPr="004F2450" w:rsidRDefault="004F2450" w:rsidP="004F2450">
          <w:pPr>
            <w:pStyle w:val="TOC1"/>
            <w:tabs>
              <w:tab w:val="right" w:leader="dot" w:pos="9016"/>
            </w:tabs>
            <w:spacing w:line="360" w:lineRule="auto"/>
            <w:jc w:val="both"/>
            <w:rPr>
              <w:rFonts w:ascii="Arial" w:eastAsiaTheme="minorEastAsia" w:hAnsi="Arial" w:cs="Arial"/>
              <w:noProof/>
              <w:lang w:eastAsia="en-GB"/>
            </w:rPr>
          </w:pPr>
          <w:hyperlink w:anchor="_Toc218418684" w:history="1">
            <w:r w:rsidRPr="004F2450">
              <w:rPr>
                <w:rStyle w:val="Hyperlink"/>
                <w:rFonts w:ascii="Arial" w:hAnsi="Arial" w:cs="Arial"/>
                <w:noProof/>
              </w:rPr>
              <w:t>3.7 PICOS Framework</w:t>
            </w:r>
            <w:r w:rsidRPr="004F2450">
              <w:rPr>
                <w:rFonts w:ascii="Arial" w:hAnsi="Arial" w:cs="Arial"/>
                <w:noProof/>
                <w:webHidden/>
              </w:rPr>
              <w:tab/>
            </w:r>
            <w:r w:rsidRPr="004F2450">
              <w:rPr>
                <w:rFonts w:ascii="Arial" w:hAnsi="Arial" w:cs="Arial"/>
                <w:noProof/>
                <w:webHidden/>
              </w:rPr>
              <w:fldChar w:fldCharType="begin"/>
            </w:r>
            <w:r w:rsidRPr="004F2450">
              <w:rPr>
                <w:rFonts w:ascii="Arial" w:hAnsi="Arial" w:cs="Arial"/>
                <w:noProof/>
                <w:webHidden/>
              </w:rPr>
              <w:instrText xml:space="preserve"> PAGEREF _Toc218418684 \h </w:instrText>
            </w:r>
            <w:r w:rsidRPr="004F2450">
              <w:rPr>
                <w:rFonts w:ascii="Arial" w:hAnsi="Arial" w:cs="Arial"/>
                <w:noProof/>
                <w:webHidden/>
              </w:rPr>
            </w:r>
            <w:r w:rsidRPr="004F2450">
              <w:rPr>
                <w:rFonts w:ascii="Arial" w:hAnsi="Arial" w:cs="Arial"/>
                <w:noProof/>
                <w:webHidden/>
              </w:rPr>
              <w:fldChar w:fldCharType="separate"/>
            </w:r>
            <w:r w:rsidR="00084D07">
              <w:rPr>
                <w:rFonts w:ascii="Arial" w:hAnsi="Arial" w:cs="Arial"/>
                <w:noProof/>
                <w:webHidden/>
              </w:rPr>
              <w:t>26</w:t>
            </w:r>
            <w:r w:rsidRPr="004F2450">
              <w:rPr>
                <w:rFonts w:ascii="Arial" w:hAnsi="Arial" w:cs="Arial"/>
                <w:noProof/>
                <w:webHidden/>
              </w:rPr>
              <w:fldChar w:fldCharType="end"/>
            </w:r>
          </w:hyperlink>
        </w:p>
        <w:p w14:paraId="11BFA47E" w14:textId="564D7254" w:rsidR="004F2450" w:rsidRPr="004F2450" w:rsidRDefault="004F2450" w:rsidP="004F2450">
          <w:pPr>
            <w:pStyle w:val="TOC1"/>
            <w:tabs>
              <w:tab w:val="right" w:leader="dot" w:pos="9016"/>
            </w:tabs>
            <w:spacing w:line="360" w:lineRule="auto"/>
            <w:jc w:val="both"/>
            <w:rPr>
              <w:rFonts w:ascii="Arial" w:eastAsiaTheme="minorEastAsia" w:hAnsi="Arial" w:cs="Arial"/>
              <w:noProof/>
              <w:lang w:eastAsia="en-GB"/>
            </w:rPr>
          </w:pPr>
          <w:hyperlink w:anchor="_Toc218418685" w:history="1">
            <w:r w:rsidRPr="004F2450">
              <w:rPr>
                <w:rStyle w:val="Hyperlink"/>
                <w:rFonts w:ascii="Arial" w:hAnsi="Arial" w:cs="Arial"/>
                <w:noProof/>
              </w:rPr>
              <w:t>3.8 Inclusion and Exclusion Criteria</w:t>
            </w:r>
            <w:r w:rsidRPr="004F2450">
              <w:rPr>
                <w:rFonts w:ascii="Arial" w:hAnsi="Arial" w:cs="Arial"/>
                <w:noProof/>
                <w:webHidden/>
              </w:rPr>
              <w:tab/>
            </w:r>
            <w:r w:rsidRPr="004F2450">
              <w:rPr>
                <w:rFonts w:ascii="Arial" w:hAnsi="Arial" w:cs="Arial"/>
                <w:noProof/>
                <w:webHidden/>
              </w:rPr>
              <w:fldChar w:fldCharType="begin"/>
            </w:r>
            <w:r w:rsidRPr="004F2450">
              <w:rPr>
                <w:rFonts w:ascii="Arial" w:hAnsi="Arial" w:cs="Arial"/>
                <w:noProof/>
                <w:webHidden/>
              </w:rPr>
              <w:instrText xml:space="preserve"> PAGEREF _Toc218418685 \h </w:instrText>
            </w:r>
            <w:r w:rsidRPr="004F2450">
              <w:rPr>
                <w:rFonts w:ascii="Arial" w:hAnsi="Arial" w:cs="Arial"/>
                <w:noProof/>
                <w:webHidden/>
              </w:rPr>
            </w:r>
            <w:r w:rsidRPr="004F2450">
              <w:rPr>
                <w:rFonts w:ascii="Arial" w:hAnsi="Arial" w:cs="Arial"/>
                <w:noProof/>
                <w:webHidden/>
              </w:rPr>
              <w:fldChar w:fldCharType="separate"/>
            </w:r>
            <w:r w:rsidR="00084D07">
              <w:rPr>
                <w:rFonts w:ascii="Arial" w:hAnsi="Arial" w:cs="Arial"/>
                <w:noProof/>
                <w:webHidden/>
              </w:rPr>
              <w:t>27</w:t>
            </w:r>
            <w:r w:rsidRPr="004F2450">
              <w:rPr>
                <w:rFonts w:ascii="Arial" w:hAnsi="Arial" w:cs="Arial"/>
                <w:noProof/>
                <w:webHidden/>
              </w:rPr>
              <w:fldChar w:fldCharType="end"/>
            </w:r>
          </w:hyperlink>
        </w:p>
        <w:p w14:paraId="00163FBB" w14:textId="3BBA4ABC" w:rsidR="004F2450" w:rsidRPr="004F2450" w:rsidRDefault="004F2450" w:rsidP="004F2450">
          <w:pPr>
            <w:pStyle w:val="TOC2"/>
            <w:tabs>
              <w:tab w:val="right" w:leader="dot" w:pos="9016"/>
            </w:tabs>
            <w:spacing w:line="360" w:lineRule="auto"/>
            <w:jc w:val="both"/>
            <w:rPr>
              <w:rFonts w:ascii="Arial" w:eastAsiaTheme="minorEastAsia" w:hAnsi="Arial" w:cs="Arial"/>
              <w:noProof/>
              <w:lang w:eastAsia="en-GB"/>
            </w:rPr>
          </w:pPr>
          <w:hyperlink w:anchor="_Toc218418686" w:history="1">
            <w:r w:rsidRPr="004F2450">
              <w:rPr>
                <w:rStyle w:val="Hyperlink"/>
                <w:rFonts w:ascii="Arial" w:eastAsiaTheme="majorEastAsia" w:hAnsi="Arial" w:cs="Arial"/>
                <w:noProof/>
              </w:rPr>
              <w:t>3.8.1 Inclusion Criteria</w:t>
            </w:r>
            <w:r w:rsidRPr="004F2450">
              <w:rPr>
                <w:rFonts w:ascii="Arial" w:hAnsi="Arial" w:cs="Arial"/>
                <w:noProof/>
                <w:webHidden/>
              </w:rPr>
              <w:tab/>
            </w:r>
            <w:r w:rsidRPr="004F2450">
              <w:rPr>
                <w:rFonts w:ascii="Arial" w:hAnsi="Arial" w:cs="Arial"/>
                <w:noProof/>
                <w:webHidden/>
              </w:rPr>
              <w:fldChar w:fldCharType="begin"/>
            </w:r>
            <w:r w:rsidRPr="004F2450">
              <w:rPr>
                <w:rFonts w:ascii="Arial" w:hAnsi="Arial" w:cs="Arial"/>
                <w:noProof/>
                <w:webHidden/>
              </w:rPr>
              <w:instrText xml:space="preserve"> PAGEREF _Toc218418686 \h </w:instrText>
            </w:r>
            <w:r w:rsidRPr="004F2450">
              <w:rPr>
                <w:rFonts w:ascii="Arial" w:hAnsi="Arial" w:cs="Arial"/>
                <w:noProof/>
                <w:webHidden/>
              </w:rPr>
            </w:r>
            <w:r w:rsidRPr="004F2450">
              <w:rPr>
                <w:rFonts w:ascii="Arial" w:hAnsi="Arial" w:cs="Arial"/>
                <w:noProof/>
                <w:webHidden/>
              </w:rPr>
              <w:fldChar w:fldCharType="separate"/>
            </w:r>
            <w:r w:rsidR="00084D07">
              <w:rPr>
                <w:rFonts w:ascii="Arial" w:hAnsi="Arial" w:cs="Arial"/>
                <w:noProof/>
                <w:webHidden/>
              </w:rPr>
              <w:t>27</w:t>
            </w:r>
            <w:r w:rsidRPr="004F2450">
              <w:rPr>
                <w:rFonts w:ascii="Arial" w:hAnsi="Arial" w:cs="Arial"/>
                <w:noProof/>
                <w:webHidden/>
              </w:rPr>
              <w:fldChar w:fldCharType="end"/>
            </w:r>
          </w:hyperlink>
        </w:p>
        <w:p w14:paraId="7097A71F" w14:textId="063A6411" w:rsidR="004F2450" w:rsidRPr="004F2450" w:rsidRDefault="004F2450" w:rsidP="004F2450">
          <w:pPr>
            <w:pStyle w:val="TOC2"/>
            <w:tabs>
              <w:tab w:val="right" w:leader="dot" w:pos="9016"/>
            </w:tabs>
            <w:spacing w:line="360" w:lineRule="auto"/>
            <w:jc w:val="both"/>
            <w:rPr>
              <w:rFonts w:ascii="Arial" w:eastAsiaTheme="minorEastAsia" w:hAnsi="Arial" w:cs="Arial"/>
              <w:noProof/>
              <w:lang w:eastAsia="en-GB"/>
            </w:rPr>
          </w:pPr>
          <w:hyperlink w:anchor="_Toc218418687" w:history="1">
            <w:r w:rsidRPr="004F2450">
              <w:rPr>
                <w:rStyle w:val="Hyperlink"/>
                <w:rFonts w:ascii="Arial" w:eastAsiaTheme="majorEastAsia" w:hAnsi="Arial" w:cs="Arial"/>
                <w:noProof/>
              </w:rPr>
              <w:t>3.8.2 Exclusion Criteria</w:t>
            </w:r>
            <w:r w:rsidRPr="004F2450">
              <w:rPr>
                <w:rFonts w:ascii="Arial" w:hAnsi="Arial" w:cs="Arial"/>
                <w:noProof/>
                <w:webHidden/>
              </w:rPr>
              <w:tab/>
            </w:r>
            <w:r w:rsidRPr="004F2450">
              <w:rPr>
                <w:rFonts w:ascii="Arial" w:hAnsi="Arial" w:cs="Arial"/>
                <w:noProof/>
                <w:webHidden/>
              </w:rPr>
              <w:fldChar w:fldCharType="begin"/>
            </w:r>
            <w:r w:rsidRPr="004F2450">
              <w:rPr>
                <w:rFonts w:ascii="Arial" w:hAnsi="Arial" w:cs="Arial"/>
                <w:noProof/>
                <w:webHidden/>
              </w:rPr>
              <w:instrText xml:space="preserve"> PAGEREF _Toc218418687 \h </w:instrText>
            </w:r>
            <w:r w:rsidRPr="004F2450">
              <w:rPr>
                <w:rFonts w:ascii="Arial" w:hAnsi="Arial" w:cs="Arial"/>
                <w:noProof/>
                <w:webHidden/>
              </w:rPr>
            </w:r>
            <w:r w:rsidRPr="004F2450">
              <w:rPr>
                <w:rFonts w:ascii="Arial" w:hAnsi="Arial" w:cs="Arial"/>
                <w:noProof/>
                <w:webHidden/>
              </w:rPr>
              <w:fldChar w:fldCharType="separate"/>
            </w:r>
            <w:r w:rsidR="00084D07">
              <w:rPr>
                <w:rFonts w:ascii="Arial" w:hAnsi="Arial" w:cs="Arial"/>
                <w:noProof/>
                <w:webHidden/>
              </w:rPr>
              <w:t>28</w:t>
            </w:r>
            <w:r w:rsidRPr="004F2450">
              <w:rPr>
                <w:rFonts w:ascii="Arial" w:hAnsi="Arial" w:cs="Arial"/>
                <w:noProof/>
                <w:webHidden/>
              </w:rPr>
              <w:fldChar w:fldCharType="end"/>
            </w:r>
          </w:hyperlink>
        </w:p>
        <w:p w14:paraId="04F34754" w14:textId="06311C51" w:rsidR="004F2450" w:rsidRPr="004F2450" w:rsidRDefault="004F2450" w:rsidP="004F2450">
          <w:pPr>
            <w:pStyle w:val="TOC1"/>
            <w:tabs>
              <w:tab w:val="right" w:leader="dot" w:pos="9016"/>
            </w:tabs>
            <w:spacing w:line="360" w:lineRule="auto"/>
            <w:jc w:val="both"/>
            <w:rPr>
              <w:rFonts w:ascii="Arial" w:eastAsiaTheme="minorEastAsia" w:hAnsi="Arial" w:cs="Arial"/>
              <w:noProof/>
              <w:lang w:eastAsia="en-GB"/>
            </w:rPr>
          </w:pPr>
          <w:hyperlink w:anchor="_Toc218418688" w:history="1">
            <w:r w:rsidRPr="004F2450">
              <w:rPr>
                <w:rStyle w:val="Hyperlink"/>
                <w:rFonts w:ascii="Arial" w:hAnsi="Arial" w:cs="Arial"/>
                <w:noProof/>
              </w:rPr>
              <w:t>3.9 Quality Assessment</w:t>
            </w:r>
            <w:r w:rsidRPr="004F2450">
              <w:rPr>
                <w:rFonts w:ascii="Arial" w:hAnsi="Arial" w:cs="Arial"/>
                <w:noProof/>
                <w:webHidden/>
              </w:rPr>
              <w:tab/>
            </w:r>
            <w:r w:rsidRPr="004F2450">
              <w:rPr>
                <w:rFonts w:ascii="Arial" w:hAnsi="Arial" w:cs="Arial"/>
                <w:noProof/>
                <w:webHidden/>
              </w:rPr>
              <w:fldChar w:fldCharType="begin"/>
            </w:r>
            <w:r w:rsidRPr="004F2450">
              <w:rPr>
                <w:rFonts w:ascii="Arial" w:hAnsi="Arial" w:cs="Arial"/>
                <w:noProof/>
                <w:webHidden/>
              </w:rPr>
              <w:instrText xml:space="preserve"> PAGEREF _Toc218418688 \h </w:instrText>
            </w:r>
            <w:r w:rsidRPr="004F2450">
              <w:rPr>
                <w:rFonts w:ascii="Arial" w:hAnsi="Arial" w:cs="Arial"/>
                <w:noProof/>
                <w:webHidden/>
              </w:rPr>
            </w:r>
            <w:r w:rsidRPr="004F2450">
              <w:rPr>
                <w:rFonts w:ascii="Arial" w:hAnsi="Arial" w:cs="Arial"/>
                <w:noProof/>
                <w:webHidden/>
              </w:rPr>
              <w:fldChar w:fldCharType="separate"/>
            </w:r>
            <w:r w:rsidR="00084D07">
              <w:rPr>
                <w:rFonts w:ascii="Arial" w:hAnsi="Arial" w:cs="Arial"/>
                <w:noProof/>
                <w:webHidden/>
              </w:rPr>
              <w:t>28</w:t>
            </w:r>
            <w:r w:rsidRPr="004F2450">
              <w:rPr>
                <w:rFonts w:ascii="Arial" w:hAnsi="Arial" w:cs="Arial"/>
                <w:noProof/>
                <w:webHidden/>
              </w:rPr>
              <w:fldChar w:fldCharType="end"/>
            </w:r>
          </w:hyperlink>
        </w:p>
        <w:p w14:paraId="04041465" w14:textId="614F5733" w:rsidR="004F2450" w:rsidRPr="004F2450" w:rsidRDefault="004F2450" w:rsidP="004F2450">
          <w:pPr>
            <w:pStyle w:val="TOC1"/>
            <w:tabs>
              <w:tab w:val="right" w:leader="dot" w:pos="9016"/>
            </w:tabs>
            <w:spacing w:line="360" w:lineRule="auto"/>
            <w:jc w:val="both"/>
            <w:rPr>
              <w:rFonts w:ascii="Arial" w:eastAsiaTheme="minorEastAsia" w:hAnsi="Arial" w:cs="Arial"/>
              <w:noProof/>
              <w:lang w:eastAsia="en-GB"/>
            </w:rPr>
          </w:pPr>
          <w:hyperlink w:anchor="_Toc218418689" w:history="1">
            <w:r w:rsidRPr="004F2450">
              <w:rPr>
                <w:rStyle w:val="Hyperlink"/>
                <w:rFonts w:ascii="Arial" w:hAnsi="Arial" w:cs="Arial"/>
                <w:noProof/>
              </w:rPr>
              <w:t>3.10 Data Analysis</w:t>
            </w:r>
            <w:r w:rsidRPr="004F2450">
              <w:rPr>
                <w:rFonts w:ascii="Arial" w:hAnsi="Arial" w:cs="Arial"/>
                <w:noProof/>
                <w:webHidden/>
              </w:rPr>
              <w:tab/>
            </w:r>
            <w:r w:rsidRPr="004F2450">
              <w:rPr>
                <w:rFonts w:ascii="Arial" w:hAnsi="Arial" w:cs="Arial"/>
                <w:noProof/>
                <w:webHidden/>
              </w:rPr>
              <w:fldChar w:fldCharType="begin"/>
            </w:r>
            <w:r w:rsidRPr="004F2450">
              <w:rPr>
                <w:rFonts w:ascii="Arial" w:hAnsi="Arial" w:cs="Arial"/>
                <w:noProof/>
                <w:webHidden/>
              </w:rPr>
              <w:instrText xml:space="preserve"> PAGEREF _Toc218418689 \h </w:instrText>
            </w:r>
            <w:r w:rsidRPr="004F2450">
              <w:rPr>
                <w:rFonts w:ascii="Arial" w:hAnsi="Arial" w:cs="Arial"/>
                <w:noProof/>
                <w:webHidden/>
              </w:rPr>
            </w:r>
            <w:r w:rsidRPr="004F2450">
              <w:rPr>
                <w:rFonts w:ascii="Arial" w:hAnsi="Arial" w:cs="Arial"/>
                <w:noProof/>
                <w:webHidden/>
              </w:rPr>
              <w:fldChar w:fldCharType="separate"/>
            </w:r>
            <w:r w:rsidR="00084D07">
              <w:rPr>
                <w:rFonts w:ascii="Arial" w:hAnsi="Arial" w:cs="Arial"/>
                <w:noProof/>
                <w:webHidden/>
              </w:rPr>
              <w:t>29</w:t>
            </w:r>
            <w:r w:rsidRPr="004F2450">
              <w:rPr>
                <w:rFonts w:ascii="Arial" w:hAnsi="Arial" w:cs="Arial"/>
                <w:noProof/>
                <w:webHidden/>
              </w:rPr>
              <w:fldChar w:fldCharType="end"/>
            </w:r>
          </w:hyperlink>
        </w:p>
        <w:p w14:paraId="2B8F26FB" w14:textId="3EABF35C" w:rsidR="004F2450" w:rsidRPr="004F2450" w:rsidRDefault="004F2450" w:rsidP="004F2450">
          <w:pPr>
            <w:pStyle w:val="TOC1"/>
            <w:tabs>
              <w:tab w:val="right" w:leader="dot" w:pos="9016"/>
            </w:tabs>
            <w:spacing w:line="360" w:lineRule="auto"/>
            <w:jc w:val="both"/>
            <w:rPr>
              <w:rFonts w:ascii="Arial" w:eastAsiaTheme="minorEastAsia" w:hAnsi="Arial" w:cs="Arial"/>
              <w:noProof/>
              <w:lang w:eastAsia="en-GB"/>
            </w:rPr>
          </w:pPr>
          <w:hyperlink w:anchor="_Toc218418690" w:history="1">
            <w:r w:rsidRPr="004F2450">
              <w:rPr>
                <w:rStyle w:val="Hyperlink"/>
                <w:rFonts w:ascii="Arial" w:hAnsi="Arial" w:cs="Arial"/>
                <w:noProof/>
              </w:rPr>
              <w:t>3.11 PRISMA Reporting</w:t>
            </w:r>
            <w:r w:rsidRPr="004F2450">
              <w:rPr>
                <w:rFonts w:ascii="Arial" w:hAnsi="Arial" w:cs="Arial"/>
                <w:noProof/>
                <w:webHidden/>
              </w:rPr>
              <w:tab/>
            </w:r>
            <w:r w:rsidRPr="004F2450">
              <w:rPr>
                <w:rFonts w:ascii="Arial" w:hAnsi="Arial" w:cs="Arial"/>
                <w:noProof/>
                <w:webHidden/>
              </w:rPr>
              <w:fldChar w:fldCharType="begin"/>
            </w:r>
            <w:r w:rsidRPr="004F2450">
              <w:rPr>
                <w:rFonts w:ascii="Arial" w:hAnsi="Arial" w:cs="Arial"/>
                <w:noProof/>
                <w:webHidden/>
              </w:rPr>
              <w:instrText xml:space="preserve"> PAGEREF _Toc218418690 \h </w:instrText>
            </w:r>
            <w:r w:rsidRPr="004F2450">
              <w:rPr>
                <w:rFonts w:ascii="Arial" w:hAnsi="Arial" w:cs="Arial"/>
                <w:noProof/>
                <w:webHidden/>
              </w:rPr>
            </w:r>
            <w:r w:rsidRPr="004F2450">
              <w:rPr>
                <w:rFonts w:ascii="Arial" w:hAnsi="Arial" w:cs="Arial"/>
                <w:noProof/>
                <w:webHidden/>
              </w:rPr>
              <w:fldChar w:fldCharType="separate"/>
            </w:r>
            <w:r w:rsidR="00084D07">
              <w:rPr>
                <w:rFonts w:ascii="Arial" w:hAnsi="Arial" w:cs="Arial"/>
                <w:noProof/>
                <w:webHidden/>
              </w:rPr>
              <w:t>29</w:t>
            </w:r>
            <w:r w:rsidRPr="004F2450">
              <w:rPr>
                <w:rFonts w:ascii="Arial" w:hAnsi="Arial" w:cs="Arial"/>
                <w:noProof/>
                <w:webHidden/>
              </w:rPr>
              <w:fldChar w:fldCharType="end"/>
            </w:r>
          </w:hyperlink>
        </w:p>
        <w:p w14:paraId="2DD73F2E" w14:textId="6C9CFCBB" w:rsidR="004F2450" w:rsidRPr="004F2450" w:rsidRDefault="004F2450" w:rsidP="004F2450">
          <w:pPr>
            <w:pStyle w:val="TOC1"/>
            <w:tabs>
              <w:tab w:val="right" w:leader="dot" w:pos="9016"/>
            </w:tabs>
            <w:spacing w:line="360" w:lineRule="auto"/>
            <w:jc w:val="both"/>
            <w:rPr>
              <w:rFonts w:ascii="Arial" w:eastAsiaTheme="minorEastAsia" w:hAnsi="Arial" w:cs="Arial"/>
              <w:noProof/>
              <w:lang w:eastAsia="en-GB"/>
            </w:rPr>
          </w:pPr>
          <w:hyperlink w:anchor="_Toc218418691" w:history="1">
            <w:r w:rsidRPr="004F2450">
              <w:rPr>
                <w:rStyle w:val="Hyperlink"/>
                <w:rFonts w:ascii="Arial" w:hAnsi="Arial" w:cs="Arial"/>
                <w:noProof/>
              </w:rPr>
              <w:t>3.12 Ethical Considerations</w:t>
            </w:r>
            <w:r w:rsidRPr="004F2450">
              <w:rPr>
                <w:rFonts w:ascii="Arial" w:hAnsi="Arial" w:cs="Arial"/>
                <w:noProof/>
                <w:webHidden/>
              </w:rPr>
              <w:tab/>
            </w:r>
            <w:r w:rsidRPr="004F2450">
              <w:rPr>
                <w:rFonts w:ascii="Arial" w:hAnsi="Arial" w:cs="Arial"/>
                <w:noProof/>
                <w:webHidden/>
              </w:rPr>
              <w:fldChar w:fldCharType="begin"/>
            </w:r>
            <w:r w:rsidRPr="004F2450">
              <w:rPr>
                <w:rFonts w:ascii="Arial" w:hAnsi="Arial" w:cs="Arial"/>
                <w:noProof/>
                <w:webHidden/>
              </w:rPr>
              <w:instrText xml:space="preserve"> PAGEREF _Toc218418691 \h </w:instrText>
            </w:r>
            <w:r w:rsidRPr="004F2450">
              <w:rPr>
                <w:rFonts w:ascii="Arial" w:hAnsi="Arial" w:cs="Arial"/>
                <w:noProof/>
                <w:webHidden/>
              </w:rPr>
            </w:r>
            <w:r w:rsidRPr="004F2450">
              <w:rPr>
                <w:rFonts w:ascii="Arial" w:hAnsi="Arial" w:cs="Arial"/>
                <w:noProof/>
                <w:webHidden/>
              </w:rPr>
              <w:fldChar w:fldCharType="separate"/>
            </w:r>
            <w:r w:rsidR="00084D07">
              <w:rPr>
                <w:rFonts w:ascii="Arial" w:hAnsi="Arial" w:cs="Arial"/>
                <w:noProof/>
                <w:webHidden/>
              </w:rPr>
              <w:t>30</w:t>
            </w:r>
            <w:r w:rsidRPr="004F2450">
              <w:rPr>
                <w:rFonts w:ascii="Arial" w:hAnsi="Arial" w:cs="Arial"/>
                <w:noProof/>
                <w:webHidden/>
              </w:rPr>
              <w:fldChar w:fldCharType="end"/>
            </w:r>
          </w:hyperlink>
        </w:p>
        <w:p w14:paraId="359F92F1" w14:textId="13B6FBCA" w:rsidR="004F2450" w:rsidRPr="004F2450" w:rsidRDefault="004F2450" w:rsidP="004F2450">
          <w:pPr>
            <w:pStyle w:val="TOC1"/>
            <w:tabs>
              <w:tab w:val="right" w:leader="dot" w:pos="9016"/>
            </w:tabs>
            <w:spacing w:line="360" w:lineRule="auto"/>
            <w:jc w:val="both"/>
            <w:rPr>
              <w:rFonts w:ascii="Arial" w:eastAsiaTheme="minorEastAsia" w:hAnsi="Arial" w:cs="Arial"/>
              <w:noProof/>
              <w:lang w:eastAsia="en-GB"/>
            </w:rPr>
          </w:pPr>
          <w:hyperlink w:anchor="_Toc218418692" w:history="1">
            <w:r w:rsidRPr="004F2450">
              <w:rPr>
                <w:rStyle w:val="Hyperlink"/>
                <w:rFonts w:ascii="Arial" w:hAnsi="Arial" w:cs="Arial"/>
                <w:noProof/>
              </w:rPr>
              <w:t>3.13 Chapter Summary</w:t>
            </w:r>
            <w:r w:rsidRPr="004F2450">
              <w:rPr>
                <w:rFonts w:ascii="Arial" w:hAnsi="Arial" w:cs="Arial"/>
                <w:noProof/>
                <w:webHidden/>
              </w:rPr>
              <w:tab/>
            </w:r>
            <w:r w:rsidRPr="004F2450">
              <w:rPr>
                <w:rFonts w:ascii="Arial" w:hAnsi="Arial" w:cs="Arial"/>
                <w:noProof/>
                <w:webHidden/>
              </w:rPr>
              <w:fldChar w:fldCharType="begin"/>
            </w:r>
            <w:r w:rsidRPr="004F2450">
              <w:rPr>
                <w:rFonts w:ascii="Arial" w:hAnsi="Arial" w:cs="Arial"/>
                <w:noProof/>
                <w:webHidden/>
              </w:rPr>
              <w:instrText xml:space="preserve"> PAGEREF _Toc218418692 \h </w:instrText>
            </w:r>
            <w:r w:rsidRPr="004F2450">
              <w:rPr>
                <w:rFonts w:ascii="Arial" w:hAnsi="Arial" w:cs="Arial"/>
                <w:noProof/>
                <w:webHidden/>
              </w:rPr>
            </w:r>
            <w:r w:rsidRPr="004F2450">
              <w:rPr>
                <w:rFonts w:ascii="Arial" w:hAnsi="Arial" w:cs="Arial"/>
                <w:noProof/>
                <w:webHidden/>
              </w:rPr>
              <w:fldChar w:fldCharType="separate"/>
            </w:r>
            <w:r w:rsidR="00084D07">
              <w:rPr>
                <w:rFonts w:ascii="Arial" w:hAnsi="Arial" w:cs="Arial"/>
                <w:noProof/>
                <w:webHidden/>
              </w:rPr>
              <w:t>30</w:t>
            </w:r>
            <w:r w:rsidRPr="004F2450">
              <w:rPr>
                <w:rFonts w:ascii="Arial" w:hAnsi="Arial" w:cs="Arial"/>
                <w:noProof/>
                <w:webHidden/>
              </w:rPr>
              <w:fldChar w:fldCharType="end"/>
            </w:r>
          </w:hyperlink>
        </w:p>
        <w:p w14:paraId="45D4E91D" w14:textId="37920612" w:rsidR="004F2450" w:rsidRPr="004F2450" w:rsidRDefault="004F2450" w:rsidP="004F2450">
          <w:pPr>
            <w:pStyle w:val="TOC1"/>
            <w:tabs>
              <w:tab w:val="right" w:leader="dot" w:pos="9016"/>
            </w:tabs>
            <w:spacing w:line="360" w:lineRule="auto"/>
            <w:jc w:val="both"/>
            <w:rPr>
              <w:rFonts w:ascii="Arial" w:eastAsiaTheme="minorEastAsia" w:hAnsi="Arial" w:cs="Arial"/>
              <w:noProof/>
              <w:lang w:eastAsia="en-GB"/>
            </w:rPr>
          </w:pPr>
          <w:hyperlink w:anchor="_Toc218418693" w:history="1">
            <w:r w:rsidRPr="004F2450">
              <w:rPr>
                <w:rStyle w:val="Hyperlink"/>
                <w:rFonts w:ascii="Arial" w:hAnsi="Arial" w:cs="Arial"/>
                <w:noProof/>
              </w:rPr>
              <w:t>Chapter 4: Results</w:t>
            </w:r>
            <w:r w:rsidRPr="004F2450">
              <w:rPr>
                <w:rFonts w:ascii="Arial" w:hAnsi="Arial" w:cs="Arial"/>
                <w:noProof/>
                <w:webHidden/>
              </w:rPr>
              <w:tab/>
            </w:r>
            <w:r w:rsidRPr="004F2450">
              <w:rPr>
                <w:rFonts w:ascii="Arial" w:hAnsi="Arial" w:cs="Arial"/>
                <w:noProof/>
                <w:webHidden/>
              </w:rPr>
              <w:fldChar w:fldCharType="begin"/>
            </w:r>
            <w:r w:rsidRPr="004F2450">
              <w:rPr>
                <w:rFonts w:ascii="Arial" w:hAnsi="Arial" w:cs="Arial"/>
                <w:noProof/>
                <w:webHidden/>
              </w:rPr>
              <w:instrText xml:space="preserve"> PAGEREF _Toc218418693 \h </w:instrText>
            </w:r>
            <w:r w:rsidRPr="004F2450">
              <w:rPr>
                <w:rFonts w:ascii="Arial" w:hAnsi="Arial" w:cs="Arial"/>
                <w:noProof/>
                <w:webHidden/>
              </w:rPr>
            </w:r>
            <w:r w:rsidRPr="004F2450">
              <w:rPr>
                <w:rFonts w:ascii="Arial" w:hAnsi="Arial" w:cs="Arial"/>
                <w:noProof/>
                <w:webHidden/>
              </w:rPr>
              <w:fldChar w:fldCharType="separate"/>
            </w:r>
            <w:r w:rsidR="00084D07">
              <w:rPr>
                <w:rFonts w:ascii="Arial" w:hAnsi="Arial" w:cs="Arial"/>
                <w:noProof/>
                <w:webHidden/>
              </w:rPr>
              <w:t>31</w:t>
            </w:r>
            <w:r w:rsidRPr="004F2450">
              <w:rPr>
                <w:rFonts w:ascii="Arial" w:hAnsi="Arial" w:cs="Arial"/>
                <w:noProof/>
                <w:webHidden/>
              </w:rPr>
              <w:fldChar w:fldCharType="end"/>
            </w:r>
          </w:hyperlink>
        </w:p>
        <w:p w14:paraId="13FFD4E8" w14:textId="05027EE9" w:rsidR="004F2450" w:rsidRPr="004F2450" w:rsidRDefault="004F2450" w:rsidP="004F2450">
          <w:pPr>
            <w:pStyle w:val="TOC1"/>
            <w:tabs>
              <w:tab w:val="right" w:leader="dot" w:pos="9016"/>
            </w:tabs>
            <w:spacing w:line="360" w:lineRule="auto"/>
            <w:jc w:val="both"/>
            <w:rPr>
              <w:rFonts w:ascii="Arial" w:eastAsiaTheme="minorEastAsia" w:hAnsi="Arial" w:cs="Arial"/>
              <w:noProof/>
              <w:lang w:eastAsia="en-GB"/>
            </w:rPr>
          </w:pPr>
          <w:hyperlink w:anchor="_Toc218418694" w:history="1">
            <w:r w:rsidRPr="004F2450">
              <w:rPr>
                <w:rStyle w:val="Hyperlink"/>
                <w:rFonts w:ascii="Arial" w:hAnsi="Arial" w:cs="Arial"/>
                <w:noProof/>
              </w:rPr>
              <w:t>4.1 Introduction</w:t>
            </w:r>
            <w:r w:rsidRPr="004F2450">
              <w:rPr>
                <w:rFonts w:ascii="Arial" w:hAnsi="Arial" w:cs="Arial"/>
                <w:noProof/>
                <w:webHidden/>
              </w:rPr>
              <w:tab/>
            </w:r>
            <w:r w:rsidRPr="004F2450">
              <w:rPr>
                <w:rFonts w:ascii="Arial" w:hAnsi="Arial" w:cs="Arial"/>
                <w:noProof/>
                <w:webHidden/>
              </w:rPr>
              <w:fldChar w:fldCharType="begin"/>
            </w:r>
            <w:r w:rsidRPr="004F2450">
              <w:rPr>
                <w:rFonts w:ascii="Arial" w:hAnsi="Arial" w:cs="Arial"/>
                <w:noProof/>
                <w:webHidden/>
              </w:rPr>
              <w:instrText xml:space="preserve"> PAGEREF _Toc218418694 \h </w:instrText>
            </w:r>
            <w:r w:rsidRPr="004F2450">
              <w:rPr>
                <w:rFonts w:ascii="Arial" w:hAnsi="Arial" w:cs="Arial"/>
                <w:noProof/>
                <w:webHidden/>
              </w:rPr>
            </w:r>
            <w:r w:rsidRPr="004F2450">
              <w:rPr>
                <w:rFonts w:ascii="Arial" w:hAnsi="Arial" w:cs="Arial"/>
                <w:noProof/>
                <w:webHidden/>
              </w:rPr>
              <w:fldChar w:fldCharType="separate"/>
            </w:r>
            <w:r w:rsidR="00084D07">
              <w:rPr>
                <w:rFonts w:ascii="Arial" w:hAnsi="Arial" w:cs="Arial"/>
                <w:noProof/>
                <w:webHidden/>
              </w:rPr>
              <w:t>31</w:t>
            </w:r>
            <w:r w:rsidRPr="004F2450">
              <w:rPr>
                <w:rFonts w:ascii="Arial" w:hAnsi="Arial" w:cs="Arial"/>
                <w:noProof/>
                <w:webHidden/>
              </w:rPr>
              <w:fldChar w:fldCharType="end"/>
            </w:r>
          </w:hyperlink>
        </w:p>
        <w:p w14:paraId="589773D0" w14:textId="5E0293E4" w:rsidR="004F2450" w:rsidRPr="004F2450" w:rsidRDefault="004F2450" w:rsidP="004F2450">
          <w:pPr>
            <w:pStyle w:val="TOC1"/>
            <w:tabs>
              <w:tab w:val="right" w:leader="dot" w:pos="9016"/>
            </w:tabs>
            <w:spacing w:line="360" w:lineRule="auto"/>
            <w:jc w:val="both"/>
            <w:rPr>
              <w:rFonts w:ascii="Arial" w:eastAsiaTheme="minorEastAsia" w:hAnsi="Arial" w:cs="Arial"/>
              <w:noProof/>
              <w:lang w:eastAsia="en-GB"/>
            </w:rPr>
          </w:pPr>
          <w:hyperlink w:anchor="_Toc218418695" w:history="1">
            <w:r w:rsidRPr="004F2450">
              <w:rPr>
                <w:rStyle w:val="Hyperlink"/>
                <w:rFonts w:ascii="Arial" w:hAnsi="Arial" w:cs="Arial"/>
                <w:noProof/>
              </w:rPr>
              <w:t>4.2 PRISMA Flow Diagram</w:t>
            </w:r>
            <w:r w:rsidRPr="004F2450">
              <w:rPr>
                <w:rFonts w:ascii="Arial" w:hAnsi="Arial" w:cs="Arial"/>
                <w:noProof/>
                <w:webHidden/>
              </w:rPr>
              <w:tab/>
            </w:r>
            <w:r w:rsidRPr="004F2450">
              <w:rPr>
                <w:rFonts w:ascii="Arial" w:hAnsi="Arial" w:cs="Arial"/>
                <w:noProof/>
                <w:webHidden/>
              </w:rPr>
              <w:fldChar w:fldCharType="begin"/>
            </w:r>
            <w:r w:rsidRPr="004F2450">
              <w:rPr>
                <w:rFonts w:ascii="Arial" w:hAnsi="Arial" w:cs="Arial"/>
                <w:noProof/>
                <w:webHidden/>
              </w:rPr>
              <w:instrText xml:space="preserve"> PAGEREF _Toc218418695 \h </w:instrText>
            </w:r>
            <w:r w:rsidRPr="004F2450">
              <w:rPr>
                <w:rFonts w:ascii="Arial" w:hAnsi="Arial" w:cs="Arial"/>
                <w:noProof/>
                <w:webHidden/>
              </w:rPr>
            </w:r>
            <w:r w:rsidRPr="004F2450">
              <w:rPr>
                <w:rFonts w:ascii="Arial" w:hAnsi="Arial" w:cs="Arial"/>
                <w:noProof/>
                <w:webHidden/>
              </w:rPr>
              <w:fldChar w:fldCharType="separate"/>
            </w:r>
            <w:r w:rsidR="00084D07">
              <w:rPr>
                <w:rFonts w:ascii="Arial" w:hAnsi="Arial" w:cs="Arial"/>
                <w:noProof/>
                <w:webHidden/>
              </w:rPr>
              <w:t>31</w:t>
            </w:r>
            <w:r w:rsidRPr="004F2450">
              <w:rPr>
                <w:rFonts w:ascii="Arial" w:hAnsi="Arial" w:cs="Arial"/>
                <w:noProof/>
                <w:webHidden/>
              </w:rPr>
              <w:fldChar w:fldCharType="end"/>
            </w:r>
          </w:hyperlink>
        </w:p>
        <w:p w14:paraId="4542E0DB" w14:textId="3638AECA" w:rsidR="004F2450" w:rsidRPr="004F2450" w:rsidRDefault="004F2450" w:rsidP="004F2450">
          <w:pPr>
            <w:pStyle w:val="TOC1"/>
            <w:tabs>
              <w:tab w:val="right" w:leader="dot" w:pos="9016"/>
            </w:tabs>
            <w:spacing w:line="360" w:lineRule="auto"/>
            <w:jc w:val="both"/>
            <w:rPr>
              <w:rFonts w:ascii="Arial" w:eastAsiaTheme="minorEastAsia" w:hAnsi="Arial" w:cs="Arial"/>
              <w:noProof/>
              <w:lang w:eastAsia="en-GB"/>
            </w:rPr>
          </w:pPr>
          <w:hyperlink w:anchor="_Toc218418696" w:history="1">
            <w:r w:rsidRPr="004F2450">
              <w:rPr>
                <w:rStyle w:val="Hyperlink"/>
                <w:rFonts w:ascii="Arial" w:hAnsi="Arial" w:cs="Arial"/>
                <w:noProof/>
              </w:rPr>
              <w:t>4.3 Characteristics of the Selected Research Articles</w:t>
            </w:r>
            <w:r w:rsidRPr="004F2450">
              <w:rPr>
                <w:rFonts w:ascii="Arial" w:hAnsi="Arial" w:cs="Arial"/>
                <w:noProof/>
                <w:webHidden/>
              </w:rPr>
              <w:tab/>
            </w:r>
            <w:r w:rsidRPr="004F2450">
              <w:rPr>
                <w:rFonts w:ascii="Arial" w:hAnsi="Arial" w:cs="Arial"/>
                <w:noProof/>
                <w:webHidden/>
              </w:rPr>
              <w:fldChar w:fldCharType="begin"/>
            </w:r>
            <w:r w:rsidRPr="004F2450">
              <w:rPr>
                <w:rFonts w:ascii="Arial" w:hAnsi="Arial" w:cs="Arial"/>
                <w:noProof/>
                <w:webHidden/>
              </w:rPr>
              <w:instrText xml:space="preserve"> PAGEREF _Toc218418696 \h </w:instrText>
            </w:r>
            <w:r w:rsidRPr="004F2450">
              <w:rPr>
                <w:rFonts w:ascii="Arial" w:hAnsi="Arial" w:cs="Arial"/>
                <w:noProof/>
                <w:webHidden/>
              </w:rPr>
            </w:r>
            <w:r w:rsidRPr="004F2450">
              <w:rPr>
                <w:rFonts w:ascii="Arial" w:hAnsi="Arial" w:cs="Arial"/>
                <w:noProof/>
                <w:webHidden/>
              </w:rPr>
              <w:fldChar w:fldCharType="separate"/>
            </w:r>
            <w:r w:rsidR="00084D07">
              <w:rPr>
                <w:rFonts w:ascii="Arial" w:hAnsi="Arial" w:cs="Arial"/>
                <w:noProof/>
                <w:webHidden/>
              </w:rPr>
              <w:t>33</w:t>
            </w:r>
            <w:r w:rsidRPr="004F2450">
              <w:rPr>
                <w:rFonts w:ascii="Arial" w:hAnsi="Arial" w:cs="Arial"/>
                <w:noProof/>
                <w:webHidden/>
              </w:rPr>
              <w:fldChar w:fldCharType="end"/>
            </w:r>
          </w:hyperlink>
        </w:p>
        <w:p w14:paraId="31B919C9" w14:textId="1E637E40" w:rsidR="004F2450" w:rsidRPr="004F2450" w:rsidRDefault="004F2450" w:rsidP="004F2450">
          <w:pPr>
            <w:pStyle w:val="TOC1"/>
            <w:tabs>
              <w:tab w:val="right" w:leader="dot" w:pos="9016"/>
            </w:tabs>
            <w:spacing w:line="360" w:lineRule="auto"/>
            <w:jc w:val="both"/>
            <w:rPr>
              <w:rFonts w:ascii="Arial" w:eastAsiaTheme="minorEastAsia" w:hAnsi="Arial" w:cs="Arial"/>
              <w:noProof/>
              <w:lang w:eastAsia="en-GB"/>
            </w:rPr>
          </w:pPr>
          <w:hyperlink w:anchor="_Toc218418697" w:history="1">
            <w:r w:rsidRPr="004F2450">
              <w:rPr>
                <w:rStyle w:val="Hyperlink"/>
                <w:rFonts w:ascii="Arial" w:hAnsi="Arial" w:cs="Arial"/>
                <w:noProof/>
              </w:rPr>
              <w:t>4.4 Thematic Analysis</w:t>
            </w:r>
            <w:r w:rsidRPr="004F2450">
              <w:rPr>
                <w:rFonts w:ascii="Arial" w:hAnsi="Arial" w:cs="Arial"/>
                <w:noProof/>
                <w:webHidden/>
              </w:rPr>
              <w:tab/>
            </w:r>
            <w:r w:rsidRPr="004F2450">
              <w:rPr>
                <w:rFonts w:ascii="Arial" w:hAnsi="Arial" w:cs="Arial"/>
                <w:noProof/>
                <w:webHidden/>
              </w:rPr>
              <w:fldChar w:fldCharType="begin"/>
            </w:r>
            <w:r w:rsidRPr="004F2450">
              <w:rPr>
                <w:rFonts w:ascii="Arial" w:hAnsi="Arial" w:cs="Arial"/>
                <w:noProof/>
                <w:webHidden/>
              </w:rPr>
              <w:instrText xml:space="preserve"> PAGEREF _Toc218418697 \h </w:instrText>
            </w:r>
            <w:r w:rsidRPr="004F2450">
              <w:rPr>
                <w:rFonts w:ascii="Arial" w:hAnsi="Arial" w:cs="Arial"/>
                <w:noProof/>
                <w:webHidden/>
              </w:rPr>
            </w:r>
            <w:r w:rsidRPr="004F2450">
              <w:rPr>
                <w:rFonts w:ascii="Arial" w:hAnsi="Arial" w:cs="Arial"/>
                <w:noProof/>
                <w:webHidden/>
              </w:rPr>
              <w:fldChar w:fldCharType="separate"/>
            </w:r>
            <w:r w:rsidR="00084D07">
              <w:rPr>
                <w:rFonts w:ascii="Arial" w:hAnsi="Arial" w:cs="Arial"/>
                <w:noProof/>
                <w:webHidden/>
              </w:rPr>
              <w:t>38</w:t>
            </w:r>
            <w:r w:rsidRPr="004F2450">
              <w:rPr>
                <w:rFonts w:ascii="Arial" w:hAnsi="Arial" w:cs="Arial"/>
                <w:noProof/>
                <w:webHidden/>
              </w:rPr>
              <w:fldChar w:fldCharType="end"/>
            </w:r>
          </w:hyperlink>
        </w:p>
        <w:p w14:paraId="251F00E6" w14:textId="55003118" w:rsidR="004F2450" w:rsidRPr="004F2450" w:rsidRDefault="004F2450" w:rsidP="004F2450">
          <w:pPr>
            <w:pStyle w:val="TOC2"/>
            <w:tabs>
              <w:tab w:val="right" w:leader="dot" w:pos="9016"/>
            </w:tabs>
            <w:spacing w:line="360" w:lineRule="auto"/>
            <w:jc w:val="both"/>
            <w:rPr>
              <w:rFonts w:ascii="Arial" w:eastAsiaTheme="minorEastAsia" w:hAnsi="Arial" w:cs="Arial"/>
              <w:noProof/>
              <w:lang w:eastAsia="en-GB"/>
            </w:rPr>
          </w:pPr>
          <w:hyperlink w:anchor="_Toc218418698" w:history="1">
            <w:r w:rsidRPr="004F2450">
              <w:rPr>
                <w:rStyle w:val="Hyperlink"/>
                <w:rFonts w:ascii="Arial" w:hAnsi="Arial" w:cs="Arial"/>
                <w:noProof/>
                <w:lang w:eastAsia="en-GB"/>
              </w:rPr>
              <w:t>Theme 1:Low Impact of BCG and TB Vaccination Strategies on TB Incidence and Morbidity</w:t>
            </w:r>
            <w:r w:rsidRPr="004F2450">
              <w:rPr>
                <w:rFonts w:ascii="Arial" w:hAnsi="Arial" w:cs="Arial"/>
                <w:noProof/>
                <w:webHidden/>
              </w:rPr>
              <w:tab/>
            </w:r>
            <w:r w:rsidRPr="004F2450">
              <w:rPr>
                <w:rFonts w:ascii="Arial" w:hAnsi="Arial" w:cs="Arial"/>
                <w:noProof/>
                <w:webHidden/>
              </w:rPr>
              <w:fldChar w:fldCharType="begin"/>
            </w:r>
            <w:r w:rsidRPr="004F2450">
              <w:rPr>
                <w:rFonts w:ascii="Arial" w:hAnsi="Arial" w:cs="Arial"/>
                <w:noProof/>
                <w:webHidden/>
              </w:rPr>
              <w:instrText xml:space="preserve"> PAGEREF _Toc218418698 \h </w:instrText>
            </w:r>
            <w:r w:rsidRPr="004F2450">
              <w:rPr>
                <w:rFonts w:ascii="Arial" w:hAnsi="Arial" w:cs="Arial"/>
                <w:noProof/>
                <w:webHidden/>
              </w:rPr>
            </w:r>
            <w:r w:rsidRPr="004F2450">
              <w:rPr>
                <w:rFonts w:ascii="Arial" w:hAnsi="Arial" w:cs="Arial"/>
                <w:noProof/>
                <w:webHidden/>
              </w:rPr>
              <w:fldChar w:fldCharType="separate"/>
            </w:r>
            <w:r w:rsidR="00084D07">
              <w:rPr>
                <w:rFonts w:ascii="Arial" w:hAnsi="Arial" w:cs="Arial"/>
                <w:noProof/>
                <w:webHidden/>
              </w:rPr>
              <w:t>38</w:t>
            </w:r>
            <w:r w:rsidRPr="004F2450">
              <w:rPr>
                <w:rFonts w:ascii="Arial" w:hAnsi="Arial" w:cs="Arial"/>
                <w:noProof/>
                <w:webHidden/>
              </w:rPr>
              <w:fldChar w:fldCharType="end"/>
            </w:r>
          </w:hyperlink>
        </w:p>
        <w:p w14:paraId="317238F8" w14:textId="6EEFC0D2" w:rsidR="004F2450" w:rsidRPr="004F2450" w:rsidRDefault="004F2450" w:rsidP="004F2450">
          <w:pPr>
            <w:pStyle w:val="TOC2"/>
            <w:tabs>
              <w:tab w:val="right" w:leader="dot" w:pos="9016"/>
            </w:tabs>
            <w:spacing w:line="360" w:lineRule="auto"/>
            <w:jc w:val="both"/>
            <w:rPr>
              <w:rFonts w:ascii="Arial" w:eastAsiaTheme="minorEastAsia" w:hAnsi="Arial" w:cs="Arial"/>
              <w:noProof/>
              <w:lang w:eastAsia="en-GB"/>
            </w:rPr>
          </w:pPr>
          <w:hyperlink w:anchor="_Toc218418699" w:history="1">
            <w:r w:rsidRPr="004F2450">
              <w:rPr>
                <w:rStyle w:val="Hyperlink"/>
                <w:rFonts w:ascii="Arial" w:hAnsi="Arial" w:cs="Arial"/>
                <w:noProof/>
                <w:lang w:eastAsia="en-GB"/>
              </w:rPr>
              <w:t>Theme 2: Challenging Coverage and Outreach of Vaccination Campaigns in High-Risk and Vulnerable Populations</w:t>
            </w:r>
            <w:r w:rsidRPr="004F2450">
              <w:rPr>
                <w:rFonts w:ascii="Arial" w:hAnsi="Arial" w:cs="Arial"/>
                <w:noProof/>
                <w:webHidden/>
              </w:rPr>
              <w:tab/>
            </w:r>
            <w:r w:rsidRPr="004F2450">
              <w:rPr>
                <w:rFonts w:ascii="Arial" w:hAnsi="Arial" w:cs="Arial"/>
                <w:noProof/>
                <w:webHidden/>
              </w:rPr>
              <w:fldChar w:fldCharType="begin"/>
            </w:r>
            <w:r w:rsidRPr="004F2450">
              <w:rPr>
                <w:rFonts w:ascii="Arial" w:hAnsi="Arial" w:cs="Arial"/>
                <w:noProof/>
                <w:webHidden/>
              </w:rPr>
              <w:instrText xml:space="preserve"> PAGEREF _Toc218418699 \h </w:instrText>
            </w:r>
            <w:r w:rsidRPr="004F2450">
              <w:rPr>
                <w:rFonts w:ascii="Arial" w:hAnsi="Arial" w:cs="Arial"/>
                <w:noProof/>
                <w:webHidden/>
              </w:rPr>
            </w:r>
            <w:r w:rsidRPr="004F2450">
              <w:rPr>
                <w:rFonts w:ascii="Arial" w:hAnsi="Arial" w:cs="Arial"/>
                <w:noProof/>
                <w:webHidden/>
              </w:rPr>
              <w:fldChar w:fldCharType="separate"/>
            </w:r>
            <w:r w:rsidR="00084D07">
              <w:rPr>
                <w:rFonts w:ascii="Arial" w:hAnsi="Arial" w:cs="Arial"/>
                <w:noProof/>
                <w:webHidden/>
              </w:rPr>
              <w:t>39</w:t>
            </w:r>
            <w:r w:rsidRPr="004F2450">
              <w:rPr>
                <w:rFonts w:ascii="Arial" w:hAnsi="Arial" w:cs="Arial"/>
                <w:noProof/>
                <w:webHidden/>
              </w:rPr>
              <w:fldChar w:fldCharType="end"/>
            </w:r>
          </w:hyperlink>
        </w:p>
        <w:p w14:paraId="06004B87" w14:textId="5FADD241" w:rsidR="004F2450" w:rsidRPr="004F2450" w:rsidRDefault="004F2450" w:rsidP="004F2450">
          <w:pPr>
            <w:pStyle w:val="TOC2"/>
            <w:tabs>
              <w:tab w:val="right" w:leader="dot" w:pos="9016"/>
            </w:tabs>
            <w:spacing w:line="360" w:lineRule="auto"/>
            <w:jc w:val="both"/>
            <w:rPr>
              <w:rFonts w:ascii="Arial" w:eastAsiaTheme="minorEastAsia" w:hAnsi="Arial" w:cs="Arial"/>
              <w:noProof/>
              <w:lang w:eastAsia="en-GB"/>
            </w:rPr>
          </w:pPr>
          <w:hyperlink w:anchor="_Toc218418700" w:history="1">
            <w:r w:rsidRPr="004F2450">
              <w:rPr>
                <w:rStyle w:val="Hyperlink"/>
                <w:rFonts w:ascii="Arial" w:hAnsi="Arial" w:cs="Arial"/>
                <w:noProof/>
                <w:lang w:eastAsia="en-GB"/>
              </w:rPr>
              <w:t>Theme 3: Barriers to Effective BCG Vaccination Programme Implementation</w:t>
            </w:r>
            <w:r w:rsidRPr="004F2450">
              <w:rPr>
                <w:rFonts w:ascii="Arial" w:hAnsi="Arial" w:cs="Arial"/>
                <w:noProof/>
                <w:webHidden/>
              </w:rPr>
              <w:tab/>
            </w:r>
            <w:r w:rsidRPr="004F2450">
              <w:rPr>
                <w:rFonts w:ascii="Arial" w:hAnsi="Arial" w:cs="Arial"/>
                <w:noProof/>
                <w:webHidden/>
              </w:rPr>
              <w:fldChar w:fldCharType="begin"/>
            </w:r>
            <w:r w:rsidRPr="004F2450">
              <w:rPr>
                <w:rFonts w:ascii="Arial" w:hAnsi="Arial" w:cs="Arial"/>
                <w:noProof/>
                <w:webHidden/>
              </w:rPr>
              <w:instrText xml:space="preserve"> PAGEREF _Toc218418700 \h </w:instrText>
            </w:r>
            <w:r w:rsidRPr="004F2450">
              <w:rPr>
                <w:rFonts w:ascii="Arial" w:hAnsi="Arial" w:cs="Arial"/>
                <w:noProof/>
                <w:webHidden/>
              </w:rPr>
            </w:r>
            <w:r w:rsidRPr="004F2450">
              <w:rPr>
                <w:rFonts w:ascii="Arial" w:hAnsi="Arial" w:cs="Arial"/>
                <w:noProof/>
                <w:webHidden/>
              </w:rPr>
              <w:fldChar w:fldCharType="separate"/>
            </w:r>
            <w:r w:rsidR="00084D07">
              <w:rPr>
                <w:rFonts w:ascii="Arial" w:hAnsi="Arial" w:cs="Arial"/>
                <w:noProof/>
                <w:webHidden/>
              </w:rPr>
              <w:t>40</w:t>
            </w:r>
            <w:r w:rsidRPr="004F2450">
              <w:rPr>
                <w:rFonts w:ascii="Arial" w:hAnsi="Arial" w:cs="Arial"/>
                <w:noProof/>
                <w:webHidden/>
              </w:rPr>
              <w:fldChar w:fldCharType="end"/>
            </w:r>
          </w:hyperlink>
        </w:p>
        <w:p w14:paraId="545E2DD1" w14:textId="310B338D" w:rsidR="004F2450" w:rsidRPr="004F2450" w:rsidRDefault="004F2450" w:rsidP="004F2450">
          <w:pPr>
            <w:pStyle w:val="TOC2"/>
            <w:tabs>
              <w:tab w:val="right" w:leader="dot" w:pos="9016"/>
            </w:tabs>
            <w:spacing w:line="360" w:lineRule="auto"/>
            <w:jc w:val="both"/>
            <w:rPr>
              <w:rFonts w:ascii="Arial" w:eastAsiaTheme="minorEastAsia" w:hAnsi="Arial" w:cs="Arial"/>
              <w:noProof/>
              <w:lang w:eastAsia="en-GB"/>
            </w:rPr>
          </w:pPr>
          <w:hyperlink w:anchor="_Toc218418701" w:history="1">
            <w:r w:rsidRPr="004F2450">
              <w:rPr>
                <w:rStyle w:val="Hyperlink"/>
                <w:rFonts w:ascii="Arial" w:hAnsi="Arial" w:cs="Arial"/>
                <w:noProof/>
                <w:lang w:eastAsia="en-GB"/>
              </w:rPr>
              <w:t>Theme 4: Various Strategies for Improving BCG Campaign Design, Delivery, and Equity</w:t>
            </w:r>
            <w:r w:rsidRPr="004F2450">
              <w:rPr>
                <w:rFonts w:ascii="Arial" w:hAnsi="Arial" w:cs="Arial"/>
                <w:noProof/>
                <w:webHidden/>
              </w:rPr>
              <w:tab/>
            </w:r>
            <w:r w:rsidRPr="004F2450">
              <w:rPr>
                <w:rFonts w:ascii="Arial" w:hAnsi="Arial" w:cs="Arial"/>
                <w:noProof/>
                <w:webHidden/>
              </w:rPr>
              <w:fldChar w:fldCharType="begin"/>
            </w:r>
            <w:r w:rsidRPr="004F2450">
              <w:rPr>
                <w:rFonts w:ascii="Arial" w:hAnsi="Arial" w:cs="Arial"/>
                <w:noProof/>
                <w:webHidden/>
              </w:rPr>
              <w:instrText xml:space="preserve"> PAGEREF _Toc218418701 \h </w:instrText>
            </w:r>
            <w:r w:rsidRPr="004F2450">
              <w:rPr>
                <w:rFonts w:ascii="Arial" w:hAnsi="Arial" w:cs="Arial"/>
                <w:noProof/>
                <w:webHidden/>
              </w:rPr>
            </w:r>
            <w:r w:rsidRPr="004F2450">
              <w:rPr>
                <w:rFonts w:ascii="Arial" w:hAnsi="Arial" w:cs="Arial"/>
                <w:noProof/>
                <w:webHidden/>
              </w:rPr>
              <w:fldChar w:fldCharType="separate"/>
            </w:r>
            <w:r w:rsidR="00084D07">
              <w:rPr>
                <w:rFonts w:ascii="Arial" w:hAnsi="Arial" w:cs="Arial"/>
                <w:noProof/>
                <w:webHidden/>
              </w:rPr>
              <w:t>41</w:t>
            </w:r>
            <w:r w:rsidRPr="004F2450">
              <w:rPr>
                <w:rFonts w:ascii="Arial" w:hAnsi="Arial" w:cs="Arial"/>
                <w:noProof/>
                <w:webHidden/>
              </w:rPr>
              <w:fldChar w:fldCharType="end"/>
            </w:r>
          </w:hyperlink>
        </w:p>
        <w:p w14:paraId="3C109879" w14:textId="3990F264" w:rsidR="004F2450" w:rsidRPr="004F2450" w:rsidRDefault="004F2450" w:rsidP="004F2450">
          <w:pPr>
            <w:pStyle w:val="TOC1"/>
            <w:tabs>
              <w:tab w:val="right" w:leader="dot" w:pos="9016"/>
            </w:tabs>
            <w:spacing w:line="360" w:lineRule="auto"/>
            <w:jc w:val="both"/>
            <w:rPr>
              <w:rFonts w:ascii="Arial" w:eastAsiaTheme="minorEastAsia" w:hAnsi="Arial" w:cs="Arial"/>
              <w:noProof/>
              <w:lang w:eastAsia="en-GB"/>
            </w:rPr>
          </w:pPr>
          <w:hyperlink w:anchor="_Toc218418702" w:history="1">
            <w:r w:rsidRPr="004F2450">
              <w:rPr>
                <w:rStyle w:val="Hyperlink"/>
                <w:rFonts w:ascii="Arial" w:hAnsi="Arial" w:cs="Arial"/>
                <w:noProof/>
              </w:rPr>
              <w:t>4.5 Chapter Summary</w:t>
            </w:r>
            <w:r w:rsidRPr="004F2450">
              <w:rPr>
                <w:rFonts w:ascii="Arial" w:hAnsi="Arial" w:cs="Arial"/>
                <w:noProof/>
                <w:webHidden/>
              </w:rPr>
              <w:tab/>
            </w:r>
            <w:r w:rsidRPr="004F2450">
              <w:rPr>
                <w:rFonts w:ascii="Arial" w:hAnsi="Arial" w:cs="Arial"/>
                <w:noProof/>
                <w:webHidden/>
              </w:rPr>
              <w:fldChar w:fldCharType="begin"/>
            </w:r>
            <w:r w:rsidRPr="004F2450">
              <w:rPr>
                <w:rFonts w:ascii="Arial" w:hAnsi="Arial" w:cs="Arial"/>
                <w:noProof/>
                <w:webHidden/>
              </w:rPr>
              <w:instrText xml:space="preserve"> PAGEREF _Toc218418702 \h </w:instrText>
            </w:r>
            <w:r w:rsidRPr="004F2450">
              <w:rPr>
                <w:rFonts w:ascii="Arial" w:hAnsi="Arial" w:cs="Arial"/>
                <w:noProof/>
                <w:webHidden/>
              </w:rPr>
            </w:r>
            <w:r w:rsidRPr="004F2450">
              <w:rPr>
                <w:rFonts w:ascii="Arial" w:hAnsi="Arial" w:cs="Arial"/>
                <w:noProof/>
                <w:webHidden/>
              </w:rPr>
              <w:fldChar w:fldCharType="separate"/>
            </w:r>
            <w:r w:rsidR="00084D07">
              <w:rPr>
                <w:rFonts w:ascii="Arial" w:hAnsi="Arial" w:cs="Arial"/>
                <w:noProof/>
                <w:webHidden/>
              </w:rPr>
              <w:t>41</w:t>
            </w:r>
            <w:r w:rsidRPr="004F2450">
              <w:rPr>
                <w:rFonts w:ascii="Arial" w:hAnsi="Arial" w:cs="Arial"/>
                <w:noProof/>
                <w:webHidden/>
              </w:rPr>
              <w:fldChar w:fldCharType="end"/>
            </w:r>
          </w:hyperlink>
        </w:p>
        <w:p w14:paraId="63B622DC" w14:textId="0AE2D954" w:rsidR="004F2450" w:rsidRPr="004F2450" w:rsidRDefault="004F2450" w:rsidP="004F2450">
          <w:pPr>
            <w:pStyle w:val="TOC1"/>
            <w:tabs>
              <w:tab w:val="right" w:leader="dot" w:pos="9016"/>
            </w:tabs>
            <w:spacing w:line="360" w:lineRule="auto"/>
            <w:jc w:val="both"/>
            <w:rPr>
              <w:rFonts w:ascii="Arial" w:eastAsiaTheme="minorEastAsia" w:hAnsi="Arial" w:cs="Arial"/>
              <w:noProof/>
              <w:lang w:eastAsia="en-GB"/>
            </w:rPr>
          </w:pPr>
          <w:hyperlink w:anchor="_Toc218418703" w:history="1">
            <w:r w:rsidRPr="004F2450">
              <w:rPr>
                <w:rStyle w:val="Hyperlink"/>
                <w:rFonts w:ascii="Arial" w:hAnsi="Arial" w:cs="Arial"/>
                <w:noProof/>
              </w:rPr>
              <w:t>Chapter 5: Discussion</w:t>
            </w:r>
            <w:r w:rsidRPr="004F2450">
              <w:rPr>
                <w:rFonts w:ascii="Arial" w:hAnsi="Arial" w:cs="Arial"/>
                <w:noProof/>
                <w:webHidden/>
              </w:rPr>
              <w:tab/>
            </w:r>
            <w:r w:rsidRPr="004F2450">
              <w:rPr>
                <w:rFonts w:ascii="Arial" w:hAnsi="Arial" w:cs="Arial"/>
                <w:noProof/>
                <w:webHidden/>
              </w:rPr>
              <w:fldChar w:fldCharType="begin"/>
            </w:r>
            <w:r w:rsidRPr="004F2450">
              <w:rPr>
                <w:rFonts w:ascii="Arial" w:hAnsi="Arial" w:cs="Arial"/>
                <w:noProof/>
                <w:webHidden/>
              </w:rPr>
              <w:instrText xml:space="preserve"> PAGEREF _Toc218418703 \h </w:instrText>
            </w:r>
            <w:r w:rsidRPr="004F2450">
              <w:rPr>
                <w:rFonts w:ascii="Arial" w:hAnsi="Arial" w:cs="Arial"/>
                <w:noProof/>
                <w:webHidden/>
              </w:rPr>
            </w:r>
            <w:r w:rsidRPr="004F2450">
              <w:rPr>
                <w:rFonts w:ascii="Arial" w:hAnsi="Arial" w:cs="Arial"/>
                <w:noProof/>
                <w:webHidden/>
              </w:rPr>
              <w:fldChar w:fldCharType="separate"/>
            </w:r>
            <w:r w:rsidR="00084D07">
              <w:rPr>
                <w:rFonts w:ascii="Arial" w:hAnsi="Arial" w:cs="Arial"/>
                <w:noProof/>
                <w:webHidden/>
              </w:rPr>
              <w:t>43</w:t>
            </w:r>
            <w:r w:rsidRPr="004F2450">
              <w:rPr>
                <w:rFonts w:ascii="Arial" w:hAnsi="Arial" w:cs="Arial"/>
                <w:noProof/>
                <w:webHidden/>
              </w:rPr>
              <w:fldChar w:fldCharType="end"/>
            </w:r>
          </w:hyperlink>
        </w:p>
        <w:p w14:paraId="5D644802" w14:textId="7BC31936" w:rsidR="004F2450" w:rsidRPr="004F2450" w:rsidRDefault="004F2450" w:rsidP="004F2450">
          <w:pPr>
            <w:pStyle w:val="TOC1"/>
            <w:tabs>
              <w:tab w:val="right" w:leader="dot" w:pos="9016"/>
            </w:tabs>
            <w:spacing w:line="360" w:lineRule="auto"/>
            <w:jc w:val="both"/>
            <w:rPr>
              <w:rFonts w:ascii="Arial" w:eastAsiaTheme="minorEastAsia" w:hAnsi="Arial" w:cs="Arial"/>
              <w:noProof/>
              <w:lang w:eastAsia="en-GB"/>
            </w:rPr>
          </w:pPr>
          <w:hyperlink w:anchor="_Toc218418704" w:history="1">
            <w:r w:rsidRPr="004F2450">
              <w:rPr>
                <w:rStyle w:val="Hyperlink"/>
                <w:rFonts w:ascii="Arial" w:hAnsi="Arial" w:cs="Arial"/>
                <w:noProof/>
              </w:rPr>
              <w:t>5.1 Introduction</w:t>
            </w:r>
            <w:r w:rsidRPr="004F2450">
              <w:rPr>
                <w:rFonts w:ascii="Arial" w:hAnsi="Arial" w:cs="Arial"/>
                <w:noProof/>
                <w:webHidden/>
              </w:rPr>
              <w:tab/>
            </w:r>
            <w:r w:rsidRPr="004F2450">
              <w:rPr>
                <w:rFonts w:ascii="Arial" w:hAnsi="Arial" w:cs="Arial"/>
                <w:noProof/>
                <w:webHidden/>
              </w:rPr>
              <w:fldChar w:fldCharType="begin"/>
            </w:r>
            <w:r w:rsidRPr="004F2450">
              <w:rPr>
                <w:rFonts w:ascii="Arial" w:hAnsi="Arial" w:cs="Arial"/>
                <w:noProof/>
                <w:webHidden/>
              </w:rPr>
              <w:instrText xml:space="preserve"> PAGEREF _Toc218418704 \h </w:instrText>
            </w:r>
            <w:r w:rsidRPr="004F2450">
              <w:rPr>
                <w:rFonts w:ascii="Arial" w:hAnsi="Arial" w:cs="Arial"/>
                <w:noProof/>
                <w:webHidden/>
              </w:rPr>
            </w:r>
            <w:r w:rsidRPr="004F2450">
              <w:rPr>
                <w:rFonts w:ascii="Arial" w:hAnsi="Arial" w:cs="Arial"/>
                <w:noProof/>
                <w:webHidden/>
              </w:rPr>
              <w:fldChar w:fldCharType="separate"/>
            </w:r>
            <w:r w:rsidR="00084D07">
              <w:rPr>
                <w:rFonts w:ascii="Arial" w:hAnsi="Arial" w:cs="Arial"/>
                <w:noProof/>
                <w:webHidden/>
              </w:rPr>
              <w:t>43</w:t>
            </w:r>
            <w:r w:rsidRPr="004F2450">
              <w:rPr>
                <w:rFonts w:ascii="Arial" w:hAnsi="Arial" w:cs="Arial"/>
                <w:noProof/>
                <w:webHidden/>
              </w:rPr>
              <w:fldChar w:fldCharType="end"/>
            </w:r>
          </w:hyperlink>
        </w:p>
        <w:p w14:paraId="6B2B58C1" w14:textId="2683A936" w:rsidR="004F2450" w:rsidRPr="004F2450" w:rsidRDefault="004F2450" w:rsidP="004F2450">
          <w:pPr>
            <w:pStyle w:val="TOC1"/>
            <w:tabs>
              <w:tab w:val="right" w:leader="dot" w:pos="9016"/>
            </w:tabs>
            <w:spacing w:line="360" w:lineRule="auto"/>
            <w:jc w:val="both"/>
            <w:rPr>
              <w:rFonts w:ascii="Arial" w:eastAsiaTheme="minorEastAsia" w:hAnsi="Arial" w:cs="Arial"/>
              <w:noProof/>
              <w:lang w:eastAsia="en-GB"/>
            </w:rPr>
          </w:pPr>
          <w:hyperlink w:anchor="_Toc218418705" w:history="1">
            <w:r w:rsidRPr="004F2450">
              <w:rPr>
                <w:rStyle w:val="Hyperlink"/>
                <w:rFonts w:ascii="Arial" w:hAnsi="Arial" w:cs="Arial"/>
                <w:noProof/>
              </w:rPr>
              <w:t>5.2 Discussion of themes</w:t>
            </w:r>
            <w:r w:rsidRPr="004F2450">
              <w:rPr>
                <w:rFonts w:ascii="Arial" w:hAnsi="Arial" w:cs="Arial"/>
                <w:noProof/>
                <w:webHidden/>
              </w:rPr>
              <w:tab/>
            </w:r>
            <w:r w:rsidRPr="004F2450">
              <w:rPr>
                <w:rFonts w:ascii="Arial" w:hAnsi="Arial" w:cs="Arial"/>
                <w:noProof/>
                <w:webHidden/>
              </w:rPr>
              <w:fldChar w:fldCharType="begin"/>
            </w:r>
            <w:r w:rsidRPr="004F2450">
              <w:rPr>
                <w:rFonts w:ascii="Arial" w:hAnsi="Arial" w:cs="Arial"/>
                <w:noProof/>
                <w:webHidden/>
              </w:rPr>
              <w:instrText xml:space="preserve"> PAGEREF _Toc218418705 \h </w:instrText>
            </w:r>
            <w:r w:rsidRPr="004F2450">
              <w:rPr>
                <w:rFonts w:ascii="Arial" w:hAnsi="Arial" w:cs="Arial"/>
                <w:noProof/>
                <w:webHidden/>
              </w:rPr>
            </w:r>
            <w:r w:rsidRPr="004F2450">
              <w:rPr>
                <w:rFonts w:ascii="Arial" w:hAnsi="Arial" w:cs="Arial"/>
                <w:noProof/>
                <w:webHidden/>
              </w:rPr>
              <w:fldChar w:fldCharType="separate"/>
            </w:r>
            <w:r w:rsidR="00084D07">
              <w:rPr>
                <w:rFonts w:ascii="Arial" w:hAnsi="Arial" w:cs="Arial"/>
                <w:noProof/>
                <w:webHidden/>
              </w:rPr>
              <w:t>43</w:t>
            </w:r>
            <w:r w:rsidRPr="004F2450">
              <w:rPr>
                <w:rFonts w:ascii="Arial" w:hAnsi="Arial" w:cs="Arial"/>
                <w:noProof/>
                <w:webHidden/>
              </w:rPr>
              <w:fldChar w:fldCharType="end"/>
            </w:r>
          </w:hyperlink>
        </w:p>
        <w:p w14:paraId="78F8D0C2" w14:textId="7206F024" w:rsidR="004F2450" w:rsidRPr="004F2450" w:rsidRDefault="004F2450" w:rsidP="004F2450">
          <w:pPr>
            <w:pStyle w:val="TOC1"/>
            <w:tabs>
              <w:tab w:val="right" w:leader="dot" w:pos="9016"/>
            </w:tabs>
            <w:spacing w:line="360" w:lineRule="auto"/>
            <w:jc w:val="both"/>
            <w:rPr>
              <w:rFonts w:ascii="Arial" w:eastAsiaTheme="minorEastAsia" w:hAnsi="Arial" w:cs="Arial"/>
              <w:noProof/>
              <w:lang w:eastAsia="en-GB"/>
            </w:rPr>
          </w:pPr>
          <w:hyperlink w:anchor="_Toc218418706" w:history="1">
            <w:r w:rsidRPr="004F2450">
              <w:rPr>
                <w:rStyle w:val="Hyperlink"/>
                <w:rFonts w:ascii="Arial" w:hAnsi="Arial" w:cs="Arial"/>
                <w:noProof/>
              </w:rPr>
              <w:t>5.3 Chapter Summary</w:t>
            </w:r>
            <w:r w:rsidRPr="004F2450">
              <w:rPr>
                <w:rFonts w:ascii="Arial" w:hAnsi="Arial" w:cs="Arial"/>
                <w:noProof/>
                <w:webHidden/>
              </w:rPr>
              <w:tab/>
            </w:r>
            <w:r w:rsidRPr="004F2450">
              <w:rPr>
                <w:rFonts w:ascii="Arial" w:hAnsi="Arial" w:cs="Arial"/>
                <w:noProof/>
                <w:webHidden/>
              </w:rPr>
              <w:fldChar w:fldCharType="begin"/>
            </w:r>
            <w:r w:rsidRPr="004F2450">
              <w:rPr>
                <w:rFonts w:ascii="Arial" w:hAnsi="Arial" w:cs="Arial"/>
                <w:noProof/>
                <w:webHidden/>
              </w:rPr>
              <w:instrText xml:space="preserve"> PAGEREF _Toc218418706 \h </w:instrText>
            </w:r>
            <w:r w:rsidRPr="004F2450">
              <w:rPr>
                <w:rFonts w:ascii="Arial" w:hAnsi="Arial" w:cs="Arial"/>
                <w:noProof/>
                <w:webHidden/>
              </w:rPr>
            </w:r>
            <w:r w:rsidRPr="004F2450">
              <w:rPr>
                <w:rFonts w:ascii="Arial" w:hAnsi="Arial" w:cs="Arial"/>
                <w:noProof/>
                <w:webHidden/>
              </w:rPr>
              <w:fldChar w:fldCharType="separate"/>
            </w:r>
            <w:r w:rsidR="00084D07">
              <w:rPr>
                <w:rFonts w:ascii="Arial" w:hAnsi="Arial" w:cs="Arial"/>
                <w:noProof/>
                <w:webHidden/>
              </w:rPr>
              <w:t>47</w:t>
            </w:r>
            <w:r w:rsidRPr="004F2450">
              <w:rPr>
                <w:rFonts w:ascii="Arial" w:hAnsi="Arial" w:cs="Arial"/>
                <w:noProof/>
                <w:webHidden/>
              </w:rPr>
              <w:fldChar w:fldCharType="end"/>
            </w:r>
          </w:hyperlink>
        </w:p>
        <w:p w14:paraId="7C6D8B00" w14:textId="6A5920DA" w:rsidR="004F2450" w:rsidRPr="004F2450" w:rsidRDefault="004F2450" w:rsidP="004F2450">
          <w:pPr>
            <w:pStyle w:val="TOC1"/>
            <w:tabs>
              <w:tab w:val="right" w:leader="dot" w:pos="9016"/>
            </w:tabs>
            <w:spacing w:line="360" w:lineRule="auto"/>
            <w:jc w:val="both"/>
            <w:rPr>
              <w:rFonts w:ascii="Arial" w:eastAsiaTheme="minorEastAsia" w:hAnsi="Arial" w:cs="Arial"/>
              <w:noProof/>
              <w:lang w:eastAsia="en-GB"/>
            </w:rPr>
          </w:pPr>
          <w:hyperlink w:anchor="_Toc218418707" w:history="1">
            <w:r w:rsidRPr="004F2450">
              <w:rPr>
                <w:rStyle w:val="Hyperlink"/>
                <w:rFonts w:ascii="Arial" w:hAnsi="Arial" w:cs="Arial"/>
                <w:noProof/>
              </w:rPr>
              <w:t>Chapter 6: Conclusion and Recommendations</w:t>
            </w:r>
            <w:r w:rsidRPr="004F2450">
              <w:rPr>
                <w:rFonts w:ascii="Arial" w:hAnsi="Arial" w:cs="Arial"/>
                <w:noProof/>
                <w:webHidden/>
              </w:rPr>
              <w:tab/>
            </w:r>
            <w:r w:rsidRPr="004F2450">
              <w:rPr>
                <w:rFonts w:ascii="Arial" w:hAnsi="Arial" w:cs="Arial"/>
                <w:noProof/>
                <w:webHidden/>
              </w:rPr>
              <w:fldChar w:fldCharType="begin"/>
            </w:r>
            <w:r w:rsidRPr="004F2450">
              <w:rPr>
                <w:rFonts w:ascii="Arial" w:hAnsi="Arial" w:cs="Arial"/>
                <w:noProof/>
                <w:webHidden/>
              </w:rPr>
              <w:instrText xml:space="preserve"> PAGEREF _Toc218418707 \h </w:instrText>
            </w:r>
            <w:r w:rsidRPr="004F2450">
              <w:rPr>
                <w:rFonts w:ascii="Arial" w:hAnsi="Arial" w:cs="Arial"/>
                <w:noProof/>
                <w:webHidden/>
              </w:rPr>
            </w:r>
            <w:r w:rsidRPr="004F2450">
              <w:rPr>
                <w:rFonts w:ascii="Arial" w:hAnsi="Arial" w:cs="Arial"/>
                <w:noProof/>
                <w:webHidden/>
              </w:rPr>
              <w:fldChar w:fldCharType="separate"/>
            </w:r>
            <w:r w:rsidR="00084D07">
              <w:rPr>
                <w:rFonts w:ascii="Arial" w:hAnsi="Arial" w:cs="Arial"/>
                <w:noProof/>
                <w:webHidden/>
              </w:rPr>
              <w:t>49</w:t>
            </w:r>
            <w:r w:rsidRPr="004F2450">
              <w:rPr>
                <w:rFonts w:ascii="Arial" w:hAnsi="Arial" w:cs="Arial"/>
                <w:noProof/>
                <w:webHidden/>
              </w:rPr>
              <w:fldChar w:fldCharType="end"/>
            </w:r>
          </w:hyperlink>
        </w:p>
        <w:p w14:paraId="117A67D4" w14:textId="61738E40" w:rsidR="004F2450" w:rsidRPr="004F2450" w:rsidRDefault="004F2450" w:rsidP="004F2450">
          <w:pPr>
            <w:pStyle w:val="TOC1"/>
            <w:tabs>
              <w:tab w:val="right" w:leader="dot" w:pos="9016"/>
            </w:tabs>
            <w:spacing w:line="360" w:lineRule="auto"/>
            <w:jc w:val="both"/>
            <w:rPr>
              <w:rFonts w:ascii="Arial" w:eastAsiaTheme="minorEastAsia" w:hAnsi="Arial" w:cs="Arial"/>
              <w:noProof/>
              <w:lang w:eastAsia="en-GB"/>
            </w:rPr>
          </w:pPr>
          <w:hyperlink w:anchor="_Toc218418708" w:history="1">
            <w:r w:rsidRPr="004F2450">
              <w:rPr>
                <w:rStyle w:val="Hyperlink"/>
                <w:rFonts w:ascii="Arial" w:hAnsi="Arial" w:cs="Arial"/>
                <w:noProof/>
              </w:rPr>
              <w:t>6.1 Introduction</w:t>
            </w:r>
            <w:r w:rsidRPr="004F2450">
              <w:rPr>
                <w:rFonts w:ascii="Arial" w:hAnsi="Arial" w:cs="Arial"/>
                <w:noProof/>
                <w:webHidden/>
              </w:rPr>
              <w:tab/>
            </w:r>
            <w:r w:rsidRPr="004F2450">
              <w:rPr>
                <w:rFonts w:ascii="Arial" w:hAnsi="Arial" w:cs="Arial"/>
                <w:noProof/>
                <w:webHidden/>
              </w:rPr>
              <w:fldChar w:fldCharType="begin"/>
            </w:r>
            <w:r w:rsidRPr="004F2450">
              <w:rPr>
                <w:rFonts w:ascii="Arial" w:hAnsi="Arial" w:cs="Arial"/>
                <w:noProof/>
                <w:webHidden/>
              </w:rPr>
              <w:instrText xml:space="preserve"> PAGEREF _Toc218418708 \h </w:instrText>
            </w:r>
            <w:r w:rsidRPr="004F2450">
              <w:rPr>
                <w:rFonts w:ascii="Arial" w:hAnsi="Arial" w:cs="Arial"/>
                <w:noProof/>
                <w:webHidden/>
              </w:rPr>
            </w:r>
            <w:r w:rsidRPr="004F2450">
              <w:rPr>
                <w:rFonts w:ascii="Arial" w:hAnsi="Arial" w:cs="Arial"/>
                <w:noProof/>
                <w:webHidden/>
              </w:rPr>
              <w:fldChar w:fldCharType="separate"/>
            </w:r>
            <w:r w:rsidR="00084D07">
              <w:rPr>
                <w:rFonts w:ascii="Arial" w:hAnsi="Arial" w:cs="Arial"/>
                <w:noProof/>
                <w:webHidden/>
              </w:rPr>
              <w:t>49</w:t>
            </w:r>
            <w:r w:rsidRPr="004F2450">
              <w:rPr>
                <w:rFonts w:ascii="Arial" w:hAnsi="Arial" w:cs="Arial"/>
                <w:noProof/>
                <w:webHidden/>
              </w:rPr>
              <w:fldChar w:fldCharType="end"/>
            </w:r>
          </w:hyperlink>
        </w:p>
        <w:p w14:paraId="1FEDE7FD" w14:textId="260E50A3" w:rsidR="004F2450" w:rsidRPr="004F2450" w:rsidRDefault="004F2450" w:rsidP="004F2450">
          <w:pPr>
            <w:pStyle w:val="TOC1"/>
            <w:tabs>
              <w:tab w:val="right" w:leader="dot" w:pos="9016"/>
            </w:tabs>
            <w:spacing w:line="360" w:lineRule="auto"/>
            <w:jc w:val="both"/>
            <w:rPr>
              <w:rFonts w:ascii="Arial" w:eastAsiaTheme="minorEastAsia" w:hAnsi="Arial" w:cs="Arial"/>
              <w:noProof/>
              <w:lang w:eastAsia="en-GB"/>
            </w:rPr>
          </w:pPr>
          <w:hyperlink w:anchor="_Toc218418709" w:history="1">
            <w:r w:rsidRPr="004F2450">
              <w:rPr>
                <w:rStyle w:val="Hyperlink"/>
                <w:rFonts w:ascii="Arial" w:hAnsi="Arial" w:cs="Arial"/>
                <w:noProof/>
              </w:rPr>
              <w:t>6.2 Restatement of the Research Aim and Objectives</w:t>
            </w:r>
            <w:r w:rsidRPr="004F2450">
              <w:rPr>
                <w:rFonts w:ascii="Arial" w:hAnsi="Arial" w:cs="Arial"/>
                <w:noProof/>
                <w:webHidden/>
              </w:rPr>
              <w:tab/>
            </w:r>
            <w:r w:rsidRPr="004F2450">
              <w:rPr>
                <w:rFonts w:ascii="Arial" w:hAnsi="Arial" w:cs="Arial"/>
                <w:noProof/>
                <w:webHidden/>
              </w:rPr>
              <w:fldChar w:fldCharType="begin"/>
            </w:r>
            <w:r w:rsidRPr="004F2450">
              <w:rPr>
                <w:rFonts w:ascii="Arial" w:hAnsi="Arial" w:cs="Arial"/>
                <w:noProof/>
                <w:webHidden/>
              </w:rPr>
              <w:instrText xml:space="preserve"> PAGEREF _Toc218418709 \h </w:instrText>
            </w:r>
            <w:r w:rsidRPr="004F2450">
              <w:rPr>
                <w:rFonts w:ascii="Arial" w:hAnsi="Arial" w:cs="Arial"/>
                <w:noProof/>
                <w:webHidden/>
              </w:rPr>
            </w:r>
            <w:r w:rsidRPr="004F2450">
              <w:rPr>
                <w:rFonts w:ascii="Arial" w:hAnsi="Arial" w:cs="Arial"/>
                <w:noProof/>
                <w:webHidden/>
              </w:rPr>
              <w:fldChar w:fldCharType="separate"/>
            </w:r>
            <w:r w:rsidR="00084D07">
              <w:rPr>
                <w:rFonts w:ascii="Arial" w:hAnsi="Arial" w:cs="Arial"/>
                <w:noProof/>
                <w:webHidden/>
              </w:rPr>
              <w:t>49</w:t>
            </w:r>
            <w:r w:rsidRPr="004F2450">
              <w:rPr>
                <w:rFonts w:ascii="Arial" w:hAnsi="Arial" w:cs="Arial"/>
                <w:noProof/>
                <w:webHidden/>
              </w:rPr>
              <w:fldChar w:fldCharType="end"/>
            </w:r>
          </w:hyperlink>
        </w:p>
        <w:p w14:paraId="04E9A2B1" w14:textId="270DB175" w:rsidR="004F2450" w:rsidRPr="004F2450" w:rsidRDefault="004F2450" w:rsidP="004F2450">
          <w:pPr>
            <w:pStyle w:val="TOC1"/>
            <w:tabs>
              <w:tab w:val="right" w:leader="dot" w:pos="9016"/>
            </w:tabs>
            <w:spacing w:line="360" w:lineRule="auto"/>
            <w:jc w:val="both"/>
            <w:rPr>
              <w:rFonts w:ascii="Arial" w:eastAsiaTheme="minorEastAsia" w:hAnsi="Arial" w:cs="Arial"/>
              <w:noProof/>
              <w:lang w:eastAsia="en-GB"/>
            </w:rPr>
          </w:pPr>
          <w:hyperlink w:anchor="_Toc218418710" w:history="1">
            <w:r w:rsidRPr="004F2450">
              <w:rPr>
                <w:rStyle w:val="Hyperlink"/>
                <w:rFonts w:ascii="Arial" w:hAnsi="Arial" w:cs="Arial"/>
                <w:noProof/>
              </w:rPr>
              <w:t>6.3 Discussion of Key Findings in Relation to Research Objectives</w:t>
            </w:r>
            <w:r w:rsidRPr="004F2450">
              <w:rPr>
                <w:rFonts w:ascii="Arial" w:hAnsi="Arial" w:cs="Arial"/>
                <w:noProof/>
                <w:webHidden/>
              </w:rPr>
              <w:tab/>
            </w:r>
            <w:r w:rsidRPr="004F2450">
              <w:rPr>
                <w:rFonts w:ascii="Arial" w:hAnsi="Arial" w:cs="Arial"/>
                <w:noProof/>
                <w:webHidden/>
              </w:rPr>
              <w:fldChar w:fldCharType="begin"/>
            </w:r>
            <w:r w:rsidRPr="004F2450">
              <w:rPr>
                <w:rFonts w:ascii="Arial" w:hAnsi="Arial" w:cs="Arial"/>
                <w:noProof/>
                <w:webHidden/>
              </w:rPr>
              <w:instrText xml:space="preserve"> PAGEREF _Toc218418710 \h </w:instrText>
            </w:r>
            <w:r w:rsidRPr="004F2450">
              <w:rPr>
                <w:rFonts w:ascii="Arial" w:hAnsi="Arial" w:cs="Arial"/>
                <w:noProof/>
                <w:webHidden/>
              </w:rPr>
            </w:r>
            <w:r w:rsidRPr="004F2450">
              <w:rPr>
                <w:rFonts w:ascii="Arial" w:hAnsi="Arial" w:cs="Arial"/>
                <w:noProof/>
                <w:webHidden/>
              </w:rPr>
              <w:fldChar w:fldCharType="separate"/>
            </w:r>
            <w:r w:rsidR="00084D07">
              <w:rPr>
                <w:rFonts w:ascii="Arial" w:hAnsi="Arial" w:cs="Arial"/>
                <w:noProof/>
                <w:webHidden/>
              </w:rPr>
              <w:t>49</w:t>
            </w:r>
            <w:r w:rsidRPr="004F2450">
              <w:rPr>
                <w:rFonts w:ascii="Arial" w:hAnsi="Arial" w:cs="Arial"/>
                <w:noProof/>
                <w:webHidden/>
              </w:rPr>
              <w:fldChar w:fldCharType="end"/>
            </w:r>
          </w:hyperlink>
        </w:p>
        <w:p w14:paraId="1213023F" w14:textId="7EB554C7" w:rsidR="004F2450" w:rsidRPr="004F2450" w:rsidRDefault="004F2450" w:rsidP="004F2450">
          <w:pPr>
            <w:pStyle w:val="TOC2"/>
            <w:tabs>
              <w:tab w:val="right" w:leader="dot" w:pos="9016"/>
            </w:tabs>
            <w:spacing w:line="360" w:lineRule="auto"/>
            <w:jc w:val="both"/>
            <w:rPr>
              <w:rFonts w:ascii="Arial" w:eastAsiaTheme="minorEastAsia" w:hAnsi="Arial" w:cs="Arial"/>
              <w:noProof/>
              <w:lang w:eastAsia="en-GB"/>
            </w:rPr>
          </w:pPr>
          <w:hyperlink w:anchor="_Toc218418711" w:history="1">
            <w:r w:rsidRPr="004F2450">
              <w:rPr>
                <w:rStyle w:val="Hyperlink"/>
                <w:rFonts w:ascii="Arial" w:hAnsi="Arial" w:cs="Arial"/>
                <w:noProof/>
              </w:rPr>
              <w:t>6.3.1 Objective 1: Trends in Tuberculosis Incidence and Morbidity in Relation to BCG Campaigns</w:t>
            </w:r>
            <w:r w:rsidRPr="004F2450">
              <w:rPr>
                <w:rFonts w:ascii="Arial" w:hAnsi="Arial" w:cs="Arial"/>
                <w:noProof/>
                <w:webHidden/>
              </w:rPr>
              <w:tab/>
            </w:r>
            <w:r w:rsidRPr="004F2450">
              <w:rPr>
                <w:rFonts w:ascii="Arial" w:hAnsi="Arial" w:cs="Arial"/>
                <w:noProof/>
                <w:webHidden/>
              </w:rPr>
              <w:fldChar w:fldCharType="begin"/>
            </w:r>
            <w:r w:rsidRPr="004F2450">
              <w:rPr>
                <w:rFonts w:ascii="Arial" w:hAnsi="Arial" w:cs="Arial"/>
                <w:noProof/>
                <w:webHidden/>
              </w:rPr>
              <w:instrText xml:space="preserve"> PAGEREF _Toc218418711 \h </w:instrText>
            </w:r>
            <w:r w:rsidRPr="004F2450">
              <w:rPr>
                <w:rFonts w:ascii="Arial" w:hAnsi="Arial" w:cs="Arial"/>
                <w:noProof/>
                <w:webHidden/>
              </w:rPr>
            </w:r>
            <w:r w:rsidRPr="004F2450">
              <w:rPr>
                <w:rFonts w:ascii="Arial" w:hAnsi="Arial" w:cs="Arial"/>
                <w:noProof/>
                <w:webHidden/>
              </w:rPr>
              <w:fldChar w:fldCharType="separate"/>
            </w:r>
            <w:r w:rsidR="00084D07">
              <w:rPr>
                <w:rFonts w:ascii="Arial" w:hAnsi="Arial" w:cs="Arial"/>
                <w:noProof/>
                <w:webHidden/>
              </w:rPr>
              <w:t>49</w:t>
            </w:r>
            <w:r w:rsidRPr="004F2450">
              <w:rPr>
                <w:rFonts w:ascii="Arial" w:hAnsi="Arial" w:cs="Arial"/>
                <w:noProof/>
                <w:webHidden/>
              </w:rPr>
              <w:fldChar w:fldCharType="end"/>
            </w:r>
          </w:hyperlink>
        </w:p>
        <w:p w14:paraId="7E49E939" w14:textId="7EC7D531" w:rsidR="004F2450" w:rsidRPr="004F2450" w:rsidRDefault="004F2450" w:rsidP="004F2450">
          <w:pPr>
            <w:pStyle w:val="TOC2"/>
            <w:tabs>
              <w:tab w:val="right" w:leader="dot" w:pos="9016"/>
            </w:tabs>
            <w:spacing w:line="360" w:lineRule="auto"/>
            <w:jc w:val="both"/>
            <w:rPr>
              <w:rFonts w:ascii="Arial" w:eastAsiaTheme="minorEastAsia" w:hAnsi="Arial" w:cs="Arial"/>
              <w:noProof/>
              <w:lang w:eastAsia="en-GB"/>
            </w:rPr>
          </w:pPr>
          <w:hyperlink w:anchor="_Toc218418712" w:history="1">
            <w:r w:rsidRPr="004F2450">
              <w:rPr>
                <w:rStyle w:val="Hyperlink"/>
                <w:rFonts w:ascii="Arial" w:hAnsi="Arial" w:cs="Arial"/>
                <w:noProof/>
              </w:rPr>
              <w:t>6.3.2 Objective 2: Coverage and Outreach of BCG Vaccination Campaigns</w:t>
            </w:r>
            <w:r w:rsidRPr="004F2450">
              <w:rPr>
                <w:rFonts w:ascii="Arial" w:hAnsi="Arial" w:cs="Arial"/>
                <w:noProof/>
                <w:webHidden/>
              </w:rPr>
              <w:tab/>
            </w:r>
            <w:r w:rsidRPr="004F2450">
              <w:rPr>
                <w:rFonts w:ascii="Arial" w:hAnsi="Arial" w:cs="Arial"/>
                <w:noProof/>
                <w:webHidden/>
              </w:rPr>
              <w:fldChar w:fldCharType="begin"/>
            </w:r>
            <w:r w:rsidRPr="004F2450">
              <w:rPr>
                <w:rFonts w:ascii="Arial" w:hAnsi="Arial" w:cs="Arial"/>
                <w:noProof/>
                <w:webHidden/>
              </w:rPr>
              <w:instrText xml:space="preserve"> PAGEREF _Toc218418712 \h </w:instrText>
            </w:r>
            <w:r w:rsidRPr="004F2450">
              <w:rPr>
                <w:rFonts w:ascii="Arial" w:hAnsi="Arial" w:cs="Arial"/>
                <w:noProof/>
                <w:webHidden/>
              </w:rPr>
            </w:r>
            <w:r w:rsidRPr="004F2450">
              <w:rPr>
                <w:rFonts w:ascii="Arial" w:hAnsi="Arial" w:cs="Arial"/>
                <w:noProof/>
                <w:webHidden/>
              </w:rPr>
              <w:fldChar w:fldCharType="separate"/>
            </w:r>
            <w:r w:rsidR="00084D07">
              <w:rPr>
                <w:rFonts w:ascii="Arial" w:hAnsi="Arial" w:cs="Arial"/>
                <w:noProof/>
                <w:webHidden/>
              </w:rPr>
              <w:t>50</w:t>
            </w:r>
            <w:r w:rsidRPr="004F2450">
              <w:rPr>
                <w:rFonts w:ascii="Arial" w:hAnsi="Arial" w:cs="Arial"/>
                <w:noProof/>
                <w:webHidden/>
              </w:rPr>
              <w:fldChar w:fldCharType="end"/>
            </w:r>
          </w:hyperlink>
        </w:p>
        <w:p w14:paraId="748534B4" w14:textId="26C214A9" w:rsidR="004F2450" w:rsidRPr="004F2450" w:rsidRDefault="004F2450" w:rsidP="004F2450">
          <w:pPr>
            <w:pStyle w:val="TOC2"/>
            <w:tabs>
              <w:tab w:val="right" w:leader="dot" w:pos="9016"/>
            </w:tabs>
            <w:spacing w:line="360" w:lineRule="auto"/>
            <w:jc w:val="both"/>
            <w:rPr>
              <w:rFonts w:ascii="Arial" w:eastAsiaTheme="minorEastAsia" w:hAnsi="Arial" w:cs="Arial"/>
              <w:noProof/>
              <w:lang w:eastAsia="en-GB"/>
            </w:rPr>
          </w:pPr>
          <w:hyperlink w:anchor="_Toc218418713" w:history="1">
            <w:r w:rsidRPr="004F2450">
              <w:rPr>
                <w:rStyle w:val="Hyperlink"/>
                <w:rFonts w:ascii="Arial" w:hAnsi="Arial" w:cs="Arial"/>
                <w:noProof/>
              </w:rPr>
              <w:t>6.3.3 Objective 3: Barriers to Effective BCG Programme Implementation</w:t>
            </w:r>
            <w:r w:rsidRPr="004F2450">
              <w:rPr>
                <w:rFonts w:ascii="Arial" w:hAnsi="Arial" w:cs="Arial"/>
                <w:noProof/>
                <w:webHidden/>
              </w:rPr>
              <w:tab/>
            </w:r>
            <w:r w:rsidRPr="004F2450">
              <w:rPr>
                <w:rFonts w:ascii="Arial" w:hAnsi="Arial" w:cs="Arial"/>
                <w:noProof/>
                <w:webHidden/>
              </w:rPr>
              <w:fldChar w:fldCharType="begin"/>
            </w:r>
            <w:r w:rsidRPr="004F2450">
              <w:rPr>
                <w:rFonts w:ascii="Arial" w:hAnsi="Arial" w:cs="Arial"/>
                <w:noProof/>
                <w:webHidden/>
              </w:rPr>
              <w:instrText xml:space="preserve"> PAGEREF _Toc218418713 \h </w:instrText>
            </w:r>
            <w:r w:rsidRPr="004F2450">
              <w:rPr>
                <w:rFonts w:ascii="Arial" w:hAnsi="Arial" w:cs="Arial"/>
                <w:noProof/>
                <w:webHidden/>
              </w:rPr>
            </w:r>
            <w:r w:rsidRPr="004F2450">
              <w:rPr>
                <w:rFonts w:ascii="Arial" w:hAnsi="Arial" w:cs="Arial"/>
                <w:noProof/>
                <w:webHidden/>
              </w:rPr>
              <w:fldChar w:fldCharType="separate"/>
            </w:r>
            <w:r w:rsidR="00084D07">
              <w:rPr>
                <w:rFonts w:ascii="Arial" w:hAnsi="Arial" w:cs="Arial"/>
                <w:noProof/>
                <w:webHidden/>
              </w:rPr>
              <w:t>51</w:t>
            </w:r>
            <w:r w:rsidRPr="004F2450">
              <w:rPr>
                <w:rFonts w:ascii="Arial" w:hAnsi="Arial" w:cs="Arial"/>
                <w:noProof/>
                <w:webHidden/>
              </w:rPr>
              <w:fldChar w:fldCharType="end"/>
            </w:r>
          </w:hyperlink>
        </w:p>
        <w:p w14:paraId="3543C71E" w14:textId="5AC3C77C" w:rsidR="004F2450" w:rsidRPr="004F2450" w:rsidRDefault="004F2450" w:rsidP="004F2450">
          <w:pPr>
            <w:pStyle w:val="TOC2"/>
            <w:tabs>
              <w:tab w:val="right" w:leader="dot" w:pos="9016"/>
            </w:tabs>
            <w:spacing w:line="360" w:lineRule="auto"/>
            <w:jc w:val="both"/>
            <w:rPr>
              <w:rFonts w:ascii="Arial" w:eastAsiaTheme="minorEastAsia" w:hAnsi="Arial" w:cs="Arial"/>
              <w:noProof/>
              <w:lang w:eastAsia="en-GB"/>
            </w:rPr>
          </w:pPr>
          <w:hyperlink w:anchor="_Toc218418714" w:history="1">
            <w:r w:rsidRPr="004F2450">
              <w:rPr>
                <w:rStyle w:val="Hyperlink"/>
                <w:rFonts w:ascii="Arial" w:hAnsi="Arial" w:cs="Arial"/>
                <w:noProof/>
              </w:rPr>
              <w:t>6.3.4 Objective 4: Strategies for Improving Design, Delivery, and Equity</w:t>
            </w:r>
            <w:r w:rsidRPr="004F2450">
              <w:rPr>
                <w:rFonts w:ascii="Arial" w:hAnsi="Arial" w:cs="Arial"/>
                <w:noProof/>
                <w:webHidden/>
              </w:rPr>
              <w:tab/>
            </w:r>
            <w:r w:rsidRPr="004F2450">
              <w:rPr>
                <w:rFonts w:ascii="Arial" w:hAnsi="Arial" w:cs="Arial"/>
                <w:noProof/>
                <w:webHidden/>
              </w:rPr>
              <w:fldChar w:fldCharType="begin"/>
            </w:r>
            <w:r w:rsidRPr="004F2450">
              <w:rPr>
                <w:rFonts w:ascii="Arial" w:hAnsi="Arial" w:cs="Arial"/>
                <w:noProof/>
                <w:webHidden/>
              </w:rPr>
              <w:instrText xml:space="preserve"> PAGEREF _Toc218418714 \h </w:instrText>
            </w:r>
            <w:r w:rsidRPr="004F2450">
              <w:rPr>
                <w:rFonts w:ascii="Arial" w:hAnsi="Arial" w:cs="Arial"/>
                <w:noProof/>
                <w:webHidden/>
              </w:rPr>
            </w:r>
            <w:r w:rsidRPr="004F2450">
              <w:rPr>
                <w:rFonts w:ascii="Arial" w:hAnsi="Arial" w:cs="Arial"/>
                <w:noProof/>
                <w:webHidden/>
              </w:rPr>
              <w:fldChar w:fldCharType="separate"/>
            </w:r>
            <w:r w:rsidR="00084D07">
              <w:rPr>
                <w:rFonts w:ascii="Arial" w:hAnsi="Arial" w:cs="Arial"/>
                <w:noProof/>
                <w:webHidden/>
              </w:rPr>
              <w:t>51</w:t>
            </w:r>
            <w:r w:rsidRPr="004F2450">
              <w:rPr>
                <w:rFonts w:ascii="Arial" w:hAnsi="Arial" w:cs="Arial"/>
                <w:noProof/>
                <w:webHidden/>
              </w:rPr>
              <w:fldChar w:fldCharType="end"/>
            </w:r>
          </w:hyperlink>
        </w:p>
        <w:p w14:paraId="043A88C4" w14:textId="20761B28" w:rsidR="004F2450" w:rsidRPr="004F2450" w:rsidRDefault="004F2450" w:rsidP="004F2450">
          <w:pPr>
            <w:pStyle w:val="TOC1"/>
            <w:tabs>
              <w:tab w:val="right" w:leader="dot" w:pos="9016"/>
            </w:tabs>
            <w:spacing w:line="360" w:lineRule="auto"/>
            <w:jc w:val="both"/>
            <w:rPr>
              <w:rFonts w:ascii="Arial" w:eastAsiaTheme="minorEastAsia" w:hAnsi="Arial" w:cs="Arial"/>
              <w:noProof/>
              <w:lang w:eastAsia="en-GB"/>
            </w:rPr>
          </w:pPr>
          <w:hyperlink w:anchor="_Toc218418715" w:history="1">
            <w:r w:rsidRPr="004F2450">
              <w:rPr>
                <w:rStyle w:val="Hyperlink"/>
                <w:rFonts w:ascii="Arial" w:hAnsi="Arial" w:cs="Arial"/>
                <w:noProof/>
              </w:rPr>
              <w:t>6.4 Limitations of the Study</w:t>
            </w:r>
            <w:r w:rsidRPr="004F2450">
              <w:rPr>
                <w:rFonts w:ascii="Arial" w:hAnsi="Arial" w:cs="Arial"/>
                <w:noProof/>
                <w:webHidden/>
              </w:rPr>
              <w:tab/>
            </w:r>
            <w:r w:rsidRPr="004F2450">
              <w:rPr>
                <w:rFonts w:ascii="Arial" w:hAnsi="Arial" w:cs="Arial"/>
                <w:noProof/>
                <w:webHidden/>
              </w:rPr>
              <w:fldChar w:fldCharType="begin"/>
            </w:r>
            <w:r w:rsidRPr="004F2450">
              <w:rPr>
                <w:rFonts w:ascii="Arial" w:hAnsi="Arial" w:cs="Arial"/>
                <w:noProof/>
                <w:webHidden/>
              </w:rPr>
              <w:instrText xml:space="preserve"> PAGEREF _Toc218418715 \h </w:instrText>
            </w:r>
            <w:r w:rsidRPr="004F2450">
              <w:rPr>
                <w:rFonts w:ascii="Arial" w:hAnsi="Arial" w:cs="Arial"/>
                <w:noProof/>
                <w:webHidden/>
              </w:rPr>
            </w:r>
            <w:r w:rsidRPr="004F2450">
              <w:rPr>
                <w:rFonts w:ascii="Arial" w:hAnsi="Arial" w:cs="Arial"/>
                <w:noProof/>
                <w:webHidden/>
              </w:rPr>
              <w:fldChar w:fldCharType="separate"/>
            </w:r>
            <w:r w:rsidR="00084D07">
              <w:rPr>
                <w:rFonts w:ascii="Arial" w:hAnsi="Arial" w:cs="Arial"/>
                <w:noProof/>
                <w:webHidden/>
              </w:rPr>
              <w:t>52</w:t>
            </w:r>
            <w:r w:rsidRPr="004F2450">
              <w:rPr>
                <w:rFonts w:ascii="Arial" w:hAnsi="Arial" w:cs="Arial"/>
                <w:noProof/>
                <w:webHidden/>
              </w:rPr>
              <w:fldChar w:fldCharType="end"/>
            </w:r>
          </w:hyperlink>
        </w:p>
        <w:p w14:paraId="549D89E3" w14:textId="26CD3750" w:rsidR="004F2450" w:rsidRPr="004F2450" w:rsidRDefault="004F2450" w:rsidP="004F2450">
          <w:pPr>
            <w:pStyle w:val="TOC1"/>
            <w:tabs>
              <w:tab w:val="right" w:leader="dot" w:pos="9016"/>
            </w:tabs>
            <w:spacing w:line="360" w:lineRule="auto"/>
            <w:jc w:val="both"/>
            <w:rPr>
              <w:rFonts w:ascii="Arial" w:eastAsiaTheme="minorEastAsia" w:hAnsi="Arial" w:cs="Arial"/>
              <w:noProof/>
              <w:lang w:eastAsia="en-GB"/>
            </w:rPr>
          </w:pPr>
          <w:hyperlink w:anchor="_Toc218418716" w:history="1">
            <w:r w:rsidRPr="004F2450">
              <w:rPr>
                <w:rStyle w:val="Hyperlink"/>
                <w:rFonts w:ascii="Arial" w:hAnsi="Arial" w:cs="Arial"/>
                <w:noProof/>
              </w:rPr>
              <w:t>6.5 Recommendations</w:t>
            </w:r>
            <w:r w:rsidRPr="004F2450">
              <w:rPr>
                <w:rFonts w:ascii="Arial" w:hAnsi="Arial" w:cs="Arial"/>
                <w:noProof/>
                <w:webHidden/>
              </w:rPr>
              <w:tab/>
            </w:r>
            <w:r w:rsidRPr="004F2450">
              <w:rPr>
                <w:rFonts w:ascii="Arial" w:hAnsi="Arial" w:cs="Arial"/>
                <w:noProof/>
                <w:webHidden/>
              </w:rPr>
              <w:fldChar w:fldCharType="begin"/>
            </w:r>
            <w:r w:rsidRPr="004F2450">
              <w:rPr>
                <w:rFonts w:ascii="Arial" w:hAnsi="Arial" w:cs="Arial"/>
                <w:noProof/>
                <w:webHidden/>
              </w:rPr>
              <w:instrText xml:space="preserve"> PAGEREF _Toc218418716 \h </w:instrText>
            </w:r>
            <w:r w:rsidRPr="004F2450">
              <w:rPr>
                <w:rFonts w:ascii="Arial" w:hAnsi="Arial" w:cs="Arial"/>
                <w:noProof/>
                <w:webHidden/>
              </w:rPr>
            </w:r>
            <w:r w:rsidRPr="004F2450">
              <w:rPr>
                <w:rFonts w:ascii="Arial" w:hAnsi="Arial" w:cs="Arial"/>
                <w:noProof/>
                <w:webHidden/>
              </w:rPr>
              <w:fldChar w:fldCharType="separate"/>
            </w:r>
            <w:r w:rsidR="00084D07">
              <w:rPr>
                <w:rFonts w:ascii="Arial" w:hAnsi="Arial" w:cs="Arial"/>
                <w:noProof/>
                <w:webHidden/>
              </w:rPr>
              <w:t>52</w:t>
            </w:r>
            <w:r w:rsidRPr="004F2450">
              <w:rPr>
                <w:rFonts w:ascii="Arial" w:hAnsi="Arial" w:cs="Arial"/>
                <w:noProof/>
                <w:webHidden/>
              </w:rPr>
              <w:fldChar w:fldCharType="end"/>
            </w:r>
          </w:hyperlink>
        </w:p>
        <w:p w14:paraId="3ABFBCA1" w14:textId="7B04979E" w:rsidR="004F2450" w:rsidRPr="004F2450" w:rsidRDefault="004F2450" w:rsidP="004F2450">
          <w:pPr>
            <w:pStyle w:val="TOC1"/>
            <w:tabs>
              <w:tab w:val="right" w:leader="dot" w:pos="9016"/>
            </w:tabs>
            <w:spacing w:line="360" w:lineRule="auto"/>
            <w:jc w:val="both"/>
            <w:rPr>
              <w:rFonts w:ascii="Arial" w:eastAsiaTheme="minorEastAsia" w:hAnsi="Arial" w:cs="Arial"/>
              <w:noProof/>
              <w:lang w:eastAsia="en-GB"/>
            </w:rPr>
          </w:pPr>
          <w:hyperlink w:anchor="_Toc218418717" w:history="1">
            <w:r w:rsidRPr="004F2450">
              <w:rPr>
                <w:rStyle w:val="Hyperlink"/>
                <w:rFonts w:ascii="Arial" w:hAnsi="Arial" w:cs="Arial"/>
                <w:noProof/>
              </w:rPr>
              <w:t>6.6 Conclusion</w:t>
            </w:r>
            <w:r w:rsidRPr="004F2450">
              <w:rPr>
                <w:rFonts w:ascii="Arial" w:hAnsi="Arial" w:cs="Arial"/>
                <w:noProof/>
                <w:webHidden/>
              </w:rPr>
              <w:tab/>
            </w:r>
            <w:r w:rsidRPr="004F2450">
              <w:rPr>
                <w:rFonts w:ascii="Arial" w:hAnsi="Arial" w:cs="Arial"/>
                <w:noProof/>
                <w:webHidden/>
              </w:rPr>
              <w:fldChar w:fldCharType="begin"/>
            </w:r>
            <w:r w:rsidRPr="004F2450">
              <w:rPr>
                <w:rFonts w:ascii="Arial" w:hAnsi="Arial" w:cs="Arial"/>
                <w:noProof/>
                <w:webHidden/>
              </w:rPr>
              <w:instrText xml:space="preserve"> PAGEREF _Toc218418717 \h </w:instrText>
            </w:r>
            <w:r w:rsidRPr="004F2450">
              <w:rPr>
                <w:rFonts w:ascii="Arial" w:hAnsi="Arial" w:cs="Arial"/>
                <w:noProof/>
                <w:webHidden/>
              </w:rPr>
            </w:r>
            <w:r w:rsidRPr="004F2450">
              <w:rPr>
                <w:rFonts w:ascii="Arial" w:hAnsi="Arial" w:cs="Arial"/>
                <w:noProof/>
                <w:webHidden/>
              </w:rPr>
              <w:fldChar w:fldCharType="separate"/>
            </w:r>
            <w:r w:rsidR="00084D07">
              <w:rPr>
                <w:rFonts w:ascii="Arial" w:hAnsi="Arial" w:cs="Arial"/>
                <w:noProof/>
                <w:webHidden/>
              </w:rPr>
              <w:t>53</w:t>
            </w:r>
            <w:r w:rsidRPr="004F2450">
              <w:rPr>
                <w:rFonts w:ascii="Arial" w:hAnsi="Arial" w:cs="Arial"/>
                <w:noProof/>
                <w:webHidden/>
              </w:rPr>
              <w:fldChar w:fldCharType="end"/>
            </w:r>
          </w:hyperlink>
        </w:p>
        <w:p w14:paraId="68B44D4B" w14:textId="360E5E45" w:rsidR="004F2450" w:rsidRPr="004F2450" w:rsidRDefault="004F2450" w:rsidP="004F2450">
          <w:pPr>
            <w:pStyle w:val="TOC1"/>
            <w:tabs>
              <w:tab w:val="right" w:leader="dot" w:pos="9016"/>
            </w:tabs>
            <w:spacing w:line="360" w:lineRule="auto"/>
            <w:jc w:val="both"/>
            <w:rPr>
              <w:rFonts w:ascii="Arial" w:eastAsiaTheme="minorEastAsia" w:hAnsi="Arial" w:cs="Arial"/>
              <w:noProof/>
              <w:lang w:eastAsia="en-GB"/>
            </w:rPr>
          </w:pPr>
          <w:hyperlink w:anchor="_Toc218418718" w:history="1">
            <w:r w:rsidRPr="004F2450">
              <w:rPr>
                <w:rStyle w:val="Hyperlink"/>
                <w:rFonts w:ascii="Arial" w:hAnsi="Arial" w:cs="Arial"/>
                <w:noProof/>
              </w:rPr>
              <w:t>References</w:t>
            </w:r>
            <w:r w:rsidRPr="004F2450">
              <w:rPr>
                <w:rFonts w:ascii="Arial" w:hAnsi="Arial" w:cs="Arial"/>
                <w:noProof/>
                <w:webHidden/>
              </w:rPr>
              <w:tab/>
            </w:r>
            <w:r w:rsidRPr="004F2450">
              <w:rPr>
                <w:rFonts w:ascii="Arial" w:hAnsi="Arial" w:cs="Arial"/>
                <w:noProof/>
                <w:webHidden/>
              </w:rPr>
              <w:fldChar w:fldCharType="begin"/>
            </w:r>
            <w:r w:rsidRPr="004F2450">
              <w:rPr>
                <w:rFonts w:ascii="Arial" w:hAnsi="Arial" w:cs="Arial"/>
                <w:noProof/>
                <w:webHidden/>
              </w:rPr>
              <w:instrText xml:space="preserve"> PAGEREF _Toc218418718 \h </w:instrText>
            </w:r>
            <w:r w:rsidRPr="004F2450">
              <w:rPr>
                <w:rFonts w:ascii="Arial" w:hAnsi="Arial" w:cs="Arial"/>
                <w:noProof/>
                <w:webHidden/>
              </w:rPr>
            </w:r>
            <w:r w:rsidRPr="004F2450">
              <w:rPr>
                <w:rFonts w:ascii="Arial" w:hAnsi="Arial" w:cs="Arial"/>
                <w:noProof/>
                <w:webHidden/>
              </w:rPr>
              <w:fldChar w:fldCharType="separate"/>
            </w:r>
            <w:r w:rsidR="00084D07">
              <w:rPr>
                <w:rFonts w:ascii="Arial" w:hAnsi="Arial" w:cs="Arial"/>
                <w:noProof/>
                <w:webHidden/>
              </w:rPr>
              <w:t>55</w:t>
            </w:r>
            <w:r w:rsidRPr="004F2450">
              <w:rPr>
                <w:rFonts w:ascii="Arial" w:hAnsi="Arial" w:cs="Arial"/>
                <w:noProof/>
                <w:webHidden/>
              </w:rPr>
              <w:fldChar w:fldCharType="end"/>
            </w:r>
          </w:hyperlink>
        </w:p>
        <w:p w14:paraId="692DF4B6" w14:textId="68062A28" w:rsidR="00584C66" w:rsidRPr="004F2450" w:rsidRDefault="00584C66" w:rsidP="004F2450">
          <w:pPr>
            <w:spacing w:line="360" w:lineRule="auto"/>
            <w:jc w:val="both"/>
            <w:rPr>
              <w:rFonts w:ascii="Arial" w:hAnsi="Arial" w:cs="Arial"/>
            </w:rPr>
          </w:pPr>
          <w:r w:rsidRPr="004F2450">
            <w:rPr>
              <w:rFonts w:ascii="Arial" w:hAnsi="Arial" w:cs="Arial"/>
              <w:b/>
              <w:bCs/>
            </w:rPr>
            <w:fldChar w:fldCharType="end"/>
          </w:r>
        </w:p>
      </w:sdtContent>
    </w:sdt>
    <w:p w14:paraId="3BDE7D99" w14:textId="77777777" w:rsidR="00584C66" w:rsidRPr="004F2450" w:rsidRDefault="00584C66" w:rsidP="004F2450">
      <w:pPr>
        <w:spacing w:before="240" w:line="360" w:lineRule="auto"/>
        <w:jc w:val="both"/>
        <w:rPr>
          <w:rFonts w:ascii="Arial" w:hAnsi="Arial" w:cs="Arial"/>
          <w:lang w:val="en-US"/>
        </w:rPr>
      </w:pPr>
    </w:p>
    <w:p w14:paraId="33371DBE" w14:textId="77777777" w:rsidR="00584C66" w:rsidRPr="004F2450" w:rsidRDefault="00584C66" w:rsidP="004F2450">
      <w:pPr>
        <w:spacing w:before="240" w:line="360" w:lineRule="auto"/>
        <w:jc w:val="both"/>
        <w:rPr>
          <w:rFonts w:ascii="Arial" w:hAnsi="Arial" w:cs="Arial"/>
          <w:lang w:val="en-US"/>
        </w:rPr>
      </w:pPr>
    </w:p>
    <w:p w14:paraId="2111ECBE" w14:textId="77777777" w:rsidR="00584C66" w:rsidRDefault="00584C66" w:rsidP="002E018A">
      <w:pPr>
        <w:spacing w:before="240" w:line="360" w:lineRule="auto"/>
        <w:jc w:val="both"/>
        <w:rPr>
          <w:rFonts w:ascii="Arial" w:hAnsi="Arial" w:cs="Arial"/>
          <w:lang w:val="en-US"/>
        </w:rPr>
      </w:pPr>
    </w:p>
    <w:p w14:paraId="58EF274A" w14:textId="77777777" w:rsidR="00584C66" w:rsidRDefault="00584C66" w:rsidP="002E018A">
      <w:pPr>
        <w:spacing w:before="240" w:line="360" w:lineRule="auto"/>
        <w:jc w:val="both"/>
        <w:rPr>
          <w:rFonts w:ascii="Arial" w:hAnsi="Arial" w:cs="Arial"/>
          <w:lang w:val="en-US"/>
        </w:rPr>
      </w:pPr>
    </w:p>
    <w:p w14:paraId="3D5CE1F5" w14:textId="77777777" w:rsidR="00584C66" w:rsidRDefault="00584C66" w:rsidP="002E018A">
      <w:pPr>
        <w:spacing w:before="240" w:line="360" w:lineRule="auto"/>
        <w:jc w:val="both"/>
        <w:rPr>
          <w:rFonts w:ascii="Arial" w:hAnsi="Arial" w:cs="Arial"/>
          <w:lang w:val="en-US"/>
        </w:rPr>
      </w:pPr>
    </w:p>
    <w:p w14:paraId="4E52D82E" w14:textId="77777777" w:rsidR="004F2450" w:rsidRPr="00AB0BD3" w:rsidRDefault="004F2450" w:rsidP="002E018A">
      <w:pPr>
        <w:spacing w:before="240" w:line="360" w:lineRule="auto"/>
        <w:jc w:val="both"/>
        <w:rPr>
          <w:rFonts w:ascii="Arial" w:hAnsi="Arial" w:cs="Arial"/>
          <w:lang w:val="en-US"/>
        </w:rPr>
      </w:pPr>
    </w:p>
    <w:p w14:paraId="17BD7820" w14:textId="77777777" w:rsidR="002E018A" w:rsidRPr="004F2450" w:rsidRDefault="002E018A" w:rsidP="004F2450">
      <w:pPr>
        <w:pStyle w:val="Heading1"/>
      </w:pPr>
      <w:bookmarkStart w:id="0" w:name="_Toc218418654"/>
      <w:r w:rsidRPr="004F2450">
        <w:lastRenderedPageBreak/>
        <w:t>Chapter 1: Introduction</w:t>
      </w:r>
      <w:bookmarkEnd w:id="0"/>
    </w:p>
    <w:p w14:paraId="5AB6299B" w14:textId="77777777" w:rsidR="002E018A" w:rsidRPr="004F2450" w:rsidRDefault="002E018A" w:rsidP="004F2450">
      <w:pPr>
        <w:pStyle w:val="Heading1"/>
      </w:pPr>
      <w:bookmarkStart w:id="1" w:name="_Toc218418655"/>
      <w:r w:rsidRPr="004F2450">
        <w:t>1.1 Establishing the Research Topic</w:t>
      </w:r>
      <w:bookmarkEnd w:id="1"/>
      <w:r w:rsidRPr="004F2450">
        <w:t xml:space="preserve"> </w:t>
      </w:r>
    </w:p>
    <w:p w14:paraId="1967122D" w14:textId="77777777" w:rsidR="002E018A" w:rsidRPr="00AB0BD3" w:rsidRDefault="002E018A" w:rsidP="002E018A">
      <w:pPr>
        <w:spacing w:before="240" w:line="360" w:lineRule="auto"/>
        <w:jc w:val="both"/>
        <w:rPr>
          <w:rFonts w:ascii="Arial" w:eastAsia="Arial" w:hAnsi="Arial" w:cs="Arial"/>
          <w:bCs/>
        </w:rPr>
      </w:pPr>
      <w:r w:rsidRPr="00AB0BD3">
        <w:rPr>
          <w:rFonts w:ascii="Arial" w:eastAsia="Arial" w:hAnsi="Arial" w:cs="Arial"/>
          <w:bCs/>
        </w:rPr>
        <w:t>Tuberculosis (TB) continues to be one of the most serious public health challenges globally, with India contributing nearly one-third of the global burden (WHO, 2024). Within India, the National Capital Territory of Delhi has emerged as a significant hotspot due to its dense population of 34.7 million, rapid urbanisation, and large migratory inflow (Ram, 2021). According to the WHO Global Tuberculosis Report (2024), an estimated 10.8 million people fell ill with TB in 2023, which corresponds to about 134 new cases per 100,000 population. According to recent data, Delhi records approximately 747 new TB cases per thousand population annually, with an estimated 61% of its population carrying latent TB infection (Times of India, 2025). The disease burden is unevenly distributed across the city, with high-risk districts such as Northeast Delhi, Shahdara, and Central Delhi showing particularly high incidence rates (Panda, 2023). These areas are characterised by overcrowded settlements, poor sanitation, and limited healthcare access, conditions that facilitate TB transmission and complicate control efforts (Sharma et al., 2022).</w:t>
      </w:r>
    </w:p>
    <w:p w14:paraId="22310D49" w14:textId="77777777" w:rsidR="002E018A" w:rsidRPr="00AB0BD3" w:rsidRDefault="002E018A" w:rsidP="002E018A">
      <w:pPr>
        <w:spacing w:before="240" w:line="360" w:lineRule="auto"/>
        <w:jc w:val="both"/>
        <w:rPr>
          <w:rFonts w:ascii="Arial" w:eastAsia="Arial" w:hAnsi="Arial" w:cs="Arial"/>
          <w:bCs/>
        </w:rPr>
      </w:pPr>
      <w:r w:rsidRPr="00AB0BD3">
        <w:rPr>
          <w:rFonts w:ascii="Arial" w:eastAsia="Arial" w:hAnsi="Arial" w:cs="Arial"/>
          <w:bCs/>
        </w:rPr>
        <w:t>To mitigate the impact of TB, India has long relied on Bacillus Calmette–Guérin (BCG) vaccination as part of its Universal Immunisation Programme (UIP) (Lawrence, 2024). The vaccine, first introduced over a century ago, remains a cornerstone in TB prevention, particularly in reducing the severity of disease among children (Setiabudiawan et al., 2022). However, the persistence of high TB rates in certain urban zones raises questions about the actual effectiveness and reach of BCG campaigns. Periodic vaccination drives have been conducted in high-risk areas to boost immunity levels, yet the outcomes remain uncertain. Variability in campaign implementation, healthcare infrastructure, and population engagement often results in uneven coverage (Kusuma et al., 2018). Moreover, urban poor and migrant populations tend to have lower vaccination rates, reflecting inequities in access and information (Kusuma et al., 2018).</w:t>
      </w:r>
    </w:p>
    <w:p w14:paraId="4ED76131" w14:textId="77777777" w:rsidR="002E018A" w:rsidRPr="00AB0BD3" w:rsidRDefault="002E018A" w:rsidP="002E018A">
      <w:pPr>
        <w:spacing w:before="240" w:line="360" w:lineRule="auto"/>
        <w:jc w:val="both"/>
        <w:rPr>
          <w:rFonts w:ascii="Arial" w:eastAsia="Arial" w:hAnsi="Arial" w:cs="Arial"/>
          <w:bCs/>
        </w:rPr>
      </w:pPr>
      <w:r w:rsidRPr="00AB0BD3">
        <w:rPr>
          <w:rFonts w:ascii="Arial" w:eastAsia="Arial" w:hAnsi="Arial" w:cs="Arial"/>
          <w:bCs/>
        </w:rPr>
        <w:t xml:space="preserve">This research focuses on evaluating the impact of BCG vaccination campaigns in high-risk districts of Delhi. The study seeks to understand the extent to which these campaigns have influenced trends in TB incidence and morbidity, and to identify systemic barriers to vaccine delivery and acceptance. By analysing campaign </w:t>
      </w:r>
      <w:r w:rsidRPr="00AB0BD3">
        <w:rPr>
          <w:rFonts w:ascii="Arial" w:eastAsia="Arial" w:hAnsi="Arial" w:cs="Arial"/>
          <w:bCs/>
        </w:rPr>
        <w:lastRenderedPageBreak/>
        <w:t>coverage, disease patterns, and social determinants of health, the research aims to provide an evidence-based evaluation of the BCG programme’s effectiveness. Ultimately, this study contributes to the broader public health goal of reducing TB transmission in India’s most vulnerable populations through improved immunisation strategies and targeted interventions. This study will focus on high-risk populations primarily within the age group of 15 to 60 years, as this demographic carries the highest burden of TB infection and transmission in urban settings.</w:t>
      </w:r>
    </w:p>
    <w:p w14:paraId="37B86D11" w14:textId="77777777" w:rsidR="002E018A" w:rsidRPr="00AB0BD3" w:rsidRDefault="002E018A" w:rsidP="004F2450">
      <w:pPr>
        <w:pStyle w:val="Heading1"/>
      </w:pPr>
      <w:bookmarkStart w:id="2" w:name="_Toc218418656"/>
      <w:r w:rsidRPr="00AB0BD3">
        <w:t>1.2 Background and Current Research</w:t>
      </w:r>
      <w:bookmarkEnd w:id="2"/>
      <w:r w:rsidRPr="00AB0BD3">
        <w:t xml:space="preserve"> </w:t>
      </w:r>
    </w:p>
    <w:p w14:paraId="393CFDF7" w14:textId="77777777" w:rsidR="002E018A" w:rsidRPr="00AB0BD3" w:rsidRDefault="002E018A" w:rsidP="002E018A">
      <w:pPr>
        <w:spacing w:before="240" w:line="360" w:lineRule="auto"/>
        <w:jc w:val="both"/>
        <w:rPr>
          <w:rFonts w:ascii="Arial" w:eastAsia="Arial" w:hAnsi="Arial" w:cs="Arial"/>
          <w:bCs/>
        </w:rPr>
      </w:pPr>
      <w:r w:rsidRPr="00AB0BD3">
        <w:rPr>
          <w:rFonts w:ascii="Arial" w:eastAsia="Arial" w:hAnsi="Arial" w:cs="Arial"/>
          <w:bCs/>
        </w:rPr>
        <w:t>Globally, TB remains one of the top infectious disease killers, claiming over 1.3 million lives each year (WHO, 2024). In India, despite significant investments in TB control, the disease continues to pose a formidable challenge, especially in metropolitan regions (Padhi et al, 2024). Delhi, as a densely populated urban centre, experiences a disproportionate burden due to migration, socio-economic inequalities, and inadequate housing (Ong et al., 2020). Studies indicate that over 61% of Delhi’s population harbours latent TB infection, with high-risk areas consistently reporting elevated case notifications (Times of India, 2025). The disease burden in these areas underscores systemic issues such as poor healthcare access, stigma, and logistical difficulties in sustaining immunisation drives (Panda, 2023).</w:t>
      </w:r>
    </w:p>
    <w:p w14:paraId="73E7CFEF" w14:textId="77777777" w:rsidR="002E018A" w:rsidRPr="00AB0BD3" w:rsidRDefault="002E018A" w:rsidP="002E018A">
      <w:pPr>
        <w:spacing w:before="240" w:line="360" w:lineRule="auto"/>
        <w:jc w:val="both"/>
        <w:rPr>
          <w:rFonts w:ascii="Arial" w:eastAsia="Arial" w:hAnsi="Arial" w:cs="Arial"/>
          <w:bCs/>
        </w:rPr>
      </w:pPr>
      <w:r w:rsidRPr="00AB0BD3">
        <w:rPr>
          <w:rFonts w:ascii="Arial" w:eastAsia="Arial" w:hAnsi="Arial" w:cs="Arial"/>
          <w:bCs/>
        </w:rPr>
        <w:t>The BCG vaccine, developed in the early 20th century, has been integral to India’s TB control efforts (Ahmed et al., 2021). Administered at birth under the Universal Immunisation Programme, it plays a critical role in preventing severe forms of TB, such as meningitis and miliary TB, in children (Setiabudiawan et al., 2022). However, its effectiveness against pulmonary TB in adults varies, and its population-level impact depends heavily on consistent coverage and implementation. Research by Kusuma et al. (2018) revealed that BCG coverage remains inadequate in urban poor settlements, where transient and marginalised populations often lack access to healthcare facilities. Additionally, poor record-keeping and monitoring systems hinder evaluation of vaccination outcomes in urban districts (Ong et al., 2020).</w:t>
      </w:r>
    </w:p>
    <w:p w14:paraId="1F20F08C" w14:textId="77777777" w:rsidR="002E018A" w:rsidRPr="00AB0BD3" w:rsidRDefault="002E018A" w:rsidP="002E018A">
      <w:pPr>
        <w:spacing w:before="240" w:line="360" w:lineRule="auto"/>
        <w:jc w:val="both"/>
        <w:rPr>
          <w:rFonts w:ascii="Arial" w:eastAsia="Arial" w:hAnsi="Arial" w:cs="Arial"/>
          <w:bCs/>
        </w:rPr>
      </w:pPr>
      <w:r w:rsidRPr="00AB0BD3">
        <w:rPr>
          <w:rFonts w:ascii="Arial" w:eastAsia="Arial" w:hAnsi="Arial" w:cs="Arial"/>
          <w:bCs/>
        </w:rPr>
        <w:t xml:space="preserve">Recent studies have called for district-specific assessments to understand how BCG campaigns function in diverse urban contexts. Clark et al. (2024) identified that vaccine hesitancy, limited infrastructure, and socio-economic constraints are major factors </w:t>
      </w:r>
      <w:r w:rsidRPr="00AB0BD3">
        <w:rPr>
          <w:rFonts w:ascii="Arial" w:eastAsia="Arial" w:hAnsi="Arial" w:cs="Arial"/>
          <w:bCs/>
        </w:rPr>
        <w:lastRenderedPageBreak/>
        <w:t>undermining the success of vaccination campaigns in Indian megacities. Similarly, Sinha et al. (2022) highlighted the absence of localised research assessing campaign effectiveness at the district level, which restricts policymakers’ ability to design tailored interventions. India’s National Strategic Plan to End TB by 2025 emphasises the need for district-level, data-driven strategies (Behera et al., 2020). Therefore, an evidence-based evaluation of BCG vaccination impact in high-burden districts of Delhi is both timely and critical (Summan et al., 2021). This study addresses this research gap by analysing the effectiveness, coverage, and challenges of BCG vaccination campaigns in Delhi’s most TB-affected areas.</w:t>
      </w:r>
    </w:p>
    <w:p w14:paraId="4DB8F3EA" w14:textId="77777777" w:rsidR="002E018A" w:rsidRPr="00AB0BD3" w:rsidRDefault="002E018A" w:rsidP="004F2450">
      <w:pPr>
        <w:pStyle w:val="Heading1"/>
      </w:pPr>
      <w:bookmarkStart w:id="3" w:name="_Toc218418657"/>
      <w:r w:rsidRPr="00AB0BD3">
        <w:t>1.3 Rationale for the Study</w:t>
      </w:r>
      <w:bookmarkEnd w:id="3"/>
      <w:r w:rsidRPr="00AB0BD3">
        <w:t xml:space="preserve"> </w:t>
      </w:r>
    </w:p>
    <w:p w14:paraId="4B7235AB" w14:textId="77777777" w:rsidR="002E018A" w:rsidRPr="00AB0BD3" w:rsidRDefault="002E018A" w:rsidP="002E018A">
      <w:pPr>
        <w:spacing w:before="240" w:line="360" w:lineRule="auto"/>
        <w:jc w:val="both"/>
        <w:rPr>
          <w:rFonts w:ascii="Arial" w:eastAsia="Arial" w:hAnsi="Arial" w:cs="Arial"/>
          <w:bCs/>
        </w:rPr>
      </w:pPr>
      <w:r w:rsidRPr="00AB0BD3">
        <w:rPr>
          <w:rFonts w:ascii="Arial" w:eastAsia="Arial" w:hAnsi="Arial" w:cs="Arial"/>
          <w:bCs/>
        </w:rPr>
        <w:t>Despite long-standing BCG vaccination efforts, TB remains highly prevalent in several districts of Delhi (Sinha et al., 2022). The paradox of sustained high infection rates despite extensive immunisation coverage suggests that current campaigns may not be optimally effective or fail to reach the populations most at risk (Singh et al., 2025). Districts such as Northeast Delhi, Shahdara, and Central Delhi continue to report elevated incidence rates, largely due to overcrowded living conditions, limited healthcare access, and low health literacy (Panda, 2023). These challenges point towards potential implementation gaps, logistical shortcomings, and socio-economic barriers within ongoing vaccination campaigns.</w:t>
      </w:r>
    </w:p>
    <w:p w14:paraId="7781BCE8" w14:textId="77777777" w:rsidR="002E018A" w:rsidRPr="00AB0BD3" w:rsidRDefault="002E018A" w:rsidP="002E018A">
      <w:pPr>
        <w:spacing w:before="240" w:line="360" w:lineRule="auto"/>
        <w:jc w:val="both"/>
        <w:rPr>
          <w:rFonts w:ascii="Arial" w:eastAsia="Arial" w:hAnsi="Arial" w:cs="Arial"/>
          <w:bCs/>
        </w:rPr>
      </w:pPr>
      <w:r w:rsidRPr="00AB0BD3">
        <w:rPr>
          <w:rFonts w:ascii="Arial" w:eastAsia="Arial" w:hAnsi="Arial" w:cs="Arial"/>
          <w:bCs/>
        </w:rPr>
        <w:t>The rationale for this research stems from the need to generate district-level evidence on BCG campaign performance. Although national data on BCG coverage exist, there is limited empirical understanding of how these campaigns perform in high-risk urban districts (Sinha et al., 2022). Furthermore, the dynamics of migration, informal employment, and social stigma often deter individuals from participating in public health initiatives (Clark, 2023). Identifying these barriers is crucial for designing effective interventions that reach underserved populations. This study supports India’s National Strategic Plan to End TB by 2025 by contributing to localised, evidence-based policymaking (Behera et al., 2020). By focusing specifically on high-risk districts, the research aims to fill critical knowledge gaps, improve vaccination strategies, and promote equitable access to preventive healthcare for Delhi’s vulnerable communities.</w:t>
      </w:r>
    </w:p>
    <w:p w14:paraId="4738FDAD" w14:textId="77777777" w:rsidR="002E018A" w:rsidRPr="00AB0BD3" w:rsidRDefault="002E018A" w:rsidP="002E018A">
      <w:pPr>
        <w:spacing w:before="240" w:line="360" w:lineRule="auto"/>
        <w:jc w:val="both"/>
        <w:rPr>
          <w:rFonts w:ascii="Arial" w:eastAsia="Arial" w:hAnsi="Arial" w:cs="Arial"/>
          <w:bCs/>
        </w:rPr>
      </w:pPr>
    </w:p>
    <w:p w14:paraId="7068B72D" w14:textId="77777777" w:rsidR="002E018A" w:rsidRPr="00AB0BD3" w:rsidRDefault="002E018A" w:rsidP="004F2450">
      <w:pPr>
        <w:pStyle w:val="Heading1"/>
      </w:pPr>
      <w:bookmarkStart w:id="4" w:name="_Toc218418658"/>
      <w:r w:rsidRPr="00AB0BD3">
        <w:lastRenderedPageBreak/>
        <w:t>1.4 Research Question, Aim and Objectives</w:t>
      </w:r>
      <w:bookmarkEnd w:id="4"/>
    </w:p>
    <w:p w14:paraId="7C4837AC" w14:textId="77777777" w:rsidR="002E018A" w:rsidRPr="00AB0BD3" w:rsidRDefault="002E018A" w:rsidP="002E018A">
      <w:pPr>
        <w:rPr>
          <w:rFonts w:ascii="Arial" w:hAnsi="Arial" w:cs="Arial"/>
          <w:lang w:eastAsia="en-GB"/>
        </w:rPr>
      </w:pPr>
    </w:p>
    <w:p w14:paraId="798CCB46" w14:textId="77777777" w:rsidR="002E018A" w:rsidRPr="00AB0BD3" w:rsidRDefault="002E018A" w:rsidP="002E018A">
      <w:pPr>
        <w:rPr>
          <w:rFonts w:ascii="Arial" w:hAnsi="Arial" w:cs="Arial"/>
          <w:lang w:eastAsia="en-GB"/>
        </w:rPr>
      </w:pPr>
      <w:r w:rsidRPr="00AB0BD3">
        <w:rPr>
          <w:rFonts w:ascii="Arial" w:hAnsi="Arial" w:cs="Arial"/>
          <w:lang w:eastAsia="en-GB"/>
        </w:rPr>
        <w:t>This research aims to answer the following research question and outlines its aim and objectives further below.</w:t>
      </w:r>
    </w:p>
    <w:p w14:paraId="295F3E22" w14:textId="77777777" w:rsidR="002E018A" w:rsidRPr="00AB0BD3" w:rsidRDefault="002E018A" w:rsidP="002E018A">
      <w:pPr>
        <w:spacing w:before="240" w:line="360" w:lineRule="auto"/>
        <w:jc w:val="both"/>
        <w:rPr>
          <w:rFonts w:ascii="Arial" w:eastAsia="Arial" w:hAnsi="Arial" w:cs="Arial"/>
          <w:b/>
        </w:rPr>
      </w:pPr>
      <w:r w:rsidRPr="00AB0BD3">
        <w:rPr>
          <w:rFonts w:ascii="Arial" w:eastAsia="Arial" w:hAnsi="Arial" w:cs="Arial"/>
          <w:b/>
        </w:rPr>
        <w:t>Research Question</w:t>
      </w:r>
    </w:p>
    <w:p w14:paraId="45DF6203" w14:textId="77777777" w:rsidR="002E018A" w:rsidRPr="00AB0BD3" w:rsidRDefault="002E018A" w:rsidP="002E018A">
      <w:pPr>
        <w:spacing w:before="240" w:line="360" w:lineRule="auto"/>
        <w:jc w:val="both"/>
        <w:rPr>
          <w:rFonts w:ascii="Arial" w:hAnsi="Arial" w:cs="Arial"/>
        </w:rPr>
      </w:pPr>
      <w:r w:rsidRPr="00AB0BD3">
        <w:rPr>
          <w:rFonts w:ascii="Arial" w:hAnsi="Arial" w:cs="Arial"/>
        </w:rPr>
        <w:t>What is the impact of BCG vaccination campaigns in high-risk districts of Delhi (India) and their populations aged 15 to 60 years?</w:t>
      </w:r>
    </w:p>
    <w:p w14:paraId="25BFE7C1" w14:textId="77777777" w:rsidR="002E018A" w:rsidRPr="00AB0BD3" w:rsidRDefault="002E018A" w:rsidP="002E018A">
      <w:pPr>
        <w:spacing w:before="240" w:line="360" w:lineRule="auto"/>
        <w:jc w:val="both"/>
        <w:rPr>
          <w:rFonts w:ascii="Arial" w:eastAsia="Arial" w:hAnsi="Arial" w:cs="Arial"/>
          <w:b/>
        </w:rPr>
      </w:pPr>
      <w:r w:rsidRPr="00AB0BD3">
        <w:rPr>
          <w:rFonts w:ascii="Arial" w:eastAsia="Arial" w:hAnsi="Arial" w:cs="Arial"/>
          <w:b/>
        </w:rPr>
        <w:t>Aim of Research</w:t>
      </w:r>
    </w:p>
    <w:p w14:paraId="4E2AA8B6" w14:textId="77777777" w:rsidR="002E018A" w:rsidRPr="00AB0BD3" w:rsidRDefault="002E018A" w:rsidP="002E018A">
      <w:pPr>
        <w:spacing w:before="240" w:line="360" w:lineRule="auto"/>
        <w:jc w:val="both"/>
        <w:rPr>
          <w:rFonts w:ascii="Arial" w:hAnsi="Arial" w:cs="Arial"/>
        </w:rPr>
      </w:pPr>
      <w:r w:rsidRPr="00AB0BD3">
        <w:rPr>
          <w:rFonts w:ascii="Arial" w:hAnsi="Arial" w:cs="Arial"/>
        </w:rPr>
        <w:t>To evaluate the impact of the BCG vaccination campaigns in controlling tuberculosis among high-risk populations aged 15 to 60 years in Delhi and to identify the best strategies.</w:t>
      </w:r>
    </w:p>
    <w:p w14:paraId="5597208A" w14:textId="77777777" w:rsidR="002E018A" w:rsidRPr="00AB0BD3" w:rsidRDefault="002E018A" w:rsidP="002E018A">
      <w:pPr>
        <w:spacing w:before="240" w:line="360" w:lineRule="auto"/>
        <w:jc w:val="both"/>
        <w:rPr>
          <w:rFonts w:ascii="Arial" w:eastAsia="Arial" w:hAnsi="Arial" w:cs="Arial"/>
          <w:b/>
        </w:rPr>
      </w:pPr>
      <w:r w:rsidRPr="00AB0BD3">
        <w:rPr>
          <w:rFonts w:ascii="Arial" w:eastAsia="Arial" w:hAnsi="Arial" w:cs="Arial"/>
          <w:b/>
        </w:rPr>
        <w:t xml:space="preserve">Objectives of Research </w:t>
      </w:r>
    </w:p>
    <w:p w14:paraId="21C8207B" w14:textId="77777777" w:rsidR="002E018A" w:rsidRPr="00AB0BD3" w:rsidRDefault="002E018A" w:rsidP="002E018A">
      <w:pPr>
        <w:numPr>
          <w:ilvl w:val="0"/>
          <w:numId w:val="1"/>
        </w:numPr>
        <w:tabs>
          <w:tab w:val="num" w:pos="720"/>
        </w:tabs>
        <w:spacing w:before="240" w:line="360" w:lineRule="auto"/>
        <w:jc w:val="both"/>
        <w:rPr>
          <w:rFonts w:ascii="Arial" w:hAnsi="Arial" w:cs="Arial"/>
        </w:rPr>
      </w:pPr>
      <w:r w:rsidRPr="00AB0BD3">
        <w:rPr>
          <w:rFonts w:ascii="Arial" w:hAnsi="Arial" w:cs="Arial"/>
        </w:rPr>
        <w:t>To analyse trends in tuberculosis incidence and morbidity in connection with BCG campaign implementation in high-risk districts of Delhi.</w:t>
      </w:r>
    </w:p>
    <w:p w14:paraId="1592DA10" w14:textId="77777777" w:rsidR="002E018A" w:rsidRPr="00AB0BD3" w:rsidRDefault="002E018A" w:rsidP="002E018A">
      <w:pPr>
        <w:numPr>
          <w:ilvl w:val="0"/>
          <w:numId w:val="1"/>
        </w:numPr>
        <w:tabs>
          <w:tab w:val="num" w:pos="720"/>
        </w:tabs>
        <w:spacing w:before="240" w:line="360" w:lineRule="auto"/>
        <w:jc w:val="both"/>
        <w:rPr>
          <w:rFonts w:ascii="Arial" w:hAnsi="Arial" w:cs="Arial"/>
        </w:rPr>
      </w:pPr>
      <w:r w:rsidRPr="00AB0BD3">
        <w:rPr>
          <w:rFonts w:ascii="Arial" w:hAnsi="Arial" w:cs="Arial"/>
        </w:rPr>
        <w:t>To assess the coverage and outreach of BCG vaccination campaigns among high-risk demographic groups aged 15 to 60 years in Delhi.</w:t>
      </w:r>
    </w:p>
    <w:p w14:paraId="3DC46750" w14:textId="77777777" w:rsidR="002E018A" w:rsidRPr="00AB0BD3" w:rsidRDefault="002E018A" w:rsidP="002E018A">
      <w:pPr>
        <w:numPr>
          <w:ilvl w:val="0"/>
          <w:numId w:val="1"/>
        </w:numPr>
        <w:tabs>
          <w:tab w:val="num" w:pos="720"/>
        </w:tabs>
        <w:spacing w:before="240" w:line="360" w:lineRule="auto"/>
        <w:jc w:val="both"/>
        <w:rPr>
          <w:rFonts w:ascii="Arial" w:hAnsi="Arial" w:cs="Arial"/>
        </w:rPr>
      </w:pPr>
      <w:r w:rsidRPr="00AB0BD3">
        <w:rPr>
          <w:rFonts w:ascii="Arial" w:hAnsi="Arial" w:cs="Arial"/>
        </w:rPr>
        <w:t>To identify key barriers to effective BCG vaccination programme implementation in these districts.</w:t>
      </w:r>
    </w:p>
    <w:p w14:paraId="32BC3730" w14:textId="77777777" w:rsidR="002E018A" w:rsidRPr="00AB0BD3" w:rsidRDefault="002E018A" w:rsidP="002E018A">
      <w:pPr>
        <w:numPr>
          <w:ilvl w:val="0"/>
          <w:numId w:val="1"/>
        </w:numPr>
        <w:tabs>
          <w:tab w:val="num" w:pos="720"/>
        </w:tabs>
        <w:spacing w:before="240" w:line="360" w:lineRule="auto"/>
        <w:jc w:val="both"/>
        <w:rPr>
          <w:rFonts w:ascii="Arial" w:hAnsi="Arial" w:cs="Arial"/>
        </w:rPr>
      </w:pPr>
      <w:r w:rsidRPr="00AB0BD3">
        <w:rPr>
          <w:rFonts w:ascii="Arial" w:hAnsi="Arial" w:cs="Arial"/>
        </w:rPr>
        <w:t>To provide evidence-based recommendations for enhancing the design, delivery, and equity of future BCG vaccination campaigns in high-risk urban populations.</w:t>
      </w:r>
    </w:p>
    <w:p w14:paraId="799DFF15" w14:textId="77777777" w:rsidR="002E018A" w:rsidRPr="00AB0BD3" w:rsidRDefault="002E018A" w:rsidP="004F2450">
      <w:pPr>
        <w:pStyle w:val="Heading1"/>
      </w:pPr>
      <w:bookmarkStart w:id="5" w:name="_Toc218418659"/>
      <w:r w:rsidRPr="00AB0BD3">
        <w:t>1.5 Overview of the Dissertation Structure</w:t>
      </w:r>
      <w:bookmarkEnd w:id="5"/>
      <w:r w:rsidRPr="00AB0BD3">
        <w:t xml:space="preserve"> </w:t>
      </w:r>
    </w:p>
    <w:p w14:paraId="3D4FAFE1" w14:textId="77777777" w:rsidR="002E018A" w:rsidRPr="00AB0BD3" w:rsidRDefault="002E018A" w:rsidP="002E018A">
      <w:pPr>
        <w:spacing w:before="240" w:line="360" w:lineRule="auto"/>
        <w:jc w:val="both"/>
        <w:rPr>
          <w:rFonts w:ascii="Arial" w:eastAsia="Arial" w:hAnsi="Arial" w:cs="Arial"/>
        </w:rPr>
      </w:pPr>
      <w:r w:rsidRPr="00AB0BD3">
        <w:rPr>
          <w:rFonts w:ascii="Arial" w:eastAsia="Arial" w:hAnsi="Arial" w:cs="Arial"/>
        </w:rPr>
        <w:t xml:space="preserve">This dissertation is structured into six interrelated chapters, each outlining the planned components of the research. Chapter One introduces the study by presenting the background, research problem, aim, objectives, and rationale, as well as the broader context of tuberculosis control and BCG vaccination efforts in high-risk districts of Delhi. Chapter Two will offer a critical review of existing literature, drawing on global and national perspectives on BCG vaccination, TB epidemiology, and factors influencing vaccination uptake. This chapter will also highlight the conceptual and </w:t>
      </w:r>
      <w:r w:rsidRPr="00AB0BD3">
        <w:rPr>
          <w:rFonts w:ascii="Arial" w:eastAsia="Arial" w:hAnsi="Arial" w:cs="Arial"/>
        </w:rPr>
        <w:lastRenderedPageBreak/>
        <w:t>empirical gaps that the study aims to address. Chapter Three will outline the methodological approach adopted for this systematic review, including the research design, search strategy, inclusion and exclusion criteria, and planned methods for data extraction and analysis. Chapter Four will present the findings generated from the review process, based on the studies included. Chapter Five will provide a discussion of these findings, interpreting them in relation to existing evidence, theoretical frameworks, and policy contexts. Finally, Chapter Six will summarise the key insights, acknowledge the study’s limitations, and propose recommendations for public health practice, policy development, and future research on TB prevention and BCG vaccination strategies in urban high-risk settings.</w:t>
      </w:r>
    </w:p>
    <w:p w14:paraId="351B3044" w14:textId="77777777" w:rsidR="002E018A" w:rsidRPr="00AB0BD3" w:rsidRDefault="002E018A" w:rsidP="004F2450">
      <w:pPr>
        <w:pStyle w:val="Heading1"/>
      </w:pPr>
      <w:bookmarkStart w:id="6" w:name="_Toc218418660"/>
      <w:r w:rsidRPr="00AB0BD3">
        <w:t>1.6 Chapter Summary</w:t>
      </w:r>
      <w:bookmarkEnd w:id="6"/>
      <w:r w:rsidRPr="00AB0BD3">
        <w:t xml:space="preserve"> </w:t>
      </w:r>
    </w:p>
    <w:p w14:paraId="6F177F43" w14:textId="77777777" w:rsidR="002E018A" w:rsidRPr="00AB0BD3" w:rsidRDefault="002E018A" w:rsidP="002E018A">
      <w:pPr>
        <w:spacing w:before="240" w:line="360" w:lineRule="auto"/>
        <w:jc w:val="both"/>
        <w:rPr>
          <w:rFonts w:ascii="Arial" w:eastAsia="Arial" w:hAnsi="Arial" w:cs="Arial"/>
        </w:rPr>
      </w:pPr>
      <w:r w:rsidRPr="00AB0BD3">
        <w:rPr>
          <w:rFonts w:ascii="Arial" w:eastAsia="Arial" w:hAnsi="Arial" w:cs="Arial"/>
        </w:rPr>
        <w:t>This chapter has laid the groundwork for the dissertation by introducing the research topic, emphasising the public health significance of tuberculosis control in Delhi’s high-risk districts, and explaining the critical role of BCG vaccination campaigns. It outlined the research problem, aims, and objectives while situating the study within the broader context of India’s ongoing TB control initiatives. The chapter also identified existing knowledge gaps that necessitate a focused evaluation of the BCG campaign's effectiveness among vulnerable urban populations. Establishing the rationale and direction of the research provides a strong conceptual foundation. The next chapter expands upon this by presenting a comprehensive literature review on TB epidemiology, vaccination programmes, and public health strategies in India.</w:t>
      </w:r>
    </w:p>
    <w:p w14:paraId="737A1005" w14:textId="77777777" w:rsidR="002E018A" w:rsidRPr="00AB0BD3" w:rsidRDefault="002E018A" w:rsidP="002E018A">
      <w:pPr>
        <w:spacing w:before="240" w:line="360" w:lineRule="auto"/>
        <w:jc w:val="both"/>
        <w:rPr>
          <w:rFonts w:ascii="Arial" w:eastAsia="Arial" w:hAnsi="Arial" w:cs="Arial"/>
        </w:rPr>
      </w:pPr>
    </w:p>
    <w:p w14:paraId="2CC57233" w14:textId="77777777" w:rsidR="002E018A" w:rsidRPr="00AB0BD3" w:rsidRDefault="002E018A" w:rsidP="002E018A">
      <w:pPr>
        <w:spacing w:before="240" w:line="360" w:lineRule="auto"/>
        <w:jc w:val="both"/>
        <w:rPr>
          <w:rFonts w:ascii="Arial" w:eastAsia="Arial" w:hAnsi="Arial" w:cs="Arial"/>
        </w:rPr>
      </w:pPr>
    </w:p>
    <w:p w14:paraId="2DBAD509" w14:textId="77777777" w:rsidR="002E018A" w:rsidRPr="00AB0BD3" w:rsidRDefault="002E018A" w:rsidP="002E018A">
      <w:pPr>
        <w:spacing w:before="240" w:line="360" w:lineRule="auto"/>
        <w:jc w:val="both"/>
        <w:rPr>
          <w:rFonts w:ascii="Arial" w:eastAsia="Arial" w:hAnsi="Arial" w:cs="Arial"/>
        </w:rPr>
      </w:pPr>
    </w:p>
    <w:p w14:paraId="738B912F" w14:textId="77777777" w:rsidR="002E018A" w:rsidRPr="00AB0BD3" w:rsidRDefault="002E018A" w:rsidP="002E018A">
      <w:pPr>
        <w:spacing w:before="240" w:line="360" w:lineRule="auto"/>
        <w:jc w:val="both"/>
        <w:rPr>
          <w:rFonts w:ascii="Arial" w:eastAsia="Arial" w:hAnsi="Arial" w:cs="Arial"/>
        </w:rPr>
      </w:pPr>
    </w:p>
    <w:p w14:paraId="4C4DACE3" w14:textId="77777777" w:rsidR="002E018A" w:rsidRPr="00AB0BD3" w:rsidRDefault="002E018A" w:rsidP="002E018A">
      <w:pPr>
        <w:spacing w:before="240" w:line="360" w:lineRule="auto"/>
        <w:jc w:val="both"/>
        <w:rPr>
          <w:rFonts w:ascii="Arial" w:eastAsia="Arial" w:hAnsi="Arial" w:cs="Arial"/>
        </w:rPr>
      </w:pPr>
    </w:p>
    <w:p w14:paraId="5AEE6132" w14:textId="77777777" w:rsidR="002E018A" w:rsidRPr="00AB0BD3" w:rsidRDefault="002E018A" w:rsidP="002E018A">
      <w:pPr>
        <w:spacing w:before="240" w:line="360" w:lineRule="auto"/>
        <w:jc w:val="both"/>
        <w:rPr>
          <w:rFonts w:ascii="Arial" w:eastAsia="Arial" w:hAnsi="Arial" w:cs="Arial"/>
        </w:rPr>
      </w:pPr>
    </w:p>
    <w:p w14:paraId="35B20ADB" w14:textId="77777777" w:rsidR="002E018A" w:rsidRPr="00AB0BD3" w:rsidRDefault="002E018A" w:rsidP="002E018A">
      <w:pPr>
        <w:rPr>
          <w:lang w:eastAsia="en-GB"/>
        </w:rPr>
      </w:pPr>
    </w:p>
    <w:p w14:paraId="23BB0305" w14:textId="567BB45F" w:rsidR="00403C9B" w:rsidRPr="00AB0BD3" w:rsidRDefault="00403C9B" w:rsidP="004F2450">
      <w:pPr>
        <w:pStyle w:val="Heading1"/>
      </w:pPr>
      <w:bookmarkStart w:id="7" w:name="_Toc218418661"/>
      <w:r w:rsidRPr="00AB0BD3">
        <w:lastRenderedPageBreak/>
        <w:t>Chapter 2: Literature Review</w:t>
      </w:r>
      <w:bookmarkEnd w:id="7"/>
    </w:p>
    <w:p w14:paraId="586F9382" w14:textId="7FF28110" w:rsidR="00403C9B" w:rsidRPr="00AB0BD3" w:rsidRDefault="00403C9B" w:rsidP="004F2450">
      <w:pPr>
        <w:pStyle w:val="Heading1"/>
      </w:pPr>
      <w:bookmarkStart w:id="8" w:name="_Toc218418662"/>
      <w:r w:rsidRPr="00AB0BD3">
        <w:t>2.1 Introduction</w:t>
      </w:r>
      <w:bookmarkEnd w:id="8"/>
      <w:r w:rsidRPr="00AB0BD3">
        <w:t xml:space="preserve"> </w:t>
      </w:r>
    </w:p>
    <w:p w14:paraId="3F4B6150" w14:textId="2BE9D4FD" w:rsidR="00403C9B" w:rsidRPr="00AB0BD3" w:rsidRDefault="00403C9B" w:rsidP="0046084C">
      <w:pPr>
        <w:spacing w:before="240" w:line="360" w:lineRule="auto"/>
        <w:jc w:val="both"/>
        <w:rPr>
          <w:rFonts w:ascii="Arial" w:hAnsi="Arial" w:cs="Arial"/>
        </w:rPr>
      </w:pPr>
      <w:r w:rsidRPr="00AB0BD3">
        <w:rPr>
          <w:rFonts w:ascii="Arial" w:hAnsi="Arial" w:cs="Arial"/>
        </w:rPr>
        <w:t>This chapter provides a comprehensive review of the literature relevant to tuberculosis and the role of BCG vaccination, with a particular focus on high-risk districts of Delhi. It discusses key concepts, definitions, epidemiological patterns, and determinants that shape TB transmission and control. The chapter outlines global and national TB trends, followed by an examination of BCG vaccination policies and their effectiveness. Attention is also given to socio-economic and environmental influences that contribute to inequities in vaccination uptake. Furthermore, the chapter identifies existing research gaps, examines relevant theoretical models, and establishes the foundation for the systematic review undertaken in this dissertation.</w:t>
      </w:r>
    </w:p>
    <w:p w14:paraId="49E11001" w14:textId="0DB60A91" w:rsidR="00403C9B" w:rsidRPr="00AB0BD3" w:rsidRDefault="00403C9B" w:rsidP="004F2450">
      <w:pPr>
        <w:pStyle w:val="Heading1"/>
      </w:pPr>
      <w:bookmarkStart w:id="9" w:name="_Toc218418663"/>
      <w:r w:rsidRPr="00AB0BD3">
        <w:t>2.2 Definition of Tuberculosis (TB)</w:t>
      </w:r>
      <w:bookmarkEnd w:id="9"/>
      <w:r w:rsidRPr="00AB0BD3">
        <w:t xml:space="preserve"> </w:t>
      </w:r>
    </w:p>
    <w:p w14:paraId="5A2FDD50" w14:textId="26A4D9A8" w:rsidR="00403C9B" w:rsidRPr="00AB0BD3" w:rsidRDefault="00403C9B" w:rsidP="0046084C">
      <w:pPr>
        <w:spacing w:before="240" w:line="360" w:lineRule="auto"/>
        <w:jc w:val="both"/>
        <w:rPr>
          <w:rFonts w:ascii="Arial" w:hAnsi="Arial" w:cs="Arial"/>
        </w:rPr>
      </w:pPr>
      <w:r w:rsidRPr="00AB0BD3">
        <w:rPr>
          <w:rFonts w:ascii="Arial" w:hAnsi="Arial" w:cs="Arial"/>
        </w:rPr>
        <w:t>Tuberculosis (TB) is commonly defined as a contagious airborne infectious disease caused by the bacterium Mycobacterium tuberculosis, which primarily affects the lungs but can also involve other organs</w:t>
      </w:r>
      <w:r w:rsidR="001978D7" w:rsidRPr="00AB0BD3">
        <w:rPr>
          <w:rFonts w:ascii="Arial" w:hAnsi="Arial" w:cs="Arial"/>
        </w:rPr>
        <w:t xml:space="preserve"> (Yadav and Prakash, 2017)</w:t>
      </w:r>
      <w:r w:rsidRPr="00AB0BD3">
        <w:rPr>
          <w:rFonts w:ascii="Arial" w:hAnsi="Arial" w:cs="Arial"/>
        </w:rPr>
        <w:t>. It is characterised by the formation of granulomas resulting from the body’s immune response to the pathogen</w:t>
      </w:r>
      <w:r w:rsidR="008D7C98" w:rsidRPr="00AB0BD3">
        <w:rPr>
          <w:rFonts w:ascii="Arial" w:hAnsi="Arial" w:cs="Arial"/>
        </w:rPr>
        <w:t xml:space="preserve"> (Yadav and Prakash, 2017)</w:t>
      </w:r>
      <w:r w:rsidRPr="00AB0BD3">
        <w:rPr>
          <w:rFonts w:ascii="Arial" w:hAnsi="Arial" w:cs="Arial"/>
        </w:rPr>
        <w:t>. Another definition presents TB as a chronic respiratory disease transmitted through droplets expelled when infected individuals cough, sneeze, or speak. If untreated, the disease can progress slowly, causing extensive tissue damage and systemic illness</w:t>
      </w:r>
      <w:r w:rsidR="008D7C98" w:rsidRPr="00AB0BD3">
        <w:rPr>
          <w:rFonts w:ascii="Arial" w:hAnsi="Arial" w:cs="Arial"/>
        </w:rPr>
        <w:t xml:space="preserve"> (Swalehe</w:t>
      </w:r>
      <w:r w:rsidR="006812D3" w:rsidRPr="00AB0BD3">
        <w:rPr>
          <w:rFonts w:ascii="Arial" w:hAnsi="Arial" w:cs="Arial"/>
        </w:rPr>
        <w:t xml:space="preserve"> </w:t>
      </w:r>
      <w:r w:rsidR="008D7C98" w:rsidRPr="00AB0BD3">
        <w:rPr>
          <w:rFonts w:ascii="Arial" w:hAnsi="Arial" w:cs="Arial"/>
        </w:rPr>
        <w:t>and Obeagu</w:t>
      </w:r>
      <w:r w:rsidR="006812D3" w:rsidRPr="00AB0BD3">
        <w:rPr>
          <w:rFonts w:ascii="Arial" w:hAnsi="Arial" w:cs="Arial"/>
        </w:rPr>
        <w:t xml:space="preserve">, </w:t>
      </w:r>
      <w:r w:rsidR="008D7C98" w:rsidRPr="00AB0BD3">
        <w:rPr>
          <w:rFonts w:ascii="Arial" w:hAnsi="Arial" w:cs="Arial"/>
        </w:rPr>
        <w:t>2024)</w:t>
      </w:r>
      <w:r w:rsidRPr="00AB0BD3">
        <w:rPr>
          <w:rFonts w:ascii="Arial" w:hAnsi="Arial" w:cs="Arial"/>
        </w:rPr>
        <w:t>.</w:t>
      </w:r>
    </w:p>
    <w:p w14:paraId="794A35ED" w14:textId="060E1EFC" w:rsidR="00403C9B" w:rsidRPr="00AB0BD3" w:rsidRDefault="00403C9B" w:rsidP="0046084C">
      <w:pPr>
        <w:spacing w:before="240" w:line="360" w:lineRule="auto"/>
        <w:jc w:val="both"/>
        <w:rPr>
          <w:rFonts w:ascii="Arial" w:hAnsi="Arial" w:cs="Arial"/>
        </w:rPr>
      </w:pPr>
      <w:r w:rsidRPr="00AB0BD3">
        <w:rPr>
          <w:rFonts w:ascii="Arial" w:hAnsi="Arial" w:cs="Arial"/>
        </w:rPr>
        <w:t xml:space="preserve">TB </w:t>
      </w:r>
      <w:r w:rsidR="001978D7" w:rsidRPr="00AB0BD3">
        <w:rPr>
          <w:rFonts w:ascii="Arial" w:hAnsi="Arial" w:cs="Arial"/>
        </w:rPr>
        <w:t>is</w:t>
      </w:r>
      <w:r w:rsidRPr="00AB0BD3">
        <w:rPr>
          <w:rFonts w:ascii="Arial" w:hAnsi="Arial" w:cs="Arial"/>
        </w:rPr>
        <w:t xml:space="preserve"> one of the world’s most persistent public health challenges due to its potential for latent infection. Individuals with latent TB harbour the bacteria without showing symptoms but remain at risk of developing active disease, especially when immunity weakens</w:t>
      </w:r>
      <w:r w:rsidR="003E6686" w:rsidRPr="00AB0BD3">
        <w:rPr>
          <w:rFonts w:ascii="Arial" w:hAnsi="Arial" w:cs="Arial"/>
        </w:rPr>
        <w:t xml:space="preserve"> (Chee et al, 2018)</w:t>
      </w:r>
      <w:r w:rsidRPr="00AB0BD3">
        <w:rPr>
          <w:rFonts w:ascii="Arial" w:hAnsi="Arial" w:cs="Arial"/>
        </w:rPr>
        <w:t>. This silent reservoir contributes significantly to ongoing transmission. These varying definitions highlight TB’s complex nature, demonstrating why comprehensive public health strategies are required to control both active and latent infections</w:t>
      </w:r>
      <w:r w:rsidR="005D7B99" w:rsidRPr="00AB0BD3">
        <w:rPr>
          <w:rFonts w:ascii="Arial" w:hAnsi="Arial" w:cs="Arial"/>
        </w:rPr>
        <w:t xml:space="preserve"> (Chee et al, 2018)</w:t>
      </w:r>
      <w:r w:rsidRPr="00AB0BD3">
        <w:rPr>
          <w:rFonts w:ascii="Arial" w:hAnsi="Arial" w:cs="Arial"/>
        </w:rPr>
        <w:t>.</w:t>
      </w:r>
    </w:p>
    <w:p w14:paraId="3FCBC01A" w14:textId="16C75B56" w:rsidR="00403C9B" w:rsidRPr="00AB0BD3" w:rsidRDefault="00403C9B" w:rsidP="004F2450">
      <w:pPr>
        <w:pStyle w:val="Heading1"/>
      </w:pPr>
      <w:bookmarkStart w:id="10" w:name="_Toc218418664"/>
      <w:r w:rsidRPr="00AB0BD3">
        <w:t>2.3 Causes of Tuberculosis</w:t>
      </w:r>
      <w:bookmarkEnd w:id="10"/>
      <w:r w:rsidRPr="00AB0BD3">
        <w:t xml:space="preserve"> </w:t>
      </w:r>
    </w:p>
    <w:p w14:paraId="4497EC20" w14:textId="397C04FB" w:rsidR="00833B86" w:rsidRPr="00AB0BD3" w:rsidRDefault="00833B86" w:rsidP="00833B86">
      <w:pPr>
        <w:spacing w:before="240" w:line="360" w:lineRule="auto"/>
        <w:jc w:val="both"/>
        <w:rPr>
          <w:rFonts w:ascii="Arial" w:hAnsi="Arial" w:cs="Arial"/>
        </w:rPr>
      </w:pPr>
      <w:r w:rsidRPr="00AB0BD3">
        <w:rPr>
          <w:rFonts w:ascii="Arial" w:hAnsi="Arial" w:cs="Arial"/>
        </w:rPr>
        <w:t xml:space="preserve">Tuberculosis (TB) arises from a complex interaction of biological, socio-economic, and environmental determinants. The disease is primarily caused by </w:t>
      </w:r>
      <w:r w:rsidRPr="00AB0BD3">
        <w:rPr>
          <w:rFonts w:ascii="Arial" w:hAnsi="Arial" w:cs="Arial"/>
          <w:i/>
          <w:iCs/>
        </w:rPr>
        <w:t xml:space="preserve">Mycobacterium </w:t>
      </w:r>
      <w:r w:rsidRPr="00AB0BD3">
        <w:rPr>
          <w:rFonts w:ascii="Arial" w:hAnsi="Arial" w:cs="Arial"/>
          <w:i/>
          <w:iCs/>
        </w:rPr>
        <w:lastRenderedPageBreak/>
        <w:t>tuberculosis</w:t>
      </w:r>
      <w:r w:rsidRPr="00AB0BD3">
        <w:rPr>
          <w:rFonts w:ascii="Arial" w:hAnsi="Arial" w:cs="Arial"/>
        </w:rPr>
        <w:t xml:space="preserve">, transmitted through airborne droplets when an infected individual coughs, speaks or sneezes (Nordholm et al., 2023). While many exposed individuals develop latent infection, progression to active TB is strongly influenced by immune system strength, with higher susceptibility observed among people living with HIV, diabetes, chronic illness, and malnutrition (Shimeles et al., 2019; Bhargava et al., 2021). Biological vulnerabilities, including genetic predisposition, further weaken the body’s ability to suppress infection (Shimeles et al., 2019). Poverty, unstable income, and food insecurity heighten vulnerability by increasing malnutrition and delaying access to healthcare (Modrá et al., 2019; Rao et al., 2018). Migrant workers and informal labourers face additional risks due to </w:t>
      </w:r>
      <w:r w:rsidR="00F67463" w:rsidRPr="00AB0BD3">
        <w:rPr>
          <w:rFonts w:ascii="Arial" w:hAnsi="Arial" w:cs="Arial"/>
        </w:rPr>
        <w:t xml:space="preserve">a </w:t>
      </w:r>
      <w:r w:rsidRPr="00AB0BD3">
        <w:rPr>
          <w:rFonts w:ascii="Arial" w:hAnsi="Arial" w:cs="Arial"/>
        </w:rPr>
        <w:t>lack of health insurance and limited access to medical services (Pedrazzoli et al., 2017).</w:t>
      </w:r>
    </w:p>
    <w:p w14:paraId="134A624B" w14:textId="65991872" w:rsidR="00833B86" w:rsidRPr="00AB0BD3" w:rsidRDefault="00833B86" w:rsidP="00833B86">
      <w:pPr>
        <w:spacing w:before="240" w:line="360" w:lineRule="auto"/>
        <w:jc w:val="both"/>
        <w:rPr>
          <w:rFonts w:ascii="Arial" w:hAnsi="Arial" w:cs="Arial"/>
        </w:rPr>
      </w:pPr>
      <w:r w:rsidRPr="00AB0BD3">
        <w:rPr>
          <w:rFonts w:ascii="Arial" w:hAnsi="Arial" w:cs="Arial"/>
        </w:rPr>
        <w:t>Environmental and social factors further contribute to TB transmission and disease severity. Overcrowded settings with inadequate ventilation</w:t>
      </w:r>
      <w:r w:rsidR="00F67463" w:rsidRPr="00AB0BD3">
        <w:rPr>
          <w:rFonts w:ascii="Arial" w:hAnsi="Arial" w:cs="Arial"/>
        </w:rPr>
        <w:t xml:space="preserve">, </w:t>
      </w:r>
      <w:r w:rsidRPr="00AB0BD3">
        <w:rPr>
          <w:rFonts w:ascii="Arial" w:hAnsi="Arial" w:cs="Arial"/>
        </w:rPr>
        <w:t>common in densely populated informal settlements such as those in Delhi</w:t>
      </w:r>
      <w:r w:rsidR="00F67463" w:rsidRPr="00AB0BD3">
        <w:rPr>
          <w:rFonts w:ascii="Arial" w:hAnsi="Arial" w:cs="Arial"/>
        </w:rPr>
        <w:t xml:space="preserve">, </w:t>
      </w:r>
      <w:r w:rsidRPr="00AB0BD3">
        <w:rPr>
          <w:rFonts w:ascii="Arial" w:hAnsi="Arial" w:cs="Arial"/>
        </w:rPr>
        <w:t>facilitate the circulation of infectious droplets (Bhargava et al., 2021; Silva et al., 2018). Indoor pollution from biomass fuels, tobacco smoke, and urban air pollution weakens respiratory health and increases vulnerability (Shimeles et al., 2019). Social determinants, including low health literacy, stigma, cultural beliefs, and gender inequality, also delay diagnosis and hinder treatment adherence (Singh et al., 2018; Modrá et al., 2019). Addressing TB</w:t>
      </w:r>
      <w:r w:rsidR="00F67463" w:rsidRPr="00AB0BD3">
        <w:rPr>
          <w:rFonts w:ascii="Arial" w:hAnsi="Arial" w:cs="Arial"/>
        </w:rPr>
        <w:t>,</w:t>
      </w:r>
      <w:r w:rsidRPr="00AB0BD3">
        <w:rPr>
          <w:rFonts w:ascii="Arial" w:hAnsi="Arial" w:cs="Arial"/>
        </w:rPr>
        <w:t xml:space="preserve"> therefore requires integrated approaches that strengthen healthcare systems while also improving living conditions, reducing inequality, and empowering communities through education and social support (Pedrazzoli et al., 2017; Rao et al., 2018).</w:t>
      </w:r>
    </w:p>
    <w:p w14:paraId="27A9827B" w14:textId="77777777" w:rsidR="00833B86" w:rsidRPr="00AB0BD3" w:rsidRDefault="00833B86" w:rsidP="00833B86">
      <w:pPr>
        <w:spacing w:before="240" w:line="360" w:lineRule="auto"/>
        <w:jc w:val="both"/>
        <w:rPr>
          <w:rFonts w:ascii="Arial" w:hAnsi="Arial" w:cs="Arial"/>
          <w:vanish/>
        </w:rPr>
      </w:pPr>
      <w:r w:rsidRPr="00AB0BD3">
        <w:rPr>
          <w:rFonts w:ascii="Arial" w:hAnsi="Arial" w:cs="Arial"/>
          <w:vanish/>
        </w:rPr>
        <w:t>Top of Form</w:t>
      </w:r>
    </w:p>
    <w:p w14:paraId="2CFF7B1B" w14:textId="77777777" w:rsidR="00833B86" w:rsidRPr="00AB0BD3" w:rsidRDefault="00833B86" w:rsidP="00833B86">
      <w:pPr>
        <w:spacing w:before="240" w:line="360" w:lineRule="auto"/>
        <w:jc w:val="both"/>
        <w:rPr>
          <w:rFonts w:ascii="Arial" w:hAnsi="Arial" w:cs="Arial"/>
          <w:vanish/>
        </w:rPr>
      </w:pPr>
      <w:r w:rsidRPr="00AB0BD3">
        <w:rPr>
          <w:rFonts w:ascii="Arial" w:hAnsi="Arial" w:cs="Arial"/>
          <w:vanish/>
        </w:rPr>
        <w:t>Bottom of Form</w:t>
      </w:r>
    </w:p>
    <w:p w14:paraId="3ED38337" w14:textId="741B62C7" w:rsidR="00403C9B" w:rsidRPr="00AB0BD3" w:rsidRDefault="00403C9B" w:rsidP="004F2450">
      <w:pPr>
        <w:pStyle w:val="Heading1"/>
      </w:pPr>
      <w:bookmarkStart w:id="11" w:name="_Toc218418665"/>
      <w:r w:rsidRPr="00AB0BD3">
        <w:t>2.4 Symptoms of Tuberculosis</w:t>
      </w:r>
      <w:bookmarkEnd w:id="11"/>
      <w:r w:rsidRPr="00AB0BD3">
        <w:t xml:space="preserve"> </w:t>
      </w:r>
    </w:p>
    <w:p w14:paraId="1DCF6C45" w14:textId="75ACC0B4" w:rsidR="00DA26EF" w:rsidRPr="00AB0BD3" w:rsidRDefault="00DA26EF" w:rsidP="00DA26EF">
      <w:pPr>
        <w:spacing w:before="240" w:line="360" w:lineRule="auto"/>
        <w:jc w:val="both"/>
        <w:rPr>
          <w:rFonts w:ascii="Arial" w:hAnsi="Arial" w:cs="Arial"/>
        </w:rPr>
      </w:pPr>
      <w:r w:rsidRPr="00AB0BD3">
        <w:rPr>
          <w:rFonts w:ascii="Arial" w:hAnsi="Arial" w:cs="Arial"/>
        </w:rPr>
        <w:t xml:space="preserve">Tuberculosis symptoms vary depending on whether the disease is latent or active. Latent TB remains asymptomatic because the immune system </w:t>
      </w:r>
      <w:r w:rsidR="008E5228" w:rsidRPr="00AB0BD3">
        <w:rPr>
          <w:rFonts w:ascii="Arial" w:hAnsi="Arial" w:cs="Arial"/>
        </w:rPr>
        <w:t>can</w:t>
      </w:r>
      <w:r w:rsidRPr="00AB0BD3">
        <w:rPr>
          <w:rFonts w:ascii="Arial" w:hAnsi="Arial" w:cs="Arial"/>
        </w:rPr>
        <w:t xml:space="preserve"> contain the bacteria, meaning individuals do not feel sick and cannot transmit infection, though they remain at risk if immunity weakens (Pai et al., 2016). In contrast, active pulmonary TB presents clear clinical signs and is the most contagious form (Sharma et al., 2021). A persistent cough lasting more than two weeks is often the earliest symptom and may progress to a productive cough with mucus or blood-stained sputum (Verma et al., 2024). Systemic symptoms</w:t>
      </w:r>
      <w:r w:rsidR="00AE442C" w:rsidRPr="00AB0BD3">
        <w:rPr>
          <w:rFonts w:ascii="Arial" w:hAnsi="Arial" w:cs="Arial"/>
        </w:rPr>
        <w:t>,</w:t>
      </w:r>
      <w:r w:rsidRPr="00AB0BD3">
        <w:rPr>
          <w:rFonts w:ascii="Arial" w:hAnsi="Arial" w:cs="Arial"/>
        </w:rPr>
        <w:t xml:space="preserve"> including fever, night sweats, unexplained weight loss, </w:t>
      </w:r>
      <w:r w:rsidRPr="00AB0BD3">
        <w:rPr>
          <w:rFonts w:ascii="Arial" w:hAnsi="Arial" w:cs="Arial"/>
        </w:rPr>
        <w:lastRenderedPageBreak/>
        <w:t>fatigue, and appetite loss</w:t>
      </w:r>
      <w:r w:rsidR="00AE442C" w:rsidRPr="00AB0BD3">
        <w:rPr>
          <w:rFonts w:ascii="Arial" w:hAnsi="Arial" w:cs="Arial"/>
        </w:rPr>
        <w:t>,</w:t>
      </w:r>
      <w:r w:rsidRPr="00AB0BD3">
        <w:rPr>
          <w:rFonts w:ascii="Arial" w:hAnsi="Arial" w:cs="Arial"/>
        </w:rPr>
        <w:t xml:space="preserve"> reflect ongoing infection and inflammatory response (Pai et al., 2016).</w:t>
      </w:r>
    </w:p>
    <w:p w14:paraId="53DAE43D" w14:textId="13C3C976" w:rsidR="00403C9B" w:rsidRPr="00AB0BD3" w:rsidRDefault="00DA26EF" w:rsidP="0046084C">
      <w:pPr>
        <w:spacing w:before="240" w:line="360" w:lineRule="auto"/>
        <w:jc w:val="both"/>
        <w:rPr>
          <w:rFonts w:ascii="Arial" w:hAnsi="Arial" w:cs="Arial"/>
        </w:rPr>
      </w:pPr>
      <w:r w:rsidRPr="00AB0BD3">
        <w:rPr>
          <w:rFonts w:ascii="Arial" w:hAnsi="Arial" w:cs="Arial"/>
        </w:rPr>
        <w:t>Extrapulmonary TB develops when the bacteria spread beyond the lungs to organs such as lymph nodes, bones, kidneys, or the central nervous system (Sharma et al., 2021). Symptoms differ by affected site, with lymph node TB causing swelling, skeletal TB linked to chronic joint pain, renal TB associated with abdominal pain or blood in urine, and TB meningitis presenting with headaches or confusion (Verma et al., 2024). Symptom presentation may be subtle among children, older adults, and immunocompromised individuals, complicating diagnosis and increasing the risk of delayed treatment and community transmission (Sharma et al., 2021).</w:t>
      </w:r>
    </w:p>
    <w:p w14:paraId="0F72DD64" w14:textId="29EE3BBA" w:rsidR="00403C9B" w:rsidRPr="00AB0BD3" w:rsidRDefault="00403C9B" w:rsidP="004F2450">
      <w:pPr>
        <w:pStyle w:val="Heading1"/>
      </w:pPr>
      <w:bookmarkStart w:id="12" w:name="_Toc218418666"/>
      <w:r w:rsidRPr="00AB0BD3">
        <w:t>2.5 Global Burden of Tuberculosis</w:t>
      </w:r>
      <w:bookmarkEnd w:id="12"/>
      <w:r w:rsidRPr="00AB0BD3">
        <w:t xml:space="preserve"> </w:t>
      </w:r>
    </w:p>
    <w:p w14:paraId="44A40804" w14:textId="79F8059F" w:rsidR="00403C9B" w:rsidRPr="00AB0BD3" w:rsidRDefault="00403C9B" w:rsidP="0046084C">
      <w:pPr>
        <w:spacing w:before="240" w:line="360" w:lineRule="auto"/>
        <w:jc w:val="both"/>
        <w:rPr>
          <w:rFonts w:ascii="Arial" w:hAnsi="Arial" w:cs="Arial"/>
        </w:rPr>
      </w:pPr>
      <w:r w:rsidRPr="00AB0BD3">
        <w:rPr>
          <w:rFonts w:ascii="Arial" w:hAnsi="Arial" w:cs="Arial"/>
        </w:rPr>
        <w:t>Tuberculosis remains one of the leading infectious causes of death globally</w:t>
      </w:r>
      <w:r w:rsidR="000B613A" w:rsidRPr="00AB0BD3">
        <w:rPr>
          <w:rFonts w:ascii="Arial" w:hAnsi="Arial" w:cs="Arial"/>
        </w:rPr>
        <w:t xml:space="preserve"> (Glaziou et al, 2018)</w:t>
      </w:r>
      <w:r w:rsidRPr="00AB0BD3">
        <w:rPr>
          <w:rFonts w:ascii="Arial" w:hAnsi="Arial" w:cs="Arial"/>
        </w:rPr>
        <w:t xml:space="preserve">. Despite significant advances in diagnostics and treatment, millions of new cases continue to emerge annually. The World Health </w:t>
      </w:r>
      <w:r w:rsidR="0046084C" w:rsidRPr="00AB0BD3">
        <w:rPr>
          <w:rFonts w:ascii="Arial" w:hAnsi="Arial" w:cs="Arial"/>
        </w:rPr>
        <w:t>Organisation</w:t>
      </w:r>
      <w:r w:rsidRPr="00AB0BD3">
        <w:rPr>
          <w:rFonts w:ascii="Arial" w:hAnsi="Arial" w:cs="Arial"/>
        </w:rPr>
        <w:t xml:space="preserve"> estimates that over ten million people develop TB each year, with substantial proportions residing in low- and middle-income countries</w:t>
      </w:r>
      <w:r w:rsidR="007147E2" w:rsidRPr="00AB0BD3">
        <w:rPr>
          <w:rFonts w:ascii="Arial" w:hAnsi="Arial" w:cs="Arial"/>
        </w:rPr>
        <w:t xml:space="preserve"> (Daley, 2019)</w:t>
      </w:r>
      <w:r w:rsidRPr="00AB0BD3">
        <w:rPr>
          <w:rFonts w:ascii="Arial" w:hAnsi="Arial" w:cs="Arial"/>
        </w:rPr>
        <w:t>. Regions such as South-East Asia and sub-Saharan Africa carry the largest disease burden due to high population densities, weak health systems, and persistent socio-economic inequalities</w:t>
      </w:r>
      <w:r w:rsidR="004A1B7F" w:rsidRPr="00AB0BD3">
        <w:rPr>
          <w:rFonts w:ascii="Arial" w:hAnsi="Arial" w:cs="Arial"/>
        </w:rPr>
        <w:t xml:space="preserve"> (Chakaya et al, 2021)</w:t>
      </w:r>
      <w:r w:rsidRPr="00AB0BD3">
        <w:rPr>
          <w:rFonts w:ascii="Arial" w:hAnsi="Arial" w:cs="Arial"/>
        </w:rPr>
        <w:t>. Drug-resistant TB further complicates global control efforts, demanding costly and prolonged treatment</w:t>
      </w:r>
      <w:r w:rsidR="00AE32D6" w:rsidRPr="00AB0BD3">
        <w:rPr>
          <w:rFonts w:ascii="Arial" w:hAnsi="Arial" w:cs="Arial"/>
        </w:rPr>
        <w:t xml:space="preserve"> (Chakaya et al, 2021)</w:t>
      </w:r>
      <w:r w:rsidRPr="00AB0BD3">
        <w:rPr>
          <w:rFonts w:ascii="Arial" w:hAnsi="Arial" w:cs="Arial"/>
        </w:rPr>
        <w:t>.</w:t>
      </w:r>
    </w:p>
    <w:p w14:paraId="62CAF46B" w14:textId="7DF0C621" w:rsidR="00403C9B" w:rsidRPr="00AB0BD3" w:rsidRDefault="00403C9B" w:rsidP="0046084C">
      <w:pPr>
        <w:spacing w:before="240" w:line="360" w:lineRule="auto"/>
        <w:jc w:val="both"/>
        <w:rPr>
          <w:rFonts w:ascii="Arial" w:hAnsi="Arial" w:cs="Arial"/>
        </w:rPr>
      </w:pPr>
      <w:r w:rsidRPr="00AB0BD3">
        <w:rPr>
          <w:rFonts w:ascii="Arial" w:hAnsi="Arial" w:cs="Arial"/>
        </w:rPr>
        <w:t>In response, the global community has implemented several large-scale strategies, including the WHO End TB Strategy, which aims to reduce TB mortality and incidence through improved prevention, early diagnosis, and patient-centred care</w:t>
      </w:r>
      <w:r w:rsidR="00AE32D6" w:rsidRPr="00AB0BD3">
        <w:rPr>
          <w:rFonts w:ascii="Arial" w:hAnsi="Arial" w:cs="Arial"/>
        </w:rPr>
        <w:t xml:space="preserve"> (Glaziou et al, 2018).</w:t>
      </w:r>
      <w:r w:rsidRPr="00AB0BD3">
        <w:rPr>
          <w:rFonts w:ascii="Arial" w:hAnsi="Arial" w:cs="Arial"/>
        </w:rPr>
        <w:t xml:space="preserve"> Universal access to drug susceptibility testing, active case-finding, and expanded latent TB screening programmes are central components</w:t>
      </w:r>
      <w:r w:rsidR="00AE32D6" w:rsidRPr="00AB0BD3">
        <w:rPr>
          <w:rFonts w:ascii="Arial" w:hAnsi="Arial" w:cs="Arial"/>
        </w:rPr>
        <w:t xml:space="preserve"> (Glaziou et al, 2018)</w:t>
      </w:r>
      <w:r w:rsidRPr="00AB0BD3">
        <w:rPr>
          <w:rFonts w:ascii="Arial" w:hAnsi="Arial" w:cs="Arial"/>
        </w:rPr>
        <w:t>. International partnerships and funding initiatives continue to support resource-limited countries</w:t>
      </w:r>
      <w:r w:rsidR="00AE32D6" w:rsidRPr="00AB0BD3">
        <w:rPr>
          <w:rFonts w:ascii="Arial" w:hAnsi="Arial" w:cs="Arial"/>
        </w:rPr>
        <w:t xml:space="preserve"> (Daley, 2019)</w:t>
      </w:r>
      <w:r w:rsidRPr="00AB0BD3">
        <w:rPr>
          <w:rFonts w:ascii="Arial" w:hAnsi="Arial" w:cs="Arial"/>
        </w:rPr>
        <w:t>. However, gaps remain in achieving equitable access to prevention tools such as the BCG vaccine, leaving vulnerable populations at continued risk</w:t>
      </w:r>
      <w:r w:rsidR="00AE32D6" w:rsidRPr="00AB0BD3">
        <w:rPr>
          <w:rFonts w:ascii="Arial" w:hAnsi="Arial" w:cs="Arial"/>
        </w:rPr>
        <w:t xml:space="preserve"> (Chakaya et al, 2021)</w:t>
      </w:r>
      <w:r w:rsidRPr="00AB0BD3">
        <w:rPr>
          <w:rFonts w:ascii="Arial" w:hAnsi="Arial" w:cs="Arial"/>
        </w:rPr>
        <w:t>.</w:t>
      </w:r>
    </w:p>
    <w:p w14:paraId="1F0FA0CA" w14:textId="05C2EAC8" w:rsidR="00403C9B" w:rsidRPr="00AB0BD3" w:rsidRDefault="00403C9B" w:rsidP="004F2450">
      <w:pPr>
        <w:pStyle w:val="Heading1"/>
      </w:pPr>
      <w:bookmarkStart w:id="13" w:name="_Toc218418667"/>
      <w:r w:rsidRPr="00AB0BD3">
        <w:lastRenderedPageBreak/>
        <w:t>2.</w:t>
      </w:r>
      <w:r w:rsidR="00E977C4" w:rsidRPr="00AB0BD3">
        <w:t>6</w:t>
      </w:r>
      <w:r w:rsidRPr="00AB0BD3">
        <w:t xml:space="preserve"> Tuberculosis in India</w:t>
      </w:r>
      <w:bookmarkEnd w:id="13"/>
      <w:r w:rsidRPr="00AB0BD3">
        <w:t xml:space="preserve"> </w:t>
      </w:r>
    </w:p>
    <w:p w14:paraId="359818C9" w14:textId="0AB62163" w:rsidR="00403C9B" w:rsidRPr="00AB0BD3" w:rsidRDefault="002F2E0D" w:rsidP="0046084C">
      <w:pPr>
        <w:spacing w:before="240" w:line="360" w:lineRule="auto"/>
        <w:jc w:val="both"/>
        <w:rPr>
          <w:rFonts w:ascii="Arial" w:hAnsi="Arial" w:cs="Arial"/>
        </w:rPr>
      </w:pPr>
      <w:r w:rsidRPr="00AB0BD3">
        <w:rPr>
          <w:rFonts w:ascii="Arial" w:hAnsi="Arial" w:cs="Arial"/>
        </w:rPr>
        <w:t>India accounts for the highest number of TB cases globally in 2022 alone, around 2.8 million (28 lakh) new infections were recorded, representing approximately 2</w:t>
      </w:r>
      <w:r w:rsidR="00983D64" w:rsidRPr="00AB0BD3">
        <w:rPr>
          <w:rFonts w:ascii="Arial" w:hAnsi="Arial" w:cs="Arial"/>
        </w:rPr>
        <w:t>6</w:t>
      </w:r>
      <w:r w:rsidRPr="00AB0BD3">
        <w:rPr>
          <w:rFonts w:ascii="Arial" w:hAnsi="Arial" w:cs="Arial"/>
        </w:rPr>
        <w:t xml:space="preserve"> % of the global TB burden</w:t>
      </w:r>
      <w:r w:rsidR="00AC2EEA" w:rsidRPr="00AB0BD3">
        <w:rPr>
          <w:rFonts w:ascii="Arial" w:hAnsi="Arial" w:cs="Arial"/>
        </w:rPr>
        <w:t xml:space="preserve"> (Srinivasan et al, 2018</w:t>
      </w:r>
      <w:r w:rsidR="00310980" w:rsidRPr="00AB0BD3">
        <w:rPr>
          <w:rFonts w:ascii="Arial" w:hAnsi="Arial" w:cs="Arial"/>
        </w:rPr>
        <w:t>; WHO, 2023</w:t>
      </w:r>
      <w:r w:rsidR="00AC2EEA" w:rsidRPr="00AB0BD3">
        <w:rPr>
          <w:rFonts w:ascii="Arial" w:hAnsi="Arial" w:cs="Arial"/>
        </w:rPr>
        <w:t>)</w:t>
      </w:r>
      <w:r w:rsidR="00403C9B" w:rsidRPr="00AB0BD3">
        <w:rPr>
          <w:rFonts w:ascii="Arial" w:hAnsi="Arial" w:cs="Arial"/>
        </w:rPr>
        <w:t>. Overcrowding in urban settlements, widespread poverty, and limited access to timely healthcare contribute to sustained transmission</w:t>
      </w:r>
      <w:r w:rsidR="00890189" w:rsidRPr="00AB0BD3">
        <w:rPr>
          <w:rFonts w:ascii="Arial" w:hAnsi="Arial" w:cs="Arial"/>
        </w:rPr>
        <w:t xml:space="preserve"> (Khanna et al, 2023)</w:t>
      </w:r>
      <w:r w:rsidR="00403C9B" w:rsidRPr="00AB0BD3">
        <w:rPr>
          <w:rFonts w:ascii="Arial" w:hAnsi="Arial" w:cs="Arial"/>
        </w:rPr>
        <w:t>. Despite advances in the National TB Elimination Programme, early detection remains inconsistent, particularly among marginalised groups, leading to delayed treatment and continued spread of the infection</w:t>
      </w:r>
      <w:r w:rsidR="00DA133C" w:rsidRPr="00AB0BD3">
        <w:rPr>
          <w:rFonts w:ascii="Arial" w:hAnsi="Arial" w:cs="Arial"/>
        </w:rPr>
        <w:t xml:space="preserve"> (Khanna et al, 2023)</w:t>
      </w:r>
      <w:r w:rsidR="00403C9B" w:rsidRPr="00AB0BD3">
        <w:rPr>
          <w:rFonts w:ascii="Arial" w:hAnsi="Arial" w:cs="Arial"/>
        </w:rPr>
        <w:t>.</w:t>
      </w:r>
    </w:p>
    <w:p w14:paraId="1E7813B8" w14:textId="15AD3CF2" w:rsidR="00403C9B" w:rsidRPr="00AB0BD3" w:rsidRDefault="00403C9B" w:rsidP="0046084C">
      <w:pPr>
        <w:spacing w:before="240" w:line="360" w:lineRule="auto"/>
        <w:jc w:val="both"/>
        <w:rPr>
          <w:rFonts w:ascii="Arial" w:hAnsi="Arial" w:cs="Arial"/>
        </w:rPr>
      </w:pPr>
      <w:r w:rsidRPr="00AB0BD3">
        <w:rPr>
          <w:rFonts w:ascii="Arial" w:hAnsi="Arial" w:cs="Arial"/>
        </w:rPr>
        <w:t>Delhi, as the national capital, presents a distinctive epidemiological profile due to its dense population and continuous inflow of migrants. High-risk districts such as Northeast Delhi, Shahdara, and Central Delhi record significantly higher TB incidence compared to other parts of the city</w:t>
      </w:r>
      <w:r w:rsidR="00196C3A" w:rsidRPr="00AB0BD3">
        <w:rPr>
          <w:rFonts w:ascii="Arial" w:hAnsi="Arial" w:cs="Arial"/>
        </w:rPr>
        <w:t xml:space="preserve"> (Srinivasan et al, 2018)</w:t>
      </w:r>
      <w:r w:rsidRPr="00AB0BD3">
        <w:rPr>
          <w:rFonts w:ascii="Arial" w:hAnsi="Arial" w:cs="Arial"/>
        </w:rPr>
        <w:t>. These regions are characterised by congested housing, poor sanitation, and constrained access to public health services</w:t>
      </w:r>
      <w:r w:rsidR="0082584A" w:rsidRPr="00AB0BD3">
        <w:rPr>
          <w:rFonts w:ascii="Arial" w:hAnsi="Arial" w:cs="Arial"/>
        </w:rPr>
        <w:t xml:space="preserve"> (Khanna et al, 2023)</w:t>
      </w:r>
      <w:r w:rsidRPr="00AB0BD3">
        <w:rPr>
          <w:rFonts w:ascii="Arial" w:hAnsi="Arial" w:cs="Arial"/>
        </w:rPr>
        <w:t>. The large proportion of individuals with latent TB further exacerbates the challenge, increasing the risk of reactivation and future transmission. Addressing TB in India</w:t>
      </w:r>
      <w:r w:rsidR="0046084C" w:rsidRPr="00AB0BD3">
        <w:rPr>
          <w:rFonts w:ascii="Arial" w:hAnsi="Arial" w:cs="Arial"/>
        </w:rPr>
        <w:t>,</w:t>
      </w:r>
      <w:r w:rsidRPr="00AB0BD3">
        <w:rPr>
          <w:rFonts w:ascii="Arial" w:hAnsi="Arial" w:cs="Arial"/>
        </w:rPr>
        <w:t xml:space="preserve"> therefore</w:t>
      </w:r>
      <w:r w:rsidR="0046084C" w:rsidRPr="00AB0BD3">
        <w:rPr>
          <w:rFonts w:ascii="Arial" w:hAnsi="Arial" w:cs="Arial"/>
        </w:rPr>
        <w:t>,</w:t>
      </w:r>
      <w:r w:rsidRPr="00AB0BD3">
        <w:rPr>
          <w:rFonts w:ascii="Arial" w:hAnsi="Arial" w:cs="Arial"/>
        </w:rPr>
        <w:t xml:space="preserve"> requires targeted public health interventions that combine improved clinical services with social support mechanisms</w:t>
      </w:r>
      <w:r w:rsidR="0082584A" w:rsidRPr="00AB0BD3">
        <w:rPr>
          <w:rFonts w:ascii="Arial" w:hAnsi="Arial" w:cs="Arial"/>
        </w:rPr>
        <w:t xml:space="preserve"> (Srinivasan et al, 2018)</w:t>
      </w:r>
      <w:r w:rsidRPr="00AB0BD3">
        <w:rPr>
          <w:rFonts w:ascii="Arial" w:hAnsi="Arial" w:cs="Arial"/>
        </w:rPr>
        <w:t>.</w:t>
      </w:r>
    </w:p>
    <w:p w14:paraId="7F9947B1" w14:textId="4FDB2886" w:rsidR="00403C9B" w:rsidRPr="00AB0BD3" w:rsidRDefault="00403C9B" w:rsidP="004F2450">
      <w:pPr>
        <w:pStyle w:val="Heading1"/>
      </w:pPr>
      <w:bookmarkStart w:id="14" w:name="_Toc218418668"/>
      <w:r w:rsidRPr="00AB0BD3">
        <w:t>2.7 BCG Vaccination: Global and National Perspectives</w:t>
      </w:r>
      <w:bookmarkEnd w:id="14"/>
      <w:r w:rsidRPr="00AB0BD3">
        <w:t xml:space="preserve"> </w:t>
      </w:r>
    </w:p>
    <w:p w14:paraId="366046F0" w14:textId="1B72344C" w:rsidR="00403C9B" w:rsidRPr="00AB0BD3" w:rsidRDefault="00403C9B" w:rsidP="0046084C">
      <w:pPr>
        <w:spacing w:before="240" w:line="360" w:lineRule="auto"/>
        <w:jc w:val="both"/>
        <w:rPr>
          <w:rFonts w:ascii="Arial" w:hAnsi="Arial" w:cs="Arial"/>
        </w:rPr>
      </w:pPr>
      <w:r w:rsidRPr="00AB0BD3">
        <w:rPr>
          <w:rFonts w:ascii="Arial" w:hAnsi="Arial" w:cs="Arial"/>
        </w:rPr>
        <w:t>The Bacillus Calmette–Guérin (BCG) vaccine is the only currently available vaccine against tuberculosis</w:t>
      </w:r>
      <w:r w:rsidR="00D93E9D" w:rsidRPr="00AB0BD3">
        <w:rPr>
          <w:rFonts w:ascii="Arial" w:hAnsi="Arial" w:cs="Arial"/>
        </w:rPr>
        <w:t xml:space="preserve"> (Cernuschi et al, 2018)</w:t>
      </w:r>
      <w:r w:rsidRPr="00AB0BD3">
        <w:rPr>
          <w:rFonts w:ascii="Arial" w:hAnsi="Arial" w:cs="Arial"/>
        </w:rPr>
        <w:t>. Globally, it has been widely administered for nearly a century and remains a central component of childhood immunisation programmes in many countries</w:t>
      </w:r>
      <w:r w:rsidR="00361DEC" w:rsidRPr="00AB0BD3">
        <w:rPr>
          <w:rFonts w:ascii="Arial" w:hAnsi="Arial" w:cs="Arial"/>
        </w:rPr>
        <w:t xml:space="preserve"> (Li et al, 2022)</w:t>
      </w:r>
      <w:r w:rsidRPr="00AB0BD3">
        <w:rPr>
          <w:rFonts w:ascii="Arial" w:hAnsi="Arial" w:cs="Arial"/>
        </w:rPr>
        <w:t xml:space="preserve">. Its primary role is the prevention of severe forms of TB in children, such as TB meningitis and miliary TB. Despite variations in its effectiveness against pulmonary TB in adults, the vaccine continues to play </w:t>
      </w:r>
      <w:r w:rsidR="00D93E9D" w:rsidRPr="00AB0BD3">
        <w:rPr>
          <w:rFonts w:ascii="Arial" w:hAnsi="Arial" w:cs="Arial"/>
        </w:rPr>
        <w:t>a crucial preventive role in high-burden regions due to its safety, low cost, and established delivery systems (Starshinova et al.</w:t>
      </w:r>
      <w:r w:rsidR="00335536" w:rsidRPr="00AB0BD3">
        <w:rPr>
          <w:rFonts w:ascii="Arial" w:hAnsi="Arial" w:cs="Arial"/>
        </w:rPr>
        <w:t>, 2025)</w:t>
      </w:r>
      <w:r w:rsidRPr="00AB0BD3">
        <w:rPr>
          <w:rFonts w:ascii="Arial" w:hAnsi="Arial" w:cs="Arial"/>
        </w:rPr>
        <w:t>.</w:t>
      </w:r>
    </w:p>
    <w:p w14:paraId="268E45EC" w14:textId="5CAA7614" w:rsidR="00403C9B" w:rsidRPr="00AB0BD3" w:rsidRDefault="00403C9B" w:rsidP="0046084C">
      <w:pPr>
        <w:spacing w:before="240" w:line="360" w:lineRule="auto"/>
        <w:jc w:val="both"/>
        <w:rPr>
          <w:rFonts w:ascii="Arial" w:hAnsi="Arial" w:cs="Arial"/>
        </w:rPr>
      </w:pPr>
      <w:r w:rsidRPr="00AB0BD3">
        <w:rPr>
          <w:rFonts w:ascii="Arial" w:hAnsi="Arial" w:cs="Arial"/>
        </w:rPr>
        <w:t>Internationally, BCG coverage varies significantly. High-income countries with low TB incidence often do not adopt universal vaccination, instead targeting high-risk groups</w:t>
      </w:r>
      <w:r w:rsidR="00C75AEF" w:rsidRPr="00AB0BD3">
        <w:rPr>
          <w:rFonts w:ascii="Arial" w:hAnsi="Arial" w:cs="Arial"/>
        </w:rPr>
        <w:t xml:space="preserve"> (Lancione et al, 2022)</w:t>
      </w:r>
      <w:r w:rsidRPr="00AB0BD3">
        <w:rPr>
          <w:rFonts w:ascii="Arial" w:hAnsi="Arial" w:cs="Arial"/>
        </w:rPr>
        <w:t xml:space="preserve">. Conversely, countries in South-East Asia and Africa maintain </w:t>
      </w:r>
      <w:r w:rsidRPr="00AB0BD3">
        <w:rPr>
          <w:rFonts w:ascii="Arial" w:hAnsi="Arial" w:cs="Arial"/>
        </w:rPr>
        <w:lastRenderedPageBreak/>
        <w:t>routine neonatal vaccination due to sustained transmission levels</w:t>
      </w:r>
      <w:r w:rsidR="00254A7E" w:rsidRPr="00AB0BD3">
        <w:rPr>
          <w:rFonts w:ascii="Arial" w:hAnsi="Arial" w:cs="Arial"/>
        </w:rPr>
        <w:t xml:space="preserve"> (Cernuschi et al, 2018)</w:t>
      </w:r>
      <w:r w:rsidRPr="00AB0BD3">
        <w:rPr>
          <w:rFonts w:ascii="Arial" w:hAnsi="Arial" w:cs="Arial"/>
        </w:rPr>
        <w:t>. Differences in vaccine strain, environmental exposure to non-tuberculous mycobacteria, and population genetics have been proposed as reasons for variability in vaccine efficacy across regions. Global efforts continue to refine vaccination strategies, while research into new TB vaccines remains ongoing</w:t>
      </w:r>
      <w:r w:rsidR="00753BDC" w:rsidRPr="00AB0BD3">
        <w:rPr>
          <w:rFonts w:ascii="Arial" w:hAnsi="Arial" w:cs="Arial"/>
        </w:rPr>
        <w:t xml:space="preserve"> (Li et al, 2022)</w:t>
      </w:r>
      <w:r w:rsidRPr="00AB0BD3">
        <w:rPr>
          <w:rFonts w:ascii="Arial" w:hAnsi="Arial" w:cs="Arial"/>
        </w:rPr>
        <w:t>.</w:t>
      </w:r>
    </w:p>
    <w:p w14:paraId="6A93424F" w14:textId="36EED246" w:rsidR="00403C9B" w:rsidRPr="00AB0BD3" w:rsidRDefault="00403C9B" w:rsidP="0046084C">
      <w:pPr>
        <w:spacing w:before="240" w:line="360" w:lineRule="auto"/>
        <w:jc w:val="both"/>
        <w:rPr>
          <w:rFonts w:ascii="Arial" w:hAnsi="Arial" w:cs="Arial"/>
        </w:rPr>
      </w:pPr>
      <w:r w:rsidRPr="00AB0BD3">
        <w:rPr>
          <w:rFonts w:ascii="Arial" w:hAnsi="Arial" w:cs="Arial"/>
        </w:rPr>
        <w:t>In India, BCG vaccination forms part of the Universal Immunisation Programme, delivered shortly after birth</w:t>
      </w:r>
      <w:r w:rsidR="00753BDC" w:rsidRPr="00AB0BD3">
        <w:rPr>
          <w:rFonts w:ascii="Arial" w:hAnsi="Arial" w:cs="Arial"/>
        </w:rPr>
        <w:t xml:space="preserve"> (Li et al, 2022)</w:t>
      </w:r>
      <w:r w:rsidRPr="00AB0BD3">
        <w:rPr>
          <w:rFonts w:ascii="Arial" w:hAnsi="Arial" w:cs="Arial"/>
        </w:rPr>
        <w:t>. Despite high national coverage, disparities persist at the regional and community levels</w:t>
      </w:r>
      <w:r w:rsidR="00753BDC" w:rsidRPr="00AB0BD3">
        <w:rPr>
          <w:rFonts w:ascii="Arial" w:hAnsi="Arial" w:cs="Arial"/>
        </w:rPr>
        <w:t xml:space="preserve"> (Starshinova et al, 2025)</w:t>
      </w:r>
      <w:r w:rsidRPr="00AB0BD3">
        <w:rPr>
          <w:rFonts w:ascii="Arial" w:hAnsi="Arial" w:cs="Arial"/>
        </w:rPr>
        <w:t xml:space="preserve">. Urban slums, migrant populations, and socially disadvantaged groups often experience lower vaccination rates due to barriers such as limited healthcare access and </w:t>
      </w:r>
      <w:r w:rsidR="0046084C" w:rsidRPr="00AB0BD3">
        <w:rPr>
          <w:rFonts w:ascii="Arial" w:hAnsi="Arial" w:cs="Arial"/>
        </w:rPr>
        <w:t xml:space="preserve">a </w:t>
      </w:r>
      <w:r w:rsidRPr="00AB0BD3">
        <w:rPr>
          <w:rFonts w:ascii="Arial" w:hAnsi="Arial" w:cs="Arial"/>
        </w:rPr>
        <w:t>lack of awareness. These inequities highlight the need to strengthen outreach strategies to ensure more consistent and equitable vaccine uptake</w:t>
      </w:r>
      <w:r w:rsidR="00753BDC" w:rsidRPr="00AB0BD3">
        <w:rPr>
          <w:rFonts w:ascii="Arial" w:hAnsi="Arial" w:cs="Arial"/>
        </w:rPr>
        <w:t xml:space="preserve"> (Cernuschi et al, 2018)</w:t>
      </w:r>
      <w:r w:rsidRPr="00AB0BD3">
        <w:rPr>
          <w:rFonts w:ascii="Arial" w:hAnsi="Arial" w:cs="Arial"/>
        </w:rPr>
        <w:t>.</w:t>
      </w:r>
    </w:p>
    <w:p w14:paraId="2E63C165" w14:textId="387EA0F4" w:rsidR="00403C9B" w:rsidRPr="00AB0BD3" w:rsidRDefault="00403C9B" w:rsidP="004F2450">
      <w:pPr>
        <w:pStyle w:val="Heading1"/>
      </w:pPr>
      <w:bookmarkStart w:id="15" w:name="_Toc218418669"/>
      <w:r w:rsidRPr="00AB0BD3">
        <w:t>2.8 Effectiveness of BCG Vaccination</w:t>
      </w:r>
      <w:bookmarkEnd w:id="15"/>
      <w:r w:rsidRPr="00AB0BD3">
        <w:t xml:space="preserve"> </w:t>
      </w:r>
    </w:p>
    <w:p w14:paraId="43FEFA5C" w14:textId="69F5A34B" w:rsidR="00403C9B" w:rsidRPr="00AB0BD3" w:rsidRDefault="00403C9B" w:rsidP="0046084C">
      <w:pPr>
        <w:spacing w:before="240" w:line="360" w:lineRule="auto"/>
        <w:jc w:val="both"/>
        <w:rPr>
          <w:rFonts w:ascii="Arial" w:hAnsi="Arial" w:cs="Arial"/>
        </w:rPr>
      </w:pPr>
      <w:r w:rsidRPr="00AB0BD3">
        <w:rPr>
          <w:rFonts w:ascii="Arial" w:hAnsi="Arial" w:cs="Arial"/>
        </w:rPr>
        <w:t>Studies consistently show that the BCG vaccine is highly effective in preventing severe paediatric forms of tuberculosis. It offers significant protection against TB meningitis and disseminated TB in young children, reducing the risk of life-threatening complications</w:t>
      </w:r>
      <w:r w:rsidR="001C44DE" w:rsidRPr="00AB0BD3">
        <w:rPr>
          <w:rFonts w:ascii="Arial" w:hAnsi="Arial" w:cs="Arial"/>
        </w:rPr>
        <w:t xml:space="preserve"> (Katelaris et al, 2020)</w:t>
      </w:r>
      <w:r w:rsidRPr="00AB0BD3">
        <w:rPr>
          <w:rFonts w:ascii="Arial" w:hAnsi="Arial" w:cs="Arial"/>
        </w:rPr>
        <w:t>. Evidence suggests that the protection begins early in life and can persist for several years. However, the degree of protection provided against pulmonary TB in adults varies considerably across populations, with estimates ranging widely</w:t>
      </w:r>
      <w:r w:rsidR="009C3E8B" w:rsidRPr="00AB0BD3">
        <w:rPr>
          <w:rFonts w:ascii="Arial" w:hAnsi="Arial" w:cs="Arial"/>
        </w:rPr>
        <w:t xml:space="preserve"> (Clark et al, 2023)</w:t>
      </w:r>
      <w:r w:rsidRPr="00AB0BD3">
        <w:rPr>
          <w:rFonts w:ascii="Arial" w:hAnsi="Arial" w:cs="Arial"/>
        </w:rPr>
        <w:t>. This variability has influenced ongoing discussions regarding the need for booster doses or alternative vaccination strategies</w:t>
      </w:r>
      <w:r w:rsidR="00495ECE" w:rsidRPr="00AB0BD3">
        <w:rPr>
          <w:rFonts w:ascii="Arial" w:hAnsi="Arial" w:cs="Arial"/>
        </w:rPr>
        <w:t xml:space="preserve"> (Clark et al, 2023)</w:t>
      </w:r>
      <w:r w:rsidRPr="00AB0BD3">
        <w:rPr>
          <w:rFonts w:ascii="Arial" w:hAnsi="Arial" w:cs="Arial"/>
        </w:rPr>
        <w:t>.</w:t>
      </w:r>
    </w:p>
    <w:p w14:paraId="27D77DE1" w14:textId="0CA36E31" w:rsidR="00403C9B" w:rsidRPr="00AB0BD3" w:rsidRDefault="00403C9B" w:rsidP="0046084C">
      <w:pPr>
        <w:spacing w:before="240" w:line="360" w:lineRule="auto"/>
        <w:jc w:val="both"/>
        <w:rPr>
          <w:rFonts w:ascii="Arial" w:hAnsi="Arial" w:cs="Arial"/>
        </w:rPr>
      </w:pPr>
      <w:r w:rsidRPr="00AB0BD3">
        <w:rPr>
          <w:rFonts w:ascii="Arial" w:hAnsi="Arial" w:cs="Arial"/>
        </w:rPr>
        <w:t>Factors affecting vaccine effectiveness include genetic differences in populations, exposure to environmental mycobacteria, and differences in vaccine strain. Additionally, disparities in vaccination timing and coverage further influence outcomes</w:t>
      </w:r>
      <w:r w:rsidR="004474B4" w:rsidRPr="00AB0BD3">
        <w:rPr>
          <w:rFonts w:ascii="Arial" w:hAnsi="Arial" w:cs="Arial"/>
        </w:rPr>
        <w:t xml:space="preserve"> (Fatima et al, 2020)</w:t>
      </w:r>
      <w:r w:rsidRPr="00AB0BD3">
        <w:rPr>
          <w:rFonts w:ascii="Arial" w:hAnsi="Arial" w:cs="Arial"/>
        </w:rPr>
        <w:t>. Individuals who miss vaccination in infancy may have reduced immunity later in life, particularly those living in high-burden urban areas</w:t>
      </w:r>
      <w:r w:rsidR="00FD417E" w:rsidRPr="00AB0BD3">
        <w:rPr>
          <w:rFonts w:ascii="Arial" w:hAnsi="Arial" w:cs="Arial"/>
        </w:rPr>
        <w:t xml:space="preserve"> (Adhisivam et al, 2025)</w:t>
      </w:r>
      <w:r w:rsidRPr="00AB0BD3">
        <w:rPr>
          <w:rFonts w:ascii="Arial" w:hAnsi="Arial" w:cs="Arial"/>
        </w:rPr>
        <w:t>. Moreover, the duration of protection may diminish over time, especially among adults aged 15 to 60 years, prompting discussions about targeted revaccination in high-risk settings</w:t>
      </w:r>
      <w:r w:rsidR="001E0D7E" w:rsidRPr="00AB0BD3">
        <w:rPr>
          <w:rFonts w:ascii="Arial" w:hAnsi="Arial" w:cs="Arial"/>
        </w:rPr>
        <w:t xml:space="preserve"> (Kumar, 2021)</w:t>
      </w:r>
      <w:r w:rsidRPr="00AB0BD3">
        <w:rPr>
          <w:rFonts w:ascii="Arial" w:hAnsi="Arial" w:cs="Arial"/>
        </w:rPr>
        <w:t>.</w:t>
      </w:r>
    </w:p>
    <w:p w14:paraId="0530A6E9" w14:textId="02FD1405" w:rsidR="00403C9B" w:rsidRPr="00AB0BD3" w:rsidRDefault="00403C9B" w:rsidP="0046084C">
      <w:pPr>
        <w:spacing w:before="240" w:line="360" w:lineRule="auto"/>
        <w:jc w:val="both"/>
        <w:rPr>
          <w:rFonts w:ascii="Arial" w:hAnsi="Arial" w:cs="Arial"/>
        </w:rPr>
      </w:pPr>
      <w:r w:rsidRPr="00AB0BD3">
        <w:rPr>
          <w:rFonts w:ascii="Arial" w:hAnsi="Arial" w:cs="Arial"/>
        </w:rPr>
        <w:lastRenderedPageBreak/>
        <w:t>Despite these limitations, BCG remains an essential component of TB control programmes. In high-burden countries such as India, the vaccine’s population-level impact is substantial, particularly in reducing childhood morbidity</w:t>
      </w:r>
      <w:r w:rsidR="00495ECE" w:rsidRPr="00AB0BD3">
        <w:rPr>
          <w:rFonts w:ascii="Arial" w:hAnsi="Arial" w:cs="Arial"/>
        </w:rPr>
        <w:t xml:space="preserve"> (Katelaris et al, 2020)</w:t>
      </w:r>
      <w:r w:rsidRPr="00AB0BD3">
        <w:rPr>
          <w:rFonts w:ascii="Arial" w:hAnsi="Arial" w:cs="Arial"/>
        </w:rPr>
        <w:t>. Research continues to explore supplementary strategies, including new vaccines in development and integrated public health approaches, to enhance protection for adults</w:t>
      </w:r>
      <w:r w:rsidR="00495ECE" w:rsidRPr="00AB0BD3">
        <w:rPr>
          <w:rFonts w:ascii="Arial" w:hAnsi="Arial" w:cs="Arial"/>
        </w:rPr>
        <w:t xml:space="preserve"> (Clark et al, 2023)</w:t>
      </w:r>
      <w:r w:rsidRPr="00AB0BD3">
        <w:rPr>
          <w:rFonts w:ascii="Arial" w:hAnsi="Arial" w:cs="Arial"/>
        </w:rPr>
        <w:t>. Overall, the evidence suggests that BCG contributes to reducing TB severity, though its effectiveness in preventing transmission requires additional support through early detection, improved treatment, and socio-economic interventions</w:t>
      </w:r>
      <w:r w:rsidR="00495ECE" w:rsidRPr="00AB0BD3">
        <w:rPr>
          <w:rFonts w:ascii="Arial" w:hAnsi="Arial" w:cs="Arial"/>
        </w:rPr>
        <w:t xml:space="preserve"> (Fatima et al, 2020; Kumar, 2021)</w:t>
      </w:r>
      <w:r w:rsidRPr="00AB0BD3">
        <w:rPr>
          <w:rFonts w:ascii="Arial" w:hAnsi="Arial" w:cs="Arial"/>
        </w:rPr>
        <w:t>.</w:t>
      </w:r>
    </w:p>
    <w:p w14:paraId="367FE53A" w14:textId="464D627F" w:rsidR="00403C9B" w:rsidRPr="00AB0BD3" w:rsidRDefault="00403C9B" w:rsidP="004F2450">
      <w:pPr>
        <w:pStyle w:val="Heading1"/>
      </w:pPr>
      <w:bookmarkStart w:id="16" w:name="_Toc218418670"/>
      <w:r w:rsidRPr="00AB0BD3">
        <w:t>2.9 BCG Vaccination Campaigns in Delhi</w:t>
      </w:r>
      <w:bookmarkEnd w:id="16"/>
      <w:r w:rsidRPr="00AB0BD3">
        <w:t xml:space="preserve"> </w:t>
      </w:r>
    </w:p>
    <w:p w14:paraId="78B04FF3" w14:textId="19F04268" w:rsidR="00403C9B" w:rsidRPr="00AB0BD3" w:rsidRDefault="00403C9B" w:rsidP="0046084C">
      <w:pPr>
        <w:spacing w:before="240" w:line="360" w:lineRule="auto"/>
        <w:jc w:val="both"/>
        <w:rPr>
          <w:rFonts w:ascii="Arial" w:hAnsi="Arial" w:cs="Arial"/>
        </w:rPr>
      </w:pPr>
      <w:r w:rsidRPr="00AB0BD3">
        <w:rPr>
          <w:rFonts w:ascii="Arial" w:hAnsi="Arial" w:cs="Arial"/>
        </w:rPr>
        <w:t>Delhi has implemented periodic BCG vaccination campaigns to address uneven immunisation coverage and the rising burden of tuberculosis in its high-risk districts. These campaigns are specifically designed to target populations who often encounter substantial barriers to routine healthcare access</w:t>
      </w:r>
      <w:r w:rsidR="003C4B90" w:rsidRPr="00AB0BD3">
        <w:rPr>
          <w:rFonts w:ascii="Arial" w:hAnsi="Arial" w:cs="Arial"/>
        </w:rPr>
        <w:t xml:space="preserve"> (Devasenapathy et al, 2016)</w:t>
      </w:r>
      <w:r w:rsidRPr="00AB0BD3">
        <w:rPr>
          <w:rFonts w:ascii="Arial" w:hAnsi="Arial" w:cs="Arial"/>
        </w:rPr>
        <w:t>. Strategies commonly used include mobile health units deployed in densely populated neighbourhoods, community-based outreach programmes, and door-to-door vaccination efforts focused on informal settlements</w:t>
      </w:r>
      <w:r w:rsidR="00313518" w:rsidRPr="00AB0BD3">
        <w:rPr>
          <w:rFonts w:ascii="Arial" w:hAnsi="Arial" w:cs="Arial"/>
        </w:rPr>
        <w:t xml:space="preserve"> (Clarke-Deelder et al, 2021)</w:t>
      </w:r>
      <w:r w:rsidRPr="00AB0BD3">
        <w:rPr>
          <w:rFonts w:ascii="Arial" w:hAnsi="Arial" w:cs="Arial"/>
        </w:rPr>
        <w:t>. Campaigns also involve collaboration with local health workers, non-governmental organisations, and community leaders to increase awareness and encourage participation</w:t>
      </w:r>
      <w:r w:rsidR="00B26D9B" w:rsidRPr="00AB0BD3">
        <w:rPr>
          <w:rFonts w:ascii="Arial" w:hAnsi="Arial" w:cs="Arial"/>
        </w:rPr>
        <w:t xml:space="preserve"> (Devasenapathy et al, 2016)</w:t>
      </w:r>
      <w:r w:rsidRPr="00AB0BD3">
        <w:rPr>
          <w:rFonts w:ascii="Arial" w:hAnsi="Arial" w:cs="Arial"/>
        </w:rPr>
        <w:t>. Despite these focused initiatives, significant disparities in vaccination uptake persist across demographic and socio-economic groups, highlighting the complexity of delivering preventive health services in large urban environments</w:t>
      </w:r>
      <w:r w:rsidR="00FE27FF" w:rsidRPr="00AB0BD3">
        <w:rPr>
          <w:rFonts w:ascii="Arial" w:hAnsi="Arial" w:cs="Arial"/>
        </w:rPr>
        <w:t xml:space="preserve"> (Dudeja et al, 2024)</w:t>
      </w:r>
      <w:r w:rsidRPr="00AB0BD3">
        <w:rPr>
          <w:rFonts w:ascii="Arial" w:hAnsi="Arial" w:cs="Arial"/>
        </w:rPr>
        <w:t>.</w:t>
      </w:r>
    </w:p>
    <w:p w14:paraId="39453D8D" w14:textId="4E7DED90" w:rsidR="00403C9B" w:rsidRPr="00AB0BD3" w:rsidRDefault="00403C9B" w:rsidP="0046084C">
      <w:pPr>
        <w:spacing w:before="240" w:line="360" w:lineRule="auto"/>
        <w:jc w:val="both"/>
        <w:rPr>
          <w:rFonts w:ascii="Arial" w:hAnsi="Arial" w:cs="Arial"/>
        </w:rPr>
      </w:pPr>
      <w:r w:rsidRPr="00AB0BD3">
        <w:rPr>
          <w:rFonts w:ascii="Arial" w:hAnsi="Arial" w:cs="Arial"/>
        </w:rPr>
        <w:t>Although periodic drives have resulted in modest improvements in some localities, maintaining sustained coverage remains difficult due to fluctuating population densities, rapid urbanisation, and resource constraints</w:t>
      </w:r>
      <w:r w:rsidR="00B26D9B" w:rsidRPr="00AB0BD3">
        <w:rPr>
          <w:rFonts w:ascii="Arial" w:hAnsi="Arial" w:cs="Arial"/>
        </w:rPr>
        <w:t xml:space="preserve"> (Dudeja et al, 2024)</w:t>
      </w:r>
      <w:r w:rsidRPr="00AB0BD3">
        <w:rPr>
          <w:rFonts w:ascii="Arial" w:hAnsi="Arial" w:cs="Arial"/>
        </w:rPr>
        <w:t>. Understanding the effectiveness, reach, and limitations of these campaigns is crucial for informing future strategies. This evaluation can help identify gaps in service delivery, strengthen targeted interventions, and enhance the overall impact of BCG vaccination efforts in Delhi’s most vulnerable urban populations</w:t>
      </w:r>
      <w:r w:rsidR="00B26D9B" w:rsidRPr="00AB0BD3">
        <w:rPr>
          <w:rFonts w:ascii="Arial" w:hAnsi="Arial" w:cs="Arial"/>
        </w:rPr>
        <w:t xml:space="preserve"> (Clark et al, 2023).</w:t>
      </w:r>
    </w:p>
    <w:p w14:paraId="7F5E8C12" w14:textId="663FCA03" w:rsidR="00403C9B" w:rsidRPr="00AB0BD3" w:rsidRDefault="00403C9B" w:rsidP="004F2450">
      <w:pPr>
        <w:pStyle w:val="Heading1"/>
      </w:pPr>
      <w:bookmarkStart w:id="17" w:name="_Toc218418671"/>
      <w:r w:rsidRPr="00AB0BD3">
        <w:lastRenderedPageBreak/>
        <w:t>2.1</w:t>
      </w:r>
      <w:r w:rsidR="00F67463" w:rsidRPr="00AB0BD3">
        <w:t>0</w:t>
      </w:r>
      <w:r w:rsidRPr="00AB0BD3">
        <w:t xml:space="preserve"> Barriers to BCG Vaccination Uptake</w:t>
      </w:r>
      <w:bookmarkEnd w:id="17"/>
      <w:r w:rsidRPr="00AB0BD3">
        <w:t xml:space="preserve"> </w:t>
      </w:r>
    </w:p>
    <w:p w14:paraId="0895B8C5" w14:textId="008D5F7B" w:rsidR="00403C9B" w:rsidRPr="00AB0BD3" w:rsidRDefault="00403C9B" w:rsidP="0046084C">
      <w:pPr>
        <w:spacing w:before="240" w:line="360" w:lineRule="auto"/>
        <w:jc w:val="both"/>
        <w:rPr>
          <w:rFonts w:ascii="Arial" w:hAnsi="Arial" w:cs="Arial"/>
        </w:rPr>
      </w:pPr>
      <w:r w:rsidRPr="00AB0BD3">
        <w:rPr>
          <w:rFonts w:ascii="Arial" w:hAnsi="Arial" w:cs="Arial"/>
        </w:rPr>
        <w:t>Multiple barriers limit the uptake of BCG vaccination in high-risk urban settings, particularly in densely populated districts of Delhi. Structural and system-level challenges remain among the most significant obstacles</w:t>
      </w:r>
      <w:r w:rsidR="00DA41EB" w:rsidRPr="00AB0BD3">
        <w:rPr>
          <w:rFonts w:ascii="Arial" w:hAnsi="Arial" w:cs="Arial"/>
        </w:rPr>
        <w:t xml:space="preserve"> (Singh et al, 2019)</w:t>
      </w:r>
      <w:r w:rsidRPr="00AB0BD3">
        <w:rPr>
          <w:rFonts w:ascii="Arial" w:hAnsi="Arial" w:cs="Arial"/>
        </w:rPr>
        <w:t>. Inadequate health infrastructure, overcrowded public health facilities, and irregular vaccine supply chains disrupt continuity in vaccination services. These gaps contribute to inconsistent delivery, resulting in missed or delayed vaccinations</w:t>
      </w:r>
      <w:r w:rsidR="00253AFE" w:rsidRPr="00AB0BD3">
        <w:rPr>
          <w:rFonts w:ascii="Arial" w:hAnsi="Arial" w:cs="Arial"/>
        </w:rPr>
        <w:t xml:space="preserve"> (Francis et al, 2021)</w:t>
      </w:r>
      <w:r w:rsidRPr="00AB0BD3">
        <w:rPr>
          <w:rFonts w:ascii="Arial" w:hAnsi="Arial" w:cs="Arial"/>
        </w:rPr>
        <w:t>. Limited numbers of trained healthcare staff and the absence of robust tracking systems further impede effective implementation</w:t>
      </w:r>
      <w:r w:rsidR="007A74B9" w:rsidRPr="00AB0BD3">
        <w:rPr>
          <w:rFonts w:ascii="Arial" w:hAnsi="Arial" w:cs="Arial"/>
        </w:rPr>
        <w:t xml:space="preserve"> (Prakash et al, 2025)</w:t>
      </w:r>
      <w:r w:rsidRPr="00AB0BD3">
        <w:rPr>
          <w:rFonts w:ascii="Arial" w:hAnsi="Arial" w:cs="Arial"/>
        </w:rPr>
        <w:t xml:space="preserve">. Additionally, migrants and informal workers often face challenges related to documentation requirements, residence verification, or </w:t>
      </w:r>
      <w:r w:rsidR="0046084C" w:rsidRPr="00AB0BD3">
        <w:rPr>
          <w:rFonts w:ascii="Arial" w:hAnsi="Arial" w:cs="Arial"/>
        </w:rPr>
        <w:t xml:space="preserve">a </w:t>
      </w:r>
      <w:r w:rsidRPr="00AB0BD3">
        <w:rPr>
          <w:rFonts w:ascii="Arial" w:hAnsi="Arial" w:cs="Arial"/>
        </w:rPr>
        <w:t>lack of awareness about vaccination schedules, making it difficult for them to access routine immunisation centres</w:t>
      </w:r>
      <w:r w:rsidR="00E16670" w:rsidRPr="00AB0BD3">
        <w:rPr>
          <w:rFonts w:ascii="Arial" w:hAnsi="Arial" w:cs="Arial"/>
        </w:rPr>
        <w:t xml:space="preserve"> (Singh et al, 2019)</w:t>
      </w:r>
      <w:r w:rsidRPr="00AB0BD3">
        <w:rPr>
          <w:rFonts w:ascii="Arial" w:hAnsi="Arial" w:cs="Arial"/>
        </w:rPr>
        <w:t>.</w:t>
      </w:r>
    </w:p>
    <w:p w14:paraId="72DE0E0B" w14:textId="5C9DCE04" w:rsidR="00403C9B" w:rsidRPr="00AB0BD3" w:rsidRDefault="00403C9B" w:rsidP="0046084C">
      <w:pPr>
        <w:spacing w:before="240" w:line="360" w:lineRule="auto"/>
        <w:jc w:val="both"/>
        <w:rPr>
          <w:rFonts w:ascii="Arial" w:hAnsi="Arial" w:cs="Arial"/>
        </w:rPr>
      </w:pPr>
      <w:r w:rsidRPr="00AB0BD3">
        <w:rPr>
          <w:rFonts w:ascii="Arial" w:hAnsi="Arial" w:cs="Arial"/>
        </w:rPr>
        <w:t>Community-level factors also play a central role in shaping vaccination uptake. In many urban poor communities, awareness of the benefits of BCG vaccination remains low, and misconceptions surrounding vaccines persist</w:t>
      </w:r>
      <w:r w:rsidR="00717B0F" w:rsidRPr="00AB0BD3">
        <w:rPr>
          <w:rFonts w:ascii="Arial" w:hAnsi="Arial" w:cs="Arial"/>
        </w:rPr>
        <w:t xml:space="preserve"> (Dutta et al, 2021)</w:t>
      </w:r>
      <w:r w:rsidRPr="00AB0BD3">
        <w:rPr>
          <w:rFonts w:ascii="Arial" w:hAnsi="Arial" w:cs="Arial"/>
        </w:rPr>
        <w:t>. Cultural beliefs, fear of side effects, and misinformation reduce community trust and increase vaccine hesitancy</w:t>
      </w:r>
      <w:r w:rsidR="00E16670" w:rsidRPr="00AB0BD3">
        <w:rPr>
          <w:rFonts w:ascii="Arial" w:hAnsi="Arial" w:cs="Arial"/>
        </w:rPr>
        <w:t xml:space="preserve"> (Dutta et al, 2021)</w:t>
      </w:r>
      <w:r w:rsidRPr="00AB0BD3">
        <w:rPr>
          <w:rFonts w:ascii="Arial" w:hAnsi="Arial" w:cs="Arial"/>
        </w:rPr>
        <w:t>. In areas where education levels are low, many individuals do not recognise the importance of early-life immunisation or the role of the BCG vaccine in preventing severe forms of TB</w:t>
      </w:r>
      <w:r w:rsidR="00E16670" w:rsidRPr="00AB0BD3">
        <w:rPr>
          <w:rFonts w:ascii="Arial" w:hAnsi="Arial" w:cs="Arial"/>
        </w:rPr>
        <w:t xml:space="preserve"> (Francis et al, 2021)</w:t>
      </w:r>
      <w:r w:rsidRPr="00AB0BD3">
        <w:rPr>
          <w:rFonts w:ascii="Arial" w:hAnsi="Arial" w:cs="Arial"/>
        </w:rPr>
        <w:t>. High mobility among migrant workers disrupts continuity of care, as families frequently relocate and miss scheduled vaccination opportunities. These dynamics contribute to uneven coverage across districts and weaken the overall impact of vaccination campaigns</w:t>
      </w:r>
      <w:r w:rsidR="00E16670" w:rsidRPr="00AB0BD3">
        <w:rPr>
          <w:rFonts w:ascii="Arial" w:hAnsi="Arial" w:cs="Arial"/>
        </w:rPr>
        <w:t xml:space="preserve"> (Singh et al, 2019)</w:t>
      </w:r>
      <w:r w:rsidRPr="00AB0BD3">
        <w:rPr>
          <w:rFonts w:ascii="Arial" w:hAnsi="Arial" w:cs="Arial"/>
        </w:rPr>
        <w:t>.</w:t>
      </w:r>
    </w:p>
    <w:p w14:paraId="3762CD65" w14:textId="594E90D0" w:rsidR="00403C9B" w:rsidRPr="00AB0BD3" w:rsidRDefault="00403C9B" w:rsidP="0046084C">
      <w:pPr>
        <w:spacing w:before="240" w:line="360" w:lineRule="auto"/>
        <w:jc w:val="both"/>
        <w:rPr>
          <w:rFonts w:ascii="Arial" w:hAnsi="Arial" w:cs="Arial"/>
        </w:rPr>
      </w:pPr>
      <w:r w:rsidRPr="00AB0BD3">
        <w:rPr>
          <w:rFonts w:ascii="Arial" w:hAnsi="Arial" w:cs="Arial"/>
        </w:rPr>
        <w:t>Behavioural and socio-economic determinants present additional barriers to uptake. Families facing economic hardship often prioritise daily survival and income-generating activities over preventive healthcare visits</w:t>
      </w:r>
      <w:r w:rsidR="00E16670" w:rsidRPr="00AB0BD3">
        <w:rPr>
          <w:rFonts w:ascii="Arial" w:hAnsi="Arial" w:cs="Arial"/>
        </w:rPr>
        <w:t xml:space="preserve"> (Francis et al, 2021)</w:t>
      </w:r>
      <w:r w:rsidRPr="00AB0BD3">
        <w:rPr>
          <w:rFonts w:ascii="Arial" w:hAnsi="Arial" w:cs="Arial"/>
        </w:rPr>
        <w:t>. Women in marginalised communities may experience restricted mobility or require permission to access health services, resulting in delayed or missed childhood vaccinations</w:t>
      </w:r>
      <w:r w:rsidR="00E16670" w:rsidRPr="00AB0BD3">
        <w:rPr>
          <w:rFonts w:ascii="Arial" w:hAnsi="Arial" w:cs="Arial"/>
        </w:rPr>
        <w:t xml:space="preserve"> (Singh et al, 2019)</w:t>
      </w:r>
      <w:r w:rsidRPr="00AB0BD3">
        <w:rPr>
          <w:rFonts w:ascii="Arial" w:hAnsi="Arial" w:cs="Arial"/>
        </w:rPr>
        <w:t>. Language barriers, distrust of government programmes, and negative past experiences with health services further reduce engagement</w:t>
      </w:r>
      <w:r w:rsidR="00E16670" w:rsidRPr="00AB0BD3">
        <w:rPr>
          <w:rFonts w:ascii="Arial" w:hAnsi="Arial" w:cs="Arial"/>
        </w:rPr>
        <w:t xml:space="preserve"> (Francis et al, 2021)</w:t>
      </w:r>
      <w:r w:rsidRPr="00AB0BD3">
        <w:rPr>
          <w:rFonts w:ascii="Arial" w:hAnsi="Arial" w:cs="Arial"/>
        </w:rPr>
        <w:t xml:space="preserve">. Addressing these challenges requires a combination of strategies, including </w:t>
      </w:r>
      <w:r w:rsidRPr="00AB0BD3">
        <w:rPr>
          <w:rFonts w:ascii="Arial" w:hAnsi="Arial" w:cs="Arial"/>
        </w:rPr>
        <w:lastRenderedPageBreak/>
        <w:t>community-based communication, culturally sensitive health promotion, expanded outreach services, and improved health system responsiveness</w:t>
      </w:r>
      <w:r w:rsidR="00E16670" w:rsidRPr="00AB0BD3">
        <w:rPr>
          <w:rFonts w:ascii="Arial" w:hAnsi="Arial" w:cs="Arial"/>
        </w:rPr>
        <w:t xml:space="preserve"> (Dutta et al, 2021)</w:t>
      </w:r>
      <w:r w:rsidRPr="00AB0BD3">
        <w:rPr>
          <w:rFonts w:ascii="Arial" w:hAnsi="Arial" w:cs="Arial"/>
        </w:rPr>
        <w:t>. Strengthening these areas is essential to achieving equitable and sustained BCG vaccination coverage in high-risk districts</w:t>
      </w:r>
      <w:r w:rsidR="00E16670" w:rsidRPr="00AB0BD3">
        <w:rPr>
          <w:rFonts w:ascii="Arial" w:hAnsi="Arial" w:cs="Arial"/>
        </w:rPr>
        <w:t xml:space="preserve"> (Prakash et al, 2025)</w:t>
      </w:r>
      <w:r w:rsidRPr="00AB0BD3">
        <w:rPr>
          <w:rFonts w:ascii="Arial" w:hAnsi="Arial" w:cs="Arial"/>
        </w:rPr>
        <w:t>.</w:t>
      </w:r>
    </w:p>
    <w:p w14:paraId="646E7DD8" w14:textId="16F646E0" w:rsidR="00403C9B" w:rsidRPr="00AB0BD3" w:rsidRDefault="00403C9B" w:rsidP="004F2450">
      <w:pPr>
        <w:pStyle w:val="Heading1"/>
      </w:pPr>
      <w:bookmarkStart w:id="18" w:name="_Toc218418672"/>
      <w:r w:rsidRPr="00AB0BD3">
        <w:t>2.1</w:t>
      </w:r>
      <w:r w:rsidR="00EF4080" w:rsidRPr="00AB0BD3">
        <w:t>1</w:t>
      </w:r>
      <w:r w:rsidRPr="00AB0BD3">
        <w:t xml:space="preserve"> Early Detection, Screening, and TB Control Measures</w:t>
      </w:r>
      <w:bookmarkEnd w:id="18"/>
      <w:r w:rsidRPr="00AB0BD3">
        <w:t xml:space="preserve"> </w:t>
      </w:r>
    </w:p>
    <w:p w14:paraId="4D7AF099" w14:textId="3A223549" w:rsidR="00403C9B" w:rsidRPr="00AB0BD3" w:rsidRDefault="00403C9B" w:rsidP="0046084C">
      <w:pPr>
        <w:spacing w:before="240" w:line="360" w:lineRule="auto"/>
        <w:jc w:val="both"/>
        <w:rPr>
          <w:rFonts w:ascii="Arial" w:hAnsi="Arial" w:cs="Arial"/>
        </w:rPr>
      </w:pPr>
      <w:r w:rsidRPr="00AB0BD3">
        <w:rPr>
          <w:rFonts w:ascii="Arial" w:hAnsi="Arial" w:cs="Arial"/>
        </w:rPr>
        <w:t xml:space="preserve">Early detection is a critical component of tuberculosis control, enabling </w:t>
      </w:r>
      <w:r w:rsidR="00E977C4" w:rsidRPr="00AB0BD3">
        <w:rPr>
          <w:rFonts w:ascii="Arial" w:hAnsi="Arial" w:cs="Arial"/>
        </w:rPr>
        <w:t xml:space="preserve">the </w:t>
      </w:r>
      <w:r w:rsidRPr="00AB0BD3">
        <w:rPr>
          <w:rFonts w:ascii="Arial" w:hAnsi="Arial" w:cs="Arial"/>
        </w:rPr>
        <w:t>timely initiation of treatment and reducing the risk of transmission within communities</w:t>
      </w:r>
      <w:r w:rsidR="00797A13" w:rsidRPr="00AB0BD3">
        <w:rPr>
          <w:rFonts w:ascii="Arial" w:hAnsi="Arial" w:cs="Arial"/>
        </w:rPr>
        <w:t xml:space="preserve"> (Shewade et al, 2022)</w:t>
      </w:r>
      <w:r w:rsidRPr="00AB0BD3">
        <w:rPr>
          <w:rFonts w:ascii="Arial" w:hAnsi="Arial" w:cs="Arial"/>
        </w:rPr>
        <w:t>. Screening approaches vary widely, from basic symptom-based checklists to advanced diagnostic technologies that identify TB at earlier stages. In high-density urban settings, active case-finding initiatives</w:t>
      </w:r>
      <w:r w:rsidR="0046084C" w:rsidRPr="00AB0BD3">
        <w:rPr>
          <w:rFonts w:ascii="Arial" w:hAnsi="Arial" w:cs="Arial"/>
        </w:rPr>
        <w:t xml:space="preserve">, </w:t>
      </w:r>
      <w:r w:rsidRPr="00AB0BD3">
        <w:rPr>
          <w:rFonts w:ascii="Arial" w:hAnsi="Arial" w:cs="Arial"/>
        </w:rPr>
        <w:t>such as door-to-door screening, mobile diagnostic units, and targeted assessments in high-risk groups</w:t>
      </w:r>
      <w:r w:rsidR="00E977C4" w:rsidRPr="00AB0BD3">
        <w:rPr>
          <w:rFonts w:ascii="Arial" w:hAnsi="Arial" w:cs="Arial"/>
        </w:rPr>
        <w:t>,</w:t>
      </w:r>
      <w:r w:rsidR="0046084C" w:rsidRPr="00AB0BD3">
        <w:rPr>
          <w:rFonts w:ascii="Arial" w:hAnsi="Arial" w:cs="Arial"/>
        </w:rPr>
        <w:t xml:space="preserve"> </w:t>
      </w:r>
      <w:r w:rsidRPr="00AB0BD3">
        <w:rPr>
          <w:rFonts w:ascii="Arial" w:hAnsi="Arial" w:cs="Arial"/>
        </w:rPr>
        <w:t>help identify individuals who might otherwise remain undiagnosed</w:t>
      </w:r>
      <w:r w:rsidR="00280F11" w:rsidRPr="00AB0BD3">
        <w:rPr>
          <w:rFonts w:ascii="Arial" w:hAnsi="Arial" w:cs="Arial"/>
        </w:rPr>
        <w:t xml:space="preserve"> (Shah et al, 2025)</w:t>
      </w:r>
      <w:r w:rsidRPr="00AB0BD3">
        <w:rPr>
          <w:rFonts w:ascii="Arial" w:hAnsi="Arial" w:cs="Arial"/>
        </w:rPr>
        <w:t>. These strategies are particularly important for populations such as migrants, slum dwellers, and individuals with weakened immune systems, who often have limited access to routine healthcare services</w:t>
      </w:r>
      <w:r w:rsidR="00D55F49" w:rsidRPr="00AB0BD3">
        <w:rPr>
          <w:rFonts w:ascii="Arial" w:hAnsi="Arial" w:cs="Arial"/>
        </w:rPr>
        <w:t xml:space="preserve"> (Moonan et al, 2018)</w:t>
      </w:r>
      <w:r w:rsidRPr="00AB0BD3">
        <w:rPr>
          <w:rFonts w:ascii="Arial" w:hAnsi="Arial" w:cs="Arial"/>
        </w:rPr>
        <w:t>. Early detection not only improves individual health outcomes but also plays a key role in interrupting transmission cycles in high-burden environments</w:t>
      </w:r>
      <w:r w:rsidR="002366B0" w:rsidRPr="00AB0BD3">
        <w:rPr>
          <w:rFonts w:ascii="Arial" w:hAnsi="Arial" w:cs="Arial"/>
        </w:rPr>
        <w:t xml:space="preserve"> (Shah et al, 2025)</w:t>
      </w:r>
      <w:r w:rsidRPr="00AB0BD3">
        <w:rPr>
          <w:rFonts w:ascii="Arial" w:hAnsi="Arial" w:cs="Arial"/>
        </w:rPr>
        <w:t>.</w:t>
      </w:r>
    </w:p>
    <w:p w14:paraId="006D007E" w14:textId="5EC855E2" w:rsidR="00403C9B" w:rsidRPr="00AB0BD3" w:rsidRDefault="00403C9B" w:rsidP="0046084C">
      <w:pPr>
        <w:spacing w:before="240" w:line="360" w:lineRule="auto"/>
        <w:jc w:val="both"/>
        <w:rPr>
          <w:rFonts w:ascii="Arial" w:hAnsi="Arial" w:cs="Arial"/>
        </w:rPr>
      </w:pPr>
      <w:r w:rsidRPr="00AB0BD3">
        <w:rPr>
          <w:rFonts w:ascii="Arial" w:hAnsi="Arial" w:cs="Arial"/>
        </w:rPr>
        <w:t>Surveillance systems underpin effective early detection by tracking disease trends, identifying emerging hotspots, and monitoring drug-resistant TB patterns</w:t>
      </w:r>
      <w:r w:rsidR="002366B0" w:rsidRPr="00AB0BD3">
        <w:rPr>
          <w:rFonts w:ascii="Arial" w:hAnsi="Arial" w:cs="Arial"/>
        </w:rPr>
        <w:t xml:space="preserve"> (Shah et al, 2025)</w:t>
      </w:r>
      <w:r w:rsidRPr="00AB0BD3">
        <w:rPr>
          <w:rFonts w:ascii="Arial" w:hAnsi="Arial" w:cs="Arial"/>
        </w:rPr>
        <w:t>. Modern diagnostic technologies, including GeneXpert MTB/RIF and other rapid molecular tests, have significantly enhanced the speed and accuracy of TB diagnosis</w:t>
      </w:r>
      <w:r w:rsidR="007A0E41" w:rsidRPr="00AB0BD3">
        <w:rPr>
          <w:rFonts w:ascii="Arial" w:hAnsi="Arial" w:cs="Arial"/>
        </w:rPr>
        <w:t xml:space="preserve"> (Mandal et al, 2025)</w:t>
      </w:r>
      <w:r w:rsidRPr="00AB0BD3">
        <w:rPr>
          <w:rFonts w:ascii="Arial" w:hAnsi="Arial" w:cs="Arial"/>
        </w:rPr>
        <w:t>. These tools allow for early detection of both TB infection and drug resistance, enabling timely initiation of appropriate treatment regimens</w:t>
      </w:r>
      <w:r w:rsidR="002366B0" w:rsidRPr="00AB0BD3">
        <w:rPr>
          <w:rFonts w:ascii="Arial" w:hAnsi="Arial" w:cs="Arial"/>
        </w:rPr>
        <w:t xml:space="preserve"> (Shewade et al, 2022)</w:t>
      </w:r>
      <w:r w:rsidRPr="00AB0BD3">
        <w:rPr>
          <w:rFonts w:ascii="Arial" w:hAnsi="Arial" w:cs="Arial"/>
        </w:rPr>
        <w:t xml:space="preserve">. However, disparities in access to diagnostic facilities persist across socio-economic groups, particularly in low-income urban settlements where health infrastructure is limited. Strengthening laboratory capacity, expanding diagnostic outreach, and ensuring </w:t>
      </w:r>
      <w:r w:rsidR="0046084C" w:rsidRPr="00AB0BD3">
        <w:rPr>
          <w:rFonts w:ascii="Arial" w:hAnsi="Arial" w:cs="Arial"/>
        </w:rPr>
        <w:t xml:space="preserve">the </w:t>
      </w:r>
      <w:r w:rsidRPr="00AB0BD3">
        <w:rPr>
          <w:rFonts w:ascii="Arial" w:hAnsi="Arial" w:cs="Arial"/>
        </w:rPr>
        <w:t>availability of rapid testing are essential to improving surveillance and diagnostic coverage</w:t>
      </w:r>
      <w:r w:rsidR="002366B0" w:rsidRPr="00AB0BD3">
        <w:rPr>
          <w:rFonts w:ascii="Arial" w:hAnsi="Arial" w:cs="Arial"/>
        </w:rPr>
        <w:t xml:space="preserve"> (Shah et al, 2025)</w:t>
      </w:r>
      <w:r w:rsidRPr="00AB0BD3">
        <w:rPr>
          <w:rFonts w:ascii="Arial" w:hAnsi="Arial" w:cs="Arial"/>
        </w:rPr>
        <w:t>.</w:t>
      </w:r>
    </w:p>
    <w:p w14:paraId="24895CB1" w14:textId="61D2545A" w:rsidR="00403C9B" w:rsidRPr="00AB0BD3" w:rsidRDefault="00403C9B" w:rsidP="0046084C">
      <w:pPr>
        <w:spacing w:before="240" w:line="360" w:lineRule="auto"/>
        <w:jc w:val="both"/>
        <w:rPr>
          <w:rFonts w:ascii="Arial" w:hAnsi="Arial" w:cs="Arial"/>
        </w:rPr>
      </w:pPr>
      <w:r w:rsidRPr="00AB0BD3">
        <w:rPr>
          <w:rFonts w:ascii="Arial" w:hAnsi="Arial" w:cs="Arial"/>
        </w:rPr>
        <w:t xml:space="preserve">TB control measures extend beyond clinical detection and treatment to include comprehensive public health strategies. These measures encompass contact tracing, community education campaigns, and improved infection control practices within </w:t>
      </w:r>
      <w:r w:rsidRPr="00AB0BD3">
        <w:rPr>
          <w:rFonts w:ascii="Arial" w:hAnsi="Arial" w:cs="Arial"/>
        </w:rPr>
        <w:lastRenderedPageBreak/>
        <w:t>households and healthcare settings</w:t>
      </w:r>
      <w:r w:rsidR="002366B0" w:rsidRPr="00AB0BD3">
        <w:rPr>
          <w:rFonts w:ascii="Arial" w:hAnsi="Arial" w:cs="Arial"/>
        </w:rPr>
        <w:t xml:space="preserve"> (Moonan et al, 2018)</w:t>
      </w:r>
      <w:r w:rsidRPr="00AB0BD3">
        <w:rPr>
          <w:rFonts w:ascii="Arial" w:hAnsi="Arial" w:cs="Arial"/>
        </w:rPr>
        <w:t>. Preventive approaches, such as BCG vaccination, serve as an important component of long-term TB control, but vaccination alone is insufficient without robust health systems and sustained community engagement</w:t>
      </w:r>
      <w:r w:rsidR="002366B0" w:rsidRPr="00AB0BD3">
        <w:rPr>
          <w:rFonts w:ascii="Arial" w:hAnsi="Arial" w:cs="Arial"/>
        </w:rPr>
        <w:t xml:space="preserve"> (Shewade et al, 2022)</w:t>
      </w:r>
      <w:r w:rsidRPr="00AB0BD3">
        <w:rPr>
          <w:rFonts w:ascii="Arial" w:hAnsi="Arial" w:cs="Arial"/>
        </w:rPr>
        <w:t>. Effective control also requires addressing socio-economic determinants such as poverty, overcrowding, and malnutrition, which increase vulnerability to infection</w:t>
      </w:r>
      <w:r w:rsidR="002366B0" w:rsidRPr="00AB0BD3">
        <w:rPr>
          <w:rFonts w:ascii="Arial" w:hAnsi="Arial" w:cs="Arial"/>
        </w:rPr>
        <w:t xml:space="preserve"> (Moonan et al, 2018)</w:t>
      </w:r>
      <w:r w:rsidRPr="00AB0BD3">
        <w:rPr>
          <w:rFonts w:ascii="Arial" w:hAnsi="Arial" w:cs="Arial"/>
        </w:rPr>
        <w:t>. Collaborative efforts between healthcare providers, community organisations, and government agencies are therefore essential to achieve sustained reductions in TB incidence and to ensure that prevention and care reach the most vulnerable populations</w:t>
      </w:r>
      <w:r w:rsidR="002366B0" w:rsidRPr="00AB0BD3">
        <w:rPr>
          <w:rFonts w:ascii="Arial" w:hAnsi="Arial" w:cs="Arial"/>
        </w:rPr>
        <w:t xml:space="preserve"> (Mandal et al, 2025)</w:t>
      </w:r>
      <w:r w:rsidRPr="00AB0BD3">
        <w:rPr>
          <w:rFonts w:ascii="Arial" w:hAnsi="Arial" w:cs="Arial"/>
        </w:rPr>
        <w:t>.</w:t>
      </w:r>
    </w:p>
    <w:p w14:paraId="44B5A687" w14:textId="6F01E5A1" w:rsidR="00403C9B" w:rsidRPr="00AB0BD3" w:rsidRDefault="00403C9B" w:rsidP="004F2450">
      <w:pPr>
        <w:pStyle w:val="Heading1"/>
      </w:pPr>
      <w:bookmarkStart w:id="19" w:name="_Toc218418673"/>
      <w:r w:rsidRPr="00AB0BD3">
        <w:t>2.1</w:t>
      </w:r>
      <w:r w:rsidR="00EF4080" w:rsidRPr="00AB0BD3">
        <w:t>2</w:t>
      </w:r>
      <w:r w:rsidRPr="00AB0BD3">
        <w:t xml:space="preserve"> Theoretical Framework</w:t>
      </w:r>
      <w:bookmarkEnd w:id="19"/>
      <w:r w:rsidRPr="00AB0BD3">
        <w:t xml:space="preserve"> </w:t>
      </w:r>
    </w:p>
    <w:p w14:paraId="4510C407" w14:textId="55C4167C" w:rsidR="00403C9B" w:rsidRPr="00AB0BD3" w:rsidRDefault="00403C9B" w:rsidP="0046084C">
      <w:pPr>
        <w:spacing w:before="240" w:line="360" w:lineRule="auto"/>
        <w:jc w:val="both"/>
        <w:rPr>
          <w:rFonts w:ascii="Arial" w:hAnsi="Arial" w:cs="Arial"/>
        </w:rPr>
      </w:pPr>
      <w:r w:rsidRPr="00AB0BD3">
        <w:rPr>
          <w:rFonts w:ascii="Arial" w:hAnsi="Arial" w:cs="Arial"/>
        </w:rPr>
        <w:t>The theoretical framework guiding this study draws on behavioural and public health models that explain how individuals and communities respond to vaccination and disease prevention initiatives. These models help interpret how beliefs, motivations, and external barriers influence uptake of BCG vaccination in high-risk populations. By applying established theories, the study contextualises patterns in vaccination behaviour and identifies factors that shape health-seeking practices. This framework also supports the development of informed recommendations aimed at improving public acceptance and accessibility of BCG vaccination campaigns in Delhi’s high-risk districts.</w:t>
      </w:r>
    </w:p>
    <w:p w14:paraId="2F3D1284" w14:textId="4EE9B379" w:rsidR="00403C9B" w:rsidRPr="00AB0BD3" w:rsidRDefault="00403C9B" w:rsidP="00E977C4">
      <w:pPr>
        <w:pStyle w:val="Heading2"/>
      </w:pPr>
      <w:bookmarkStart w:id="20" w:name="_Toc218418674"/>
      <w:r w:rsidRPr="00AB0BD3">
        <w:rPr>
          <w:rFonts w:eastAsiaTheme="majorEastAsia"/>
        </w:rPr>
        <w:t>2.1</w:t>
      </w:r>
      <w:r w:rsidR="009C590D" w:rsidRPr="00AB0BD3">
        <w:rPr>
          <w:rFonts w:eastAsiaTheme="majorEastAsia"/>
        </w:rPr>
        <w:t>2</w:t>
      </w:r>
      <w:r w:rsidRPr="00AB0BD3">
        <w:rPr>
          <w:rFonts w:eastAsiaTheme="majorEastAsia"/>
        </w:rPr>
        <w:t>.1 Health Belief Model (HBM)</w:t>
      </w:r>
      <w:bookmarkEnd w:id="20"/>
    </w:p>
    <w:p w14:paraId="28027E36" w14:textId="0E2169E7" w:rsidR="00403C9B" w:rsidRDefault="00403C9B" w:rsidP="0046084C">
      <w:pPr>
        <w:spacing w:before="240" w:line="360" w:lineRule="auto"/>
        <w:jc w:val="both"/>
        <w:rPr>
          <w:rFonts w:ascii="Arial" w:hAnsi="Arial" w:cs="Arial"/>
        </w:rPr>
      </w:pPr>
      <w:r w:rsidRPr="00AB0BD3">
        <w:rPr>
          <w:rFonts w:ascii="Arial" w:hAnsi="Arial" w:cs="Arial"/>
        </w:rPr>
        <w:t>The Health Belief Model (HBM) provides a valuable framework for understanding how individual perceptions shape engagement in health-promoting behaviours such as BCG vaccination</w:t>
      </w:r>
      <w:r w:rsidR="00206CF7" w:rsidRPr="00AB0BD3">
        <w:rPr>
          <w:rFonts w:ascii="Arial" w:hAnsi="Arial" w:cs="Arial"/>
        </w:rPr>
        <w:t xml:space="preserve"> (Sazali et al, 2022)</w:t>
      </w:r>
      <w:r w:rsidRPr="00AB0BD3">
        <w:rPr>
          <w:rFonts w:ascii="Arial" w:hAnsi="Arial" w:cs="Arial"/>
        </w:rPr>
        <w:t>. The model’s core components</w:t>
      </w:r>
      <w:r w:rsidR="0046084C" w:rsidRPr="00AB0BD3">
        <w:rPr>
          <w:rFonts w:ascii="Arial" w:hAnsi="Arial" w:cs="Arial"/>
        </w:rPr>
        <w:t xml:space="preserve">, </w:t>
      </w:r>
      <w:r w:rsidRPr="00AB0BD3">
        <w:rPr>
          <w:rFonts w:ascii="Arial" w:hAnsi="Arial" w:cs="Arial"/>
        </w:rPr>
        <w:t>perceived susceptibility, perceived severity, perceived benefits, and perceived barriers</w:t>
      </w:r>
      <w:r w:rsidR="0046084C" w:rsidRPr="00AB0BD3">
        <w:rPr>
          <w:rFonts w:ascii="Arial" w:hAnsi="Arial" w:cs="Arial"/>
        </w:rPr>
        <w:t xml:space="preserve">, </w:t>
      </w:r>
      <w:r w:rsidRPr="00AB0BD3">
        <w:rPr>
          <w:rFonts w:ascii="Arial" w:hAnsi="Arial" w:cs="Arial"/>
        </w:rPr>
        <w:t>explain why individuals may or may not choose to participate in preventive interventions</w:t>
      </w:r>
      <w:r w:rsidR="006A370E" w:rsidRPr="00AB0BD3">
        <w:rPr>
          <w:rFonts w:ascii="Arial" w:hAnsi="Arial" w:cs="Arial"/>
        </w:rPr>
        <w:t xml:space="preserve"> (Zein et al, 2017)</w:t>
      </w:r>
      <w:r w:rsidRPr="00AB0BD3">
        <w:rPr>
          <w:rFonts w:ascii="Arial" w:hAnsi="Arial" w:cs="Arial"/>
        </w:rPr>
        <w:t>. In the context of tuberculosis, those who consider themselves highly susceptible to infection, especially in densely populated and high-risk districts of Delhi, are more likely to perceive vaccination as necessary. Recognition of the severity of TB, including its chronic nature and potential complications, further reinforces motivation to seek vaccination</w:t>
      </w:r>
      <w:r w:rsidR="00C43955" w:rsidRPr="00AB0BD3">
        <w:rPr>
          <w:rFonts w:ascii="Arial" w:hAnsi="Arial" w:cs="Arial"/>
        </w:rPr>
        <w:t xml:space="preserve"> (Ngandjon et al, 2020)</w:t>
      </w:r>
      <w:r w:rsidRPr="00AB0BD3">
        <w:rPr>
          <w:rFonts w:ascii="Arial" w:hAnsi="Arial" w:cs="Arial"/>
        </w:rPr>
        <w:t xml:space="preserve">. Perceived benefits, such as protection against severe forms of TB in adulthood, contribute to positive health </w:t>
      </w:r>
      <w:r w:rsidRPr="00AB0BD3">
        <w:rPr>
          <w:rFonts w:ascii="Arial" w:hAnsi="Arial" w:cs="Arial"/>
        </w:rPr>
        <w:lastRenderedPageBreak/>
        <w:t>decision-making. Conversely, perceived barriers</w:t>
      </w:r>
      <w:r w:rsidR="00EF60E3" w:rsidRPr="00AB0BD3">
        <w:rPr>
          <w:rFonts w:ascii="Arial" w:hAnsi="Arial" w:cs="Arial"/>
        </w:rPr>
        <w:t xml:space="preserve">, </w:t>
      </w:r>
      <w:r w:rsidRPr="00AB0BD3">
        <w:rPr>
          <w:rFonts w:ascii="Arial" w:hAnsi="Arial" w:cs="Arial"/>
        </w:rPr>
        <w:t>ranging from concerns about side effects and distrust of public health initiatives to logistical constraints such as long waiting times or lack of documentation</w:t>
      </w:r>
      <w:r w:rsidR="00EF60E3" w:rsidRPr="00AB0BD3">
        <w:rPr>
          <w:rFonts w:ascii="Arial" w:hAnsi="Arial" w:cs="Arial"/>
        </w:rPr>
        <w:t xml:space="preserve">, </w:t>
      </w:r>
      <w:r w:rsidRPr="00AB0BD3">
        <w:rPr>
          <w:rFonts w:ascii="Arial" w:hAnsi="Arial" w:cs="Arial"/>
        </w:rPr>
        <w:t>can significantly impede vaccine uptake</w:t>
      </w:r>
      <w:r w:rsidR="00EF60E3" w:rsidRPr="00AB0BD3">
        <w:rPr>
          <w:rFonts w:ascii="Arial" w:hAnsi="Arial" w:cs="Arial"/>
        </w:rPr>
        <w:t xml:space="preserve"> (Zein et al, 2017)</w:t>
      </w:r>
      <w:r w:rsidRPr="00AB0BD3">
        <w:rPr>
          <w:rFonts w:ascii="Arial" w:hAnsi="Arial" w:cs="Arial"/>
        </w:rPr>
        <w:t>. These barriers are particularly salient in urban poor and migratory communities, where misinformation and competing daily priorities often influence health behaviour</w:t>
      </w:r>
      <w:r w:rsidR="00EF60E3" w:rsidRPr="00AB0BD3">
        <w:rPr>
          <w:rFonts w:ascii="Arial" w:hAnsi="Arial" w:cs="Arial"/>
        </w:rPr>
        <w:t xml:space="preserve"> (Sazali et al, 2022)</w:t>
      </w:r>
      <w:r w:rsidRPr="00AB0BD3">
        <w:rPr>
          <w:rFonts w:ascii="Arial" w:hAnsi="Arial" w:cs="Arial"/>
        </w:rPr>
        <w:t>.</w:t>
      </w:r>
    </w:p>
    <w:p w14:paraId="1824968C" w14:textId="2135B751" w:rsidR="00490080" w:rsidRDefault="00490080" w:rsidP="0046084C">
      <w:pPr>
        <w:spacing w:before="240" w:line="360" w:lineRule="auto"/>
        <w:jc w:val="both"/>
        <w:rPr>
          <w:rFonts w:ascii="Arial" w:hAnsi="Arial" w:cs="Arial"/>
        </w:rPr>
      </w:pPr>
      <w:r>
        <w:rPr>
          <w:noProof/>
        </w:rPr>
        <w:drawing>
          <wp:inline distT="0" distB="0" distL="0" distR="0" wp14:anchorId="3D136AB8" wp14:editId="219169FE">
            <wp:extent cx="5731510" cy="3206115"/>
            <wp:effectExtent l="0" t="0" r="2540" b="0"/>
            <wp:docPr id="841098320" name="Picture 18" descr="Fig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06115"/>
                    </a:xfrm>
                    <a:prstGeom prst="rect">
                      <a:avLst/>
                    </a:prstGeom>
                    <a:noFill/>
                    <a:ln>
                      <a:noFill/>
                    </a:ln>
                  </pic:spPr>
                </pic:pic>
              </a:graphicData>
            </a:graphic>
          </wp:inline>
        </w:drawing>
      </w:r>
    </w:p>
    <w:p w14:paraId="11E9832D" w14:textId="4A9091F6" w:rsidR="00490080" w:rsidRPr="00AB0BD3" w:rsidRDefault="00490080" w:rsidP="00A20467">
      <w:pPr>
        <w:spacing w:before="240" w:line="360" w:lineRule="auto"/>
        <w:jc w:val="center"/>
        <w:rPr>
          <w:rFonts w:ascii="Arial" w:hAnsi="Arial" w:cs="Arial"/>
        </w:rPr>
      </w:pPr>
      <w:r>
        <w:rPr>
          <w:rFonts w:ascii="Arial" w:hAnsi="Arial" w:cs="Arial"/>
        </w:rPr>
        <w:t>(Nelson et al, 2021)</w:t>
      </w:r>
    </w:p>
    <w:p w14:paraId="7B746A38" w14:textId="1AD41CD5" w:rsidR="00403C9B" w:rsidRPr="00AB0BD3" w:rsidRDefault="00403C9B" w:rsidP="0046084C">
      <w:pPr>
        <w:spacing w:before="240" w:line="360" w:lineRule="auto"/>
        <w:jc w:val="both"/>
        <w:rPr>
          <w:rFonts w:ascii="Arial" w:hAnsi="Arial" w:cs="Arial"/>
        </w:rPr>
      </w:pPr>
      <w:r w:rsidRPr="00AB0BD3">
        <w:rPr>
          <w:rFonts w:ascii="Arial" w:hAnsi="Arial" w:cs="Arial"/>
        </w:rPr>
        <w:t>Additional constructs of the HBM, including cues to action and self-efficacy, further shape vaccination decisions. Cues to action may include health promotion campaigns, community-based awareness drives, reminders from healthcare workers, or witnessing TB cases within one’s social network</w:t>
      </w:r>
      <w:r w:rsidR="00EF60E3" w:rsidRPr="00AB0BD3">
        <w:rPr>
          <w:rFonts w:ascii="Arial" w:hAnsi="Arial" w:cs="Arial"/>
        </w:rPr>
        <w:t xml:space="preserve"> (Sazali et al, 2022)</w:t>
      </w:r>
      <w:r w:rsidRPr="00AB0BD3">
        <w:rPr>
          <w:rFonts w:ascii="Arial" w:hAnsi="Arial" w:cs="Arial"/>
        </w:rPr>
        <w:t>. Such triggers are crucial for motivating individuals who may otherwise remain passive or unaware of vaccination opportunities</w:t>
      </w:r>
      <w:r w:rsidR="00EF60E3" w:rsidRPr="00AB0BD3">
        <w:rPr>
          <w:rFonts w:ascii="Arial" w:hAnsi="Arial" w:cs="Arial"/>
        </w:rPr>
        <w:t xml:space="preserve"> (Zein et al, 2017)</w:t>
      </w:r>
      <w:r w:rsidRPr="00AB0BD3">
        <w:rPr>
          <w:rFonts w:ascii="Arial" w:hAnsi="Arial" w:cs="Arial"/>
        </w:rPr>
        <w:t>. Self-efficacy, which reflects an individual’s confidence in their ability to access vaccination services, also plays a key role, especially in contexts where navigating the health system may be challenging. Applying the HBM to BCG vaccination in Delhi’s high-risk districts allows this review to interpret how psychological, socio-cultural, and contextual factors interact to influence behavioural outcomes</w:t>
      </w:r>
      <w:r w:rsidR="00EF60E3" w:rsidRPr="00AB0BD3">
        <w:rPr>
          <w:rFonts w:ascii="Arial" w:hAnsi="Arial" w:cs="Arial"/>
        </w:rPr>
        <w:t xml:space="preserve"> (Ngandjon et al, 2020)</w:t>
      </w:r>
      <w:r w:rsidRPr="00AB0BD3">
        <w:rPr>
          <w:rFonts w:ascii="Arial" w:hAnsi="Arial" w:cs="Arial"/>
        </w:rPr>
        <w:t xml:space="preserve">. This perspective supports the </w:t>
      </w:r>
      <w:r w:rsidRPr="00AB0BD3">
        <w:rPr>
          <w:rFonts w:ascii="Arial" w:hAnsi="Arial" w:cs="Arial"/>
        </w:rPr>
        <w:lastRenderedPageBreak/>
        <w:t>development of targeted strategies that address not only structural constraints but also the underlying beliefs that shape health-seeking behaviour</w:t>
      </w:r>
      <w:r w:rsidR="00EF60E3" w:rsidRPr="00AB0BD3">
        <w:rPr>
          <w:rFonts w:ascii="Arial" w:hAnsi="Arial" w:cs="Arial"/>
        </w:rPr>
        <w:t xml:space="preserve"> (Sazali et al, 2022)</w:t>
      </w:r>
      <w:r w:rsidRPr="00AB0BD3">
        <w:rPr>
          <w:rFonts w:ascii="Arial" w:hAnsi="Arial" w:cs="Arial"/>
        </w:rPr>
        <w:t>.</w:t>
      </w:r>
    </w:p>
    <w:p w14:paraId="444B6BB1" w14:textId="66F636EC" w:rsidR="00403C9B" w:rsidRPr="00AB0BD3" w:rsidRDefault="00403C9B" w:rsidP="004F2450">
      <w:pPr>
        <w:pStyle w:val="Heading1"/>
      </w:pPr>
      <w:bookmarkStart w:id="21" w:name="_Toc218418675"/>
      <w:r w:rsidRPr="00AB0BD3">
        <w:t>2.1</w:t>
      </w:r>
      <w:r w:rsidR="009C590D" w:rsidRPr="00AB0BD3">
        <w:t xml:space="preserve">3 </w:t>
      </w:r>
      <w:r w:rsidR="00BA558D" w:rsidRPr="00AB0BD3">
        <w:t>Gaps, Strengths and Weaknesses in Existing Literature</w:t>
      </w:r>
      <w:bookmarkEnd w:id="21"/>
      <w:r w:rsidR="00BA558D" w:rsidRPr="00AB0BD3">
        <w:t xml:space="preserve"> </w:t>
      </w:r>
    </w:p>
    <w:p w14:paraId="69F58E5E" w14:textId="77777777" w:rsidR="00BA558D" w:rsidRPr="00AB0BD3" w:rsidRDefault="00BA558D" w:rsidP="00BA558D">
      <w:pPr>
        <w:spacing w:before="240" w:line="360" w:lineRule="auto"/>
        <w:jc w:val="both"/>
        <w:rPr>
          <w:rFonts w:ascii="Arial" w:hAnsi="Arial" w:cs="Arial"/>
        </w:rPr>
      </w:pPr>
      <w:r w:rsidRPr="00AB0BD3">
        <w:rPr>
          <w:rFonts w:ascii="Arial" w:hAnsi="Arial" w:cs="Arial"/>
        </w:rPr>
        <w:t>Although extensive research exists on tuberculosis (TB) in India, notable gaps remain in understanding TB control efforts within high-risk urban contexts. Much of the current literature focuses on national or rural settings, providing limited insights into densely populated districts such as those in Delhi where environmental and socio-economic vulnerabilities are more pronounced (Weerasuriya et al., 2021; Arinaminpathy et al., 2023). The scarcity of district-level surveillance and vaccination data makes it difficult to assess how contextual factors such as population mobility, overcrowding, and urban poverty influence TB outcomes and Bacillus Calmette–Guérin (BCG) vaccination performance (Weerasuriya et al., 2021). This limits the ability to design interventions tailored to urban micro-epidemics.</w:t>
      </w:r>
    </w:p>
    <w:p w14:paraId="0C63AB9B" w14:textId="77777777" w:rsidR="00BA558D" w:rsidRPr="00AB0BD3" w:rsidRDefault="00BA558D" w:rsidP="00BA558D">
      <w:pPr>
        <w:spacing w:before="240" w:line="360" w:lineRule="auto"/>
        <w:jc w:val="both"/>
        <w:rPr>
          <w:rFonts w:ascii="Arial" w:hAnsi="Arial" w:cs="Arial"/>
        </w:rPr>
      </w:pPr>
      <w:r w:rsidRPr="00AB0BD3">
        <w:rPr>
          <w:rFonts w:ascii="Arial" w:hAnsi="Arial" w:cs="Arial"/>
        </w:rPr>
        <w:t>A further gap relates to population focus. While the literature provides strong evidence on the protective benefits of BCG in reducing severe childhood TB, adults aged 15–60 years—who represent the largest share of disease burden—are often underrepresented in vaccination studies (Harris et al., 2020; Shirvani et al., 2016). The mobility, occupational exposure, and uneven vaccination history of this group raise questions about long-term immunity, booster requirements, and adult responsiveness to public health interventions (Hatherill and Cobelens, 2022). Additionally, few studies integrate behavioural, cultural, or psychological determinants affecting vaccination acceptance, particularly in transient or marginalised urban communities where health-seeking behaviour is shaped by stigma, mistrust, and limited awareness (Arinaminpathy et al., 2023).</w:t>
      </w:r>
    </w:p>
    <w:p w14:paraId="61CF0EE0" w14:textId="127083A5" w:rsidR="00403C9B" w:rsidRPr="00AB0BD3" w:rsidRDefault="00BA558D" w:rsidP="0046084C">
      <w:pPr>
        <w:spacing w:before="240" w:line="360" w:lineRule="auto"/>
        <w:jc w:val="both"/>
        <w:rPr>
          <w:rFonts w:ascii="Arial" w:hAnsi="Arial" w:cs="Arial"/>
        </w:rPr>
      </w:pPr>
      <w:r w:rsidRPr="00AB0BD3">
        <w:rPr>
          <w:rFonts w:ascii="Arial" w:hAnsi="Arial" w:cs="Arial"/>
        </w:rPr>
        <w:t xml:space="preserve">Despite these limitations, the existing body of evidence remains valuable. Systematic reviews and epidemiological analyses reinforce the importance of combining vaccination with screening and treatment strategies to reduce transmission in high-burden areas (Higgins et al., 2016). However, inconsistencies in study design, varying estimates of adult vaccine efficacy, and limited inclusion of social determinants reduce comparability and hinder policy application (Zimmermann et al., 2018). Collectively, these weaknesses highlight the need for context-specific and interdisciplinary </w:t>
      </w:r>
      <w:r w:rsidRPr="00AB0BD3">
        <w:rPr>
          <w:rFonts w:ascii="Arial" w:hAnsi="Arial" w:cs="Arial"/>
        </w:rPr>
        <w:lastRenderedPageBreak/>
        <w:t>research to better understand TB transmission dynamics and optimise BCG vaccination strategies in rapidly urbanising settings like Delhi (Hatherill and Cobelens, 2022; Arinaminpathy et al., 2023).</w:t>
      </w:r>
    </w:p>
    <w:p w14:paraId="5F7A81BD" w14:textId="509A8FE4" w:rsidR="00403C9B" w:rsidRPr="00AB0BD3" w:rsidRDefault="00403C9B" w:rsidP="004F2450">
      <w:pPr>
        <w:pStyle w:val="Heading1"/>
      </w:pPr>
      <w:bookmarkStart w:id="22" w:name="_Toc218418676"/>
      <w:r w:rsidRPr="00AB0BD3">
        <w:t>2.1</w:t>
      </w:r>
      <w:r w:rsidR="00BA558D" w:rsidRPr="00AB0BD3">
        <w:t>4</w:t>
      </w:r>
      <w:r w:rsidRPr="00AB0BD3">
        <w:t xml:space="preserve"> </w:t>
      </w:r>
      <w:r w:rsidR="00A71981" w:rsidRPr="00AB0BD3">
        <w:t xml:space="preserve">Chapter </w:t>
      </w:r>
      <w:r w:rsidRPr="00AB0BD3">
        <w:t>Summary</w:t>
      </w:r>
      <w:bookmarkEnd w:id="22"/>
      <w:r w:rsidRPr="00AB0BD3">
        <w:t xml:space="preserve"> </w:t>
      </w:r>
    </w:p>
    <w:p w14:paraId="79D00BBE" w14:textId="77777777" w:rsidR="00403C9B" w:rsidRPr="00AB0BD3" w:rsidRDefault="00403C9B" w:rsidP="0046084C">
      <w:pPr>
        <w:spacing w:before="240" w:line="360" w:lineRule="auto"/>
        <w:jc w:val="both"/>
        <w:rPr>
          <w:rFonts w:ascii="Arial" w:hAnsi="Arial" w:cs="Arial"/>
        </w:rPr>
      </w:pPr>
      <w:r w:rsidRPr="00AB0BD3">
        <w:rPr>
          <w:rFonts w:ascii="Arial" w:hAnsi="Arial" w:cs="Arial"/>
        </w:rPr>
        <w:t>This chapter reviewed key literature related to tuberculosis epidemiology, BCG vaccination, and the socio-economic factors shaping disease patterns in Delhi’s high-risk districts. It highlighted the persistent TB burden globally and nationally, emphasising the unique challenges faced in densely populated urban areas. The review examined the protective role of BCG, its limitations, and variations in campaign coverage across vulnerable populations. Behavioural and policy-related factors were explored through theoretical models that help explain vaccination uptake. Gaps in existing research were identified, particularly concerning adult populations, district-level evidence, and barriers affecting urban migrant communities. Overall, the literature underscores the importance of targeted, equitable vaccination strategies and integrated public health interventions to strengthen TB control in high-risk settings.</w:t>
      </w:r>
    </w:p>
    <w:p w14:paraId="71890F7E" w14:textId="77777777" w:rsidR="00963E45" w:rsidRPr="00AB0BD3" w:rsidRDefault="00963E45" w:rsidP="0046084C">
      <w:pPr>
        <w:spacing w:before="240" w:line="360" w:lineRule="auto"/>
        <w:jc w:val="both"/>
        <w:rPr>
          <w:rFonts w:ascii="Arial" w:hAnsi="Arial" w:cs="Arial"/>
        </w:rPr>
      </w:pPr>
    </w:p>
    <w:p w14:paraId="66B4AB71" w14:textId="77777777" w:rsidR="003F75FD" w:rsidRPr="00AB0BD3" w:rsidRDefault="003F75FD" w:rsidP="0046084C">
      <w:pPr>
        <w:spacing w:before="240" w:line="360" w:lineRule="auto"/>
        <w:jc w:val="both"/>
        <w:rPr>
          <w:rFonts w:ascii="Arial" w:hAnsi="Arial" w:cs="Arial"/>
        </w:rPr>
      </w:pPr>
    </w:p>
    <w:p w14:paraId="31CBD830" w14:textId="77777777" w:rsidR="003F75FD" w:rsidRDefault="003F75FD" w:rsidP="0046084C">
      <w:pPr>
        <w:spacing w:before="240" w:line="360" w:lineRule="auto"/>
        <w:jc w:val="both"/>
        <w:rPr>
          <w:rFonts w:ascii="Arial" w:hAnsi="Arial" w:cs="Arial"/>
        </w:rPr>
      </w:pPr>
    </w:p>
    <w:p w14:paraId="766ECECA" w14:textId="77777777" w:rsidR="004F2450" w:rsidRDefault="004F2450" w:rsidP="0046084C">
      <w:pPr>
        <w:spacing w:before="240" w:line="360" w:lineRule="auto"/>
        <w:jc w:val="both"/>
        <w:rPr>
          <w:rFonts w:ascii="Arial" w:hAnsi="Arial" w:cs="Arial"/>
        </w:rPr>
      </w:pPr>
    </w:p>
    <w:p w14:paraId="6196ED9A" w14:textId="77777777" w:rsidR="004F2450" w:rsidRDefault="004F2450" w:rsidP="0046084C">
      <w:pPr>
        <w:spacing w:before="240" w:line="360" w:lineRule="auto"/>
        <w:jc w:val="both"/>
        <w:rPr>
          <w:rFonts w:ascii="Arial" w:hAnsi="Arial" w:cs="Arial"/>
        </w:rPr>
      </w:pPr>
    </w:p>
    <w:p w14:paraId="45569A1D" w14:textId="77777777" w:rsidR="004F2450" w:rsidRDefault="004F2450" w:rsidP="0046084C">
      <w:pPr>
        <w:spacing w:before="240" w:line="360" w:lineRule="auto"/>
        <w:jc w:val="both"/>
        <w:rPr>
          <w:rFonts w:ascii="Arial" w:hAnsi="Arial" w:cs="Arial"/>
        </w:rPr>
      </w:pPr>
    </w:p>
    <w:p w14:paraId="126CF483" w14:textId="77777777" w:rsidR="004F2450" w:rsidRDefault="004F2450" w:rsidP="0046084C">
      <w:pPr>
        <w:spacing w:before="240" w:line="360" w:lineRule="auto"/>
        <w:jc w:val="both"/>
        <w:rPr>
          <w:rFonts w:ascii="Arial" w:hAnsi="Arial" w:cs="Arial"/>
        </w:rPr>
      </w:pPr>
    </w:p>
    <w:p w14:paraId="486F3DDD" w14:textId="77777777" w:rsidR="004F2450" w:rsidRPr="00AB0BD3" w:rsidRDefault="004F2450" w:rsidP="0046084C">
      <w:pPr>
        <w:spacing w:before="240" w:line="360" w:lineRule="auto"/>
        <w:jc w:val="both"/>
        <w:rPr>
          <w:rFonts w:ascii="Arial" w:hAnsi="Arial" w:cs="Arial"/>
        </w:rPr>
      </w:pPr>
    </w:p>
    <w:p w14:paraId="69B93F0D" w14:textId="77777777" w:rsidR="003F75FD" w:rsidRPr="00AB0BD3" w:rsidRDefault="003F75FD" w:rsidP="004F2450">
      <w:pPr>
        <w:pStyle w:val="Heading1"/>
      </w:pPr>
      <w:bookmarkStart w:id="23" w:name="_Toc218418677"/>
      <w:r w:rsidRPr="00AB0BD3">
        <w:lastRenderedPageBreak/>
        <w:t>Chapter 3: Methodology</w:t>
      </w:r>
      <w:bookmarkEnd w:id="23"/>
    </w:p>
    <w:p w14:paraId="02B4D6E7" w14:textId="77777777" w:rsidR="003F75FD" w:rsidRPr="00AB0BD3" w:rsidRDefault="003F75FD" w:rsidP="004F2450">
      <w:pPr>
        <w:pStyle w:val="Heading1"/>
      </w:pPr>
      <w:bookmarkStart w:id="24" w:name="_Toc218418678"/>
      <w:r w:rsidRPr="00AB0BD3">
        <w:t>3.1 Introduction</w:t>
      </w:r>
      <w:bookmarkEnd w:id="24"/>
    </w:p>
    <w:p w14:paraId="6EA51516" w14:textId="77777777" w:rsidR="003F75FD" w:rsidRPr="00AB0BD3" w:rsidRDefault="003F75FD" w:rsidP="003F75FD">
      <w:pPr>
        <w:spacing w:before="240" w:line="360" w:lineRule="auto"/>
        <w:jc w:val="both"/>
        <w:rPr>
          <w:rFonts w:ascii="Arial" w:hAnsi="Arial" w:cs="Arial"/>
        </w:rPr>
      </w:pPr>
      <w:r w:rsidRPr="00AB0BD3">
        <w:rPr>
          <w:rFonts w:ascii="Arial" w:hAnsi="Arial" w:cs="Arial"/>
        </w:rPr>
        <w:t>This chapter presents the methodology used to assess the impact of BCG vaccination campaigns on tuberculosis (TB) control among high-risk adults aged 15–60 in Delhi. It explains the research philosophy, approach, study design, and strategy underpinning the systematic review. The chapter further outlines the data collection procedures, PICOS framework, inclusion and exclusion criteria, and quality assessment methods applied. Analytical techniques, including thematic and comparative synthesis, are described to demonstrate how findings were interpreted. The application of PRISMA enhances transparency, structure, and replicability, ensuring the review process remains rigorous, systematic, and aligned with recognised academic standards.</w:t>
      </w:r>
    </w:p>
    <w:p w14:paraId="4E26DD89" w14:textId="77777777" w:rsidR="003F75FD" w:rsidRPr="00AB0BD3" w:rsidRDefault="003F75FD" w:rsidP="004F2450">
      <w:pPr>
        <w:pStyle w:val="Heading1"/>
      </w:pPr>
      <w:bookmarkStart w:id="25" w:name="_Toc218418679"/>
      <w:r w:rsidRPr="00AB0BD3">
        <w:t>3.2 Research Philosophy</w:t>
      </w:r>
      <w:bookmarkEnd w:id="25"/>
    </w:p>
    <w:p w14:paraId="440DBAF1" w14:textId="77777777" w:rsidR="003F75FD" w:rsidRPr="00AB0BD3" w:rsidRDefault="003F75FD" w:rsidP="003F75FD">
      <w:pPr>
        <w:spacing w:before="240" w:line="360" w:lineRule="auto"/>
        <w:jc w:val="both"/>
        <w:rPr>
          <w:rFonts w:ascii="Arial" w:hAnsi="Arial" w:cs="Arial"/>
        </w:rPr>
      </w:pPr>
      <w:r w:rsidRPr="00AB0BD3">
        <w:rPr>
          <w:rFonts w:ascii="Arial" w:hAnsi="Arial" w:cs="Arial"/>
        </w:rPr>
        <w:t>Interpretivism underpins this study as it recognises that health behaviours, vaccination uptake, and disease outcomes are influenced by social context, community perceptions, and lived experience rather than purely measurable biomedical indicators (Zahle, 2021). In the context of TB prevention, interpretivism allows the research to explore how population behaviour, stigma, cultural beliefs, and access to vaccination influence BCG uptake in high-risk districts. This is particularly important in public health research where outcomes depend not only on epidemiological evidence but also on complex social and environmental determinants. The philosophy is therefore aligned with the need to understand programme realities beyond statistical findings and recognise human behaviour as a key determinant in vaccination success (Ikram and Kenayathulla, 2022).</w:t>
      </w:r>
    </w:p>
    <w:p w14:paraId="5DC99826" w14:textId="77777777" w:rsidR="003F75FD" w:rsidRPr="00AB0BD3" w:rsidRDefault="003F75FD" w:rsidP="003F75FD">
      <w:pPr>
        <w:spacing w:before="240" w:line="360" w:lineRule="auto"/>
        <w:jc w:val="both"/>
        <w:rPr>
          <w:rFonts w:ascii="Arial" w:hAnsi="Arial" w:cs="Arial"/>
        </w:rPr>
      </w:pPr>
      <w:r w:rsidRPr="00AB0BD3">
        <w:rPr>
          <w:rFonts w:ascii="Arial" w:hAnsi="Arial" w:cs="Arial"/>
        </w:rPr>
        <w:t xml:space="preserve">The interpretivist stance also supports analysis of qualitative findings relating to implementation challenges, vaccination barriers, and health inequalities, aligning with the mixed-evidence synthesis used in the review (Zahle, 2021). It enables interpretation of emerging themes that may not fit existing theoretical frameworks but are relevant to the lived realities of urban, mobile, or marginalised populations (Ikram and Kenayathulla, 2022). This philosophical direction strengthens the relevance of the </w:t>
      </w:r>
      <w:r w:rsidRPr="00AB0BD3">
        <w:rPr>
          <w:rFonts w:ascii="Arial" w:hAnsi="Arial" w:cs="Arial"/>
        </w:rPr>
        <w:lastRenderedPageBreak/>
        <w:t>review to policy and practice by grounding evidence interpretation within real-world contexts rather than universal generalisations (Ikram and Kenayathulla, 2022).</w:t>
      </w:r>
    </w:p>
    <w:p w14:paraId="19DED987" w14:textId="77777777" w:rsidR="003F75FD" w:rsidRPr="00AB0BD3" w:rsidRDefault="003F75FD" w:rsidP="004F2450">
      <w:pPr>
        <w:pStyle w:val="Heading1"/>
      </w:pPr>
      <w:bookmarkStart w:id="26" w:name="_Toc218418680"/>
      <w:r w:rsidRPr="00AB0BD3">
        <w:t>3.3 Research Approach</w:t>
      </w:r>
      <w:bookmarkEnd w:id="26"/>
    </w:p>
    <w:p w14:paraId="154BBCDA" w14:textId="77777777" w:rsidR="003F75FD" w:rsidRPr="00AB0BD3" w:rsidRDefault="003F75FD" w:rsidP="003F75FD">
      <w:pPr>
        <w:spacing w:before="240" w:line="360" w:lineRule="auto"/>
        <w:jc w:val="both"/>
        <w:rPr>
          <w:rFonts w:ascii="Arial" w:hAnsi="Arial" w:cs="Arial"/>
        </w:rPr>
      </w:pPr>
      <w:r w:rsidRPr="00AB0BD3">
        <w:rPr>
          <w:rFonts w:ascii="Arial" w:hAnsi="Arial" w:cs="Arial"/>
        </w:rPr>
        <w:t>An inductive approach was adopted as the review begins with an exploration of current on existing evidence on the protective role of BCG vaccination in TB control (Jones et al, 2024). Through this approach, outcomes such as incidence reduction, coverage improvements, and adherence trends can be critically explored with theoretical expectations. The approach incorporates inductive reasoning through the identification of emerging implementation-related themes, including cultural influence, motivational factors, health inequalities, and campaign acceptance issues (Niaz et al, 2023). This reasoning supports flexibility in data interpretation and reflects the complexity of vaccination programmes in heterogeneous urban populations (Jones et al, 2024).</w:t>
      </w:r>
    </w:p>
    <w:p w14:paraId="1598C280" w14:textId="77777777" w:rsidR="003F75FD" w:rsidRPr="00AB0BD3" w:rsidRDefault="003F75FD" w:rsidP="004F2450">
      <w:pPr>
        <w:pStyle w:val="Heading1"/>
      </w:pPr>
      <w:bookmarkStart w:id="27" w:name="_Toc218418681"/>
      <w:r w:rsidRPr="00AB0BD3">
        <w:t>3.4 Study Design</w:t>
      </w:r>
      <w:bookmarkEnd w:id="27"/>
    </w:p>
    <w:p w14:paraId="206A7108" w14:textId="77777777" w:rsidR="003F75FD" w:rsidRPr="00AB0BD3" w:rsidRDefault="003F75FD" w:rsidP="003F75FD">
      <w:pPr>
        <w:spacing w:before="240" w:line="360" w:lineRule="auto"/>
        <w:jc w:val="both"/>
        <w:rPr>
          <w:rFonts w:ascii="Arial" w:hAnsi="Arial" w:cs="Arial"/>
        </w:rPr>
      </w:pPr>
      <w:r w:rsidRPr="00AB0BD3">
        <w:rPr>
          <w:rFonts w:ascii="Arial" w:hAnsi="Arial" w:cs="Arial"/>
        </w:rPr>
        <w:t>A systematic review design was adopted to enable structured synthesis of available evidence regarding BCG vaccination campaigns and TB outcomes in high-risk districts of Delhi. A systematic review is underpinned by a secondary research design (Sarhan and Manu, 2021). This design ensures transparency, replicability, and minimisation of selection bias by using predefined criteria for searching, screening, evaluating, and synthesising evidence (MacLure et al., 2016). The review includes both peer-reviewed and grey literature to ensure representation of operational and government-level reporting, including data from India’s National TB Elimination Programme (NTEP) (2024). PRISMA guidelines were followed to standardise reporting and documentation throughout the review (Hutton et al., 2017). The approach allows integration of quantitative outcomes, such as incidence rates and coverage percentages, with qualitative findings relating to behavioural barriers, accessibility issues, and system-level challenges, providing a comprehensive interpretation of programme effectiveness (MacLure et al., 2016).</w:t>
      </w:r>
    </w:p>
    <w:p w14:paraId="2E7F1327" w14:textId="77777777" w:rsidR="003F75FD" w:rsidRPr="00AB0BD3" w:rsidRDefault="003F75FD" w:rsidP="004F2450">
      <w:pPr>
        <w:pStyle w:val="Heading1"/>
      </w:pPr>
      <w:bookmarkStart w:id="28" w:name="_Toc218418682"/>
      <w:r w:rsidRPr="00AB0BD3">
        <w:t>3.5 Database Search Procedure</w:t>
      </w:r>
      <w:bookmarkEnd w:id="28"/>
    </w:p>
    <w:p w14:paraId="5C0E9170" w14:textId="77777777" w:rsidR="003F75FD" w:rsidRPr="00AB0BD3" w:rsidRDefault="003F75FD" w:rsidP="003F75FD">
      <w:pPr>
        <w:spacing w:before="240" w:line="360" w:lineRule="auto"/>
        <w:jc w:val="both"/>
        <w:rPr>
          <w:rFonts w:ascii="Arial" w:hAnsi="Arial" w:cs="Arial"/>
        </w:rPr>
      </w:pPr>
      <w:r w:rsidRPr="00AB0BD3">
        <w:rPr>
          <w:rFonts w:ascii="Arial" w:hAnsi="Arial" w:cs="Arial"/>
        </w:rPr>
        <w:t xml:space="preserve">A structured and systematic database search strategy was employed to ensure comprehensive identification of relevant literature. Searches were conducted across </w:t>
      </w:r>
      <w:r w:rsidRPr="00AB0BD3">
        <w:rPr>
          <w:rFonts w:ascii="Arial" w:hAnsi="Arial" w:cs="Arial"/>
        </w:rPr>
        <w:lastRenderedPageBreak/>
        <w:t xml:space="preserve">PubMed, MEDLINE, Google Scholar and ScienceDirect to capture both peer-reviewed and policy-based evidence. Boolean operators and controlled vocabulary were applied to refine the accuracy and relevance of results, using combinations such as </w:t>
      </w:r>
      <w:r w:rsidRPr="00AB0BD3">
        <w:rPr>
          <w:rFonts w:ascii="Arial" w:hAnsi="Arial" w:cs="Arial"/>
          <w:i/>
          <w:iCs/>
        </w:rPr>
        <w:t>“BCG vaccine” AND “Delhi”</w:t>
      </w:r>
      <w:r w:rsidRPr="00AB0BD3">
        <w:rPr>
          <w:rFonts w:ascii="Arial" w:hAnsi="Arial" w:cs="Arial"/>
        </w:rPr>
        <w:t xml:space="preserve">, </w:t>
      </w:r>
      <w:r w:rsidRPr="00AB0BD3">
        <w:rPr>
          <w:rFonts w:ascii="Arial" w:hAnsi="Arial" w:cs="Arial"/>
          <w:i/>
          <w:iCs/>
        </w:rPr>
        <w:t>“TB incidence” AND “urban India”</w:t>
      </w:r>
      <w:r w:rsidRPr="00AB0BD3">
        <w:rPr>
          <w:rFonts w:ascii="Arial" w:hAnsi="Arial" w:cs="Arial"/>
        </w:rPr>
        <w:t xml:space="preserve">, and </w:t>
      </w:r>
      <w:r w:rsidRPr="00AB0BD3">
        <w:rPr>
          <w:rFonts w:ascii="Arial" w:hAnsi="Arial" w:cs="Arial"/>
          <w:i/>
          <w:iCs/>
        </w:rPr>
        <w:t>“vaccination barriers” AND “migrant populations”</w:t>
      </w:r>
      <w:r w:rsidRPr="00AB0BD3">
        <w:rPr>
          <w:rFonts w:ascii="Arial" w:hAnsi="Arial" w:cs="Arial"/>
        </w:rPr>
        <w:t>. Filters for publication year, geographical relevance, and study type were applied where available. All retrieved records were imported into a reference management system and screened for duplicates before evaluation. The screening process followed PRISMA guidelines, progressing through title and abstract screening before full-text review. Final selection was based on alignment with PICOS eligibility criteria, ensuring methodological consistency and relevance to the research scope.</w:t>
      </w:r>
    </w:p>
    <w:p w14:paraId="35EE6076" w14:textId="77777777" w:rsidR="003F75FD" w:rsidRPr="00AB0BD3" w:rsidRDefault="003F75FD" w:rsidP="004F2450">
      <w:pPr>
        <w:pStyle w:val="Heading1"/>
      </w:pPr>
      <w:bookmarkStart w:id="29" w:name="_Toc218418683"/>
      <w:r w:rsidRPr="00AB0BD3">
        <w:t>3.6 Method of Data Collection</w:t>
      </w:r>
      <w:bookmarkEnd w:id="29"/>
    </w:p>
    <w:p w14:paraId="14F7627D" w14:textId="77777777" w:rsidR="003F75FD" w:rsidRPr="00AB0BD3" w:rsidRDefault="003F75FD" w:rsidP="003F75FD">
      <w:pPr>
        <w:spacing w:before="240" w:line="360" w:lineRule="auto"/>
        <w:jc w:val="both"/>
        <w:rPr>
          <w:rFonts w:ascii="Arial" w:hAnsi="Arial" w:cs="Arial"/>
        </w:rPr>
      </w:pPr>
      <w:r w:rsidRPr="00AB0BD3">
        <w:rPr>
          <w:rFonts w:ascii="Arial" w:hAnsi="Arial" w:cs="Arial"/>
        </w:rPr>
        <w:t>Data were collected through structured searches across academic databases and government repositories. A literature matrix was used to record and manage the literature data. This was important because it enabled organised comparison of methodological approaches, findings, and evidence gaps across sources, ensuring analytical transparency and reducing duplication. The search strategy used predefined keywords, Boolean operators, and eligibility filters to ensure relevance to the research question. All identified literature underwent title, abstract, and full-text screening to assess relevance against PICOS inclusion criteria. Grey literature, including NTEP operational reports, was incorporated to strengthen contextual relevance. Collected data were recorded using a structured extraction template, ensuring consistency and comparability across studies.</w:t>
      </w:r>
    </w:p>
    <w:p w14:paraId="718A2428" w14:textId="77777777" w:rsidR="003F75FD" w:rsidRPr="00AB0BD3" w:rsidRDefault="003F75FD" w:rsidP="004F2450">
      <w:pPr>
        <w:pStyle w:val="Heading1"/>
      </w:pPr>
      <w:bookmarkStart w:id="30" w:name="_Toc218418684"/>
      <w:r w:rsidRPr="00AB0BD3">
        <w:t>3.7 PICOS Framework</w:t>
      </w:r>
      <w:bookmarkEnd w:id="30"/>
    </w:p>
    <w:p w14:paraId="5B9A0F10" w14:textId="77777777" w:rsidR="003F75FD" w:rsidRPr="00AB0BD3" w:rsidRDefault="003F75FD" w:rsidP="003F75FD">
      <w:pPr>
        <w:spacing w:before="240" w:line="360" w:lineRule="auto"/>
        <w:jc w:val="both"/>
        <w:rPr>
          <w:rFonts w:ascii="Arial" w:hAnsi="Arial" w:cs="Arial"/>
          <w:lang w:eastAsia="en-GB"/>
        </w:rPr>
      </w:pPr>
      <w:r w:rsidRPr="00AB0BD3">
        <w:rPr>
          <w:rFonts w:ascii="Arial" w:hAnsi="Arial" w:cs="Arial"/>
          <w:lang w:eastAsia="en-GB"/>
        </w:rPr>
        <w:t>The PICOS framework was used to provide a clear and systematic structure for defining the scope of the review and guiding the search process. It ensured that only studies relevant to the population, intervention, comparison, and outcomes of interest were included, improving the precision and consistency of study selection. This framework also helped maintain transparency and reproducibility in the screening and review process.</w:t>
      </w:r>
    </w:p>
    <w:p w14:paraId="4040AE75" w14:textId="77777777" w:rsidR="003F75FD" w:rsidRPr="00AB0BD3" w:rsidRDefault="003F75FD" w:rsidP="003F75FD">
      <w:pPr>
        <w:spacing w:before="240"/>
        <w:rPr>
          <w:rFonts w:ascii="Arial" w:hAnsi="Arial" w:cs="Arial"/>
          <w:lang w:eastAsia="en-GB"/>
        </w:rPr>
      </w:pPr>
      <w:r w:rsidRPr="00AB0BD3">
        <w:rPr>
          <w:rFonts w:ascii="Arial" w:hAnsi="Arial" w:cs="Arial"/>
          <w:lang w:eastAsia="en-GB"/>
        </w:rPr>
        <w:t>Table 3.1: PICOS Framework</w:t>
      </w:r>
    </w:p>
    <w:tbl>
      <w:tblPr>
        <w:tblStyle w:val="TableGrid"/>
        <w:tblW w:w="0" w:type="auto"/>
        <w:tblLook w:val="04A0" w:firstRow="1" w:lastRow="0" w:firstColumn="1" w:lastColumn="0" w:noHBand="0" w:noVBand="1"/>
      </w:tblPr>
      <w:tblGrid>
        <w:gridCol w:w="1656"/>
        <w:gridCol w:w="7280"/>
      </w:tblGrid>
      <w:tr w:rsidR="003F75FD" w:rsidRPr="00AB0BD3" w14:paraId="7DF6A581" w14:textId="77777777" w:rsidTr="00EA543B">
        <w:tc>
          <w:tcPr>
            <w:tcW w:w="1656" w:type="dxa"/>
            <w:hideMark/>
          </w:tcPr>
          <w:p w14:paraId="0C718996" w14:textId="77777777" w:rsidR="003F75FD" w:rsidRPr="00AB0BD3" w:rsidRDefault="003F75FD" w:rsidP="00EA543B">
            <w:pPr>
              <w:spacing w:before="240" w:after="160" w:line="360" w:lineRule="auto"/>
              <w:jc w:val="both"/>
              <w:rPr>
                <w:rFonts w:ascii="Arial" w:hAnsi="Arial" w:cs="Arial"/>
                <w:b/>
                <w:bCs/>
              </w:rPr>
            </w:pPr>
            <w:r w:rsidRPr="00AB0BD3">
              <w:rPr>
                <w:rFonts w:ascii="Arial" w:hAnsi="Arial" w:cs="Arial"/>
                <w:b/>
                <w:bCs/>
              </w:rPr>
              <w:lastRenderedPageBreak/>
              <w:t>Criteria</w:t>
            </w:r>
          </w:p>
        </w:tc>
        <w:tc>
          <w:tcPr>
            <w:tcW w:w="7280" w:type="dxa"/>
            <w:hideMark/>
          </w:tcPr>
          <w:p w14:paraId="7AB7F31D" w14:textId="77777777" w:rsidR="003F75FD" w:rsidRPr="00AB0BD3" w:rsidRDefault="003F75FD" w:rsidP="00EA543B">
            <w:pPr>
              <w:spacing w:before="240" w:after="160" w:line="360" w:lineRule="auto"/>
              <w:jc w:val="both"/>
              <w:rPr>
                <w:rFonts w:ascii="Arial" w:hAnsi="Arial" w:cs="Arial"/>
                <w:b/>
                <w:bCs/>
              </w:rPr>
            </w:pPr>
            <w:r w:rsidRPr="00AB0BD3">
              <w:rPr>
                <w:rFonts w:ascii="Arial" w:hAnsi="Arial" w:cs="Arial"/>
                <w:b/>
                <w:bCs/>
              </w:rPr>
              <w:t>Application to Study</w:t>
            </w:r>
          </w:p>
        </w:tc>
      </w:tr>
      <w:tr w:rsidR="003F75FD" w:rsidRPr="00AB0BD3" w14:paraId="7B8801D9" w14:textId="77777777" w:rsidTr="00EA543B">
        <w:tc>
          <w:tcPr>
            <w:tcW w:w="1656" w:type="dxa"/>
            <w:hideMark/>
          </w:tcPr>
          <w:p w14:paraId="7A383D5F" w14:textId="77777777" w:rsidR="003F75FD" w:rsidRPr="00AB0BD3" w:rsidRDefault="003F75FD" w:rsidP="00EA543B">
            <w:pPr>
              <w:spacing w:before="240" w:after="160" w:line="360" w:lineRule="auto"/>
              <w:jc w:val="both"/>
              <w:rPr>
                <w:rFonts w:ascii="Arial" w:hAnsi="Arial" w:cs="Arial"/>
              </w:rPr>
            </w:pPr>
            <w:r w:rsidRPr="00AB0BD3">
              <w:rPr>
                <w:rFonts w:ascii="Arial" w:hAnsi="Arial" w:cs="Arial"/>
                <w:b/>
                <w:bCs/>
              </w:rPr>
              <w:t>Population</w:t>
            </w:r>
          </w:p>
        </w:tc>
        <w:tc>
          <w:tcPr>
            <w:tcW w:w="7280" w:type="dxa"/>
            <w:hideMark/>
          </w:tcPr>
          <w:p w14:paraId="5A975AEC" w14:textId="77777777" w:rsidR="003F75FD" w:rsidRPr="00AB0BD3" w:rsidRDefault="003F75FD" w:rsidP="00EA543B">
            <w:pPr>
              <w:spacing w:before="240" w:after="160" w:line="360" w:lineRule="auto"/>
              <w:jc w:val="both"/>
              <w:rPr>
                <w:rFonts w:ascii="Arial" w:hAnsi="Arial" w:cs="Arial"/>
              </w:rPr>
            </w:pPr>
            <w:r w:rsidRPr="00AB0BD3">
              <w:rPr>
                <w:rFonts w:ascii="Arial" w:hAnsi="Arial" w:cs="Arial"/>
              </w:rPr>
              <w:t>Adults aged 15–60 years living in high-risk districts of Delhi (India)</w:t>
            </w:r>
          </w:p>
        </w:tc>
      </w:tr>
      <w:tr w:rsidR="003F75FD" w:rsidRPr="00AB0BD3" w14:paraId="0313E4EA" w14:textId="77777777" w:rsidTr="00EA543B">
        <w:tc>
          <w:tcPr>
            <w:tcW w:w="1656" w:type="dxa"/>
            <w:hideMark/>
          </w:tcPr>
          <w:p w14:paraId="2BBBD42D" w14:textId="77777777" w:rsidR="003F75FD" w:rsidRPr="00AB0BD3" w:rsidRDefault="003F75FD" w:rsidP="00EA543B">
            <w:pPr>
              <w:spacing w:before="240" w:after="160" w:line="360" w:lineRule="auto"/>
              <w:jc w:val="both"/>
              <w:rPr>
                <w:rFonts w:ascii="Arial" w:hAnsi="Arial" w:cs="Arial"/>
              </w:rPr>
            </w:pPr>
            <w:r w:rsidRPr="00AB0BD3">
              <w:rPr>
                <w:rFonts w:ascii="Arial" w:hAnsi="Arial" w:cs="Arial"/>
                <w:b/>
                <w:bCs/>
              </w:rPr>
              <w:t>Intervention</w:t>
            </w:r>
          </w:p>
        </w:tc>
        <w:tc>
          <w:tcPr>
            <w:tcW w:w="7280" w:type="dxa"/>
            <w:hideMark/>
          </w:tcPr>
          <w:p w14:paraId="5FC77D04" w14:textId="77777777" w:rsidR="003F75FD" w:rsidRPr="00AB0BD3" w:rsidRDefault="003F75FD" w:rsidP="00EA543B">
            <w:pPr>
              <w:spacing w:before="240" w:after="160" w:line="360" w:lineRule="auto"/>
              <w:jc w:val="both"/>
              <w:rPr>
                <w:rFonts w:ascii="Arial" w:hAnsi="Arial" w:cs="Arial"/>
              </w:rPr>
            </w:pPr>
            <w:r w:rsidRPr="00AB0BD3">
              <w:rPr>
                <w:rFonts w:ascii="Arial" w:hAnsi="Arial" w:cs="Arial"/>
              </w:rPr>
              <w:t>BCG vaccination campaigns, including outreach and implementation strategies</w:t>
            </w:r>
          </w:p>
        </w:tc>
      </w:tr>
      <w:tr w:rsidR="003F75FD" w:rsidRPr="00AB0BD3" w14:paraId="7AC43F62" w14:textId="77777777" w:rsidTr="00EA543B">
        <w:tc>
          <w:tcPr>
            <w:tcW w:w="1656" w:type="dxa"/>
            <w:hideMark/>
          </w:tcPr>
          <w:p w14:paraId="2D418C0C" w14:textId="77777777" w:rsidR="003F75FD" w:rsidRPr="00AB0BD3" w:rsidRDefault="003F75FD" w:rsidP="00EA543B">
            <w:pPr>
              <w:spacing w:before="240" w:after="160" w:line="360" w:lineRule="auto"/>
              <w:jc w:val="both"/>
              <w:rPr>
                <w:rFonts w:ascii="Arial" w:hAnsi="Arial" w:cs="Arial"/>
              </w:rPr>
            </w:pPr>
            <w:r w:rsidRPr="00AB0BD3">
              <w:rPr>
                <w:rFonts w:ascii="Arial" w:hAnsi="Arial" w:cs="Arial"/>
                <w:b/>
                <w:bCs/>
              </w:rPr>
              <w:t>Comparison</w:t>
            </w:r>
          </w:p>
        </w:tc>
        <w:tc>
          <w:tcPr>
            <w:tcW w:w="7280" w:type="dxa"/>
            <w:hideMark/>
          </w:tcPr>
          <w:p w14:paraId="46A67430" w14:textId="77777777" w:rsidR="003F75FD" w:rsidRPr="00AB0BD3" w:rsidRDefault="003F75FD" w:rsidP="00EA543B">
            <w:pPr>
              <w:spacing w:before="240" w:after="160" w:line="360" w:lineRule="auto"/>
              <w:jc w:val="both"/>
              <w:rPr>
                <w:rFonts w:ascii="Arial" w:hAnsi="Arial" w:cs="Arial"/>
              </w:rPr>
            </w:pPr>
            <w:r w:rsidRPr="00AB0BD3">
              <w:rPr>
                <w:rFonts w:ascii="Arial" w:hAnsi="Arial" w:cs="Arial"/>
              </w:rPr>
              <w:t>Pre-campaign TB incidence trends, non-vaccinated or partially vaccinated groups, and inter-district comparisons where available</w:t>
            </w:r>
          </w:p>
        </w:tc>
      </w:tr>
      <w:tr w:rsidR="003F75FD" w:rsidRPr="00AB0BD3" w14:paraId="1190DB75" w14:textId="77777777" w:rsidTr="00EA543B">
        <w:tc>
          <w:tcPr>
            <w:tcW w:w="1656" w:type="dxa"/>
            <w:hideMark/>
          </w:tcPr>
          <w:p w14:paraId="55C08CA9" w14:textId="77777777" w:rsidR="003F75FD" w:rsidRPr="00AB0BD3" w:rsidRDefault="003F75FD" w:rsidP="00EA543B">
            <w:pPr>
              <w:spacing w:before="240" w:after="160" w:line="360" w:lineRule="auto"/>
              <w:jc w:val="both"/>
              <w:rPr>
                <w:rFonts w:ascii="Arial" w:hAnsi="Arial" w:cs="Arial"/>
              </w:rPr>
            </w:pPr>
            <w:r w:rsidRPr="00AB0BD3">
              <w:rPr>
                <w:rFonts w:ascii="Arial" w:hAnsi="Arial" w:cs="Arial"/>
                <w:b/>
                <w:bCs/>
              </w:rPr>
              <w:t>Outcomes</w:t>
            </w:r>
          </w:p>
        </w:tc>
        <w:tc>
          <w:tcPr>
            <w:tcW w:w="7280" w:type="dxa"/>
            <w:hideMark/>
          </w:tcPr>
          <w:p w14:paraId="56E10530" w14:textId="77777777" w:rsidR="003F75FD" w:rsidRPr="00AB0BD3" w:rsidRDefault="003F75FD" w:rsidP="00EA543B">
            <w:pPr>
              <w:spacing w:before="240" w:after="160" w:line="360" w:lineRule="auto"/>
              <w:jc w:val="both"/>
              <w:rPr>
                <w:rFonts w:ascii="Arial" w:hAnsi="Arial" w:cs="Arial"/>
              </w:rPr>
            </w:pPr>
            <w:r w:rsidRPr="00AB0BD3">
              <w:rPr>
                <w:rFonts w:ascii="Arial" w:hAnsi="Arial" w:cs="Arial"/>
              </w:rPr>
              <w:t>Changes in TB incidence, vaccination coverage levels, and identification of behavioural or implementation barriers</w:t>
            </w:r>
          </w:p>
        </w:tc>
      </w:tr>
      <w:tr w:rsidR="003F75FD" w:rsidRPr="00AB0BD3" w14:paraId="18568EE9" w14:textId="77777777" w:rsidTr="00EA543B">
        <w:tc>
          <w:tcPr>
            <w:tcW w:w="1656" w:type="dxa"/>
            <w:hideMark/>
          </w:tcPr>
          <w:p w14:paraId="7D3FC2E2" w14:textId="77777777" w:rsidR="003F75FD" w:rsidRPr="00AB0BD3" w:rsidRDefault="003F75FD" w:rsidP="00EA543B">
            <w:pPr>
              <w:spacing w:before="240" w:after="160" w:line="360" w:lineRule="auto"/>
              <w:jc w:val="both"/>
              <w:rPr>
                <w:rFonts w:ascii="Arial" w:hAnsi="Arial" w:cs="Arial"/>
              </w:rPr>
            </w:pPr>
            <w:r w:rsidRPr="00AB0BD3">
              <w:rPr>
                <w:rFonts w:ascii="Arial" w:hAnsi="Arial" w:cs="Arial"/>
                <w:b/>
                <w:bCs/>
              </w:rPr>
              <w:t>Study Type</w:t>
            </w:r>
          </w:p>
        </w:tc>
        <w:tc>
          <w:tcPr>
            <w:tcW w:w="7280" w:type="dxa"/>
            <w:hideMark/>
          </w:tcPr>
          <w:p w14:paraId="12245ED3" w14:textId="77777777" w:rsidR="003F75FD" w:rsidRPr="00AB0BD3" w:rsidRDefault="003F75FD" w:rsidP="00EA543B">
            <w:pPr>
              <w:spacing w:before="240" w:after="160" w:line="360" w:lineRule="auto"/>
              <w:jc w:val="both"/>
              <w:rPr>
                <w:rFonts w:ascii="Arial" w:hAnsi="Arial" w:cs="Arial"/>
              </w:rPr>
            </w:pPr>
            <w:r w:rsidRPr="00AB0BD3">
              <w:rPr>
                <w:rFonts w:ascii="Arial" w:hAnsi="Arial" w:cs="Arial"/>
              </w:rPr>
              <w:t>Quantitative, qualitative, and mixed-method studies published between 2015–2025, including government and NGO reports</w:t>
            </w:r>
          </w:p>
        </w:tc>
      </w:tr>
    </w:tbl>
    <w:p w14:paraId="4BB53458" w14:textId="77777777" w:rsidR="003F75FD" w:rsidRPr="00AB0BD3" w:rsidRDefault="003F75FD" w:rsidP="004F2450">
      <w:pPr>
        <w:pStyle w:val="Heading1"/>
      </w:pPr>
      <w:bookmarkStart w:id="31" w:name="_Toc218418685"/>
      <w:r w:rsidRPr="00AB0BD3">
        <w:t>3.8 Inclusion and Exclusion Criteria</w:t>
      </w:r>
      <w:bookmarkEnd w:id="31"/>
    </w:p>
    <w:p w14:paraId="01A5FA8D" w14:textId="77777777" w:rsidR="003F75FD" w:rsidRPr="00AB0BD3" w:rsidRDefault="003F75FD" w:rsidP="003F75FD">
      <w:pPr>
        <w:pStyle w:val="Heading2"/>
        <w:spacing w:before="240"/>
      </w:pPr>
      <w:bookmarkStart w:id="32" w:name="_Toc218418686"/>
      <w:r w:rsidRPr="00AB0BD3">
        <w:rPr>
          <w:rFonts w:eastAsiaTheme="majorEastAsia"/>
        </w:rPr>
        <w:t>3.8.1 Inclusion Criteria</w:t>
      </w:r>
      <w:bookmarkEnd w:id="32"/>
      <w:r w:rsidRPr="00AB0BD3">
        <w:rPr>
          <w:rFonts w:eastAsiaTheme="majorEastAsia"/>
        </w:rPr>
        <w:t xml:space="preserve"> </w:t>
      </w:r>
    </w:p>
    <w:p w14:paraId="578999E2" w14:textId="77777777" w:rsidR="003F75FD" w:rsidRPr="00AB0BD3" w:rsidRDefault="003F75FD" w:rsidP="003F75FD">
      <w:pPr>
        <w:spacing w:before="240" w:line="360" w:lineRule="auto"/>
        <w:jc w:val="both"/>
        <w:rPr>
          <w:rFonts w:ascii="Arial" w:hAnsi="Arial" w:cs="Arial"/>
        </w:rPr>
      </w:pPr>
      <w:r w:rsidRPr="00AB0BD3">
        <w:rPr>
          <w:rFonts w:ascii="Arial" w:hAnsi="Arial" w:cs="Arial"/>
        </w:rPr>
        <w:t xml:space="preserve">Studies were selected based on predefined eligibility criteria to ensure relevance, quality, and alignment with the research focus. </w:t>
      </w:r>
    </w:p>
    <w:p w14:paraId="54E168D0" w14:textId="77777777" w:rsidR="003F75FD" w:rsidRPr="00AB0BD3" w:rsidRDefault="003F75FD" w:rsidP="003F75FD">
      <w:pPr>
        <w:pStyle w:val="ListParagraph"/>
        <w:numPr>
          <w:ilvl w:val="0"/>
          <w:numId w:val="2"/>
        </w:numPr>
        <w:spacing w:before="240" w:line="360" w:lineRule="auto"/>
        <w:jc w:val="both"/>
        <w:rPr>
          <w:rFonts w:ascii="Arial" w:hAnsi="Arial" w:cs="Arial"/>
        </w:rPr>
      </w:pPr>
      <w:r w:rsidRPr="00AB0BD3">
        <w:rPr>
          <w:rFonts w:ascii="Arial" w:hAnsi="Arial" w:cs="Arial"/>
        </w:rPr>
        <w:t xml:space="preserve">Only literature published between 2015 and 2025 was included to capture recent developments in TB epidemiology and BCG vaccination programme performance. </w:t>
      </w:r>
    </w:p>
    <w:p w14:paraId="667EE693" w14:textId="77777777" w:rsidR="003F75FD" w:rsidRPr="00AB0BD3" w:rsidRDefault="003F75FD" w:rsidP="003F75FD">
      <w:pPr>
        <w:pStyle w:val="ListParagraph"/>
        <w:numPr>
          <w:ilvl w:val="0"/>
          <w:numId w:val="2"/>
        </w:numPr>
        <w:spacing w:before="240" w:line="360" w:lineRule="auto"/>
        <w:jc w:val="both"/>
        <w:rPr>
          <w:rFonts w:ascii="Arial" w:hAnsi="Arial" w:cs="Arial"/>
        </w:rPr>
      </w:pPr>
      <w:r w:rsidRPr="00AB0BD3">
        <w:rPr>
          <w:rFonts w:ascii="Arial" w:hAnsi="Arial" w:cs="Arial"/>
        </w:rPr>
        <w:t xml:space="preserve">Publications were limited to English due to translation constraints. </w:t>
      </w:r>
    </w:p>
    <w:p w14:paraId="2D608EA3" w14:textId="77777777" w:rsidR="003F75FD" w:rsidRPr="00AB0BD3" w:rsidRDefault="003F75FD" w:rsidP="003F75FD">
      <w:pPr>
        <w:pStyle w:val="ListParagraph"/>
        <w:numPr>
          <w:ilvl w:val="0"/>
          <w:numId w:val="2"/>
        </w:numPr>
        <w:spacing w:before="240" w:line="360" w:lineRule="auto"/>
        <w:jc w:val="both"/>
        <w:rPr>
          <w:rFonts w:ascii="Arial" w:hAnsi="Arial" w:cs="Arial"/>
        </w:rPr>
      </w:pPr>
      <w:r w:rsidRPr="00AB0BD3">
        <w:rPr>
          <w:rFonts w:ascii="Arial" w:hAnsi="Arial" w:cs="Arial"/>
        </w:rPr>
        <w:t xml:space="preserve">Both qualitative and quantitative studies, including peer-reviewed articles, government reports, and NGO documentation, were eligible if they examined vaccination coverage, TB incidence, programme evaluation, or barriers affecting campaign implementation. </w:t>
      </w:r>
    </w:p>
    <w:p w14:paraId="6C4CD901" w14:textId="77777777" w:rsidR="003F75FD" w:rsidRPr="00AB0BD3" w:rsidRDefault="003F75FD" w:rsidP="003F75FD">
      <w:pPr>
        <w:pStyle w:val="ListParagraph"/>
        <w:numPr>
          <w:ilvl w:val="0"/>
          <w:numId w:val="2"/>
        </w:numPr>
        <w:spacing w:before="240" w:line="360" w:lineRule="auto"/>
        <w:jc w:val="both"/>
        <w:rPr>
          <w:rFonts w:ascii="Arial" w:hAnsi="Arial" w:cs="Arial"/>
        </w:rPr>
      </w:pPr>
      <w:r w:rsidRPr="00AB0BD3">
        <w:rPr>
          <w:rFonts w:ascii="Arial" w:hAnsi="Arial" w:cs="Arial"/>
        </w:rPr>
        <w:t xml:space="preserve">Studies were required to focus on high-risk or urban marginalised populations in Delhi or closely comparable Indian settings. </w:t>
      </w:r>
    </w:p>
    <w:p w14:paraId="5B2DFABD" w14:textId="77777777" w:rsidR="003F75FD" w:rsidRPr="00AB0BD3" w:rsidRDefault="003F75FD" w:rsidP="003F75FD">
      <w:pPr>
        <w:pStyle w:val="ListParagraph"/>
        <w:numPr>
          <w:ilvl w:val="0"/>
          <w:numId w:val="2"/>
        </w:numPr>
        <w:spacing w:before="240" w:line="360" w:lineRule="auto"/>
        <w:jc w:val="both"/>
        <w:rPr>
          <w:rFonts w:ascii="Arial" w:hAnsi="Arial" w:cs="Arial"/>
        </w:rPr>
      </w:pPr>
      <w:r w:rsidRPr="00AB0BD3">
        <w:rPr>
          <w:rFonts w:ascii="Arial" w:hAnsi="Arial" w:cs="Arial"/>
        </w:rPr>
        <w:lastRenderedPageBreak/>
        <w:t>Research involving populations aged 15–60 was prioritised; however, studies including broader cohorts were accepted if findings remained relevant to the review aims.</w:t>
      </w:r>
    </w:p>
    <w:p w14:paraId="0DF91CC6" w14:textId="77777777" w:rsidR="003F75FD" w:rsidRPr="00AB0BD3" w:rsidRDefault="003F75FD" w:rsidP="003F75FD">
      <w:pPr>
        <w:pStyle w:val="ListParagraph"/>
        <w:numPr>
          <w:ilvl w:val="0"/>
          <w:numId w:val="2"/>
        </w:numPr>
        <w:spacing w:before="240" w:line="360" w:lineRule="auto"/>
        <w:jc w:val="both"/>
        <w:rPr>
          <w:rFonts w:ascii="Arial" w:hAnsi="Arial" w:cs="Arial"/>
        </w:rPr>
      </w:pPr>
      <w:r w:rsidRPr="00AB0BD3">
        <w:rPr>
          <w:rFonts w:ascii="Arial" w:hAnsi="Arial" w:cs="Arial"/>
        </w:rPr>
        <w:t>Peer-reviewed journals.</w:t>
      </w:r>
    </w:p>
    <w:p w14:paraId="28D191ED" w14:textId="77777777" w:rsidR="003F75FD" w:rsidRPr="00AB0BD3" w:rsidRDefault="003F75FD" w:rsidP="003F75FD">
      <w:pPr>
        <w:pStyle w:val="Heading2"/>
        <w:spacing w:before="240"/>
      </w:pPr>
      <w:bookmarkStart w:id="33" w:name="_Toc218418687"/>
      <w:r w:rsidRPr="00AB0BD3">
        <w:rPr>
          <w:rFonts w:eastAsiaTheme="majorEastAsia"/>
        </w:rPr>
        <w:t>3.8.2 Exclusion Criteria</w:t>
      </w:r>
      <w:bookmarkEnd w:id="33"/>
    </w:p>
    <w:p w14:paraId="0AD7FB35" w14:textId="77777777" w:rsidR="003F75FD" w:rsidRPr="00AB0BD3" w:rsidRDefault="003F75FD" w:rsidP="003F75FD">
      <w:pPr>
        <w:pStyle w:val="ListParagraph"/>
        <w:numPr>
          <w:ilvl w:val="0"/>
          <w:numId w:val="3"/>
        </w:numPr>
        <w:spacing w:before="240" w:line="360" w:lineRule="auto"/>
        <w:jc w:val="both"/>
        <w:rPr>
          <w:rFonts w:ascii="Arial" w:hAnsi="Arial" w:cs="Arial"/>
        </w:rPr>
      </w:pPr>
      <w:r w:rsidRPr="00AB0BD3">
        <w:rPr>
          <w:rFonts w:ascii="Arial" w:hAnsi="Arial" w:cs="Arial"/>
        </w:rPr>
        <w:t>Studies were excluded if they were published before 2015, written in a non-English language, or lacked empirical evidence suitable for systematic analysis.</w:t>
      </w:r>
    </w:p>
    <w:p w14:paraId="1ACCC605" w14:textId="77777777" w:rsidR="003F75FD" w:rsidRPr="00AB0BD3" w:rsidRDefault="003F75FD" w:rsidP="003F75FD">
      <w:pPr>
        <w:pStyle w:val="ListParagraph"/>
        <w:numPr>
          <w:ilvl w:val="0"/>
          <w:numId w:val="3"/>
        </w:numPr>
        <w:spacing w:before="240" w:line="360" w:lineRule="auto"/>
        <w:jc w:val="both"/>
        <w:rPr>
          <w:rFonts w:ascii="Arial" w:hAnsi="Arial" w:cs="Arial"/>
        </w:rPr>
      </w:pPr>
      <w:r w:rsidRPr="00AB0BD3">
        <w:rPr>
          <w:rFonts w:ascii="Arial" w:hAnsi="Arial" w:cs="Arial"/>
        </w:rPr>
        <w:t xml:space="preserve">Research focusing solely on childhood BCG schedules was excluded unless it directly contributed contextual relevance to adult vaccination outcomes or campaign implementation in Delhi. </w:t>
      </w:r>
    </w:p>
    <w:p w14:paraId="3CD57646" w14:textId="77777777" w:rsidR="003F75FD" w:rsidRPr="00AB0BD3" w:rsidRDefault="003F75FD" w:rsidP="003F75FD">
      <w:pPr>
        <w:pStyle w:val="ListParagraph"/>
        <w:numPr>
          <w:ilvl w:val="0"/>
          <w:numId w:val="3"/>
        </w:numPr>
        <w:spacing w:before="240" w:line="360" w:lineRule="auto"/>
        <w:jc w:val="both"/>
        <w:rPr>
          <w:rFonts w:ascii="Arial" w:hAnsi="Arial" w:cs="Arial"/>
        </w:rPr>
      </w:pPr>
      <w:r w:rsidRPr="00AB0BD3">
        <w:rPr>
          <w:rFonts w:ascii="Arial" w:hAnsi="Arial" w:cs="Arial"/>
        </w:rPr>
        <w:t xml:space="preserve">Editorials, commentaries, opinion papers, or publications without methodological clarity, statistical support, or peer review were also removed. </w:t>
      </w:r>
    </w:p>
    <w:p w14:paraId="642727B4" w14:textId="77777777" w:rsidR="003F75FD" w:rsidRPr="00AB0BD3" w:rsidRDefault="003F75FD" w:rsidP="003F75FD">
      <w:pPr>
        <w:pStyle w:val="ListParagraph"/>
        <w:numPr>
          <w:ilvl w:val="0"/>
          <w:numId w:val="3"/>
        </w:numPr>
        <w:spacing w:before="240" w:line="360" w:lineRule="auto"/>
        <w:jc w:val="both"/>
        <w:rPr>
          <w:rFonts w:ascii="Arial" w:hAnsi="Arial" w:cs="Arial"/>
        </w:rPr>
      </w:pPr>
      <w:r w:rsidRPr="00AB0BD3">
        <w:rPr>
          <w:rFonts w:ascii="Arial" w:hAnsi="Arial" w:cs="Arial"/>
        </w:rPr>
        <w:t xml:space="preserve">Studies without geographical relevance to India, or those not explicitly examining TB vaccination uptake, programme impact, or incidence trends, were excluded to maintain alignment with the research objectives. </w:t>
      </w:r>
    </w:p>
    <w:p w14:paraId="4D2B2125" w14:textId="77777777" w:rsidR="003F75FD" w:rsidRPr="00AB0BD3" w:rsidRDefault="003F75FD" w:rsidP="003F75FD">
      <w:pPr>
        <w:pStyle w:val="ListParagraph"/>
        <w:numPr>
          <w:ilvl w:val="0"/>
          <w:numId w:val="3"/>
        </w:numPr>
        <w:spacing w:before="240" w:line="360" w:lineRule="auto"/>
        <w:jc w:val="both"/>
        <w:rPr>
          <w:rFonts w:ascii="Arial" w:hAnsi="Arial" w:cs="Arial"/>
        </w:rPr>
      </w:pPr>
      <w:r w:rsidRPr="00AB0BD3">
        <w:rPr>
          <w:rFonts w:ascii="Arial" w:hAnsi="Arial" w:cs="Arial"/>
        </w:rPr>
        <w:t>Articles failing to provide adequate detail for data extraction, quality appraisal, or methodological assessment were similarly omitted to preserve the rigour and accuracy of the final evidence base.</w:t>
      </w:r>
    </w:p>
    <w:p w14:paraId="0AA372D8" w14:textId="77777777" w:rsidR="003F75FD" w:rsidRPr="00AB0BD3" w:rsidRDefault="003F75FD" w:rsidP="004F2450">
      <w:pPr>
        <w:pStyle w:val="Heading1"/>
      </w:pPr>
      <w:bookmarkStart w:id="34" w:name="_Toc218418688"/>
      <w:r w:rsidRPr="00AB0BD3">
        <w:t>3.9 Quality Assessment</w:t>
      </w:r>
      <w:bookmarkEnd w:id="34"/>
    </w:p>
    <w:p w14:paraId="3B79793F" w14:textId="77777777" w:rsidR="003F75FD" w:rsidRPr="00AB0BD3" w:rsidRDefault="003F75FD" w:rsidP="003F75FD">
      <w:pPr>
        <w:spacing w:before="240" w:line="360" w:lineRule="auto"/>
        <w:jc w:val="both"/>
        <w:rPr>
          <w:rFonts w:ascii="Arial" w:hAnsi="Arial" w:cs="Arial"/>
        </w:rPr>
      </w:pPr>
      <w:r w:rsidRPr="00AB0BD3">
        <w:rPr>
          <w:rFonts w:ascii="Arial" w:hAnsi="Arial" w:cs="Arial"/>
        </w:rPr>
        <w:t>Quality assessment was carried out using the Critical Appraisal Skills Programme (CASP) and Joanna Briggs Institute (JBI) tools to ensure methodological integrity and reduce bias in interpretation (Hilton, 2024). Quantitative studies were appraised for sampling adequacy, statistical validity, clarity of outcome measurement, and risk of bias, including attrition and confounding (Lan et al., 2023). Qualitative studies were assessed for credibility, dependability, transparency of data collection, and reflexivity to determine how researcher influence may have shaped findings.</w:t>
      </w:r>
    </w:p>
    <w:p w14:paraId="3E2D493E" w14:textId="77777777" w:rsidR="003F75FD" w:rsidRPr="00AB0BD3" w:rsidRDefault="003F75FD" w:rsidP="003F75FD">
      <w:pPr>
        <w:spacing w:before="240" w:line="360" w:lineRule="auto"/>
        <w:jc w:val="both"/>
        <w:rPr>
          <w:rFonts w:ascii="Arial" w:hAnsi="Arial" w:cs="Arial"/>
        </w:rPr>
      </w:pPr>
      <w:r w:rsidRPr="00AB0BD3">
        <w:rPr>
          <w:rFonts w:ascii="Arial" w:hAnsi="Arial" w:cs="Arial"/>
        </w:rPr>
        <w:t xml:space="preserve">Studies were categorised as high, medium, or low quality based on appraisal outcomes; however, no studies were excluded based on appraisal scores alone. Instead, lower-quality studies were incorporated with caution to prevent overinterpretation while still recognising their contextual value (Haile, 2022). This </w:t>
      </w:r>
      <w:r w:rsidRPr="00AB0BD3">
        <w:rPr>
          <w:rFonts w:ascii="Arial" w:hAnsi="Arial" w:cs="Arial"/>
        </w:rPr>
        <w:lastRenderedPageBreak/>
        <w:t>proportional weighting approach strengthened the validity of the synthesis while maintaining the inclusivity of available evidence.</w:t>
      </w:r>
    </w:p>
    <w:p w14:paraId="6A5FA3D1" w14:textId="77777777" w:rsidR="003F75FD" w:rsidRPr="00AB0BD3" w:rsidRDefault="003F75FD" w:rsidP="004F2450">
      <w:pPr>
        <w:pStyle w:val="Heading1"/>
      </w:pPr>
      <w:bookmarkStart w:id="35" w:name="_Toc218418689"/>
      <w:r w:rsidRPr="00AB0BD3">
        <w:t>3.10 Data Analysis</w:t>
      </w:r>
      <w:bookmarkEnd w:id="35"/>
    </w:p>
    <w:p w14:paraId="721C7006" w14:textId="77777777" w:rsidR="003F75FD" w:rsidRPr="00AB0BD3" w:rsidRDefault="003F75FD" w:rsidP="003F75FD">
      <w:pPr>
        <w:spacing w:before="240" w:line="360" w:lineRule="auto"/>
        <w:jc w:val="both"/>
        <w:rPr>
          <w:rFonts w:ascii="Arial" w:hAnsi="Arial" w:cs="Arial"/>
        </w:rPr>
      </w:pPr>
      <w:r w:rsidRPr="00AB0BD3">
        <w:rPr>
          <w:rFonts w:ascii="Arial" w:hAnsi="Arial" w:cs="Arial"/>
        </w:rPr>
        <w:t xml:space="preserve">Data analysis followed an integrated thematic analysis approach, combining both quantitative and qualitative evidence to strengthen interpretation and validity. Quantitative findings were initially extracted and tabulated, including reported TB incidence, vaccination uptake rates, and intervention effectiveness indicators across different geographical or demographic contexts (Mikalef et al, 2018). These numerical patterns were compared across studies to identify consistencies, contrasts, and emerging public health trends (Belotto, 2018). Where comparable data were available, cross-study comparison allowed assessment of disparities in vaccination coverage, particularly among vulnerable or high-risk groups (Belotto, 2018). </w:t>
      </w:r>
    </w:p>
    <w:p w14:paraId="480293FC" w14:textId="77777777" w:rsidR="003F75FD" w:rsidRPr="00AB0BD3" w:rsidRDefault="003F75FD" w:rsidP="003F75FD">
      <w:pPr>
        <w:spacing w:before="240" w:line="360" w:lineRule="auto"/>
        <w:jc w:val="both"/>
        <w:rPr>
          <w:rFonts w:ascii="Arial" w:hAnsi="Arial" w:cs="Arial"/>
        </w:rPr>
      </w:pPr>
      <w:r w:rsidRPr="00AB0BD3">
        <w:rPr>
          <w:rFonts w:ascii="Arial" w:hAnsi="Arial" w:cs="Arial"/>
        </w:rPr>
        <w:t xml:space="preserve">Qualitative data were analysed using a structured thematic analysis process, following coding, clustering, and interpretation procedures (Ahn and Kang, 2018). Extracted text was coded line-by-line to identify patterns relating to behavioural influences, cultural norms, system-level barriers, and stakeholder perceptions of TB vaccination. Codes were then refined into overarching themes, such as accessibility, awareness, mistrust of health systems, logistical challenges, and policy implementation gaps (Belotto, 2018). </w:t>
      </w:r>
    </w:p>
    <w:p w14:paraId="25F4037D" w14:textId="77777777" w:rsidR="003F75FD" w:rsidRPr="00AB0BD3" w:rsidRDefault="003F75FD" w:rsidP="004F2450">
      <w:pPr>
        <w:pStyle w:val="Heading1"/>
      </w:pPr>
      <w:bookmarkStart w:id="36" w:name="_Toc218418690"/>
      <w:r w:rsidRPr="00AB0BD3">
        <w:t>3.11 PRISMA Reporting</w:t>
      </w:r>
      <w:bookmarkEnd w:id="36"/>
    </w:p>
    <w:p w14:paraId="1D369D31" w14:textId="77777777" w:rsidR="003F75FD" w:rsidRPr="00AB0BD3" w:rsidRDefault="003F75FD" w:rsidP="003F75FD">
      <w:pPr>
        <w:spacing w:before="240" w:line="360" w:lineRule="auto"/>
        <w:jc w:val="both"/>
        <w:rPr>
          <w:rFonts w:ascii="Arial" w:hAnsi="Arial" w:cs="Arial"/>
        </w:rPr>
      </w:pPr>
      <w:r w:rsidRPr="00AB0BD3">
        <w:rPr>
          <w:rFonts w:ascii="Arial" w:hAnsi="Arial" w:cs="Arial"/>
        </w:rPr>
        <w:t>PRISMA reporting guidelines were applied to maintain transparency, structure, and replicability throughout the review (Hutton et al., 2017). A PRISMA flow diagram was used (see chapter 4) to document the full screening pathway, including the total number of records identified, duplicates removed, and studies screened at title, abstract, and full-text stages (Hutton et al., 2017). Reasons for exclusion were recorded systematically to ensure methodological clarity. The final number of eligible studies was presented in alignment with PRISMA standards, supporting auditability and enhancing the credibility of the review process (Hutton et al., 2017).</w:t>
      </w:r>
    </w:p>
    <w:p w14:paraId="53391EEA" w14:textId="77777777" w:rsidR="003F75FD" w:rsidRPr="00AB0BD3" w:rsidRDefault="003F75FD" w:rsidP="004F2450">
      <w:pPr>
        <w:pStyle w:val="Heading1"/>
      </w:pPr>
      <w:bookmarkStart w:id="37" w:name="_Toc218418691"/>
      <w:r w:rsidRPr="00AB0BD3">
        <w:lastRenderedPageBreak/>
        <w:t>3.12 Ethical Considerations</w:t>
      </w:r>
      <w:bookmarkEnd w:id="37"/>
    </w:p>
    <w:p w14:paraId="5163E71A" w14:textId="77777777" w:rsidR="003F75FD" w:rsidRPr="00AB0BD3" w:rsidRDefault="003F75FD" w:rsidP="003F75FD">
      <w:pPr>
        <w:spacing w:before="240" w:line="360" w:lineRule="auto"/>
        <w:jc w:val="both"/>
        <w:rPr>
          <w:rFonts w:ascii="Arial" w:hAnsi="Arial" w:cs="Arial"/>
        </w:rPr>
      </w:pPr>
      <w:r w:rsidRPr="00AB0BD3">
        <w:rPr>
          <w:rFonts w:ascii="Arial" w:hAnsi="Arial" w:cs="Arial"/>
        </w:rPr>
        <w:t>Although this research relies solely on secondary data, ethical rigour was upheld throughout to maintain transparency, academic integrity, and responsible scholarship. All literature sources were accurately acknowledged using appropriate citation and referencing conventions to avoid plagiarism and ensure protection of intellectual ownership (Fleming and Zegwaard, 2018). Findings were interpreted cautiously and objectively to prevent bias, exaggeration, or misrepresentation of results. While no personal or identifiable data were accessed, ethical accountability extended to evaluating whether included studies adhered to established standards, such as securing ethical approval and obtaining informed consent where required (Taljaard et al., 2017).</w:t>
      </w:r>
    </w:p>
    <w:p w14:paraId="00A5A019" w14:textId="77777777" w:rsidR="003F75FD" w:rsidRPr="00AB0BD3" w:rsidRDefault="003F75FD" w:rsidP="003F75FD">
      <w:pPr>
        <w:spacing w:before="240" w:line="360" w:lineRule="auto"/>
        <w:jc w:val="both"/>
        <w:rPr>
          <w:rFonts w:ascii="Arial" w:hAnsi="Arial" w:cs="Arial"/>
        </w:rPr>
      </w:pPr>
      <w:r w:rsidRPr="00AB0BD3">
        <w:rPr>
          <w:rFonts w:ascii="Arial" w:hAnsi="Arial" w:cs="Arial"/>
        </w:rPr>
        <w:t>Sensitivity was also prioritised when reporting findings involving vulnerable, high-risk, or marginalised communities. Care was taken to ensure that interpretations did not reinforce stigma, cultural bias, or negative assumptions regarding TB, vaccine hesitancy, or healthcare engagement (Fleming and Zegwaard, 2018). Respectful language and neutral framing were used to avoid contributing to discrimination or social labelling of affected populations (Taljaard et al., 2017). The ethical foundation of this review supports beneficence, as the research aims to generate evidence that may inform improved TB vaccination strategies, policy development, and equitable access to public health services in Delhi.</w:t>
      </w:r>
    </w:p>
    <w:p w14:paraId="6CFB95C7" w14:textId="77777777" w:rsidR="003F75FD" w:rsidRPr="00AB0BD3" w:rsidRDefault="003F75FD" w:rsidP="004F2450">
      <w:pPr>
        <w:pStyle w:val="Heading1"/>
      </w:pPr>
      <w:bookmarkStart w:id="38" w:name="_Toc218418692"/>
      <w:r w:rsidRPr="00AB0BD3">
        <w:t>3.13 Chapter Summary</w:t>
      </w:r>
      <w:bookmarkEnd w:id="38"/>
    </w:p>
    <w:p w14:paraId="06A892D2" w14:textId="33E3E1B8" w:rsidR="00FB66E1" w:rsidRDefault="003F75FD" w:rsidP="0046084C">
      <w:pPr>
        <w:spacing w:before="240" w:line="360" w:lineRule="auto"/>
        <w:jc w:val="both"/>
        <w:rPr>
          <w:rFonts w:ascii="Arial" w:hAnsi="Arial" w:cs="Arial"/>
        </w:rPr>
      </w:pPr>
      <w:r w:rsidRPr="00AB0BD3">
        <w:rPr>
          <w:rFonts w:ascii="Arial" w:hAnsi="Arial" w:cs="Arial"/>
        </w:rPr>
        <w:t xml:space="preserve">This chapter presented the methodological framework underpinning the study, outlining the research philosophy, systematic review design, strategy, data collection procedures, eligibility criteria, analysis methods, and ethical considerations. The structured application of PICOS criteria and adherence to PRISMA reporting standards ensured transparency, consistency, and replicability throughout the review process. Quality appraisal tools further strengthened the reliability of included evidence, while a mixed quantitative and qualitative analytical approach supported comprehensive synthesis. Collectively, these methodological decisions establish a robust foundation for evaluating the impact of BCG vaccination campaigns, leading </w:t>
      </w:r>
      <w:r w:rsidR="00FB66E1">
        <w:rPr>
          <w:rFonts w:ascii="Arial" w:hAnsi="Arial" w:cs="Arial"/>
        </w:rPr>
        <w:t>to</w:t>
      </w:r>
      <w:r w:rsidRPr="00AB0BD3">
        <w:rPr>
          <w:rFonts w:ascii="Arial" w:hAnsi="Arial" w:cs="Arial"/>
        </w:rPr>
        <w:t xml:space="preserve"> the analysis and presentation of findings in Chapter 4.</w:t>
      </w:r>
    </w:p>
    <w:p w14:paraId="088B14E2" w14:textId="77777777" w:rsidR="00AB0BD3" w:rsidRPr="004E1828" w:rsidRDefault="00AB0BD3" w:rsidP="004F2450">
      <w:pPr>
        <w:pStyle w:val="Heading1"/>
      </w:pPr>
      <w:bookmarkStart w:id="39" w:name="_Toc218418693"/>
      <w:r w:rsidRPr="004E1828">
        <w:lastRenderedPageBreak/>
        <w:t>Chapter 4: Results</w:t>
      </w:r>
      <w:bookmarkEnd w:id="39"/>
      <w:r w:rsidRPr="004E1828">
        <w:t xml:space="preserve"> </w:t>
      </w:r>
    </w:p>
    <w:p w14:paraId="5AACE8D5" w14:textId="77777777" w:rsidR="00AB0BD3" w:rsidRPr="004E1828" w:rsidRDefault="00AB0BD3" w:rsidP="004F2450">
      <w:pPr>
        <w:pStyle w:val="Heading1"/>
      </w:pPr>
      <w:bookmarkStart w:id="40" w:name="_Toc218418694"/>
      <w:r>
        <w:t xml:space="preserve">4.1 </w:t>
      </w:r>
      <w:r w:rsidRPr="004E1828">
        <w:t>Introduction</w:t>
      </w:r>
      <w:bookmarkEnd w:id="40"/>
    </w:p>
    <w:p w14:paraId="366D1F34" w14:textId="77777777" w:rsidR="00AB0BD3" w:rsidRPr="004E1828" w:rsidRDefault="00AB0BD3" w:rsidP="00AB0BD3">
      <w:pPr>
        <w:spacing w:line="360" w:lineRule="auto"/>
        <w:jc w:val="both"/>
        <w:rPr>
          <w:rFonts w:ascii="Arial" w:hAnsi="Arial" w:cs="Arial"/>
        </w:rPr>
      </w:pPr>
      <w:r w:rsidRPr="004E1828">
        <w:rPr>
          <w:rFonts w:ascii="Arial" w:hAnsi="Arial" w:cs="Arial"/>
        </w:rPr>
        <w:t>This chapter presents the results of the systematic review examining the impact of BCG vaccination campaigns on tuberculosis (TB) outcomes among high-risk populations aged 15–60 years in selected districts of Delhi, India. The chapter synthesises evidence from peer-reviewed studies and programmatic reports to address the research question and objectives outlined in Chapter 1. Findings are organised to reflect the study selection process, key characteristics of included studies, and the main outcomes related to TB incidence, morbidity, vaccination coverage, and implementation challenges. By systematically analysing the available evidence, this chapter provides a transparent and structured summary of how BCG vaccination campaigns have performed in high-risk urban contexts and sets the foundation for interpretation and discussion in the subsequent chapter.</w:t>
      </w:r>
    </w:p>
    <w:p w14:paraId="1352CFFB" w14:textId="77777777" w:rsidR="00AB0BD3" w:rsidRDefault="00AB0BD3" w:rsidP="004F2450">
      <w:pPr>
        <w:pStyle w:val="Heading1"/>
      </w:pPr>
      <w:bookmarkStart w:id="41" w:name="_Toc218418695"/>
      <w:r w:rsidRPr="004E1828">
        <w:t>4.2 PRISMA Flow Diagram</w:t>
      </w:r>
      <w:bookmarkEnd w:id="41"/>
      <w:r w:rsidRPr="004E1828">
        <w:t xml:space="preserve"> </w:t>
      </w:r>
    </w:p>
    <w:p w14:paraId="6B018B99" w14:textId="77777777" w:rsidR="00AB0BD3" w:rsidRDefault="00AB0BD3" w:rsidP="00AB0BD3">
      <w:pPr>
        <w:spacing w:line="360" w:lineRule="auto"/>
        <w:jc w:val="both"/>
        <w:rPr>
          <w:rFonts w:ascii="Arial" w:hAnsi="Arial" w:cs="Arial"/>
        </w:rPr>
      </w:pPr>
      <w:r w:rsidRPr="004E1828">
        <w:rPr>
          <w:rFonts w:ascii="Arial" w:hAnsi="Arial" w:cs="Arial"/>
        </w:rPr>
        <w:t>The study selection process followed the PRISMA (Preferred Reporting Items for Systematic Reviews and Meta-Analyses) guidelines to ensure transparency and methodological rigour</w:t>
      </w:r>
      <w:r>
        <w:rPr>
          <w:rFonts w:ascii="Arial" w:hAnsi="Arial" w:cs="Arial"/>
        </w:rPr>
        <w:t xml:space="preserve"> (</w:t>
      </w:r>
      <w:r w:rsidRPr="00585C0B">
        <w:rPr>
          <w:rFonts w:ascii="Arial" w:hAnsi="Arial" w:cs="Arial"/>
        </w:rPr>
        <w:t>Rice</w:t>
      </w:r>
      <w:r>
        <w:rPr>
          <w:rFonts w:ascii="Arial" w:hAnsi="Arial" w:cs="Arial"/>
        </w:rPr>
        <w:t xml:space="preserve"> et al, 2016)</w:t>
      </w:r>
      <w:r w:rsidRPr="004E1828">
        <w:rPr>
          <w:rFonts w:ascii="Arial" w:hAnsi="Arial" w:cs="Arial"/>
        </w:rPr>
        <w:t>. An initial comprehensive search across multiple electronic databases and grey literature sources identified a substantial number of records related to BCG vaccination and tuberculosis control in India</w:t>
      </w:r>
      <w:r>
        <w:rPr>
          <w:rFonts w:ascii="Arial" w:hAnsi="Arial" w:cs="Arial"/>
        </w:rPr>
        <w:t xml:space="preserve"> (</w:t>
      </w:r>
      <w:r w:rsidRPr="00F97928">
        <w:rPr>
          <w:rFonts w:ascii="Arial" w:hAnsi="Arial" w:cs="Arial"/>
        </w:rPr>
        <w:t>Vrabel</w:t>
      </w:r>
      <w:r>
        <w:rPr>
          <w:rFonts w:ascii="Arial" w:hAnsi="Arial" w:cs="Arial"/>
        </w:rPr>
        <w:t>, 2015)</w:t>
      </w:r>
      <w:r w:rsidRPr="004E1828">
        <w:rPr>
          <w:rFonts w:ascii="Arial" w:hAnsi="Arial" w:cs="Arial"/>
        </w:rPr>
        <w:t>. After removing duplicates, titles and abstracts were screened for relevance based on predefined inclusion and exclusion criteria, particularly focusing on high-risk districts of Delhi and populations aged 15–60 years. Records that did not address BCG vaccination, TB outcomes, or the target population were excluded at this stage. Full-text articles were then assessed for eligibility, with exclusions primarily due to insufficient data, non-urban focus, or irrelevance to adult and adolescent populations</w:t>
      </w:r>
      <w:r>
        <w:rPr>
          <w:rFonts w:ascii="Arial" w:hAnsi="Arial" w:cs="Arial"/>
        </w:rPr>
        <w:t xml:space="preserve"> (</w:t>
      </w:r>
      <w:r w:rsidRPr="00F97928">
        <w:rPr>
          <w:rFonts w:ascii="Arial" w:hAnsi="Arial" w:cs="Arial"/>
        </w:rPr>
        <w:t>Vrabel</w:t>
      </w:r>
      <w:r>
        <w:rPr>
          <w:rFonts w:ascii="Arial" w:hAnsi="Arial" w:cs="Arial"/>
        </w:rPr>
        <w:t>, 2015)</w:t>
      </w:r>
      <w:r w:rsidRPr="004E1828">
        <w:rPr>
          <w:rFonts w:ascii="Arial" w:hAnsi="Arial" w:cs="Arial"/>
        </w:rPr>
        <w:t>. Ultimately, 1</w:t>
      </w:r>
      <w:r>
        <w:rPr>
          <w:rFonts w:ascii="Arial" w:hAnsi="Arial" w:cs="Arial"/>
        </w:rPr>
        <w:t>0</w:t>
      </w:r>
      <w:r w:rsidRPr="004E1828">
        <w:rPr>
          <w:rFonts w:ascii="Arial" w:hAnsi="Arial" w:cs="Arial"/>
        </w:rPr>
        <w:t xml:space="preserve"> studies met all inclusion criteria and were included in the final qualitative synthesis. The PRISMA flow diagram visually summarises each stage of this selection process</w:t>
      </w:r>
      <w:r>
        <w:rPr>
          <w:rFonts w:ascii="Arial" w:hAnsi="Arial" w:cs="Arial"/>
        </w:rPr>
        <w:t xml:space="preserve"> (</w:t>
      </w:r>
      <w:r w:rsidRPr="00585C0B">
        <w:rPr>
          <w:rFonts w:ascii="Arial" w:hAnsi="Arial" w:cs="Arial"/>
        </w:rPr>
        <w:t>Rice</w:t>
      </w:r>
      <w:r>
        <w:rPr>
          <w:rFonts w:ascii="Arial" w:hAnsi="Arial" w:cs="Arial"/>
        </w:rPr>
        <w:t xml:space="preserve"> et al, 2016)</w:t>
      </w:r>
      <w:r w:rsidRPr="004E1828">
        <w:rPr>
          <w:rFonts w:ascii="Arial" w:hAnsi="Arial" w:cs="Arial"/>
        </w:rPr>
        <w:t>.</w:t>
      </w:r>
    </w:p>
    <w:p w14:paraId="35556E5C" w14:textId="77777777" w:rsidR="00AB0BD3" w:rsidRDefault="00AB0BD3" w:rsidP="00AB0BD3">
      <w:pPr>
        <w:spacing w:line="360" w:lineRule="auto"/>
        <w:jc w:val="both"/>
        <w:rPr>
          <w:rFonts w:ascii="Arial" w:hAnsi="Arial" w:cs="Arial"/>
        </w:rPr>
      </w:pPr>
      <w:r w:rsidRPr="002E49F5">
        <w:rPr>
          <w:rFonts w:ascii="Arial" w:hAnsi="Arial" w:cs="Arial"/>
        </w:rPr>
        <w:t>The study selection process was conducted in accordance with PRISMA guidelines and is illustrated in Figure 1: PRISMA Diagram. During the identification stage, a total of 7,750 articles were retrieved from electronic databases</w:t>
      </w:r>
      <w:r>
        <w:rPr>
          <w:rFonts w:ascii="Arial" w:hAnsi="Arial" w:cs="Arial"/>
        </w:rPr>
        <w:t>,</w:t>
      </w:r>
      <w:r w:rsidRPr="002E49F5">
        <w:rPr>
          <w:rFonts w:ascii="Arial" w:hAnsi="Arial" w:cs="Arial"/>
        </w:rPr>
        <w:t xml:space="preserve"> including Google Scholar, PubMed, and ScienceDirect. After the removal of 1,401 duplicate records, the </w:t>
      </w:r>
      <w:r w:rsidRPr="002E49F5">
        <w:rPr>
          <w:rFonts w:ascii="Arial" w:hAnsi="Arial" w:cs="Arial"/>
        </w:rPr>
        <w:lastRenderedPageBreak/>
        <w:t>remaining articles were screened based on their titles and abstracts, resulting in 130 potentially relevant studies. Of these, 80 articles were excluded as they did not meet the predefined inclusion criteria. The eligibility stage involved full-text assessment of 50 articles, during which 40 studies were excluded for specific reasons: duplication of data from other included papers (n = 19), insufficient information for adequate assessment (n = 14), and irrelevance of results to the research objectives (n = 6). Finally, 10 articles met all inclusion criteria and were included in the systematic review, as shown in Figure 1.</w:t>
      </w:r>
    </w:p>
    <w:p w14:paraId="297789FA" w14:textId="77777777" w:rsidR="00AB0BD3" w:rsidRPr="00E955DE" w:rsidRDefault="00AB0BD3" w:rsidP="00AB0BD3">
      <w:pPr>
        <w:spacing w:line="360" w:lineRule="auto"/>
        <w:jc w:val="both"/>
        <w:rPr>
          <w:rFonts w:ascii="Arial" w:hAnsi="Arial" w:cs="Arial"/>
        </w:rPr>
      </w:pPr>
    </w:p>
    <w:p w14:paraId="69F50B64" w14:textId="77777777" w:rsidR="00AB0BD3" w:rsidRPr="00E955DE" w:rsidRDefault="00AB0BD3" w:rsidP="00AB0BD3">
      <w:pPr>
        <w:spacing w:line="360" w:lineRule="auto"/>
        <w:jc w:val="both"/>
        <w:rPr>
          <w:rFonts w:ascii="Arial" w:hAnsi="Arial" w:cs="Arial"/>
          <w:color w:val="000000" w:themeColor="text1"/>
        </w:rPr>
      </w:pPr>
      <w:r w:rsidRPr="00E955DE">
        <w:rPr>
          <w:rFonts w:ascii="Arial" w:hAnsi="Arial" w:cs="Arial"/>
          <w:noProof/>
          <w:color w:val="000000" w:themeColor="text1"/>
        </w:rPr>
        <mc:AlternateContent>
          <mc:Choice Requires="wps">
            <w:drawing>
              <wp:anchor distT="0" distB="0" distL="114300" distR="114300" simplePos="0" relativeHeight="251672576" behindDoc="0" locked="0" layoutInCell="1" allowOverlap="1" wp14:anchorId="1CB917BE" wp14:editId="03D0A45A">
                <wp:simplePos x="0" y="0"/>
                <wp:positionH relativeFrom="column">
                  <wp:posOffset>112507</wp:posOffset>
                </wp:positionH>
                <wp:positionV relativeFrom="paragraph">
                  <wp:posOffset>-85000</wp:posOffset>
                </wp:positionV>
                <wp:extent cx="342900" cy="1063625"/>
                <wp:effectExtent l="0" t="0" r="38100" b="60325"/>
                <wp:wrapNone/>
                <wp:docPr id="1318622700"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2900" cy="1063625"/>
                        </a:xfrm>
                        <a:prstGeom prst="rect">
                          <a:avLst/>
                        </a:prstGeom>
                        <a:gradFill rotWithShape="0">
                          <a:gsLst>
                            <a:gs pos="0">
                              <a:schemeClr val="accent6">
                                <a:lumMod val="60000"/>
                                <a:lumOff val="40000"/>
                              </a:schemeClr>
                            </a:gs>
                            <a:gs pos="50000">
                              <a:schemeClr val="accent6">
                                <a:lumMod val="20000"/>
                                <a:lumOff val="80000"/>
                              </a:schemeClr>
                            </a:gs>
                            <a:gs pos="100000">
                              <a:schemeClr val="accent6">
                                <a:lumMod val="60000"/>
                                <a:lumOff val="40000"/>
                              </a:schemeClr>
                            </a:gs>
                          </a:gsLst>
                          <a:lin ang="18900000" scaled="1"/>
                        </a:gradFill>
                        <a:ln w="12700">
                          <a:solidFill>
                            <a:schemeClr val="accent6">
                              <a:lumMod val="60000"/>
                              <a:lumOff val="40000"/>
                            </a:schemeClr>
                          </a:solidFill>
                          <a:miter lim="800000"/>
                          <a:headEnd/>
                          <a:tailEnd/>
                        </a:ln>
                        <a:effectLst>
                          <a:outerShdw dist="28398" dir="3806097" algn="ctr" rotWithShape="0">
                            <a:schemeClr val="accent6">
                              <a:lumMod val="50000"/>
                              <a:lumOff val="0"/>
                              <a:alpha val="50000"/>
                            </a:schemeClr>
                          </a:outerShdw>
                        </a:effectLst>
                      </wps:spPr>
                      <wps:txbx>
                        <w:txbxContent>
                          <w:p w14:paraId="13530027" w14:textId="77777777" w:rsidR="00AB0BD3" w:rsidRPr="001F45B5" w:rsidRDefault="00AB0BD3" w:rsidP="00AB0BD3">
                            <w:r w:rsidRPr="001F45B5">
                              <w:t>Identificati</w:t>
                            </w:r>
                            <w:r>
                              <w:t>o</w:t>
                            </w:r>
                            <w:r w:rsidRPr="001F45B5">
                              <w:t>n</w:t>
                            </w:r>
                          </w:p>
                        </w:txbxContent>
                      </wps:txbx>
                      <wps:bodyPr rot="0" vert="vert270"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CB917BE" id="_x0000_t202" coordsize="21600,21600" o:spt="202" path="m,l,21600r21600,l21600,xe">
                <v:stroke joinstyle="miter"/>
                <v:path gradientshapeok="t" o:connecttype="rect"/>
              </v:shapetype>
              <v:shape id="Text Box 17" o:spid="_x0000_s1026" type="#_x0000_t202" style="position:absolute;left:0;text-align:left;margin-left:8.85pt;margin-top:-6.7pt;width:27pt;height:83.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" fillcolor="#8dd873 [1945]" strokecolor="#8dd873 [1945]" strokeweight="1pt">
                <v:fill color2="#d9f2d0 [665]" angle="135" focus="50%" type="gradient"/>
                <v:shadow on="t" color="#265317 [1609]" opacity=".5" offset="1pt"/>
                <v:textbox style="layout-flow:vertical;mso-layout-flow-alt:bottom-to-top">
                  <w:txbxContent>
                    <w:p w14:paraId="13530027" w14:textId="77777777" w:rsidR="00AB0BD3" w:rsidRPr="001F45B5" w:rsidRDefault="00AB0BD3" w:rsidP="00AB0BD3">
                      <w:r w:rsidRPr="001F45B5">
                        <w:t>Identificati</w:t>
                      </w:r>
                      <w:r>
                        <w:t>o</w:t>
                      </w:r>
                      <w:r w:rsidRPr="001F45B5">
                        <w:t>n</w:t>
                      </w:r>
                    </w:p>
                  </w:txbxContent>
                </v:textbox>
              </v:shape>
            </w:pict>
          </mc:Fallback>
        </mc:AlternateContent>
      </w:r>
      <w:r w:rsidRPr="00E955DE">
        <w:rPr>
          <w:rFonts w:ascii="Arial" w:hAnsi="Arial" w:cs="Arial"/>
          <w:noProof/>
          <w:color w:val="000000" w:themeColor="text1"/>
        </w:rPr>
        <mc:AlternateContent>
          <mc:Choice Requires="wps">
            <w:drawing>
              <wp:anchor distT="0" distB="0" distL="114300" distR="114300" simplePos="0" relativeHeight="251659264" behindDoc="0" locked="0" layoutInCell="1" allowOverlap="1" wp14:anchorId="763DB961" wp14:editId="38FDB048">
                <wp:simplePos x="0" y="0"/>
                <wp:positionH relativeFrom="column">
                  <wp:posOffset>784860</wp:posOffset>
                </wp:positionH>
                <wp:positionV relativeFrom="paragraph">
                  <wp:posOffset>109855</wp:posOffset>
                </wp:positionV>
                <wp:extent cx="2872740" cy="793750"/>
                <wp:effectExtent l="0" t="0" r="41910" b="63500"/>
                <wp:wrapNone/>
                <wp:docPr id="170263277"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72740" cy="793750"/>
                        </a:xfrm>
                        <a:prstGeom prst="rect">
                          <a:avLst/>
                        </a:prstGeom>
                        <a:gradFill rotWithShape="0">
                          <a:gsLst>
                            <a:gs pos="0">
                              <a:schemeClr val="lt1">
                                <a:lumMod val="100000"/>
                                <a:lumOff val="0"/>
                              </a:schemeClr>
                            </a:gs>
                            <a:gs pos="100000">
                              <a:schemeClr val="accent5">
                                <a:lumMod val="40000"/>
                                <a:lumOff val="60000"/>
                              </a:schemeClr>
                            </a:gs>
                          </a:gsLst>
                          <a:lin ang="5400000" scaled="1"/>
                        </a:gradFill>
                        <a:ln w="12700">
                          <a:solidFill>
                            <a:schemeClr val="accent5">
                              <a:lumMod val="60000"/>
                              <a:lumOff val="40000"/>
                            </a:schemeClr>
                          </a:solidFill>
                          <a:miter lim="800000"/>
                          <a:headEnd/>
                          <a:tailEnd/>
                        </a:ln>
                        <a:effectLst>
                          <a:outerShdw dist="28398" dir="3806097" algn="ctr" rotWithShape="0">
                            <a:schemeClr val="accent5">
                              <a:lumMod val="50000"/>
                              <a:lumOff val="0"/>
                              <a:alpha val="50000"/>
                            </a:schemeClr>
                          </a:outerShdw>
                        </a:effectLst>
                      </wps:spPr>
                      <wps:txbx>
                        <w:txbxContent>
                          <w:p w14:paraId="26867568" w14:textId="77777777" w:rsidR="00AB0BD3" w:rsidRPr="001F45B5" w:rsidRDefault="00AB0BD3" w:rsidP="00AB0BD3">
                            <w:r w:rsidRPr="001F45B5">
                              <w:t xml:space="preserve">Identified Articles from Databases such as Google Scholar, PubMed, </w:t>
                            </w:r>
                            <w:r>
                              <w:t>Science Direct</w:t>
                            </w:r>
                            <w:r w:rsidRPr="001F45B5">
                              <w:t xml:space="preserve"> etc.</w:t>
                            </w:r>
                            <w:r>
                              <w:t xml:space="preserve"> </w:t>
                            </w:r>
                            <w:r w:rsidRPr="001F45B5">
                              <w:t xml:space="preserve">(N= </w:t>
                            </w:r>
                            <w:r>
                              <w:t>7</w:t>
                            </w:r>
                            <w:r w:rsidRPr="001F45B5">
                              <w:t>7</w:t>
                            </w:r>
                            <w:r>
                              <w:t>50</w:t>
                            </w:r>
                            <w:r w:rsidRPr="001F45B5">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63DB961" id="Text Box 16" o:spid="_x0000_s1027" type="#_x0000_t202" style="position:absolute;left:0;text-align:left;margin-left:61.8pt;margin-top:8.65pt;width:226.2pt;height:6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" fillcolor="white [3201]" strokecolor="#d86dcb [1944]" strokeweight="1pt">
                <v:fill color2="#e59edc [1304]" focus="100%" type="gradient"/>
                <v:shadow on="t" color="#4f1548 [1608]" opacity=".5" offset="1pt"/>
                <v:textbox>
                  <w:txbxContent>
                    <w:p w14:paraId="26867568" w14:textId="77777777" w:rsidR="00AB0BD3" w:rsidRPr="001F45B5" w:rsidRDefault="00AB0BD3" w:rsidP="00AB0BD3">
                      <w:r w:rsidRPr="001F45B5">
                        <w:t xml:space="preserve">Identified Articles from Databases such as Google Scholar, PubMed, </w:t>
                      </w:r>
                      <w:r>
                        <w:t>Science Direct</w:t>
                      </w:r>
                      <w:r w:rsidRPr="001F45B5">
                        <w:t xml:space="preserve"> etc.</w:t>
                      </w:r>
                      <w:r>
                        <w:t xml:space="preserve"> </w:t>
                      </w:r>
                      <w:r w:rsidRPr="001F45B5">
                        <w:t xml:space="preserve">(N= </w:t>
                      </w:r>
                      <w:r>
                        <w:t>7</w:t>
                      </w:r>
                      <w:r w:rsidRPr="001F45B5">
                        <w:t>7</w:t>
                      </w:r>
                      <w:r>
                        <w:t>50</w:t>
                      </w:r>
                      <w:r w:rsidRPr="001F45B5">
                        <w:t>)</w:t>
                      </w:r>
                    </w:p>
                  </w:txbxContent>
                </v:textbox>
              </v:shape>
            </w:pict>
          </mc:Fallback>
        </mc:AlternateContent>
      </w:r>
    </w:p>
    <w:p w14:paraId="78C2F7C8" w14:textId="77777777" w:rsidR="00AB0BD3" w:rsidRPr="00E955DE" w:rsidRDefault="00AB0BD3" w:rsidP="00AB0BD3">
      <w:pPr>
        <w:spacing w:line="360" w:lineRule="auto"/>
        <w:jc w:val="both"/>
        <w:rPr>
          <w:rFonts w:ascii="Arial" w:hAnsi="Arial" w:cs="Arial"/>
          <w:color w:val="000000" w:themeColor="text1"/>
        </w:rPr>
      </w:pPr>
    </w:p>
    <w:p w14:paraId="6AA8A88B" w14:textId="77777777" w:rsidR="00AB0BD3" w:rsidRPr="00E955DE" w:rsidRDefault="00AB0BD3" w:rsidP="00AB0BD3">
      <w:pPr>
        <w:spacing w:line="360" w:lineRule="auto"/>
        <w:jc w:val="both"/>
        <w:rPr>
          <w:rFonts w:ascii="Arial" w:hAnsi="Arial" w:cs="Arial"/>
          <w:color w:val="000000" w:themeColor="text1"/>
        </w:rPr>
      </w:pPr>
      <w:r w:rsidRPr="00E955DE">
        <w:rPr>
          <w:rFonts w:ascii="Arial" w:hAnsi="Arial" w:cs="Arial"/>
          <w:noProof/>
          <w:color w:val="000000" w:themeColor="text1"/>
        </w:rPr>
        <mc:AlternateContent>
          <mc:Choice Requires="wps">
            <w:drawing>
              <wp:anchor distT="0" distB="0" distL="114300" distR="114300" simplePos="0" relativeHeight="251664384" behindDoc="0" locked="0" layoutInCell="1" allowOverlap="1" wp14:anchorId="77607F50" wp14:editId="4C011301">
                <wp:simplePos x="0" y="0"/>
                <wp:positionH relativeFrom="column">
                  <wp:posOffset>1973580</wp:posOffset>
                </wp:positionH>
                <wp:positionV relativeFrom="paragraph">
                  <wp:posOffset>287656</wp:posOffset>
                </wp:positionV>
                <wp:extent cx="266700" cy="297180"/>
                <wp:effectExtent l="0" t="0" r="19050" b="45720"/>
                <wp:wrapNone/>
                <wp:docPr id="1410568791" name="Arrow: Down 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6700" cy="297180"/>
                        </a:xfrm>
                        <a:prstGeom prst="downArrow">
                          <a:avLst>
                            <a:gd name="adj1" fmla="val 50000"/>
                            <a:gd name="adj2" fmla="val 25000"/>
                          </a:avLst>
                        </a:prstGeom>
                        <a:gradFill rotWithShape="0">
                          <a:gsLst>
                            <a:gs pos="0">
                              <a:schemeClr val="lt1">
                                <a:lumMod val="74000"/>
                                <a:lumOff val="0"/>
                              </a:schemeClr>
                            </a:gs>
                            <a:gs pos="100000">
                              <a:schemeClr val="dk1">
                                <a:lumMod val="100000"/>
                                <a:lumOff val="0"/>
                              </a:schemeClr>
                            </a:gs>
                          </a:gsLst>
                          <a:path path="rect">
                            <a:fillToRect l="50000" t="50000" r="50000" b="50000"/>
                          </a:path>
                        </a:gradFill>
                        <a:ln>
                          <a:noFill/>
                        </a:ln>
                        <a:effectLst>
                          <a:outerShdw dist="28398" dir="3806097" algn="ctr" rotWithShape="0">
                            <a:schemeClr val="lt1">
                              <a:lumMod val="50000"/>
                              <a:lumOff val="0"/>
                            </a:schemeClr>
                          </a:outerShdw>
                        </a:effectLst>
                        <a:extLst>
                          <a:ext uri="{91240B29-F687-4F45-9708-019B960494DF}">
                            <a14:hiddenLine xmlns:a14="http://schemas.microsoft.com/office/drawing/2010/main" w="0">
                              <a:solidFill>
                                <a:srgbClr val="000000"/>
                              </a:solidFill>
                              <a:miter lim="800000"/>
                              <a:headEnd/>
                              <a:tailEnd/>
                            </a14:hiddenLine>
                          </a:ext>
                        </a:extLst>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3D523B2"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5" o:spid="_x0000_s1026" type="#_x0000_t67" style="position:absolute;margin-left:155.4pt;margin-top:22.65pt;width:21pt;height:23.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" adj="16754" fillcolor="#bcbcbc [2369]" stroked="f" strokeweight="0">
                <v:fill color2="black [3200]" focusposition=".5,.5" focussize="" focus="100%" type="gradientRadial">
                  <o:fill v:ext="view" type="gradientCenter"/>
                </v:fill>
                <v:shadow on="t" color="#7f7f7f [1601]" offset="1pt"/>
                <v:textbox style="layout-flow:vertical-ideographic"/>
              </v:shape>
            </w:pict>
          </mc:Fallback>
        </mc:AlternateContent>
      </w:r>
    </w:p>
    <w:p w14:paraId="6356C41F" w14:textId="77777777" w:rsidR="00AB0BD3" w:rsidRPr="00E955DE" w:rsidRDefault="00AB0BD3" w:rsidP="00AB0BD3">
      <w:pPr>
        <w:spacing w:line="360" w:lineRule="auto"/>
        <w:jc w:val="both"/>
        <w:rPr>
          <w:rFonts w:ascii="Arial" w:hAnsi="Arial" w:cs="Arial"/>
          <w:color w:val="000000" w:themeColor="text1"/>
        </w:rPr>
      </w:pPr>
      <w:r w:rsidRPr="00E955DE">
        <w:rPr>
          <w:rFonts w:ascii="Arial" w:hAnsi="Arial" w:cs="Arial"/>
          <w:noProof/>
          <w:color w:val="000000" w:themeColor="text1"/>
        </w:rPr>
        <mc:AlternateContent>
          <mc:Choice Requires="wps">
            <w:drawing>
              <wp:anchor distT="0" distB="0" distL="114300" distR="114300" simplePos="0" relativeHeight="251660288" behindDoc="0" locked="0" layoutInCell="1" allowOverlap="1" wp14:anchorId="6042D96A" wp14:editId="7F9B9F5B">
                <wp:simplePos x="0" y="0"/>
                <wp:positionH relativeFrom="column">
                  <wp:posOffset>754380</wp:posOffset>
                </wp:positionH>
                <wp:positionV relativeFrom="paragraph">
                  <wp:posOffset>243205</wp:posOffset>
                </wp:positionV>
                <wp:extent cx="2865120" cy="472440"/>
                <wp:effectExtent l="0" t="0" r="30480" b="60960"/>
                <wp:wrapNone/>
                <wp:docPr id="159008307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65120" cy="472440"/>
                        </a:xfrm>
                        <a:prstGeom prst="rect">
                          <a:avLst/>
                        </a:prstGeom>
                        <a:gradFill rotWithShape="0">
                          <a:gsLst>
                            <a:gs pos="0">
                              <a:schemeClr val="lt1">
                                <a:lumMod val="100000"/>
                                <a:lumOff val="0"/>
                              </a:schemeClr>
                            </a:gs>
                            <a:gs pos="100000">
                              <a:schemeClr val="accent3">
                                <a:lumMod val="40000"/>
                                <a:lumOff val="60000"/>
                              </a:schemeClr>
                            </a:gs>
                          </a:gsLst>
                          <a:lin ang="5400000" scaled="1"/>
                        </a:gradFill>
                        <a:ln w="12700">
                          <a:solidFill>
                            <a:schemeClr val="accent3">
                              <a:lumMod val="60000"/>
                              <a:lumOff val="40000"/>
                            </a:schemeClr>
                          </a:solidFill>
                          <a:miter lim="800000"/>
                          <a:headEnd/>
                          <a:tailEnd/>
                        </a:ln>
                        <a:effectLst>
                          <a:outerShdw dist="28398" dir="3806097" algn="ctr" rotWithShape="0">
                            <a:schemeClr val="accent3">
                              <a:lumMod val="50000"/>
                              <a:lumOff val="0"/>
                              <a:alpha val="50000"/>
                            </a:schemeClr>
                          </a:outerShdw>
                        </a:effectLst>
                      </wps:spPr>
                      <wps:txbx>
                        <w:txbxContent>
                          <w:p w14:paraId="784DFED1" w14:textId="77777777" w:rsidR="00AB0BD3" w:rsidRPr="001F45B5" w:rsidRDefault="00AB0BD3" w:rsidP="00AB0BD3">
                            <w:pPr>
                              <w:jc w:val="center"/>
                            </w:pPr>
                            <w:r w:rsidRPr="001F45B5">
                              <w:t>Duplicates removed</w:t>
                            </w:r>
                            <w:r>
                              <w:t xml:space="preserve"> </w:t>
                            </w:r>
                            <w:r w:rsidRPr="001F45B5">
                              <w:t>(</w:t>
                            </w:r>
                            <w:r>
                              <w:t>N=1401</w:t>
                            </w:r>
                            <w:r w:rsidRPr="001F45B5">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042D96A" id="Text Box 13" o:spid="_x0000_s1028" type="#_x0000_t202" style="position:absolute;left:0;text-align:left;margin-left:59.4pt;margin-top:19.15pt;width:225.6pt;height:37.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" fillcolor="white [3201]" strokecolor="#47d459 [1942]" strokeweight="1pt">
                <v:fill color2="#84e290 [1302]" focus="100%" type="gradient"/>
                <v:shadow on="t" color="#0c3511 [1606]" opacity=".5" offset="1pt"/>
                <v:textbox>
                  <w:txbxContent>
                    <w:p w14:paraId="784DFED1" w14:textId="77777777" w:rsidR="00AB0BD3" w:rsidRPr="001F45B5" w:rsidRDefault="00AB0BD3" w:rsidP="00AB0BD3">
                      <w:pPr>
                        <w:jc w:val="center"/>
                      </w:pPr>
                      <w:r w:rsidRPr="001F45B5">
                        <w:t>Duplicates removed</w:t>
                      </w:r>
                      <w:r>
                        <w:t xml:space="preserve"> </w:t>
                      </w:r>
                      <w:r w:rsidRPr="001F45B5">
                        <w:t>(</w:t>
                      </w:r>
                      <w:r>
                        <w:t>N=1401</w:t>
                      </w:r>
                      <w:r w:rsidRPr="001F45B5">
                        <w:t>)</w:t>
                      </w:r>
                    </w:p>
                  </w:txbxContent>
                </v:textbox>
              </v:shape>
            </w:pict>
          </mc:Fallback>
        </mc:AlternateContent>
      </w:r>
      <w:r w:rsidRPr="00E955DE">
        <w:rPr>
          <w:rFonts w:ascii="Arial" w:hAnsi="Arial" w:cs="Arial"/>
          <w:noProof/>
          <w:color w:val="000000" w:themeColor="text1"/>
        </w:rPr>
        <mc:AlternateContent>
          <mc:Choice Requires="wps">
            <w:drawing>
              <wp:anchor distT="0" distB="0" distL="114300" distR="114300" simplePos="0" relativeHeight="251675648" behindDoc="0" locked="0" layoutInCell="1" allowOverlap="1" wp14:anchorId="103D5CD3" wp14:editId="1D1EBA62">
                <wp:simplePos x="0" y="0"/>
                <wp:positionH relativeFrom="column">
                  <wp:posOffset>7620</wp:posOffset>
                </wp:positionH>
                <wp:positionV relativeFrom="paragraph">
                  <wp:posOffset>260985</wp:posOffset>
                </wp:positionV>
                <wp:extent cx="388620" cy="838200"/>
                <wp:effectExtent l="0" t="0" r="30480" b="57150"/>
                <wp:wrapNone/>
                <wp:docPr id="259931165"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8620" cy="838200"/>
                        </a:xfrm>
                        <a:prstGeom prst="rect">
                          <a:avLst/>
                        </a:prstGeom>
                        <a:gradFill rotWithShape="0">
                          <a:gsLst>
                            <a:gs pos="0">
                              <a:schemeClr val="accent6">
                                <a:lumMod val="60000"/>
                                <a:lumOff val="40000"/>
                              </a:schemeClr>
                            </a:gs>
                            <a:gs pos="50000">
                              <a:schemeClr val="accent6">
                                <a:lumMod val="20000"/>
                                <a:lumOff val="80000"/>
                              </a:schemeClr>
                            </a:gs>
                            <a:gs pos="100000">
                              <a:schemeClr val="accent6">
                                <a:lumMod val="60000"/>
                                <a:lumOff val="40000"/>
                              </a:schemeClr>
                            </a:gs>
                          </a:gsLst>
                          <a:lin ang="18900000" scaled="1"/>
                        </a:gradFill>
                        <a:ln w="12700">
                          <a:solidFill>
                            <a:schemeClr val="accent6">
                              <a:lumMod val="60000"/>
                              <a:lumOff val="40000"/>
                            </a:schemeClr>
                          </a:solidFill>
                          <a:miter lim="800000"/>
                          <a:headEnd/>
                          <a:tailEnd/>
                        </a:ln>
                        <a:effectLst>
                          <a:outerShdw dist="28398" dir="3806097" algn="ctr" rotWithShape="0">
                            <a:schemeClr val="accent6">
                              <a:lumMod val="50000"/>
                              <a:lumOff val="0"/>
                              <a:alpha val="50000"/>
                            </a:schemeClr>
                          </a:outerShdw>
                        </a:effectLst>
                      </wps:spPr>
                      <wps:txbx>
                        <w:txbxContent>
                          <w:p w14:paraId="1670E5E6" w14:textId="77777777" w:rsidR="00AB0BD3" w:rsidRPr="001F45B5" w:rsidRDefault="00AB0BD3" w:rsidP="00AB0BD3">
                            <w:pPr>
                              <w:jc w:val="center"/>
                            </w:pPr>
                            <w:r w:rsidRPr="001F45B5">
                              <w:t>Screening</w:t>
                            </w:r>
                          </w:p>
                        </w:txbxContent>
                      </wps:txbx>
                      <wps:bodyPr rot="0" vert="vert270"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03D5CD3" id="Text Box 14" o:spid="_x0000_s1029" type="#_x0000_t202" style="position:absolute;left:0;text-align:left;margin-left:.6pt;margin-top:20.55pt;width:30.6pt;height:66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" fillcolor="#8dd873 [1945]" strokecolor="#8dd873 [1945]" strokeweight="1pt">
                <v:fill color2="#d9f2d0 [665]" angle="135" focus="50%" type="gradient"/>
                <v:shadow on="t" color="#265317 [1609]" opacity=".5" offset="1pt"/>
                <v:textbox style="layout-flow:vertical;mso-layout-flow-alt:bottom-to-top">
                  <w:txbxContent>
                    <w:p w14:paraId="1670E5E6" w14:textId="77777777" w:rsidR="00AB0BD3" w:rsidRPr="001F45B5" w:rsidRDefault="00AB0BD3" w:rsidP="00AB0BD3">
                      <w:pPr>
                        <w:jc w:val="center"/>
                      </w:pPr>
                      <w:r w:rsidRPr="001F45B5">
                        <w:t>Screening</w:t>
                      </w:r>
                    </w:p>
                  </w:txbxContent>
                </v:textbox>
              </v:shape>
            </w:pict>
          </mc:Fallback>
        </mc:AlternateContent>
      </w:r>
    </w:p>
    <w:p w14:paraId="12AEBB1F" w14:textId="77777777" w:rsidR="00AB0BD3" w:rsidRPr="00E955DE" w:rsidRDefault="00AB0BD3" w:rsidP="00AB0BD3">
      <w:pPr>
        <w:spacing w:line="360" w:lineRule="auto"/>
        <w:jc w:val="both"/>
        <w:rPr>
          <w:rFonts w:ascii="Arial" w:hAnsi="Arial" w:cs="Arial"/>
          <w:color w:val="000000" w:themeColor="text1"/>
        </w:rPr>
      </w:pPr>
    </w:p>
    <w:p w14:paraId="544D5047" w14:textId="77777777" w:rsidR="00AB0BD3" w:rsidRPr="00E955DE" w:rsidRDefault="00AB0BD3" w:rsidP="00AB0BD3">
      <w:pPr>
        <w:spacing w:line="360" w:lineRule="auto"/>
        <w:jc w:val="both"/>
        <w:rPr>
          <w:rFonts w:ascii="Arial" w:hAnsi="Arial" w:cs="Arial"/>
          <w:color w:val="000000" w:themeColor="text1"/>
        </w:rPr>
      </w:pPr>
      <w:r w:rsidRPr="00E955DE">
        <w:rPr>
          <w:rFonts w:ascii="Arial" w:hAnsi="Arial" w:cs="Arial"/>
          <w:noProof/>
          <w:color w:val="000000" w:themeColor="text1"/>
        </w:rPr>
        <mc:AlternateContent>
          <mc:Choice Requires="wps">
            <w:drawing>
              <wp:anchor distT="0" distB="0" distL="114300" distR="114300" simplePos="0" relativeHeight="251666432" behindDoc="0" locked="0" layoutInCell="1" allowOverlap="1" wp14:anchorId="3EE11020" wp14:editId="5B348340">
                <wp:simplePos x="0" y="0"/>
                <wp:positionH relativeFrom="column">
                  <wp:posOffset>1866900</wp:posOffset>
                </wp:positionH>
                <wp:positionV relativeFrom="paragraph">
                  <wp:posOffset>7620</wp:posOffset>
                </wp:positionV>
                <wp:extent cx="266700" cy="345440"/>
                <wp:effectExtent l="0" t="0" r="19050" b="35560"/>
                <wp:wrapNone/>
                <wp:docPr id="737766794" name="Arrow: Down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6700" cy="345440"/>
                        </a:xfrm>
                        <a:prstGeom prst="downArrow">
                          <a:avLst>
                            <a:gd name="adj1" fmla="val 50000"/>
                            <a:gd name="adj2" fmla="val 25000"/>
                          </a:avLst>
                        </a:prstGeom>
                        <a:gradFill rotWithShape="0">
                          <a:gsLst>
                            <a:gs pos="0">
                              <a:schemeClr val="lt1">
                                <a:lumMod val="74000"/>
                                <a:lumOff val="0"/>
                              </a:schemeClr>
                            </a:gs>
                            <a:gs pos="100000">
                              <a:schemeClr val="dk1">
                                <a:lumMod val="100000"/>
                                <a:lumOff val="0"/>
                              </a:schemeClr>
                            </a:gs>
                          </a:gsLst>
                          <a:path path="rect">
                            <a:fillToRect l="50000" t="50000" r="50000" b="50000"/>
                          </a:path>
                        </a:gradFill>
                        <a:ln>
                          <a:noFill/>
                        </a:ln>
                        <a:effectLst>
                          <a:outerShdw dist="28398" dir="3806097" algn="ctr" rotWithShape="0">
                            <a:schemeClr val="lt1">
                              <a:lumMod val="50000"/>
                              <a:lumOff val="0"/>
                            </a:schemeClr>
                          </a:outerShdw>
                        </a:effectLst>
                        <a:extLst>
                          <a:ext uri="{91240B29-F687-4F45-9708-019B960494DF}">
                            <a14:hiddenLine xmlns:a14="http://schemas.microsoft.com/office/drawing/2010/main" w="0">
                              <a:solidFill>
                                <a:srgbClr val="000000"/>
                              </a:solidFill>
                              <a:miter lim="800000"/>
                              <a:headEnd/>
                              <a:tailEnd/>
                            </a14:hiddenLine>
                          </a:ext>
                        </a:extLst>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DD29FF1" id="Arrow: Down 12" o:spid="_x0000_s1026" type="#_x0000_t67" style="position:absolute;margin-left:147pt;margin-top:.6pt;width:21pt;height:27.2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" adj="17431" fillcolor="#bcbcbc [2369]" stroked="f" strokeweight="0">
                <v:fill color2="black [3200]" focusposition=".5,.5" focussize="" focus="100%" type="gradientRadial">
                  <o:fill v:ext="view" type="gradientCenter"/>
                </v:fill>
                <v:shadow on="t" color="#7f7f7f [1601]" offset="1pt"/>
                <v:textbox style="layout-flow:vertical-ideographic"/>
              </v:shape>
            </w:pict>
          </mc:Fallback>
        </mc:AlternateContent>
      </w:r>
    </w:p>
    <w:p w14:paraId="350DA097" w14:textId="77777777" w:rsidR="00AB0BD3" w:rsidRPr="00E955DE" w:rsidRDefault="00AB0BD3" w:rsidP="00AB0BD3">
      <w:pPr>
        <w:spacing w:line="360" w:lineRule="auto"/>
        <w:jc w:val="both"/>
        <w:rPr>
          <w:rFonts w:ascii="Arial" w:hAnsi="Arial" w:cs="Arial"/>
          <w:color w:val="000000" w:themeColor="text1"/>
        </w:rPr>
      </w:pPr>
      <w:r w:rsidRPr="00E955DE">
        <w:rPr>
          <w:rFonts w:ascii="Arial" w:hAnsi="Arial" w:cs="Arial"/>
          <w:noProof/>
          <w:color w:val="000000" w:themeColor="text1"/>
        </w:rPr>
        <mc:AlternateContent>
          <mc:Choice Requires="wps">
            <w:drawing>
              <wp:anchor distT="0" distB="0" distL="114300" distR="114300" simplePos="0" relativeHeight="251668480" behindDoc="0" locked="0" layoutInCell="1" allowOverlap="1" wp14:anchorId="089C101C" wp14:editId="6622BE30">
                <wp:simplePos x="0" y="0"/>
                <wp:positionH relativeFrom="column">
                  <wp:posOffset>3284220</wp:posOffset>
                </wp:positionH>
                <wp:positionV relativeFrom="paragraph">
                  <wp:posOffset>260985</wp:posOffset>
                </wp:positionV>
                <wp:extent cx="541020" cy="170815"/>
                <wp:effectExtent l="0" t="0" r="11430" b="38735"/>
                <wp:wrapNone/>
                <wp:docPr id="1474591595" name="Arrow: Right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1020" cy="170815"/>
                        </a:xfrm>
                        <a:prstGeom prst="rightArrow">
                          <a:avLst>
                            <a:gd name="adj1" fmla="val 50000"/>
                            <a:gd name="adj2" fmla="val 88750"/>
                          </a:avLst>
                        </a:prstGeom>
                        <a:gradFill rotWithShape="0">
                          <a:gsLst>
                            <a:gs pos="0">
                              <a:schemeClr val="lt1">
                                <a:lumMod val="74000"/>
                                <a:lumOff val="0"/>
                              </a:schemeClr>
                            </a:gs>
                            <a:gs pos="100000">
                              <a:schemeClr val="dk1">
                                <a:lumMod val="100000"/>
                                <a:lumOff val="0"/>
                              </a:schemeClr>
                            </a:gs>
                          </a:gsLst>
                          <a:path path="rect">
                            <a:fillToRect l="50000" t="50000" r="50000" b="50000"/>
                          </a:path>
                        </a:gradFill>
                        <a:ln>
                          <a:noFill/>
                        </a:ln>
                        <a:effectLst>
                          <a:outerShdw dist="28398" dir="3806097" algn="ctr" rotWithShape="0">
                            <a:schemeClr val="lt1">
                              <a:lumMod val="50000"/>
                              <a:lumOff val="0"/>
                            </a:schemeClr>
                          </a:outerShdw>
                        </a:effectLst>
                        <a:extLst>
                          <a:ext uri="{91240B29-F687-4F45-9708-019B960494DF}">
                            <a14:hiddenLine xmlns:a14="http://schemas.microsoft.com/office/drawing/2010/main" w="0">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C8A2BC3"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8" o:spid="_x0000_s1026" type="#_x0000_t13" style="position:absolute;margin-left:258.6pt;margin-top:20.55pt;width:42.6pt;height:13.4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" adj="15548" fillcolor="#bcbcbc [2369]" stroked="f" strokeweight="0">
                <v:fill color2="black [3200]" focusposition=".5,.5" focussize="" focus="100%" type="gradientRadial">
                  <o:fill v:ext="view" type="gradientCenter"/>
                </v:fill>
                <v:shadow on="t" color="#7f7f7f [1601]" offset="1pt"/>
              </v:shape>
            </w:pict>
          </mc:Fallback>
        </mc:AlternateContent>
      </w:r>
      <w:r w:rsidRPr="00E955DE">
        <w:rPr>
          <w:rFonts w:ascii="Arial" w:hAnsi="Arial" w:cs="Arial"/>
          <w:noProof/>
          <w:color w:val="000000" w:themeColor="text1"/>
        </w:rPr>
        <mc:AlternateContent>
          <mc:Choice Requires="wps">
            <w:drawing>
              <wp:anchor distT="0" distB="0" distL="114300" distR="114300" simplePos="0" relativeHeight="251670528" behindDoc="0" locked="0" layoutInCell="1" allowOverlap="1" wp14:anchorId="5DE7243B" wp14:editId="0765E1C0">
                <wp:simplePos x="0" y="0"/>
                <wp:positionH relativeFrom="column">
                  <wp:posOffset>3855720</wp:posOffset>
                </wp:positionH>
                <wp:positionV relativeFrom="paragraph">
                  <wp:posOffset>107950</wp:posOffset>
                </wp:positionV>
                <wp:extent cx="2065020" cy="487680"/>
                <wp:effectExtent l="0" t="0" r="30480" b="64770"/>
                <wp:wrapNone/>
                <wp:docPr id="805480886"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65020" cy="487680"/>
                        </a:xfrm>
                        <a:prstGeom prst="rect">
                          <a:avLst/>
                        </a:prstGeom>
                        <a:gradFill rotWithShape="0">
                          <a:gsLst>
                            <a:gs pos="0">
                              <a:schemeClr val="lt1">
                                <a:lumMod val="100000"/>
                                <a:lumOff val="0"/>
                              </a:schemeClr>
                            </a:gs>
                            <a:gs pos="100000">
                              <a:schemeClr val="accent2">
                                <a:lumMod val="40000"/>
                                <a:lumOff val="60000"/>
                              </a:schemeClr>
                            </a:gs>
                          </a:gsLst>
                          <a:lin ang="5400000" scaled="1"/>
                        </a:gradFill>
                        <a:ln w="12700">
                          <a:solidFill>
                            <a:schemeClr val="accent2">
                              <a:lumMod val="60000"/>
                              <a:lumOff val="40000"/>
                            </a:schemeClr>
                          </a:solidFill>
                          <a:miter lim="800000"/>
                          <a:headEnd/>
                          <a:tailEnd/>
                        </a:ln>
                        <a:effectLst>
                          <a:outerShdw dist="28398" dir="3806097" algn="ctr" rotWithShape="0">
                            <a:schemeClr val="accent2">
                              <a:lumMod val="50000"/>
                              <a:lumOff val="0"/>
                              <a:alpha val="50000"/>
                            </a:schemeClr>
                          </a:outerShdw>
                        </a:effectLst>
                      </wps:spPr>
                      <wps:txbx>
                        <w:txbxContent>
                          <w:p w14:paraId="4F5E4408" w14:textId="77777777" w:rsidR="00AB0BD3" w:rsidRPr="001F45B5" w:rsidRDefault="00AB0BD3" w:rsidP="00AB0BD3">
                            <w:r w:rsidRPr="001F45B5">
                              <w:t>Excluded articles</w:t>
                            </w:r>
                            <w:r>
                              <w:t xml:space="preserve"> </w:t>
                            </w:r>
                            <w:r w:rsidRPr="001F45B5">
                              <w:t xml:space="preserve">(N= </w:t>
                            </w:r>
                            <w:r>
                              <w:t>80</w:t>
                            </w:r>
                            <w:r w:rsidRPr="001F45B5">
                              <w:t>)</w:t>
                            </w:r>
                          </w:p>
                          <w:p w14:paraId="6E64D68C" w14:textId="77777777" w:rsidR="00AB0BD3" w:rsidRPr="001F45B5" w:rsidRDefault="00AB0BD3" w:rsidP="00AB0BD3"/>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DE7243B" id="Text Box 11" o:spid="_x0000_s1030" type="#_x0000_t202" style="position:absolute;left:0;text-align:left;margin-left:303.6pt;margin-top:8.5pt;width:162.6pt;height:38.4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" fillcolor="white [3201]" strokecolor="#f1a983 [1941]" strokeweight="1pt">
                <v:fill color2="#f6c5ac [1301]" focus="100%" type="gradient"/>
                <v:shadow on="t" color="#7f340d [1605]" opacity=".5" offset="1pt"/>
                <v:textbox>
                  <w:txbxContent>
                    <w:p w14:paraId="4F5E4408" w14:textId="77777777" w:rsidR="00AB0BD3" w:rsidRPr="001F45B5" w:rsidRDefault="00AB0BD3" w:rsidP="00AB0BD3">
                      <w:r w:rsidRPr="001F45B5">
                        <w:t>Excluded articles</w:t>
                      </w:r>
                      <w:r>
                        <w:t xml:space="preserve"> </w:t>
                      </w:r>
                      <w:r w:rsidRPr="001F45B5">
                        <w:t xml:space="preserve">(N= </w:t>
                      </w:r>
                      <w:r>
                        <w:t>80</w:t>
                      </w:r>
                      <w:r w:rsidRPr="001F45B5">
                        <w:t>)</w:t>
                      </w:r>
                    </w:p>
                    <w:p w14:paraId="6E64D68C" w14:textId="77777777" w:rsidR="00AB0BD3" w:rsidRPr="001F45B5" w:rsidRDefault="00AB0BD3" w:rsidP="00AB0BD3"/>
                  </w:txbxContent>
                </v:textbox>
              </v:shape>
            </w:pict>
          </mc:Fallback>
        </mc:AlternateContent>
      </w:r>
      <w:r w:rsidRPr="00E955DE">
        <w:rPr>
          <w:rFonts w:ascii="Arial" w:hAnsi="Arial" w:cs="Arial"/>
          <w:noProof/>
          <w:color w:val="000000" w:themeColor="text1"/>
        </w:rPr>
        <mc:AlternateContent>
          <mc:Choice Requires="wps">
            <w:drawing>
              <wp:anchor distT="0" distB="0" distL="114300" distR="114300" simplePos="0" relativeHeight="251661312" behindDoc="0" locked="0" layoutInCell="1" allowOverlap="1" wp14:anchorId="6A922EF5" wp14:editId="05204D4A">
                <wp:simplePos x="0" y="0"/>
                <wp:positionH relativeFrom="column">
                  <wp:posOffset>769620</wp:posOffset>
                </wp:positionH>
                <wp:positionV relativeFrom="paragraph">
                  <wp:posOffset>46990</wp:posOffset>
                </wp:positionV>
                <wp:extent cx="2468880" cy="586740"/>
                <wp:effectExtent l="0" t="0" r="45720" b="60960"/>
                <wp:wrapNone/>
                <wp:docPr id="1244618702"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8880" cy="586740"/>
                        </a:xfrm>
                        <a:prstGeom prst="rect">
                          <a:avLst/>
                        </a:prstGeom>
                        <a:gradFill rotWithShape="0">
                          <a:gsLst>
                            <a:gs pos="0">
                              <a:schemeClr val="lt1">
                                <a:lumMod val="100000"/>
                                <a:lumOff val="0"/>
                              </a:schemeClr>
                            </a:gs>
                            <a:gs pos="100000">
                              <a:schemeClr val="accent5">
                                <a:lumMod val="40000"/>
                                <a:lumOff val="60000"/>
                              </a:schemeClr>
                            </a:gs>
                          </a:gsLst>
                          <a:lin ang="5400000" scaled="1"/>
                        </a:gradFill>
                        <a:ln w="12700">
                          <a:solidFill>
                            <a:schemeClr val="accent5">
                              <a:lumMod val="60000"/>
                              <a:lumOff val="40000"/>
                            </a:schemeClr>
                          </a:solidFill>
                          <a:miter lim="800000"/>
                          <a:headEnd/>
                          <a:tailEnd/>
                        </a:ln>
                        <a:effectLst>
                          <a:outerShdw dist="28398" dir="3806097" algn="ctr" rotWithShape="0">
                            <a:schemeClr val="accent5">
                              <a:lumMod val="50000"/>
                              <a:lumOff val="0"/>
                              <a:alpha val="50000"/>
                            </a:schemeClr>
                          </a:outerShdw>
                        </a:effectLst>
                      </wps:spPr>
                      <wps:txbx>
                        <w:txbxContent>
                          <w:p w14:paraId="48C84419" w14:textId="77777777" w:rsidR="00AB0BD3" w:rsidRPr="001F45B5" w:rsidRDefault="00AB0BD3" w:rsidP="00AB0BD3">
                            <w:pPr>
                              <w:jc w:val="center"/>
                            </w:pPr>
                            <w:r w:rsidRPr="001F45B5">
                              <w:t>Screening based on titles and abstract</w:t>
                            </w:r>
                            <w:r>
                              <w:t xml:space="preserve"> </w:t>
                            </w:r>
                            <w:r w:rsidRPr="001F45B5">
                              <w:t xml:space="preserve">(N= </w:t>
                            </w:r>
                            <w:r>
                              <w:t>130</w:t>
                            </w:r>
                            <w:r w:rsidRPr="001F45B5">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A922EF5" id="Text Box 10" o:spid="_x0000_s1031" type="#_x0000_t202" style="position:absolute;left:0;text-align:left;margin-left:60.6pt;margin-top:3.7pt;width:194.4pt;height:46.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" fillcolor="white [3201]" strokecolor="#d86dcb [1944]" strokeweight="1pt">
                <v:fill color2="#e59edc [1304]" focus="100%" type="gradient"/>
                <v:shadow on="t" color="#4f1548 [1608]" opacity=".5" offset="1pt"/>
                <v:textbox>
                  <w:txbxContent>
                    <w:p w14:paraId="48C84419" w14:textId="77777777" w:rsidR="00AB0BD3" w:rsidRPr="001F45B5" w:rsidRDefault="00AB0BD3" w:rsidP="00AB0BD3">
                      <w:pPr>
                        <w:jc w:val="center"/>
                      </w:pPr>
                      <w:r w:rsidRPr="001F45B5">
                        <w:t>Screening based on titles and abstract</w:t>
                      </w:r>
                      <w:r>
                        <w:t xml:space="preserve"> </w:t>
                      </w:r>
                      <w:r w:rsidRPr="001F45B5">
                        <w:t xml:space="preserve">(N= </w:t>
                      </w:r>
                      <w:r>
                        <w:t>130</w:t>
                      </w:r>
                      <w:r w:rsidRPr="001F45B5">
                        <w:t>)</w:t>
                      </w:r>
                    </w:p>
                  </w:txbxContent>
                </v:textbox>
              </v:shape>
            </w:pict>
          </mc:Fallback>
        </mc:AlternateContent>
      </w:r>
    </w:p>
    <w:p w14:paraId="66D690CD" w14:textId="77777777" w:rsidR="00AB0BD3" w:rsidRPr="00E955DE" w:rsidRDefault="00AB0BD3" w:rsidP="00AB0BD3">
      <w:pPr>
        <w:spacing w:line="360" w:lineRule="auto"/>
        <w:jc w:val="both"/>
        <w:rPr>
          <w:rFonts w:ascii="Arial" w:hAnsi="Arial" w:cs="Arial"/>
          <w:color w:val="000000" w:themeColor="text1"/>
        </w:rPr>
      </w:pPr>
      <w:r w:rsidRPr="00E955DE">
        <w:rPr>
          <w:rFonts w:ascii="Arial" w:hAnsi="Arial" w:cs="Arial"/>
          <w:noProof/>
          <w:color w:val="000000" w:themeColor="text1"/>
        </w:rPr>
        <mc:AlternateContent>
          <mc:Choice Requires="wps">
            <w:drawing>
              <wp:anchor distT="0" distB="0" distL="114300" distR="114300" simplePos="0" relativeHeight="251673600" behindDoc="0" locked="0" layoutInCell="1" allowOverlap="1" wp14:anchorId="4341D305" wp14:editId="4F493710">
                <wp:simplePos x="0" y="0"/>
                <wp:positionH relativeFrom="column">
                  <wp:posOffset>16476</wp:posOffset>
                </wp:positionH>
                <wp:positionV relativeFrom="paragraph">
                  <wp:posOffset>10538</wp:posOffset>
                </wp:positionV>
                <wp:extent cx="411892" cy="838200"/>
                <wp:effectExtent l="0" t="0" r="45720" b="57150"/>
                <wp:wrapNone/>
                <wp:docPr id="77132485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1892" cy="838200"/>
                        </a:xfrm>
                        <a:prstGeom prst="rect">
                          <a:avLst/>
                        </a:prstGeom>
                        <a:gradFill rotWithShape="0">
                          <a:gsLst>
                            <a:gs pos="0">
                              <a:schemeClr val="accent6">
                                <a:lumMod val="60000"/>
                                <a:lumOff val="40000"/>
                              </a:schemeClr>
                            </a:gs>
                            <a:gs pos="50000">
                              <a:schemeClr val="accent6">
                                <a:lumMod val="20000"/>
                                <a:lumOff val="80000"/>
                              </a:schemeClr>
                            </a:gs>
                            <a:gs pos="100000">
                              <a:schemeClr val="accent6">
                                <a:lumMod val="60000"/>
                                <a:lumOff val="40000"/>
                              </a:schemeClr>
                            </a:gs>
                          </a:gsLst>
                          <a:lin ang="18900000" scaled="1"/>
                        </a:gradFill>
                        <a:ln w="12700">
                          <a:solidFill>
                            <a:schemeClr val="accent6">
                              <a:lumMod val="60000"/>
                              <a:lumOff val="40000"/>
                            </a:schemeClr>
                          </a:solidFill>
                          <a:miter lim="800000"/>
                          <a:headEnd/>
                          <a:tailEnd/>
                        </a:ln>
                        <a:effectLst>
                          <a:outerShdw dist="28398" dir="3806097" algn="ctr" rotWithShape="0">
                            <a:schemeClr val="accent6">
                              <a:lumMod val="50000"/>
                              <a:lumOff val="0"/>
                              <a:alpha val="50000"/>
                            </a:schemeClr>
                          </a:outerShdw>
                        </a:effectLst>
                      </wps:spPr>
                      <wps:txbx>
                        <w:txbxContent>
                          <w:p w14:paraId="209DBDE7" w14:textId="77777777" w:rsidR="00AB0BD3" w:rsidRPr="001F45B5" w:rsidRDefault="00AB0BD3" w:rsidP="00AB0BD3">
                            <w:pPr>
                              <w:jc w:val="center"/>
                            </w:pPr>
                            <w:r w:rsidRPr="001F45B5">
                              <w:t>Eligibility</w:t>
                            </w:r>
                          </w:p>
                        </w:txbxContent>
                      </wps:txbx>
                      <wps:bodyPr rot="0" vert="vert270"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341D305" id="Text Box 9" o:spid="_x0000_s1032" type="#_x0000_t202" style="position:absolute;left:0;text-align:left;margin-left:1.3pt;margin-top:.85pt;width:32.45pt;height:66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" fillcolor="#8dd873 [1945]" strokecolor="#8dd873 [1945]" strokeweight="1pt">
                <v:fill color2="#d9f2d0 [665]" angle="135" focus="50%" type="gradient"/>
                <v:shadow on="t" color="#265317 [1609]" opacity=".5" offset="1pt"/>
                <v:textbox style="layout-flow:vertical;mso-layout-flow-alt:bottom-to-top">
                  <w:txbxContent>
                    <w:p w14:paraId="209DBDE7" w14:textId="77777777" w:rsidR="00AB0BD3" w:rsidRPr="001F45B5" w:rsidRDefault="00AB0BD3" w:rsidP="00AB0BD3">
                      <w:pPr>
                        <w:jc w:val="center"/>
                      </w:pPr>
                      <w:r w:rsidRPr="001F45B5">
                        <w:t>Eligibility</w:t>
                      </w:r>
                    </w:p>
                  </w:txbxContent>
                </v:textbox>
              </v:shape>
            </w:pict>
          </mc:Fallback>
        </mc:AlternateContent>
      </w:r>
    </w:p>
    <w:p w14:paraId="507E0168" w14:textId="77777777" w:rsidR="00AB0BD3" w:rsidRPr="00E955DE" w:rsidRDefault="00AB0BD3" w:rsidP="00AB0BD3">
      <w:pPr>
        <w:spacing w:line="360" w:lineRule="auto"/>
        <w:jc w:val="both"/>
        <w:rPr>
          <w:rFonts w:ascii="Arial" w:hAnsi="Arial" w:cs="Arial"/>
          <w:color w:val="000000" w:themeColor="text1"/>
        </w:rPr>
      </w:pPr>
      <w:r w:rsidRPr="00E955DE">
        <w:rPr>
          <w:rFonts w:ascii="Arial" w:hAnsi="Arial" w:cs="Arial"/>
          <w:noProof/>
          <w:color w:val="000000" w:themeColor="text1"/>
        </w:rPr>
        <mc:AlternateContent>
          <mc:Choice Requires="wps">
            <w:drawing>
              <wp:anchor distT="0" distB="0" distL="114300" distR="114300" simplePos="0" relativeHeight="251665408" behindDoc="0" locked="0" layoutInCell="1" allowOverlap="1" wp14:anchorId="46D24F42" wp14:editId="0D3766C7">
                <wp:simplePos x="0" y="0"/>
                <wp:positionH relativeFrom="column">
                  <wp:posOffset>1824990</wp:posOffset>
                </wp:positionH>
                <wp:positionV relativeFrom="paragraph">
                  <wp:posOffset>57150</wp:posOffset>
                </wp:positionV>
                <wp:extent cx="266700" cy="327025"/>
                <wp:effectExtent l="0" t="0" r="19050" b="34925"/>
                <wp:wrapNone/>
                <wp:docPr id="1185841333" name="Arrow: Down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6700" cy="327025"/>
                        </a:xfrm>
                        <a:prstGeom prst="downArrow">
                          <a:avLst>
                            <a:gd name="adj1" fmla="val 50000"/>
                            <a:gd name="adj2" fmla="val 25000"/>
                          </a:avLst>
                        </a:prstGeom>
                        <a:gradFill rotWithShape="0">
                          <a:gsLst>
                            <a:gs pos="0">
                              <a:schemeClr val="lt1">
                                <a:lumMod val="74000"/>
                                <a:lumOff val="0"/>
                              </a:schemeClr>
                            </a:gs>
                            <a:gs pos="100000">
                              <a:schemeClr val="dk1">
                                <a:lumMod val="100000"/>
                                <a:lumOff val="0"/>
                              </a:schemeClr>
                            </a:gs>
                          </a:gsLst>
                          <a:path path="rect">
                            <a:fillToRect l="50000" t="50000" r="50000" b="50000"/>
                          </a:path>
                        </a:gradFill>
                        <a:ln>
                          <a:noFill/>
                        </a:ln>
                        <a:effectLst>
                          <a:outerShdw dist="28398" dir="3806097" algn="ctr" rotWithShape="0">
                            <a:schemeClr val="lt1">
                              <a:lumMod val="50000"/>
                              <a:lumOff val="0"/>
                            </a:schemeClr>
                          </a:outerShdw>
                        </a:effectLst>
                        <a:extLst>
                          <a:ext uri="{91240B29-F687-4F45-9708-019B960494DF}">
                            <a14:hiddenLine xmlns:a14="http://schemas.microsoft.com/office/drawing/2010/main" w="0">
                              <a:solidFill>
                                <a:srgbClr val="000000"/>
                              </a:solidFill>
                              <a:miter lim="800000"/>
                              <a:headEnd/>
                              <a:tailEnd/>
                            </a14:hiddenLine>
                          </a:ext>
                        </a:extLst>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06F489E" id="Arrow: Down 7" o:spid="_x0000_s1026" type="#_x0000_t67" style="position:absolute;margin-left:143.7pt;margin-top:4.5pt;width:21pt;height:25.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" adj="17196" fillcolor="#bcbcbc [2369]" stroked="f" strokeweight="0">
                <v:fill color2="black [3200]" focusposition=".5,.5" focussize="" focus="100%" type="gradientRadial">
                  <o:fill v:ext="view" type="gradientCenter"/>
                </v:fill>
                <v:shadow on="t" color="#7f7f7f [1601]" offset="1pt"/>
                <v:textbox style="layout-flow:vertical-ideographic"/>
              </v:shape>
            </w:pict>
          </mc:Fallback>
        </mc:AlternateContent>
      </w:r>
    </w:p>
    <w:p w14:paraId="0D08D311" w14:textId="77777777" w:rsidR="00AB0BD3" w:rsidRPr="00E955DE" w:rsidRDefault="00AB0BD3" w:rsidP="00AB0BD3">
      <w:pPr>
        <w:spacing w:line="360" w:lineRule="auto"/>
        <w:jc w:val="both"/>
        <w:rPr>
          <w:rFonts w:ascii="Arial" w:hAnsi="Arial" w:cs="Arial"/>
          <w:color w:val="000000" w:themeColor="text1"/>
        </w:rPr>
      </w:pPr>
      <w:r w:rsidRPr="00E955DE">
        <w:rPr>
          <w:rFonts w:ascii="Arial" w:hAnsi="Arial" w:cs="Arial"/>
          <w:noProof/>
          <w:color w:val="000000" w:themeColor="text1"/>
        </w:rPr>
        <mc:AlternateContent>
          <mc:Choice Requires="wps">
            <w:drawing>
              <wp:anchor distT="0" distB="0" distL="114300" distR="114300" simplePos="0" relativeHeight="251671552" behindDoc="0" locked="0" layoutInCell="1" allowOverlap="1" wp14:anchorId="216EA4EE" wp14:editId="2CBA00A0">
                <wp:simplePos x="0" y="0"/>
                <wp:positionH relativeFrom="column">
                  <wp:posOffset>3848100</wp:posOffset>
                </wp:positionH>
                <wp:positionV relativeFrom="paragraph">
                  <wp:posOffset>127000</wp:posOffset>
                </wp:positionV>
                <wp:extent cx="2552700" cy="1981200"/>
                <wp:effectExtent l="0" t="0" r="38100" b="57150"/>
                <wp:wrapNone/>
                <wp:docPr id="420892421"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52700" cy="1981200"/>
                        </a:xfrm>
                        <a:prstGeom prst="rect">
                          <a:avLst/>
                        </a:prstGeom>
                        <a:gradFill rotWithShape="0">
                          <a:gsLst>
                            <a:gs pos="0">
                              <a:schemeClr val="lt1">
                                <a:lumMod val="100000"/>
                                <a:lumOff val="0"/>
                              </a:schemeClr>
                            </a:gs>
                            <a:gs pos="100000">
                              <a:schemeClr val="accent2">
                                <a:lumMod val="40000"/>
                                <a:lumOff val="60000"/>
                              </a:schemeClr>
                            </a:gs>
                          </a:gsLst>
                          <a:lin ang="5400000" scaled="1"/>
                        </a:gradFill>
                        <a:ln w="12700">
                          <a:solidFill>
                            <a:schemeClr val="accent2">
                              <a:lumMod val="60000"/>
                              <a:lumOff val="40000"/>
                            </a:schemeClr>
                          </a:solidFill>
                          <a:miter lim="800000"/>
                          <a:headEnd/>
                          <a:tailEnd/>
                        </a:ln>
                        <a:effectLst>
                          <a:outerShdw dist="28398" dir="3806097" algn="ctr" rotWithShape="0">
                            <a:schemeClr val="accent2">
                              <a:lumMod val="50000"/>
                              <a:lumOff val="0"/>
                              <a:alpha val="50000"/>
                            </a:schemeClr>
                          </a:outerShdw>
                        </a:effectLst>
                      </wps:spPr>
                      <wps:txbx>
                        <w:txbxContent>
                          <w:p w14:paraId="16B74F37" w14:textId="77777777" w:rsidR="00AB0BD3" w:rsidRPr="001F45B5" w:rsidRDefault="00AB0BD3" w:rsidP="00AB0BD3">
                            <w:r w:rsidRPr="001F45B5">
                              <w:t>Full-text articles excluded</w:t>
                            </w:r>
                            <w:r>
                              <w:t xml:space="preserve"> </w:t>
                            </w:r>
                            <w:r w:rsidRPr="001F45B5">
                              <w:t xml:space="preserve">(N= </w:t>
                            </w:r>
                            <w:r>
                              <w:t>40</w:t>
                            </w:r>
                            <w:r w:rsidRPr="001F45B5">
                              <w:t>)</w:t>
                            </w:r>
                          </w:p>
                          <w:p w14:paraId="1166C19B" w14:textId="77777777" w:rsidR="00AB0BD3" w:rsidRPr="001F45B5" w:rsidRDefault="00AB0BD3" w:rsidP="00AB0BD3">
                            <w:r w:rsidRPr="001F45B5">
                              <w:t xml:space="preserve">- </w:t>
                            </w:r>
                            <w:r w:rsidRPr="0002229C">
                              <w:t>Data from other included papers (n=19) is duplicated in this study.</w:t>
                            </w:r>
                          </w:p>
                          <w:p w14:paraId="2E1E1BDF" w14:textId="50ED0702" w:rsidR="00AB0BD3" w:rsidRPr="00FA7792" w:rsidRDefault="00AB0BD3" w:rsidP="00AB0BD3">
                            <w:r w:rsidRPr="001F45B5">
                              <w:t xml:space="preserve">- </w:t>
                            </w:r>
                            <w:r w:rsidRPr="00FA7792">
                              <w:t>Insufficient information for a sufficient assessment (n=1</w:t>
                            </w:r>
                            <w:r w:rsidR="004F2450">
                              <w:t>5</w:t>
                            </w:r>
                            <w:r w:rsidRPr="00FA7792">
                              <w:t>)</w:t>
                            </w:r>
                          </w:p>
                          <w:p w14:paraId="541FF534" w14:textId="77777777" w:rsidR="00AB0BD3" w:rsidRPr="001F45B5" w:rsidRDefault="00AB0BD3" w:rsidP="00AB0BD3">
                            <w:r w:rsidRPr="001F45B5">
                              <w:t xml:space="preserve">- </w:t>
                            </w:r>
                            <w:r>
                              <w:t>results</w:t>
                            </w:r>
                            <w:r w:rsidRPr="001F45B5">
                              <w:t xml:space="preserve"> are not relevant (n=</w:t>
                            </w:r>
                            <w:r>
                              <w:t>6</w:t>
                            </w:r>
                            <w:r w:rsidRPr="001F45B5">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16EA4EE" id="Text Box 6" o:spid="_x0000_s1033" type="#_x0000_t202" style="position:absolute;left:0;text-align:left;margin-left:303pt;margin-top:10pt;width:201pt;height:156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" fillcolor="white [3201]" strokecolor="#f1a983 [1941]" strokeweight="1pt">
                <v:fill color2="#f6c5ac [1301]" focus="100%" type="gradient"/>
                <v:shadow on="t" color="#7f340d [1605]" opacity=".5" offset="1pt"/>
                <v:textbox>
                  <w:txbxContent>
                    <w:p w14:paraId="16B74F37" w14:textId="77777777" w:rsidR="00AB0BD3" w:rsidRPr="001F45B5" w:rsidRDefault="00AB0BD3" w:rsidP="00AB0BD3">
                      <w:r w:rsidRPr="001F45B5">
                        <w:t>Full-text articles excluded</w:t>
                      </w:r>
                      <w:r>
                        <w:t xml:space="preserve"> </w:t>
                      </w:r>
                      <w:r w:rsidRPr="001F45B5">
                        <w:t xml:space="preserve">(N= </w:t>
                      </w:r>
                      <w:r>
                        <w:t>40</w:t>
                      </w:r>
                      <w:r w:rsidRPr="001F45B5">
                        <w:t>)</w:t>
                      </w:r>
                    </w:p>
                    <w:p w14:paraId="1166C19B" w14:textId="77777777" w:rsidR="00AB0BD3" w:rsidRPr="001F45B5" w:rsidRDefault="00AB0BD3" w:rsidP="00AB0BD3">
                      <w:r w:rsidRPr="001F45B5">
                        <w:t xml:space="preserve">- </w:t>
                      </w:r>
                      <w:r w:rsidRPr="0002229C">
                        <w:t>Data from other included papers (n=19) is duplicated in this study.</w:t>
                      </w:r>
                    </w:p>
                    <w:p w14:paraId="2E1E1BDF" w14:textId="50ED0702" w:rsidR="00AB0BD3" w:rsidRPr="00FA7792" w:rsidRDefault="00AB0BD3" w:rsidP="00AB0BD3">
                      <w:r w:rsidRPr="001F45B5">
                        <w:t xml:space="preserve">- </w:t>
                      </w:r>
                      <w:r w:rsidRPr="00FA7792">
                        <w:t>Insufficient information for a sufficient assessment (n=1</w:t>
                      </w:r>
                      <w:r w:rsidR="004F2450">
                        <w:t>5</w:t>
                      </w:r>
                      <w:r w:rsidRPr="00FA7792">
                        <w:t>)</w:t>
                      </w:r>
                    </w:p>
                    <w:p w14:paraId="541FF534" w14:textId="77777777" w:rsidR="00AB0BD3" w:rsidRPr="001F45B5" w:rsidRDefault="00AB0BD3" w:rsidP="00AB0BD3">
                      <w:r w:rsidRPr="001F45B5">
                        <w:t xml:space="preserve">- </w:t>
                      </w:r>
                      <w:r>
                        <w:t>results</w:t>
                      </w:r>
                      <w:r w:rsidRPr="001F45B5">
                        <w:t xml:space="preserve"> are not relevant (n=</w:t>
                      </w:r>
                      <w:r>
                        <w:t>6</w:t>
                      </w:r>
                      <w:r w:rsidRPr="001F45B5">
                        <w:t>)</w:t>
                      </w:r>
                    </w:p>
                  </w:txbxContent>
                </v:textbox>
              </v:shape>
            </w:pict>
          </mc:Fallback>
        </mc:AlternateContent>
      </w:r>
      <w:r w:rsidRPr="00E955DE">
        <w:rPr>
          <w:rFonts w:ascii="Arial" w:hAnsi="Arial" w:cs="Arial"/>
          <w:noProof/>
          <w:color w:val="000000" w:themeColor="text1"/>
        </w:rPr>
        <mc:AlternateContent>
          <mc:Choice Requires="wps">
            <w:drawing>
              <wp:anchor distT="0" distB="0" distL="114300" distR="114300" simplePos="0" relativeHeight="251669504" behindDoc="0" locked="0" layoutInCell="1" allowOverlap="1" wp14:anchorId="76B6BC82" wp14:editId="5B6AC4E1">
                <wp:simplePos x="0" y="0"/>
                <wp:positionH relativeFrom="column">
                  <wp:posOffset>3345180</wp:posOffset>
                </wp:positionH>
                <wp:positionV relativeFrom="paragraph">
                  <wp:posOffset>341630</wp:posOffset>
                </wp:positionV>
                <wp:extent cx="495300" cy="189230"/>
                <wp:effectExtent l="0" t="0" r="19050" b="39370"/>
                <wp:wrapNone/>
                <wp:docPr id="1457751015" name="Arrow: Right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95300" cy="189230"/>
                        </a:xfrm>
                        <a:prstGeom prst="rightArrow">
                          <a:avLst>
                            <a:gd name="adj1" fmla="val 50000"/>
                            <a:gd name="adj2" fmla="val 88750"/>
                          </a:avLst>
                        </a:prstGeom>
                        <a:gradFill rotWithShape="0">
                          <a:gsLst>
                            <a:gs pos="0">
                              <a:schemeClr val="lt1">
                                <a:lumMod val="74000"/>
                                <a:lumOff val="0"/>
                              </a:schemeClr>
                            </a:gs>
                            <a:gs pos="100000">
                              <a:schemeClr val="dk1">
                                <a:lumMod val="100000"/>
                                <a:lumOff val="0"/>
                              </a:schemeClr>
                            </a:gs>
                          </a:gsLst>
                          <a:path path="rect">
                            <a:fillToRect l="50000" t="50000" r="50000" b="50000"/>
                          </a:path>
                        </a:gradFill>
                        <a:ln>
                          <a:noFill/>
                        </a:ln>
                        <a:effectLst>
                          <a:outerShdw dist="28398" dir="3806097" algn="ctr" rotWithShape="0">
                            <a:schemeClr val="lt1">
                              <a:lumMod val="50000"/>
                              <a:lumOff val="0"/>
                            </a:schemeClr>
                          </a:outerShdw>
                        </a:effectLst>
                        <a:extLst>
                          <a:ext uri="{91240B29-F687-4F45-9708-019B960494DF}">
                            <a14:hiddenLine xmlns:a14="http://schemas.microsoft.com/office/drawing/2010/main" w="0">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366D044" id="Arrow: Right 4" o:spid="_x0000_s1026" type="#_x0000_t13" style="position:absolute;margin-left:263.4pt;margin-top:26.9pt;width:39pt;height:14.9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" adj="14276" fillcolor="#bcbcbc [2369]" stroked="f" strokeweight="0">
                <v:fill color2="black [3200]" focusposition=".5,.5" focussize="" focus="100%" type="gradientRadial">
                  <o:fill v:ext="view" type="gradientCenter"/>
                </v:fill>
                <v:shadow on="t" color="#7f7f7f [1601]" offset="1pt"/>
              </v:shape>
            </w:pict>
          </mc:Fallback>
        </mc:AlternateContent>
      </w:r>
      <w:r w:rsidRPr="00E955DE">
        <w:rPr>
          <w:rFonts w:ascii="Arial" w:hAnsi="Arial" w:cs="Arial"/>
          <w:noProof/>
          <w:color w:val="000000" w:themeColor="text1"/>
        </w:rPr>
        <mc:AlternateContent>
          <mc:Choice Requires="wps">
            <w:drawing>
              <wp:anchor distT="0" distB="0" distL="114300" distR="114300" simplePos="0" relativeHeight="251662336" behindDoc="0" locked="0" layoutInCell="1" allowOverlap="1" wp14:anchorId="2A0FDD1B" wp14:editId="3DA227D4">
                <wp:simplePos x="0" y="0"/>
                <wp:positionH relativeFrom="column">
                  <wp:posOffset>792480</wp:posOffset>
                </wp:positionH>
                <wp:positionV relativeFrom="paragraph">
                  <wp:posOffset>127000</wp:posOffset>
                </wp:positionV>
                <wp:extent cx="2468880" cy="563880"/>
                <wp:effectExtent l="0" t="0" r="45720" b="64770"/>
                <wp:wrapNone/>
                <wp:docPr id="234065023"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8880" cy="563880"/>
                        </a:xfrm>
                        <a:prstGeom prst="rect">
                          <a:avLst/>
                        </a:prstGeom>
                        <a:gradFill rotWithShape="0">
                          <a:gsLst>
                            <a:gs pos="0">
                              <a:schemeClr val="lt1">
                                <a:lumMod val="100000"/>
                                <a:lumOff val="0"/>
                              </a:schemeClr>
                            </a:gs>
                            <a:gs pos="100000">
                              <a:schemeClr val="accent3">
                                <a:lumMod val="40000"/>
                                <a:lumOff val="60000"/>
                              </a:schemeClr>
                            </a:gs>
                          </a:gsLst>
                          <a:lin ang="5400000" scaled="1"/>
                        </a:gradFill>
                        <a:ln w="12700">
                          <a:solidFill>
                            <a:schemeClr val="accent3">
                              <a:lumMod val="60000"/>
                              <a:lumOff val="40000"/>
                            </a:schemeClr>
                          </a:solidFill>
                          <a:miter lim="800000"/>
                          <a:headEnd/>
                          <a:tailEnd/>
                        </a:ln>
                        <a:effectLst>
                          <a:outerShdw dist="28398" dir="3806097" algn="ctr" rotWithShape="0">
                            <a:schemeClr val="accent3">
                              <a:lumMod val="50000"/>
                              <a:lumOff val="0"/>
                              <a:alpha val="50000"/>
                            </a:schemeClr>
                          </a:outerShdw>
                        </a:effectLst>
                      </wps:spPr>
                      <wps:txbx>
                        <w:txbxContent>
                          <w:p w14:paraId="74D2E7C1" w14:textId="77777777" w:rsidR="00AB0BD3" w:rsidRPr="001F45B5" w:rsidRDefault="00AB0BD3" w:rsidP="00AB0BD3">
                            <w:pPr>
                              <w:jc w:val="center"/>
                            </w:pPr>
                            <w:r>
                              <w:t>Full-text</w:t>
                            </w:r>
                            <w:r w:rsidRPr="001F45B5">
                              <w:t xml:space="preserve"> assessment of articles</w:t>
                            </w:r>
                            <w:r>
                              <w:t xml:space="preserve"> </w:t>
                            </w:r>
                            <w:r w:rsidRPr="001F45B5">
                              <w:t xml:space="preserve">(N= </w:t>
                            </w:r>
                            <w:r>
                              <w:t>50</w:t>
                            </w:r>
                            <w:r w:rsidRPr="001F45B5">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A0FDD1B" id="Text Box 5" o:spid="_x0000_s1034" type="#_x0000_t202" style="position:absolute;left:0;text-align:left;margin-left:62.4pt;margin-top:10pt;width:194.4pt;height:44.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" fillcolor="white [3201]" strokecolor="#47d459 [1942]" strokeweight="1pt">
                <v:fill color2="#84e290 [1302]" focus="100%" type="gradient"/>
                <v:shadow on="t" color="#0c3511 [1606]" opacity=".5" offset="1pt"/>
                <v:textbox>
                  <w:txbxContent>
                    <w:p w14:paraId="74D2E7C1" w14:textId="77777777" w:rsidR="00AB0BD3" w:rsidRPr="001F45B5" w:rsidRDefault="00AB0BD3" w:rsidP="00AB0BD3">
                      <w:pPr>
                        <w:jc w:val="center"/>
                      </w:pPr>
                      <w:r>
                        <w:t>Full-text</w:t>
                      </w:r>
                      <w:r w:rsidRPr="001F45B5">
                        <w:t xml:space="preserve"> assessment of articles</w:t>
                      </w:r>
                      <w:r>
                        <w:t xml:space="preserve"> </w:t>
                      </w:r>
                      <w:r w:rsidRPr="001F45B5">
                        <w:t xml:space="preserve">(N= </w:t>
                      </w:r>
                      <w:r>
                        <w:t>50</w:t>
                      </w:r>
                      <w:r w:rsidRPr="001F45B5">
                        <w:t>)</w:t>
                      </w:r>
                    </w:p>
                  </w:txbxContent>
                </v:textbox>
              </v:shape>
            </w:pict>
          </mc:Fallback>
        </mc:AlternateContent>
      </w:r>
    </w:p>
    <w:p w14:paraId="2695F650" w14:textId="77777777" w:rsidR="00AB0BD3" w:rsidRPr="00E955DE" w:rsidRDefault="00AB0BD3" w:rsidP="00AB0BD3">
      <w:pPr>
        <w:spacing w:line="360" w:lineRule="auto"/>
        <w:jc w:val="both"/>
        <w:rPr>
          <w:rFonts w:ascii="Arial" w:hAnsi="Arial" w:cs="Arial"/>
          <w:color w:val="000000" w:themeColor="text1"/>
        </w:rPr>
      </w:pPr>
    </w:p>
    <w:p w14:paraId="62172B4F" w14:textId="77777777" w:rsidR="00AB0BD3" w:rsidRPr="00E955DE" w:rsidRDefault="00AB0BD3" w:rsidP="00AB0BD3">
      <w:pPr>
        <w:spacing w:line="360" w:lineRule="auto"/>
        <w:jc w:val="both"/>
        <w:rPr>
          <w:rFonts w:ascii="Arial" w:hAnsi="Arial" w:cs="Arial"/>
          <w:color w:val="000000" w:themeColor="text1"/>
        </w:rPr>
      </w:pPr>
      <w:r w:rsidRPr="00E955DE">
        <w:rPr>
          <w:rFonts w:ascii="Arial" w:hAnsi="Arial" w:cs="Arial"/>
          <w:noProof/>
          <w:color w:val="000000" w:themeColor="text1"/>
        </w:rPr>
        <mc:AlternateContent>
          <mc:Choice Requires="wps">
            <w:drawing>
              <wp:anchor distT="0" distB="0" distL="114300" distR="114300" simplePos="0" relativeHeight="251667456" behindDoc="0" locked="0" layoutInCell="1" allowOverlap="1" wp14:anchorId="10DED3C0" wp14:editId="4F6E1729">
                <wp:simplePos x="0" y="0"/>
                <wp:positionH relativeFrom="column">
                  <wp:posOffset>1817370</wp:posOffset>
                </wp:positionH>
                <wp:positionV relativeFrom="paragraph">
                  <wp:posOffset>45084</wp:posOffset>
                </wp:positionV>
                <wp:extent cx="266700" cy="351155"/>
                <wp:effectExtent l="0" t="0" r="19050" b="29845"/>
                <wp:wrapNone/>
                <wp:docPr id="1141672469" name="Arrow: Down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6700" cy="351155"/>
                        </a:xfrm>
                        <a:prstGeom prst="downArrow">
                          <a:avLst>
                            <a:gd name="adj1" fmla="val 50000"/>
                            <a:gd name="adj2" fmla="val 25000"/>
                          </a:avLst>
                        </a:prstGeom>
                        <a:gradFill rotWithShape="0">
                          <a:gsLst>
                            <a:gs pos="0">
                              <a:schemeClr val="lt1">
                                <a:lumMod val="74000"/>
                                <a:lumOff val="0"/>
                              </a:schemeClr>
                            </a:gs>
                            <a:gs pos="100000">
                              <a:schemeClr val="dk1">
                                <a:lumMod val="100000"/>
                                <a:lumOff val="0"/>
                              </a:schemeClr>
                            </a:gs>
                          </a:gsLst>
                          <a:path path="rect">
                            <a:fillToRect l="50000" t="50000" r="50000" b="50000"/>
                          </a:path>
                        </a:gradFill>
                        <a:ln>
                          <a:noFill/>
                        </a:ln>
                        <a:effectLst>
                          <a:outerShdw dist="28398" dir="3806097" algn="ctr" rotWithShape="0">
                            <a:schemeClr val="lt1">
                              <a:lumMod val="50000"/>
                              <a:lumOff val="0"/>
                            </a:schemeClr>
                          </a:outerShdw>
                        </a:effectLst>
                        <a:extLst>
                          <a:ext uri="{91240B29-F687-4F45-9708-019B960494DF}">
                            <a14:hiddenLine xmlns:a14="http://schemas.microsoft.com/office/drawing/2010/main" w="0">
                              <a:solidFill>
                                <a:srgbClr val="000000"/>
                              </a:solidFill>
                              <a:miter lim="800000"/>
                              <a:headEnd/>
                              <a:tailEnd/>
                            </a14:hiddenLine>
                          </a:ext>
                        </a:extLst>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119222C" id="Arrow: Down 2" o:spid="_x0000_s1026" type="#_x0000_t67" style="position:absolute;margin-left:143.1pt;margin-top:3.55pt;width:21pt;height:27.6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" adj="17499" fillcolor="#bcbcbc [2369]" stroked="f" strokeweight="0">
                <v:fill color2="black [3200]" focusposition=".5,.5" focussize="" focus="100%" type="gradientRadial">
                  <o:fill v:ext="view" type="gradientCenter"/>
                </v:fill>
                <v:shadow on="t" color="#7f7f7f [1601]" offset="1pt"/>
                <v:textbox style="layout-flow:vertical-ideographic"/>
              </v:shape>
            </w:pict>
          </mc:Fallback>
        </mc:AlternateContent>
      </w:r>
    </w:p>
    <w:p w14:paraId="2DE56425" w14:textId="77777777" w:rsidR="00AB0BD3" w:rsidRPr="00E955DE" w:rsidRDefault="00AB0BD3" w:rsidP="00AB0BD3">
      <w:pPr>
        <w:spacing w:line="360" w:lineRule="auto"/>
        <w:jc w:val="both"/>
        <w:rPr>
          <w:rFonts w:ascii="Arial" w:hAnsi="Arial" w:cs="Arial"/>
          <w:color w:val="000000" w:themeColor="text1"/>
        </w:rPr>
      </w:pPr>
      <w:r w:rsidRPr="00E955DE">
        <w:rPr>
          <w:rFonts w:ascii="Arial" w:hAnsi="Arial" w:cs="Arial"/>
          <w:noProof/>
          <w:color w:val="000000" w:themeColor="text1"/>
        </w:rPr>
        <mc:AlternateContent>
          <mc:Choice Requires="wps">
            <w:drawing>
              <wp:anchor distT="0" distB="0" distL="114300" distR="114300" simplePos="0" relativeHeight="251663360" behindDoc="0" locked="0" layoutInCell="1" allowOverlap="1" wp14:anchorId="4D7B5264" wp14:editId="0F149FA5">
                <wp:simplePos x="0" y="0"/>
                <wp:positionH relativeFrom="column">
                  <wp:posOffset>736169</wp:posOffset>
                </wp:positionH>
                <wp:positionV relativeFrom="paragraph">
                  <wp:posOffset>144714</wp:posOffset>
                </wp:positionV>
                <wp:extent cx="2651760" cy="782665"/>
                <wp:effectExtent l="0" t="0" r="34290" b="55880"/>
                <wp:wrapNone/>
                <wp:docPr id="146307510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51760" cy="782665"/>
                        </a:xfrm>
                        <a:prstGeom prst="rect">
                          <a:avLst/>
                        </a:prstGeom>
                        <a:gradFill rotWithShape="0">
                          <a:gsLst>
                            <a:gs pos="0">
                              <a:schemeClr val="lt1">
                                <a:lumMod val="100000"/>
                                <a:lumOff val="0"/>
                              </a:schemeClr>
                            </a:gs>
                            <a:gs pos="100000">
                              <a:schemeClr val="accent3">
                                <a:lumMod val="40000"/>
                                <a:lumOff val="60000"/>
                              </a:schemeClr>
                            </a:gs>
                          </a:gsLst>
                          <a:lin ang="5400000" scaled="1"/>
                        </a:gradFill>
                        <a:ln w="12700">
                          <a:solidFill>
                            <a:schemeClr val="accent3">
                              <a:lumMod val="60000"/>
                              <a:lumOff val="40000"/>
                            </a:schemeClr>
                          </a:solidFill>
                          <a:miter lim="800000"/>
                          <a:headEnd/>
                          <a:tailEnd/>
                        </a:ln>
                        <a:effectLst>
                          <a:outerShdw dist="28398" dir="3806097" algn="ctr" rotWithShape="0">
                            <a:schemeClr val="accent3">
                              <a:lumMod val="50000"/>
                              <a:lumOff val="0"/>
                              <a:alpha val="50000"/>
                            </a:schemeClr>
                          </a:outerShdw>
                        </a:effectLst>
                      </wps:spPr>
                      <wps:txbx>
                        <w:txbxContent>
                          <w:p w14:paraId="77C923D4" w14:textId="77777777" w:rsidR="00AB0BD3" w:rsidRPr="001F45B5" w:rsidRDefault="00AB0BD3" w:rsidP="00AB0BD3">
                            <w:pPr>
                              <w:jc w:val="center"/>
                            </w:pPr>
                            <w:r w:rsidRPr="001F45B5">
                              <w:t>Article meeting inclusion criteria/ selected articles</w:t>
                            </w:r>
                          </w:p>
                          <w:p w14:paraId="7A7068F5" w14:textId="77777777" w:rsidR="00AB0BD3" w:rsidRPr="001F45B5" w:rsidRDefault="00AB0BD3" w:rsidP="00AB0BD3">
                            <w:pPr>
                              <w:jc w:val="center"/>
                            </w:pPr>
                            <w:r w:rsidRPr="001F45B5">
                              <w:t xml:space="preserve">(N= </w:t>
                            </w:r>
                            <w:r>
                              <w:t>10</w:t>
                            </w:r>
                            <w:r w:rsidRPr="001F45B5">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D7B5264" id="Text Box 1" o:spid="_x0000_s1035" type="#_x0000_t202" style="position:absolute;left:0;text-align:left;margin-left:57.95pt;margin-top:11.4pt;width:208.8pt;height:61.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" fillcolor="white [3201]" strokecolor="#47d459 [1942]" strokeweight="1pt">
                <v:fill color2="#84e290 [1302]" focus="100%" type="gradient"/>
                <v:shadow on="t" color="#0c3511 [1606]" opacity=".5" offset="1pt"/>
                <v:textbox>
                  <w:txbxContent>
                    <w:p w14:paraId="77C923D4" w14:textId="77777777" w:rsidR="00AB0BD3" w:rsidRPr="001F45B5" w:rsidRDefault="00AB0BD3" w:rsidP="00AB0BD3">
                      <w:pPr>
                        <w:jc w:val="center"/>
                      </w:pPr>
                      <w:r w:rsidRPr="001F45B5">
                        <w:t>Article meeting inclusion criteria/ selected articles</w:t>
                      </w:r>
                    </w:p>
                    <w:p w14:paraId="7A7068F5" w14:textId="77777777" w:rsidR="00AB0BD3" w:rsidRPr="001F45B5" w:rsidRDefault="00AB0BD3" w:rsidP="00AB0BD3">
                      <w:pPr>
                        <w:jc w:val="center"/>
                      </w:pPr>
                      <w:r w:rsidRPr="001F45B5">
                        <w:t xml:space="preserve">(N= </w:t>
                      </w:r>
                      <w:r>
                        <w:t>10</w:t>
                      </w:r>
                      <w:r w:rsidRPr="001F45B5">
                        <w:t>)</w:t>
                      </w:r>
                    </w:p>
                  </w:txbxContent>
                </v:textbox>
              </v:shape>
            </w:pict>
          </mc:Fallback>
        </mc:AlternateContent>
      </w:r>
      <w:r w:rsidRPr="00E955DE">
        <w:rPr>
          <w:rFonts w:ascii="Arial" w:hAnsi="Arial" w:cs="Arial"/>
          <w:noProof/>
          <w:color w:val="000000" w:themeColor="text1"/>
        </w:rPr>
        <mc:AlternateContent>
          <mc:Choice Requires="wps">
            <w:drawing>
              <wp:anchor distT="0" distB="0" distL="114300" distR="114300" simplePos="0" relativeHeight="251674624" behindDoc="0" locked="0" layoutInCell="1" allowOverlap="1" wp14:anchorId="253D4433" wp14:editId="3A6E2867">
                <wp:simplePos x="0" y="0"/>
                <wp:positionH relativeFrom="margin">
                  <wp:align>left</wp:align>
                </wp:positionH>
                <wp:positionV relativeFrom="paragraph">
                  <wp:posOffset>162560</wp:posOffset>
                </wp:positionV>
                <wp:extent cx="375285" cy="838200"/>
                <wp:effectExtent l="0" t="0" r="43815" b="57150"/>
                <wp:wrapNone/>
                <wp:docPr id="1547892130"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5285" cy="838200"/>
                        </a:xfrm>
                        <a:prstGeom prst="rect">
                          <a:avLst/>
                        </a:prstGeom>
                        <a:gradFill rotWithShape="0">
                          <a:gsLst>
                            <a:gs pos="0">
                              <a:schemeClr val="accent6">
                                <a:lumMod val="60000"/>
                                <a:lumOff val="40000"/>
                              </a:schemeClr>
                            </a:gs>
                            <a:gs pos="50000">
                              <a:schemeClr val="accent6">
                                <a:lumMod val="20000"/>
                                <a:lumOff val="80000"/>
                              </a:schemeClr>
                            </a:gs>
                            <a:gs pos="100000">
                              <a:schemeClr val="accent6">
                                <a:lumMod val="60000"/>
                                <a:lumOff val="40000"/>
                              </a:schemeClr>
                            </a:gs>
                          </a:gsLst>
                          <a:lin ang="18900000" scaled="1"/>
                        </a:gradFill>
                        <a:ln w="12700">
                          <a:solidFill>
                            <a:schemeClr val="accent6">
                              <a:lumMod val="60000"/>
                              <a:lumOff val="40000"/>
                            </a:schemeClr>
                          </a:solidFill>
                          <a:miter lim="800000"/>
                          <a:headEnd/>
                          <a:tailEnd/>
                        </a:ln>
                        <a:effectLst>
                          <a:outerShdw dist="28398" dir="3806097" algn="ctr" rotWithShape="0">
                            <a:schemeClr val="accent6">
                              <a:lumMod val="50000"/>
                              <a:lumOff val="0"/>
                              <a:alpha val="50000"/>
                            </a:schemeClr>
                          </a:outerShdw>
                        </a:effectLst>
                      </wps:spPr>
                      <wps:txbx>
                        <w:txbxContent>
                          <w:p w14:paraId="14F8DEC3" w14:textId="77777777" w:rsidR="00AB0BD3" w:rsidRPr="001F45B5" w:rsidRDefault="00AB0BD3" w:rsidP="00AB0BD3">
                            <w:pPr>
                              <w:jc w:val="center"/>
                            </w:pPr>
                            <w:r w:rsidRPr="001F45B5">
                              <w:t>Included</w:t>
                            </w:r>
                          </w:p>
                        </w:txbxContent>
                      </wps:txbx>
                      <wps:bodyPr rot="0" vert="vert270"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53D4433" id="Text Box 3" o:spid="_x0000_s1036" type="#_x0000_t202" style="position:absolute;left:0;text-align:left;margin-left:0;margin-top:12.8pt;width:29.55pt;height:66pt;z-index:25167462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" fillcolor="#8dd873 [1945]" strokecolor="#8dd873 [1945]" strokeweight="1pt">
                <v:fill color2="#d9f2d0 [665]" angle="135" focus="50%" type="gradient"/>
                <v:shadow on="t" color="#265317 [1609]" opacity=".5" offset="1pt"/>
                <v:textbox style="layout-flow:vertical;mso-layout-flow-alt:bottom-to-top">
                  <w:txbxContent>
                    <w:p w14:paraId="14F8DEC3" w14:textId="77777777" w:rsidR="00AB0BD3" w:rsidRPr="001F45B5" w:rsidRDefault="00AB0BD3" w:rsidP="00AB0BD3">
                      <w:pPr>
                        <w:jc w:val="center"/>
                      </w:pPr>
                      <w:r w:rsidRPr="001F45B5">
                        <w:t>Included</w:t>
                      </w:r>
                    </w:p>
                  </w:txbxContent>
                </v:textbox>
                <w10:wrap anchorx="margin"/>
              </v:shape>
            </w:pict>
          </mc:Fallback>
        </mc:AlternateContent>
      </w:r>
    </w:p>
    <w:p w14:paraId="543FAF3D" w14:textId="77777777" w:rsidR="00AB0BD3" w:rsidRPr="00E955DE" w:rsidRDefault="00AB0BD3" w:rsidP="00AB0BD3">
      <w:pPr>
        <w:spacing w:line="360" w:lineRule="auto"/>
        <w:jc w:val="both"/>
        <w:rPr>
          <w:rFonts w:ascii="Arial" w:hAnsi="Arial" w:cs="Arial"/>
          <w:color w:val="000000" w:themeColor="text1"/>
        </w:rPr>
      </w:pPr>
    </w:p>
    <w:p w14:paraId="2A32A229" w14:textId="77777777" w:rsidR="00AB0BD3" w:rsidRPr="00E955DE" w:rsidRDefault="00AB0BD3" w:rsidP="00AB0BD3">
      <w:pPr>
        <w:spacing w:line="360" w:lineRule="auto"/>
        <w:jc w:val="both"/>
        <w:rPr>
          <w:rFonts w:ascii="Arial" w:hAnsi="Arial" w:cs="Arial"/>
        </w:rPr>
      </w:pPr>
    </w:p>
    <w:p w14:paraId="7383C10E" w14:textId="77777777" w:rsidR="00AB0BD3" w:rsidRDefault="00AB0BD3" w:rsidP="00AB0BD3">
      <w:pPr>
        <w:spacing w:line="360" w:lineRule="auto"/>
        <w:jc w:val="center"/>
        <w:rPr>
          <w:rFonts w:ascii="Arial" w:hAnsi="Arial" w:cs="Arial"/>
        </w:rPr>
      </w:pPr>
    </w:p>
    <w:p w14:paraId="20B5CF30" w14:textId="253559A3" w:rsidR="00AB0BD3" w:rsidRDefault="00AB0BD3" w:rsidP="0052700B">
      <w:pPr>
        <w:spacing w:line="360" w:lineRule="auto"/>
        <w:jc w:val="center"/>
        <w:rPr>
          <w:rFonts w:ascii="Arial" w:hAnsi="Arial" w:cs="Arial"/>
        </w:rPr>
      </w:pPr>
      <w:r>
        <w:rPr>
          <w:rFonts w:ascii="Arial" w:hAnsi="Arial" w:cs="Arial"/>
        </w:rPr>
        <w:t>Figure 1: PRISMA Diagram</w:t>
      </w:r>
    </w:p>
    <w:p w14:paraId="79DA16F0" w14:textId="77777777" w:rsidR="00AB0BD3" w:rsidRPr="00ED61CC" w:rsidRDefault="00AB0BD3" w:rsidP="004F2450">
      <w:pPr>
        <w:pStyle w:val="Heading1"/>
      </w:pPr>
      <w:bookmarkStart w:id="42" w:name="_Toc218418696"/>
      <w:r w:rsidRPr="00ED61CC">
        <w:lastRenderedPageBreak/>
        <w:t>4.3 Characteristics of the Selected Research Articles</w:t>
      </w:r>
      <w:bookmarkEnd w:id="42"/>
      <w:r w:rsidRPr="00ED61CC">
        <w:t xml:space="preserve"> </w:t>
      </w:r>
    </w:p>
    <w:p w14:paraId="3EAEDF5C" w14:textId="77777777" w:rsidR="00AB0BD3" w:rsidRDefault="00AB0BD3" w:rsidP="00AB0BD3">
      <w:pPr>
        <w:spacing w:line="360" w:lineRule="auto"/>
        <w:jc w:val="both"/>
        <w:rPr>
          <w:rFonts w:ascii="Arial" w:hAnsi="Arial" w:cs="Arial"/>
        </w:rPr>
      </w:pPr>
      <w:r w:rsidRPr="00ED61CC">
        <w:rPr>
          <w:rFonts w:ascii="Arial" w:hAnsi="Arial" w:cs="Arial"/>
        </w:rPr>
        <w:t>The 1</w:t>
      </w:r>
      <w:r>
        <w:rPr>
          <w:rFonts w:ascii="Arial" w:hAnsi="Arial" w:cs="Arial"/>
        </w:rPr>
        <w:t>0</w:t>
      </w:r>
      <w:r w:rsidRPr="00ED61CC">
        <w:rPr>
          <w:rFonts w:ascii="Arial" w:hAnsi="Arial" w:cs="Arial"/>
        </w:rPr>
        <w:t xml:space="preserve"> studies included in this systematic review comprised a mix of observational studies, retrospective analyses, cohort studies, and programmatic evaluations conducted in high-risk urban or peri-urban settings relevant to Delhi. Publication years ranged from </w:t>
      </w:r>
      <w:r>
        <w:rPr>
          <w:rFonts w:ascii="Arial" w:hAnsi="Arial" w:cs="Arial"/>
        </w:rPr>
        <w:t xml:space="preserve">2015 </w:t>
      </w:r>
      <w:r w:rsidRPr="00ED61CC">
        <w:rPr>
          <w:rFonts w:ascii="Arial" w:hAnsi="Arial" w:cs="Arial"/>
        </w:rPr>
        <w:t>to recent years, reflecting both historical and contemporary perspectives on BCG vaccination and TB control. Most studies focused on TB incidence, prevalence, or morbidity outcomes in relation to BCG vaccination status, while others examined vaccination coverage, health system performance, and socio-demographic determinants. The target populations generally included adolescents and adults within the 15–60-year age range, with several studies specifically addressing migrant workers, slum dwellers, or economically disadvantaged groups. Data sources varied and included national TB programme records, hospital registries, surveys, and surveillance data. Collectively, these studies provided diverse but complementary evidence relevant to assessing the impact and challenges of BCG vaccination campaigns in high-risk districts of Delhi</w:t>
      </w:r>
      <w:r>
        <w:rPr>
          <w:rFonts w:ascii="Arial" w:hAnsi="Arial" w:cs="Arial"/>
        </w:rPr>
        <w:t>.</w:t>
      </w:r>
    </w:p>
    <w:p w14:paraId="55BBB518" w14:textId="77777777" w:rsidR="00AB0BD3" w:rsidRPr="00E955DE" w:rsidRDefault="00AB0BD3" w:rsidP="00AB0BD3">
      <w:pPr>
        <w:spacing w:after="0" w:line="240" w:lineRule="auto"/>
        <w:jc w:val="both"/>
        <w:rPr>
          <w:rFonts w:ascii="Arial" w:hAnsi="Arial" w:cs="Arial"/>
          <w:b/>
          <w:bCs/>
        </w:rPr>
      </w:pPr>
      <w:r w:rsidRPr="00E955DE">
        <w:rPr>
          <w:rFonts w:ascii="Arial" w:hAnsi="Arial" w:cs="Arial"/>
          <w:b/>
          <w:bCs/>
        </w:rPr>
        <w:t>Table 4.1 Data Extraction</w:t>
      </w:r>
    </w:p>
    <w:tbl>
      <w:tblPr>
        <w:tblpPr w:leftFromText="180" w:rightFromText="180" w:bottomFromText="160" w:vertAnchor="text" w:horzAnchor="page" w:tblpXSpec="center" w:tblpY="370"/>
        <w:tblW w:w="6173"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895"/>
        <w:gridCol w:w="1262"/>
        <w:gridCol w:w="1516"/>
        <w:gridCol w:w="1391"/>
        <w:gridCol w:w="1394"/>
        <w:gridCol w:w="1269"/>
        <w:gridCol w:w="1623"/>
        <w:gridCol w:w="1781"/>
      </w:tblGrid>
      <w:tr w:rsidR="00AB0BD3" w:rsidRPr="00E955DE" w14:paraId="739D3143" w14:textId="77777777" w:rsidTr="00454512">
        <w:trPr>
          <w:trHeight w:val="470"/>
        </w:trPr>
        <w:tc>
          <w:tcPr>
            <w:tcW w:w="402" w:type="pct"/>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D1F5068" w14:textId="77777777" w:rsidR="00AB0BD3" w:rsidRPr="00E955DE" w:rsidRDefault="00AB0BD3" w:rsidP="00454512">
            <w:pPr>
              <w:pStyle w:val="TableParagraph"/>
              <w:spacing w:line="360" w:lineRule="auto"/>
              <w:jc w:val="center"/>
              <w:rPr>
                <w:b/>
                <w:color w:val="000000" w:themeColor="text1"/>
                <w:spacing w:val="-2"/>
                <w:kern w:val="2"/>
                <w:sz w:val="20"/>
                <w:szCs w:val="20"/>
                <w:lang w:eastAsia="en-US"/>
              </w:rPr>
            </w:pPr>
            <w:r w:rsidRPr="00E955DE">
              <w:rPr>
                <w:b/>
                <w:color w:val="000000" w:themeColor="text1"/>
                <w:spacing w:val="-2"/>
                <w:kern w:val="2"/>
                <w:sz w:val="20"/>
                <w:szCs w:val="20"/>
                <w:lang w:eastAsia="en-US"/>
              </w:rPr>
              <w:t>Study Author’s name/ year</w:t>
            </w:r>
          </w:p>
        </w:tc>
        <w:tc>
          <w:tcPr>
            <w:tcW w:w="567" w:type="pct"/>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55C74D4" w14:textId="77777777" w:rsidR="00AB0BD3" w:rsidRPr="00E955DE" w:rsidRDefault="00AB0BD3" w:rsidP="00454512">
            <w:pPr>
              <w:pStyle w:val="TableParagraph"/>
              <w:spacing w:line="360" w:lineRule="auto"/>
              <w:ind w:left="107"/>
              <w:jc w:val="center"/>
              <w:rPr>
                <w:b/>
                <w:color w:val="000000" w:themeColor="text1"/>
                <w:kern w:val="2"/>
                <w:sz w:val="20"/>
                <w:szCs w:val="20"/>
                <w:lang w:eastAsia="en-US"/>
              </w:rPr>
            </w:pPr>
            <w:r w:rsidRPr="00E955DE">
              <w:rPr>
                <w:b/>
                <w:color w:val="000000" w:themeColor="text1"/>
                <w:spacing w:val="-2"/>
                <w:kern w:val="2"/>
                <w:sz w:val="20"/>
                <w:szCs w:val="20"/>
                <w:lang w:eastAsia="en-US"/>
              </w:rPr>
              <w:t>Objective/purpose</w:t>
            </w:r>
          </w:p>
        </w:tc>
        <w:tc>
          <w:tcPr>
            <w:tcW w:w="681" w:type="pct"/>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6FADB0E" w14:textId="77777777" w:rsidR="00AB0BD3" w:rsidRPr="00E955DE" w:rsidRDefault="00AB0BD3" w:rsidP="00454512">
            <w:pPr>
              <w:pStyle w:val="TableParagraph"/>
              <w:spacing w:line="360" w:lineRule="auto"/>
              <w:ind w:left="107"/>
              <w:jc w:val="center"/>
              <w:rPr>
                <w:b/>
                <w:color w:val="000000" w:themeColor="text1"/>
                <w:spacing w:val="-2"/>
                <w:kern w:val="2"/>
                <w:sz w:val="20"/>
                <w:szCs w:val="20"/>
                <w:lang w:eastAsia="en-US"/>
              </w:rPr>
            </w:pPr>
            <w:r w:rsidRPr="00E955DE">
              <w:rPr>
                <w:b/>
                <w:color w:val="000000" w:themeColor="text1"/>
                <w:spacing w:val="-2"/>
                <w:kern w:val="2"/>
                <w:sz w:val="20"/>
                <w:szCs w:val="20"/>
                <w:lang w:eastAsia="en-US"/>
              </w:rPr>
              <w:t>Setting/sample</w:t>
            </w:r>
          </w:p>
        </w:tc>
        <w:tc>
          <w:tcPr>
            <w:tcW w:w="625" w:type="pct"/>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0B29375" w14:textId="77777777" w:rsidR="00AB0BD3" w:rsidRPr="00E955DE" w:rsidRDefault="00AB0BD3" w:rsidP="00454512">
            <w:pPr>
              <w:pStyle w:val="TableParagraph"/>
              <w:spacing w:line="360" w:lineRule="auto"/>
              <w:ind w:left="107"/>
              <w:jc w:val="center"/>
              <w:rPr>
                <w:b/>
                <w:color w:val="000000" w:themeColor="text1"/>
                <w:spacing w:val="-2"/>
                <w:kern w:val="2"/>
                <w:sz w:val="20"/>
                <w:szCs w:val="20"/>
                <w:lang w:eastAsia="en-US"/>
              </w:rPr>
            </w:pPr>
            <w:r w:rsidRPr="00E955DE">
              <w:rPr>
                <w:b/>
                <w:color w:val="000000" w:themeColor="text1"/>
                <w:spacing w:val="-2"/>
                <w:kern w:val="2"/>
                <w:sz w:val="20"/>
                <w:szCs w:val="20"/>
                <w:lang w:eastAsia="en-US"/>
              </w:rPr>
              <w:t>Methodology /Study design</w:t>
            </w:r>
          </w:p>
        </w:tc>
        <w:tc>
          <w:tcPr>
            <w:tcW w:w="626"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DCFD483" w14:textId="77777777" w:rsidR="00AB0BD3" w:rsidRPr="00E955DE" w:rsidRDefault="00AB0BD3" w:rsidP="00454512">
            <w:pPr>
              <w:pStyle w:val="TableParagraph"/>
              <w:spacing w:line="360" w:lineRule="auto"/>
              <w:jc w:val="center"/>
              <w:rPr>
                <w:b/>
                <w:color w:val="000000" w:themeColor="text1"/>
                <w:spacing w:val="-2"/>
                <w:kern w:val="2"/>
                <w:sz w:val="20"/>
                <w:szCs w:val="20"/>
                <w:lang w:eastAsia="en-US"/>
              </w:rPr>
            </w:pPr>
            <w:r w:rsidRPr="00E955DE">
              <w:rPr>
                <w:b/>
                <w:color w:val="000000" w:themeColor="text1"/>
                <w:spacing w:val="-2"/>
                <w:kern w:val="2"/>
                <w:sz w:val="20"/>
                <w:szCs w:val="20"/>
                <w:lang w:eastAsia="en-US"/>
              </w:rPr>
              <w:t xml:space="preserve">Strengths </w:t>
            </w:r>
          </w:p>
        </w:tc>
        <w:tc>
          <w:tcPr>
            <w:tcW w:w="570"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918535E" w14:textId="77777777" w:rsidR="00AB0BD3" w:rsidRPr="00E955DE" w:rsidRDefault="00AB0BD3" w:rsidP="00454512">
            <w:pPr>
              <w:pStyle w:val="TableParagraph"/>
              <w:spacing w:line="360" w:lineRule="auto"/>
              <w:jc w:val="center"/>
              <w:rPr>
                <w:b/>
                <w:color w:val="000000" w:themeColor="text1"/>
                <w:spacing w:val="-2"/>
                <w:kern w:val="2"/>
                <w:sz w:val="20"/>
                <w:szCs w:val="20"/>
                <w:lang w:eastAsia="en-US"/>
              </w:rPr>
            </w:pPr>
            <w:r w:rsidRPr="00E955DE">
              <w:rPr>
                <w:b/>
                <w:color w:val="000000" w:themeColor="text1"/>
                <w:spacing w:val="-2"/>
                <w:kern w:val="2"/>
                <w:sz w:val="20"/>
                <w:szCs w:val="20"/>
                <w:lang w:eastAsia="en-US"/>
              </w:rPr>
              <w:t>weakness</w:t>
            </w:r>
          </w:p>
        </w:tc>
        <w:tc>
          <w:tcPr>
            <w:tcW w:w="729" w:type="pct"/>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5433CAD" w14:textId="77777777" w:rsidR="00AB0BD3" w:rsidRPr="00E955DE" w:rsidRDefault="00AB0BD3" w:rsidP="00454512">
            <w:pPr>
              <w:pStyle w:val="TableParagraph"/>
              <w:spacing w:line="360" w:lineRule="auto"/>
              <w:jc w:val="center"/>
              <w:rPr>
                <w:b/>
                <w:color w:val="000000" w:themeColor="text1"/>
                <w:spacing w:val="-2"/>
                <w:kern w:val="2"/>
                <w:sz w:val="20"/>
                <w:szCs w:val="20"/>
                <w:lang w:eastAsia="en-US"/>
              </w:rPr>
            </w:pPr>
            <w:r w:rsidRPr="00E955DE">
              <w:rPr>
                <w:b/>
                <w:color w:val="000000" w:themeColor="text1"/>
                <w:spacing w:val="-2"/>
                <w:kern w:val="2"/>
                <w:sz w:val="20"/>
                <w:szCs w:val="20"/>
                <w:lang w:eastAsia="en-US"/>
              </w:rPr>
              <w:t>Results /outcomes</w:t>
            </w:r>
          </w:p>
        </w:tc>
        <w:tc>
          <w:tcPr>
            <w:tcW w:w="800"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F7B98AE" w14:textId="77777777" w:rsidR="00AB0BD3" w:rsidRPr="00E955DE" w:rsidRDefault="00AB0BD3" w:rsidP="00454512">
            <w:pPr>
              <w:pStyle w:val="TableParagraph"/>
              <w:spacing w:line="360" w:lineRule="auto"/>
              <w:jc w:val="center"/>
              <w:rPr>
                <w:b/>
                <w:color w:val="000000" w:themeColor="text1"/>
                <w:spacing w:val="-2"/>
                <w:kern w:val="2"/>
                <w:sz w:val="20"/>
                <w:szCs w:val="20"/>
                <w:lang w:eastAsia="en-US"/>
              </w:rPr>
            </w:pPr>
            <w:r w:rsidRPr="00E955DE">
              <w:rPr>
                <w:b/>
                <w:color w:val="000000" w:themeColor="text1"/>
                <w:spacing w:val="-2"/>
                <w:kern w:val="2"/>
                <w:sz w:val="20"/>
                <w:szCs w:val="20"/>
                <w:lang w:eastAsia="en-US"/>
              </w:rPr>
              <w:t>Conclusion</w:t>
            </w:r>
          </w:p>
        </w:tc>
      </w:tr>
      <w:tr w:rsidR="00AB0BD3" w:rsidRPr="00E955DE" w14:paraId="0F3B3CEE" w14:textId="77777777" w:rsidTr="00454512">
        <w:trPr>
          <w:trHeight w:val="470"/>
        </w:trPr>
        <w:tc>
          <w:tcPr>
            <w:tcW w:w="402"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077C076" w14:textId="77777777" w:rsidR="00AB0BD3" w:rsidRPr="00E955DE" w:rsidRDefault="00AB0BD3" w:rsidP="00454512">
            <w:pPr>
              <w:pStyle w:val="TableParagraph"/>
              <w:spacing w:line="360" w:lineRule="auto"/>
              <w:jc w:val="center"/>
              <w:rPr>
                <w:bCs/>
                <w:color w:val="000000" w:themeColor="text1"/>
                <w:spacing w:val="-2"/>
                <w:kern w:val="2"/>
                <w:sz w:val="20"/>
                <w:szCs w:val="20"/>
                <w:lang w:eastAsia="en-US"/>
              </w:rPr>
            </w:pPr>
            <w:r>
              <w:rPr>
                <w:bCs/>
                <w:color w:val="000000" w:themeColor="text1"/>
                <w:spacing w:val="-2"/>
                <w:kern w:val="2"/>
                <w:sz w:val="20"/>
                <w:szCs w:val="20"/>
                <w:lang w:eastAsia="en-US"/>
              </w:rPr>
              <w:t>Clark et al, 2024</w:t>
            </w:r>
          </w:p>
        </w:tc>
        <w:tc>
          <w:tcPr>
            <w:tcW w:w="567"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D1F6913" w14:textId="77777777" w:rsidR="00AB0BD3" w:rsidRPr="00E955DE" w:rsidRDefault="00AB0BD3" w:rsidP="00454512">
            <w:pPr>
              <w:pStyle w:val="TableParagraph"/>
              <w:spacing w:line="360" w:lineRule="auto"/>
              <w:ind w:left="107"/>
              <w:rPr>
                <w:bCs/>
                <w:color w:val="000000" w:themeColor="text1"/>
                <w:spacing w:val="-2"/>
                <w:kern w:val="2"/>
                <w:sz w:val="20"/>
                <w:szCs w:val="20"/>
                <w:lang w:eastAsia="en-US"/>
              </w:rPr>
            </w:pPr>
            <w:r w:rsidRPr="0006604A">
              <w:rPr>
                <w:bCs/>
                <w:color w:val="000000" w:themeColor="text1"/>
                <w:spacing w:val="-2"/>
                <w:kern w:val="2"/>
                <w:sz w:val="20"/>
                <w:szCs w:val="20"/>
                <w:lang w:eastAsia="en-US"/>
              </w:rPr>
              <w:t>To compare the potential impact of introducing new TB vaccines (M72/AS01E and BCG revaccination) in regions of India with differing TB prevalence levels.</w:t>
            </w:r>
          </w:p>
        </w:tc>
        <w:tc>
          <w:tcPr>
            <w:tcW w:w="681"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90EE1A1" w14:textId="77777777" w:rsidR="00AB0BD3" w:rsidRPr="00E955DE" w:rsidRDefault="00AB0BD3" w:rsidP="00454512">
            <w:pPr>
              <w:pStyle w:val="TableParagraph"/>
              <w:spacing w:line="360" w:lineRule="auto"/>
              <w:ind w:left="107"/>
              <w:rPr>
                <w:bCs/>
                <w:color w:val="000000" w:themeColor="text1"/>
                <w:spacing w:val="-2"/>
                <w:kern w:val="2"/>
                <w:sz w:val="20"/>
                <w:szCs w:val="20"/>
                <w:lang w:eastAsia="en-US"/>
              </w:rPr>
            </w:pPr>
            <w:r w:rsidRPr="0006604A">
              <w:rPr>
                <w:bCs/>
                <w:color w:val="000000" w:themeColor="text1"/>
                <w:spacing w:val="-2"/>
                <w:kern w:val="2"/>
                <w:sz w:val="20"/>
                <w:szCs w:val="20"/>
                <w:lang w:eastAsia="en-US"/>
              </w:rPr>
              <w:t>India; modelling focused on two regions with contrasting TB burdens: Delhi (high prevalence) and Gujarat (lower prevalence). Population-level projections from 2025–2050.</w:t>
            </w:r>
          </w:p>
        </w:tc>
        <w:tc>
          <w:tcPr>
            <w:tcW w:w="625"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AF2D4A0" w14:textId="77777777" w:rsidR="00AB0BD3" w:rsidRPr="00E955DE" w:rsidRDefault="00AB0BD3" w:rsidP="00454512">
            <w:pPr>
              <w:pStyle w:val="TableParagraph"/>
              <w:spacing w:line="360" w:lineRule="auto"/>
              <w:ind w:left="107"/>
              <w:rPr>
                <w:bCs/>
                <w:color w:val="000000" w:themeColor="text1"/>
                <w:spacing w:val="-2"/>
                <w:kern w:val="2"/>
                <w:sz w:val="20"/>
                <w:szCs w:val="20"/>
                <w:lang w:eastAsia="en-US"/>
              </w:rPr>
            </w:pPr>
            <w:r w:rsidRPr="0006604A">
              <w:rPr>
                <w:bCs/>
                <w:color w:val="000000" w:themeColor="text1"/>
                <w:spacing w:val="-2"/>
                <w:kern w:val="2"/>
                <w:sz w:val="20"/>
                <w:szCs w:val="20"/>
                <w:lang w:eastAsia="en-US"/>
              </w:rPr>
              <w:t xml:space="preserve">Mathematical modelling study simulating hypothetical vaccine introduction scenarios. Assumed 50% efficacy for M72/AS01E (preventing disease) and 45% efficacy for BCG revaccination </w:t>
            </w:r>
            <w:r w:rsidRPr="0006604A">
              <w:rPr>
                <w:bCs/>
                <w:color w:val="000000" w:themeColor="text1"/>
                <w:spacing w:val="-2"/>
                <w:kern w:val="2"/>
                <w:sz w:val="20"/>
                <w:szCs w:val="20"/>
                <w:lang w:eastAsia="en-US"/>
              </w:rPr>
              <w:lastRenderedPageBreak/>
              <w:t>(preventing infection).</w:t>
            </w:r>
          </w:p>
        </w:tc>
        <w:tc>
          <w:tcPr>
            <w:tcW w:w="626"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0D3D0C5" w14:textId="77777777" w:rsidR="00AB0BD3" w:rsidRPr="00E955DE" w:rsidRDefault="00AB0BD3" w:rsidP="00454512">
            <w:pPr>
              <w:pStyle w:val="TableParagraph"/>
              <w:spacing w:line="360" w:lineRule="auto"/>
              <w:ind w:left="0"/>
              <w:rPr>
                <w:bCs/>
                <w:color w:val="000000" w:themeColor="text1"/>
                <w:spacing w:val="-2"/>
                <w:sz w:val="20"/>
                <w:szCs w:val="20"/>
              </w:rPr>
            </w:pPr>
            <w:r w:rsidRPr="0006604A">
              <w:rPr>
                <w:bCs/>
                <w:color w:val="000000" w:themeColor="text1"/>
                <w:spacing w:val="-2"/>
                <w:sz w:val="20"/>
                <w:szCs w:val="20"/>
              </w:rPr>
              <w:lastRenderedPageBreak/>
              <w:t>Addresses a critical evidence gap by comparing vaccine impact across regions with different TB epidemiology</w:t>
            </w:r>
            <w:r>
              <w:rPr>
                <w:bCs/>
                <w:color w:val="000000" w:themeColor="text1"/>
                <w:spacing w:val="-2"/>
                <w:sz w:val="20"/>
                <w:szCs w:val="20"/>
              </w:rPr>
              <w:t>,</w:t>
            </w:r>
            <w:r w:rsidRPr="0006604A">
              <w:rPr>
                <w:bCs/>
                <w:color w:val="000000" w:themeColor="text1"/>
                <w:spacing w:val="-2"/>
                <w:sz w:val="20"/>
                <w:szCs w:val="20"/>
              </w:rPr>
              <w:t xml:space="preserve"> long-term projections</w:t>
            </w:r>
            <w:r>
              <w:rPr>
                <w:bCs/>
                <w:color w:val="000000" w:themeColor="text1"/>
                <w:spacing w:val="-2"/>
                <w:sz w:val="20"/>
                <w:szCs w:val="20"/>
              </w:rPr>
              <w:t>,</w:t>
            </w:r>
            <w:r w:rsidRPr="0006604A">
              <w:rPr>
                <w:bCs/>
                <w:color w:val="000000" w:themeColor="text1"/>
                <w:spacing w:val="-2"/>
                <w:sz w:val="20"/>
                <w:szCs w:val="20"/>
              </w:rPr>
              <w:t xml:space="preserve"> </w:t>
            </w:r>
            <w:r>
              <w:rPr>
                <w:bCs/>
                <w:color w:val="000000" w:themeColor="text1"/>
                <w:spacing w:val="-2"/>
                <w:sz w:val="20"/>
                <w:szCs w:val="20"/>
              </w:rPr>
              <w:t xml:space="preserve">and </w:t>
            </w:r>
            <w:r w:rsidRPr="0006604A">
              <w:rPr>
                <w:bCs/>
                <w:color w:val="000000" w:themeColor="text1"/>
                <w:spacing w:val="-2"/>
                <w:sz w:val="20"/>
                <w:szCs w:val="20"/>
              </w:rPr>
              <w:t>policy-relevant outcomes (cases and deaths averted).</w:t>
            </w:r>
          </w:p>
        </w:tc>
        <w:tc>
          <w:tcPr>
            <w:tcW w:w="570"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8FCFCD1" w14:textId="77777777" w:rsidR="00AB0BD3" w:rsidRPr="00E955DE" w:rsidRDefault="00AB0BD3" w:rsidP="00454512">
            <w:pPr>
              <w:pStyle w:val="TableParagraph"/>
              <w:spacing w:line="360" w:lineRule="auto"/>
              <w:ind w:left="0"/>
              <w:rPr>
                <w:bCs/>
                <w:color w:val="000000" w:themeColor="text1"/>
                <w:spacing w:val="-2"/>
                <w:sz w:val="20"/>
                <w:szCs w:val="20"/>
              </w:rPr>
            </w:pPr>
            <w:r w:rsidRPr="0006604A">
              <w:rPr>
                <w:bCs/>
                <w:color w:val="000000" w:themeColor="text1"/>
                <w:spacing w:val="-2"/>
                <w:sz w:val="20"/>
                <w:szCs w:val="20"/>
              </w:rPr>
              <w:t>Based on hypothetical scenarios and assumed vaccine efficacy</w:t>
            </w:r>
            <w:r>
              <w:rPr>
                <w:bCs/>
                <w:color w:val="000000" w:themeColor="text1"/>
                <w:spacing w:val="-2"/>
                <w:sz w:val="20"/>
                <w:szCs w:val="20"/>
              </w:rPr>
              <w:t>,</w:t>
            </w:r>
            <w:r w:rsidRPr="0006604A">
              <w:rPr>
                <w:bCs/>
                <w:color w:val="000000" w:themeColor="text1"/>
                <w:spacing w:val="-2"/>
                <w:sz w:val="20"/>
                <w:szCs w:val="20"/>
              </w:rPr>
              <w:t xml:space="preserve"> results depend on model assumptions; no real-world clinical or programmatic data; uncertainty remains until </w:t>
            </w:r>
            <w:r w:rsidRPr="0006604A">
              <w:rPr>
                <w:bCs/>
                <w:color w:val="000000" w:themeColor="text1"/>
                <w:spacing w:val="-2"/>
                <w:sz w:val="20"/>
                <w:szCs w:val="20"/>
              </w:rPr>
              <w:lastRenderedPageBreak/>
              <w:t>trial data are available.</w:t>
            </w:r>
          </w:p>
        </w:tc>
        <w:tc>
          <w:tcPr>
            <w:tcW w:w="729"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C7BC34D" w14:textId="77777777" w:rsidR="00AB0BD3" w:rsidRPr="00E955DE" w:rsidRDefault="00AB0BD3" w:rsidP="00454512">
            <w:pPr>
              <w:pStyle w:val="TableParagraph"/>
              <w:spacing w:line="360" w:lineRule="auto"/>
              <w:rPr>
                <w:bCs/>
                <w:color w:val="000000" w:themeColor="text1"/>
                <w:spacing w:val="-2"/>
                <w:sz w:val="20"/>
                <w:szCs w:val="20"/>
              </w:rPr>
            </w:pPr>
            <w:r w:rsidRPr="0006604A">
              <w:rPr>
                <w:bCs/>
                <w:color w:val="000000" w:themeColor="text1"/>
                <w:spacing w:val="-2"/>
                <w:sz w:val="20"/>
                <w:szCs w:val="20"/>
              </w:rPr>
              <w:lastRenderedPageBreak/>
              <w:t xml:space="preserve">M72/AS01E could avert 16.0% of TB cases and 14.4% of deaths in Delhi, and 8.5% of cases and 7.6% of deaths in Gujarat. BCG revaccination could avert 8.8% of cases and 8.3% of deaths in Delhi, and 5.1% of cases and 4.8% of </w:t>
            </w:r>
            <w:r w:rsidRPr="0006604A">
              <w:rPr>
                <w:bCs/>
                <w:color w:val="000000" w:themeColor="text1"/>
                <w:spacing w:val="-2"/>
                <w:sz w:val="20"/>
                <w:szCs w:val="20"/>
              </w:rPr>
              <w:lastRenderedPageBreak/>
              <w:t>deaths in Gujarat (2025–2050).</w:t>
            </w:r>
          </w:p>
        </w:tc>
        <w:tc>
          <w:tcPr>
            <w:tcW w:w="800"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30057F6" w14:textId="77777777" w:rsidR="00AB0BD3" w:rsidRPr="00E955DE" w:rsidRDefault="00AB0BD3" w:rsidP="00454512">
            <w:pPr>
              <w:pStyle w:val="TableParagraph"/>
              <w:spacing w:line="360" w:lineRule="auto"/>
              <w:ind w:left="0"/>
              <w:rPr>
                <w:bCs/>
                <w:color w:val="000000" w:themeColor="text1"/>
                <w:spacing w:val="-2"/>
                <w:sz w:val="20"/>
                <w:szCs w:val="20"/>
              </w:rPr>
            </w:pPr>
            <w:r w:rsidRPr="0006604A">
              <w:rPr>
                <w:bCs/>
                <w:color w:val="000000" w:themeColor="text1"/>
                <w:spacing w:val="-2"/>
                <w:sz w:val="20"/>
                <w:szCs w:val="20"/>
              </w:rPr>
              <w:lastRenderedPageBreak/>
              <w:t>Both vaccines show substantial potential to reduce TB burden, particularly in high-prevalence settings like Delhi. Ongoing and future clinical trials are essential to refine efficacy estimates and reduce uncertainty before large-scale implementation.</w:t>
            </w:r>
          </w:p>
        </w:tc>
      </w:tr>
      <w:tr w:rsidR="00AB0BD3" w:rsidRPr="00E955DE" w14:paraId="78BC93C8" w14:textId="77777777" w:rsidTr="00454512">
        <w:trPr>
          <w:trHeight w:val="470"/>
        </w:trPr>
        <w:tc>
          <w:tcPr>
            <w:tcW w:w="402"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E9D31A7" w14:textId="77777777" w:rsidR="00AB0BD3" w:rsidRPr="00E955DE" w:rsidRDefault="00AB0BD3" w:rsidP="00454512">
            <w:pPr>
              <w:pStyle w:val="TableParagraph"/>
              <w:spacing w:line="360" w:lineRule="auto"/>
              <w:rPr>
                <w:sz w:val="20"/>
                <w:szCs w:val="20"/>
              </w:rPr>
            </w:pPr>
            <w:r>
              <w:rPr>
                <w:sz w:val="20"/>
                <w:szCs w:val="20"/>
              </w:rPr>
              <w:t>Singh et al, 2020</w:t>
            </w:r>
          </w:p>
        </w:tc>
        <w:tc>
          <w:tcPr>
            <w:tcW w:w="567"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F86C08B" w14:textId="77777777" w:rsidR="00AB0BD3" w:rsidRPr="00E955DE" w:rsidRDefault="00AB0BD3" w:rsidP="00454512">
            <w:pPr>
              <w:pStyle w:val="TableParagraph"/>
              <w:spacing w:line="360" w:lineRule="auto"/>
              <w:ind w:left="107"/>
              <w:rPr>
                <w:bCs/>
                <w:color w:val="000000" w:themeColor="text1"/>
                <w:spacing w:val="-2"/>
                <w:sz w:val="20"/>
                <w:szCs w:val="20"/>
              </w:rPr>
            </w:pPr>
            <w:r w:rsidRPr="00FF5A82">
              <w:rPr>
                <w:bCs/>
                <w:color w:val="000000" w:themeColor="text1"/>
                <w:spacing w:val="-2"/>
                <w:sz w:val="20"/>
                <w:szCs w:val="20"/>
              </w:rPr>
              <w:t>To review the historical development, mechanism of action, effectiveness, and broader public health implications of the BCG vaccine across different age groups.</w:t>
            </w:r>
          </w:p>
        </w:tc>
        <w:tc>
          <w:tcPr>
            <w:tcW w:w="681"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F954521" w14:textId="77777777" w:rsidR="00AB0BD3" w:rsidRPr="00E955DE" w:rsidRDefault="00AB0BD3" w:rsidP="00454512">
            <w:pPr>
              <w:pStyle w:val="TableParagraph"/>
              <w:spacing w:line="360" w:lineRule="auto"/>
              <w:ind w:left="107"/>
              <w:rPr>
                <w:bCs/>
                <w:color w:val="000000" w:themeColor="text1"/>
                <w:spacing w:val="-2"/>
                <w:kern w:val="2"/>
                <w:sz w:val="20"/>
                <w:szCs w:val="20"/>
                <w:lang w:eastAsia="en-US"/>
              </w:rPr>
            </w:pPr>
            <w:r>
              <w:rPr>
                <w:bCs/>
                <w:color w:val="000000" w:themeColor="text1"/>
                <w:spacing w:val="-2"/>
                <w:kern w:val="2"/>
                <w:sz w:val="20"/>
                <w:szCs w:val="20"/>
                <w:lang w:eastAsia="en-US"/>
              </w:rPr>
              <w:t>E</w:t>
            </w:r>
            <w:r w:rsidRPr="00FF5A82">
              <w:rPr>
                <w:bCs/>
                <w:color w:val="000000" w:themeColor="text1"/>
                <w:spacing w:val="-2"/>
                <w:kern w:val="2"/>
                <w:sz w:val="20"/>
                <w:szCs w:val="20"/>
                <w:lang w:eastAsia="en-US"/>
              </w:rPr>
              <w:t>vidence drawn from newborns, children, adolescents, adults, and elderly populations across low-, middle-, and high-income countries.</w:t>
            </w:r>
          </w:p>
        </w:tc>
        <w:tc>
          <w:tcPr>
            <w:tcW w:w="625"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C89B20A" w14:textId="77777777" w:rsidR="00AB0BD3" w:rsidRPr="00E955DE" w:rsidRDefault="00AB0BD3" w:rsidP="00454512">
            <w:pPr>
              <w:pStyle w:val="TableParagraph"/>
              <w:spacing w:line="360" w:lineRule="auto"/>
              <w:ind w:left="107"/>
              <w:rPr>
                <w:bCs/>
                <w:color w:val="000000" w:themeColor="text1"/>
                <w:spacing w:val="-2"/>
                <w:sz w:val="20"/>
                <w:szCs w:val="20"/>
              </w:rPr>
            </w:pPr>
            <w:r w:rsidRPr="00FF5A82">
              <w:rPr>
                <w:bCs/>
                <w:color w:val="000000" w:themeColor="text1"/>
                <w:spacing w:val="-2"/>
                <w:sz w:val="20"/>
                <w:szCs w:val="20"/>
              </w:rPr>
              <w:t>Narrative review of existing literature on BCG vaccine efficacy, duration of protection, and non-specific immunological effects.</w:t>
            </w:r>
          </w:p>
        </w:tc>
        <w:tc>
          <w:tcPr>
            <w:tcW w:w="626"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9802C88" w14:textId="77777777" w:rsidR="00AB0BD3" w:rsidRPr="00E955DE" w:rsidRDefault="00AB0BD3" w:rsidP="00454512">
            <w:pPr>
              <w:pStyle w:val="TableParagraph"/>
              <w:spacing w:line="360" w:lineRule="auto"/>
              <w:rPr>
                <w:bCs/>
                <w:color w:val="000000" w:themeColor="text1"/>
                <w:spacing w:val="-2"/>
                <w:sz w:val="20"/>
                <w:szCs w:val="20"/>
              </w:rPr>
            </w:pPr>
            <w:r w:rsidRPr="00FF5A82">
              <w:rPr>
                <w:bCs/>
                <w:color w:val="000000" w:themeColor="text1"/>
                <w:spacing w:val="-2"/>
                <w:sz w:val="20"/>
                <w:szCs w:val="20"/>
              </w:rPr>
              <w:t>Comprehensive age-wise evaluation of BCG effectiveness; highlights both TB-specific and non-specific benefits; provides historical and immunological context.</w:t>
            </w:r>
          </w:p>
        </w:tc>
        <w:tc>
          <w:tcPr>
            <w:tcW w:w="570"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53943D5" w14:textId="77777777" w:rsidR="00AB0BD3" w:rsidRPr="00E955DE" w:rsidRDefault="00AB0BD3" w:rsidP="00454512">
            <w:pPr>
              <w:pStyle w:val="TableParagraph"/>
              <w:spacing w:line="360" w:lineRule="auto"/>
              <w:ind w:left="0"/>
              <w:rPr>
                <w:bCs/>
                <w:color w:val="000000" w:themeColor="text1"/>
                <w:spacing w:val="-2"/>
                <w:sz w:val="20"/>
                <w:szCs w:val="20"/>
              </w:rPr>
            </w:pPr>
            <w:r w:rsidRPr="00FF5A82">
              <w:rPr>
                <w:bCs/>
                <w:color w:val="000000" w:themeColor="text1"/>
                <w:spacing w:val="-2"/>
                <w:sz w:val="20"/>
                <w:szCs w:val="20"/>
              </w:rPr>
              <w:t>Narrative review design limits systematic comparability; lacks quantitative synthesis; regional variability not analysed using primary data.</w:t>
            </w:r>
          </w:p>
        </w:tc>
        <w:tc>
          <w:tcPr>
            <w:tcW w:w="729"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0EC27E8" w14:textId="77777777" w:rsidR="00AB0BD3" w:rsidRPr="00E955DE" w:rsidRDefault="00AB0BD3" w:rsidP="00454512">
            <w:pPr>
              <w:pStyle w:val="TableParagraph"/>
              <w:spacing w:line="360" w:lineRule="auto"/>
              <w:ind w:left="0"/>
              <w:rPr>
                <w:bCs/>
                <w:color w:val="000000" w:themeColor="text1"/>
                <w:spacing w:val="-2"/>
                <w:sz w:val="20"/>
                <w:szCs w:val="20"/>
              </w:rPr>
            </w:pPr>
            <w:r w:rsidRPr="00FF5A82">
              <w:rPr>
                <w:bCs/>
                <w:color w:val="000000" w:themeColor="text1"/>
                <w:spacing w:val="-2"/>
                <w:sz w:val="20"/>
                <w:szCs w:val="20"/>
              </w:rPr>
              <w:t>BCG provides 60–80% protection against severe TB in infants for 10–15 years; moderate protection in children and adolescents; limited and variable effectiveness against pulmonary TB in adults; minimal protection in the elderly; possible additional benefits against other infections and cancer.</w:t>
            </w:r>
          </w:p>
        </w:tc>
        <w:tc>
          <w:tcPr>
            <w:tcW w:w="800"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EC3CDD7" w14:textId="77777777" w:rsidR="00AB0BD3" w:rsidRPr="00E955DE" w:rsidRDefault="00AB0BD3" w:rsidP="00454512">
            <w:pPr>
              <w:pStyle w:val="TableParagraph"/>
              <w:spacing w:line="360" w:lineRule="auto"/>
              <w:ind w:left="0"/>
              <w:rPr>
                <w:bCs/>
                <w:color w:val="000000" w:themeColor="text1"/>
                <w:spacing w:val="-2"/>
                <w:sz w:val="20"/>
                <w:szCs w:val="20"/>
              </w:rPr>
            </w:pPr>
            <w:r w:rsidRPr="00FF5A82">
              <w:rPr>
                <w:bCs/>
                <w:color w:val="000000" w:themeColor="text1"/>
                <w:spacing w:val="-2"/>
                <w:sz w:val="20"/>
                <w:szCs w:val="20"/>
              </w:rPr>
              <w:t>BCG remains vital for TB prevention, particularly in early life and in TB-endemic regions. Reassessment of its role in adult vaccination requires further evidence, but it continues to be a cornerstone of public health strategies in low- and middle-income countries.</w:t>
            </w:r>
          </w:p>
        </w:tc>
      </w:tr>
      <w:tr w:rsidR="00AB0BD3" w:rsidRPr="00E955DE" w14:paraId="26FBBCF7" w14:textId="77777777" w:rsidTr="00454512">
        <w:trPr>
          <w:trHeight w:val="470"/>
        </w:trPr>
        <w:tc>
          <w:tcPr>
            <w:tcW w:w="402"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57E6853" w14:textId="77777777" w:rsidR="00AB0BD3" w:rsidRPr="00E955DE" w:rsidRDefault="00AB0BD3" w:rsidP="00454512">
            <w:pPr>
              <w:pStyle w:val="TableParagraph"/>
              <w:spacing w:line="360" w:lineRule="auto"/>
              <w:rPr>
                <w:sz w:val="20"/>
                <w:szCs w:val="20"/>
              </w:rPr>
            </w:pPr>
            <w:r w:rsidRPr="002077F2">
              <w:rPr>
                <w:sz w:val="20"/>
                <w:szCs w:val="20"/>
              </w:rPr>
              <w:t>Arinaminpathy</w:t>
            </w:r>
            <w:r>
              <w:rPr>
                <w:sz w:val="20"/>
                <w:szCs w:val="20"/>
              </w:rPr>
              <w:t xml:space="preserve"> et al, 2023</w:t>
            </w:r>
          </w:p>
        </w:tc>
        <w:tc>
          <w:tcPr>
            <w:tcW w:w="567"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D751DFC" w14:textId="77777777" w:rsidR="00AB0BD3" w:rsidRPr="00E955DE" w:rsidRDefault="00AB0BD3" w:rsidP="00454512">
            <w:pPr>
              <w:pStyle w:val="TableParagraph"/>
              <w:spacing w:line="360" w:lineRule="auto"/>
              <w:ind w:left="107"/>
              <w:rPr>
                <w:bCs/>
                <w:color w:val="000000" w:themeColor="text1"/>
                <w:spacing w:val="-2"/>
                <w:sz w:val="20"/>
                <w:szCs w:val="20"/>
              </w:rPr>
            </w:pPr>
            <w:r w:rsidRPr="002077F2">
              <w:rPr>
                <w:bCs/>
                <w:color w:val="000000" w:themeColor="text1"/>
                <w:spacing w:val="-2"/>
                <w:sz w:val="20"/>
                <w:szCs w:val="20"/>
              </w:rPr>
              <w:t>To estimate the potential epidemiological impact of TB vaccination strategies, including BCG revaccination, among adults and adolescents in India.</w:t>
            </w:r>
          </w:p>
        </w:tc>
        <w:tc>
          <w:tcPr>
            <w:tcW w:w="681"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10BFA54" w14:textId="77777777" w:rsidR="00AB0BD3" w:rsidRPr="00E955DE" w:rsidRDefault="00AB0BD3" w:rsidP="00454512">
            <w:pPr>
              <w:pStyle w:val="TableParagraph"/>
              <w:spacing w:line="360" w:lineRule="auto"/>
              <w:ind w:left="107"/>
              <w:rPr>
                <w:bCs/>
                <w:color w:val="000000" w:themeColor="text1"/>
                <w:spacing w:val="-2"/>
                <w:kern w:val="2"/>
                <w:sz w:val="20"/>
                <w:szCs w:val="20"/>
                <w:lang w:eastAsia="en-US"/>
              </w:rPr>
            </w:pPr>
            <w:r w:rsidRPr="002077F2">
              <w:rPr>
                <w:bCs/>
                <w:color w:val="000000" w:themeColor="text1"/>
                <w:spacing w:val="-2"/>
                <w:kern w:val="2"/>
                <w:sz w:val="20"/>
                <w:szCs w:val="20"/>
                <w:lang w:eastAsia="en-US"/>
              </w:rPr>
              <w:t>India; age-structured population including the general population and a vulnerable subgroup defined by undernutrition.</w:t>
            </w:r>
          </w:p>
        </w:tc>
        <w:tc>
          <w:tcPr>
            <w:tcW w:w="625"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38F41AF" w14:textId="77777777" w:rsidR="00AB0BD3" w:rsidRPr="00E955DE" w:rsidRDefault="00AB0BD3" w:rsidP="00454512">
            <w:pPr>
              <w:pStyle w:val="TableParagraph"/>
              <w:spacing w:line="360" w:lineRule="auto"/>
              <w:ind w:left="107"/>
              <w:rPr>
                <w:bCs/>
                <w:color w:val="000000" w:themeColor="text1"/>
                <w:spacing w:val="-2"/>
                <w:sz w:val="20"/>
                <w:szCs w:val="20"/>
              </w:rPr>
            </w:pPr>
            <w:r w:rsidRPr="002077F2">
              <w:rPr>
                <w:bCs/>
                <w:color w:val="000000" w:themeColor="text1"/>
                <w:spacing w:val="-2"/>
                <w:sz w:val="20"/>
                <w:szCs w:val="20"/>
              </w:rPr>
              <w:t xml:space="preserve">Deterministic, age-structured compartmental TB transmission model informed by national TB prevalence survey data. Simulated rollout of a vaccine with 50% efficacy from 2023, covering 50% of unvaccinated </w:t>
            </w:r>
            <w:r w:rsidRPr="002077F2">
              <w:rPr>
                <w:bCs/>
                <w:color w:val="000000" w:themeColor="text1"/>
                <w:spacing w:val="-2"/>
                <w:sz w:val="20"/>
                <w:szCs w:val="20"/>
              </w:rPr>
              <w:lastRenderedPageBreak/>
              <w:t>individuals annually.</w:t>
            </w:r>
          </w:p>
        </w:tc>
        <w:tc>
          <w:tcPr>
            <w:tcW w:w="626"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9D78FE5" w14:textId="77777777" w:rsidR="00AB0BD3" w:rsidRPr="00E955DE" w:rsidRDefault="00AB0BD3" w:rsidP="00454512">
            <w:pPr>
              <w:pStyle w:val="TableParagraph"/>
              <w:spacing w:line="360" w:lineRule="auto"/>
              <w:rPr>
                <w:bCs/>
                <w:color w:val="000000" w:themeColor="text1"/>
                <w:spacing w:val="-2"/>
                <w:sz w:val="20"/>
                <w:szCs w:val="20"/>
              </w:rPr>
            </w:pPr>
            <w:r w:rsidRPr="002077F2">
              <w:rPr>
                <w:bCs/>
                <w:color w:val="000000" w:themeColor="text1"/>
                <w:spacing w:val="-2"/>
                <w:sz w:val="20"/>
                <w:szCs w:val="20"/>
              </w:rPr>
              <w:lastRenderedPageBreak/>
              <w:t xml:space="preserve">Uses nationally representative prevalence data; compares infection-preventing vs disease-preventing vaccines; evaluates prioritization of vulnerable populations; includes sensitivity analyses on </w:t>
            </w:r>
            <w:r w:rsidRPr="002077F2">
              <w:rPr>
                <w:bCs/>
                <w:color w:val="000000" w:themeColor="text1"/>
                <w:spacing w:val="-2"/>
                <w:sz w:val="20"/>
                <w:szCs w:val="20"/>
              </w:rPr>
              <w:lastRenderedPageBreak/>
              <w:t>efficacy and duration of immunity.</w:t>
            </w:r>
          </w:p>
        </w:tc>
        <w:tc>
          <w:tcPr>
            <w:tcW w:w="570"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DB81C4E" w14:textId="77777777" w:rsidR="00AB0BD3" w:rsidRPr="00E955DE" w:rsidRDefault="00AB0BD3" w:rsidP="00454512">
            <w:pPr>
              <w:pStyle w:val="TableParagraph"/>
              <w:spacing w:line="360" w:lineRule="auto"/>
              <w:ind w:left="0"/>
              <w:rPr>
                <w:bCs/>
                <w:color w:val="000000" w:themeColor="text1"/>
                <w:spacing w:val="-2"/>
                <w:sz w:val="20"/>
                <w:szCs w:val="20"/>
              </w:rPr>
            </w:pPr>
            <w:r w:rsidRPr="002077F2">
              <w:rPr>
                <w:bCs/>
                <w:color w:val="000000" w:themeColor="text1"/>
                <w:spacing w:val="-2"/>
                <w:sz w:val="20"/>
                <w:szCs w:val="20"/>
              </w:rPr>
              <w:lastRenderedPageBreak/>
              <w:t>Model-based assumptions may not fully capture real-world implementation challenges; hypothetical vaccine characteristics; lacks direct observational or clinical data.</w:t>
            </w:r>
          </w:p>
        </w:tc>
        <w:tc>
          <w:tcPr>
            <w:tcW w:w="729"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B22CD8D" w14:textId="77777777" w:rsidR="00AB0BD3" w:rsidRPr="00E955DE" w:rsidRDefault="00AB0BD3" w:rsidP="00454512">
            <w:pPr>
              <w:pStyle w:val="TableParagraph"/>
              <w:spacing w:line="360" w:lineRule="auto"/>
              <w:ind w:left="0"/>
              <w:rPr>
                <w:bCs/>
                <w:color w:val="000000" w:themeColor="text1"/>
                <w:spacing w:val="-2"/>
                <w:sz w:val="20"/>
                <w:szCs w:val="20"/>
              </w:rPr>
            </w:pPr>
            <w:r w:rsidRPr="002077F2">
              <w:rPr>
                <w:bCs/>
                <w:color w:val="000000" w:themeColor="text1"/>
                <w:spacing w:val="-2"/>
                <w:sz w:val="20"/>
                <w:szCs w:val="20"/>
              </w:rPr>
              <w:t xml:space="preserve">Infection-preventing vaccine could avert 12% (95% CrI: 4.3–28%) of TB incidence by 2030; disease-preventing vaccine could avert 29% (95% CrI: 24–34%). Vaccinating vulnerable populations (~16% of population) achieved nearly half the impact of </w:t>
            </w:r>
            <w:r w:rsidRPr="002077F2">
              <w:rPr>
                <w:bCs/>
                <w:color w:val="000000" w:themeColor="text1"/>
                <w:spacing w:val="-2"/>
                <w:sz w:val="20"/>
                <w:szCs w:val="20"/>
              </w:rPr>
              <w:lastRenderedPageBreak/>
              <w:t>general population rollout.</w:t>
            </w:r>
          </w:p>
        </w:tc>
        <w:tc>
          <w:tcPr>
            <w:tcW w:w="800"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13485BF" w14:textId="77777777" w:rsidR="00AB0BD3" w:rsidRPr="00E955DE" w:rsidRDefault="00AB0BD3" w:rsidP="00454512">
            <w:pPr>
              <w:pStyle w:val="TableParagraph"/>
              <w:spacing w:line="360" w:lineRule="auto"/>
              <w:ind w:left="0"/>
              <w:rPr>
                <w:bCs/>
                <w:color w:val="000000" w:themeColor="text1"/>
                <w:spacing w:val="-2"/>
                <w:sz w:val="20"/>
                <w:szCs w:val="20"/>
              </w:rPr>
            </w:pPr>
            <w:r w:rsidRPr="002077F2">
              <w:rPr>
                <w:bCs/>
                <w:color w:val="000000" w:themeColor="text1"/>
                <w:spacing w:val="-2"/>
                <w:sz w:val="20"/>
                <w:szCs w:val="20"/>
              </w:rPr>
              <w:lastRenderedPageBreak/>
              <w:t>TB vaccines with moderate efficacy can substantially reduce TB burden in India, particularly when vaccination strategies prioritize vulnerable populations such as those with undernutrition.</w:t>
            </w:r>
          </w:p>
        </w:tc>
      </w:tr>
      <w:tr w:rsidR="00AB0BD3" w:rsidRPr="00E955DE" w14:paraId="15C584C0" w14:textId="77777777" w:rsidTr="00454512">
        <w:trPr>
          <w:trHeight w:val="470"/>
        </w:trPr>
        <w:tc>
          <w:tcPr>
            <w:tcW w:w="402"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28D1BA3" w14:textId="77777777" w:rsidR="00AB0BD3" w:rsidRPr="00E955DE" w:rsidRDefault="00AB0BD3" w:rsidP="00454512">
            <w:pPr>
              <w:pStyle w:val="TableParagraph"/>
              <w:spacing w:line="360" w:lineRule="auto"/>
              <w:jc w:val="center"/>
              <w:rPr>
                <w:bCs/>
                <w:color w:val="000000" w:themeColor="text1"/>
                <w:spacing w:val="-2"/>
                <w:kern w:val="2"/>
                <w:sz w:val="20"/>
                <w:szCs w:val="20"/>
                <w:lang w:eastAsia="en-US"/>
              </w:rPr>
            </w:pPr>
            <w:r w:rsidRPr="00E506F2">
              <w:rPr>
                <w:bCs/>
                <w:color w:val="000000" w:themeColor="text1"/>
                <w:spacing w:val="-2"/>
                <w:kern w:val="2"/>
                <w:sz w:val="20"/>
                <w:szCs w:val="20"/>
                <w:lang w:eastAsia="en-US"/>
              </w:rPr>
              <w:t>Neelakantan</w:t>
            </w:r>
            <w:r>
              <w:rPr>
                <w:bCs/>
                <w:color w:val="000000" w:themeColor="text1"/>
                <w:spacing w:val="-2"/>
                <w:kern w:val="2"/>
                <w:sz w:val="20"/>
                <w:szCs w:val="20"/>
                <w:lang w:eastAsia="en-US"/>
              </w:rPr>
              <w:t>, 2018</w:t>
            </w:r>
          </w:p>
        </w:tc>
        <w:tc>
          <w:tcPr>
            <w:tcW w:w="567"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A69EFC5" w14:textId="77777777" w:rsidR="00AB0BD3" w:rsidRPr="00E955DE" w:rsidRDefault="00AB0BD3" w:rsidP="00454512">
            <w:pPr>
              <w:pStyle w:val="TableParagraph"/>
              <w:spacing w:line="360" w:lineRule="auto"/>
              <w:ind w:left="107"/>
              <w:rPr>
                <w:bCs/>
                <w:color w:val="000000" w:themeColor="text1"/>
                <w:spacing w:val="-2"/>
                <w:sz w:val="20"/>
                <w:szCs w:val="20"/>
              </w:rPr>
            </w:pPr>
            <w:r w:rsidRPr="004B1191">
              <w:rPr>
                <w:bCs/>
                <w:color w:val="000000" w:themeColor="text1"/>
                <w:spacing w:val="-2"/>
                <w:sz w:val="20"/>
                <w:szCs w:val="20"/>
              </w:rPr>
              <w:t>To examine tuberculosis control efforts in South India and Southeast Asia within the broader framework of transnational and postcolonial public health.</w:t>
            </w:r>
          </w:p>
        </w:tc>
        <w:tc>
          <w:tcPr>
            <w:tcW w:w="681"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D200AD7" w14:textId="77777777" w:rsidR="00AB0BD3" w:rsidRPr="00E955DE" w:rsidRDefault="00AB0BD3" w:rsidP="00454512">
            <w:pPr>
              <w:pStyle w:val="TableParagraph"/>
              <w:spacing w:line="360" w:lineRule="auto"/>
              <w:ind w:left="107"/>
              <w:rPr>
                <w:bCs/>
                <w:color w:val="000000" w:themeColor="text1"/>
                <w:spacing w:val="-2"/>
                <w:kern w:val="2"/>
                <w:sz w:val="20"/>
                <w:szCs w:val="20"/>
                <w:lang w:eastAsia="en-US"/>
              </w:rPr>
            </w:pPr>
            <w:r w:rsidRPr="004B1191">
              <w:rPr>
                <w:bCs/>
                <w:color w:val="000000" w:themeColor="text1"/>
                <w:spacing w:val="-2"/>
                <w:kern w:val="2"/>
                <w:sz w:val="20"/>
                <w:szCs w:val="20"/>
                <w:lang w:eastAsia="en-US"/>
              </w:rPr>
              <w:t>South India (Madras State) and Southeast Asia, particularly Indonesia, the Philippines, and Burma, during 1948–1960.</w:t>
            </w:r>
          </w:p>
        </w:tc>
        <w:tc>
          <w:tcPr>
            <w:tcW w:w="625"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14CD5BE" w14:textId="77777777" w:rsidR="00AB0BD3" w:rsidRPr="00E955DE" w:rsidRDefault="00AB0BD3" w:rsidP="00454512">
            <w:pPr>
              <w:pStyle w:val="TableParagraph"/>
              <w:spacing w:line="360" w:lineRule="auto"/>
              <w:ind w:left="107"/>
              <w:rPr>
                <w:bCs/>
                <w:color w:val="000000" w:themeColor="text1"/>
                <w:spacing w:val="-2"/>
                <w:kern w:val="2"/>
                <w:sz w:val="20"/>
                <w:szCs w:val="20"/>
                <w:lang w:eastAsia="en-US"/>
              </w:rPr>
            </w:pPr>
            <w:r w:rsidRPr="004B1191">
              <w:rPr>
                <w:bCs/>
                <w:color w:val="000000" w:themeColor="text1"/>
                <w:spacing w:val="-2"/>
                <w:kern w:val="2"/>
                <w:sz w:val="20"/>
                <w:szCs w:val="20"/>
                <w:lang w:eastAsia="en-US"/>
              </w:rPr>
              <w:t>Historical and qualitative analysis based on extensive archival materials and policy documents.</w:t>
            </w:r>
          </w:p>
        </w:tc>
        <w:tc>
          <w:tcPr>
            <w:tcW w:w="626"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BB08268" w14:textId="77777777" w:rsidR="00AB0BD3" w:rsidRPr="00E955DE" w:rsidRDefault="00AB0BD3" w:rsidP="00454512">
            <w:pPr>
              <w:pStyle w:val="TableParagraph"/>
              <w:spacing w:line="360" w:lineRule="auto"/>
              <w:rPr>
                <w:bCs/>
                <w:color w:val="000000" w:themeColor="text1"/>
                <w:spacing w:val="-2"/>
                <w:sz w:val="20"/>
                <w:szCs w:val="20"/>
              </w:rPr>
            </w:pPr>
            <w:r w:rsidRPr="004B1191">
              <w:rPr>
                <w:bCs/>
                <w:color w:val="000000" w:themeColor="text1"/>
                <w:spacing w:val="-2"/>
                <w:sz w:val="20"/>
                <w:szCs w:val="20"/>
              </w:rPr>
              <w:t>Provides deep historical insight into TB control strategies; highlights socio-political and ideological influences on vaccination policy; contributes to underexplored Southeast Asian medical history.</w:t>
            </w:r>
          </w:p>
        </w:tc>
        <w:tc>
          <w:tcPr>
            <w:tcW w:w="570"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D87CC50" w14:textId="77777777" w:rsidR="00AB0BD3" w:rsidRPr="00E955DE" w:rsidRDefault="00AB0BD3" w:rsidP="00454512">
            <w:pPr>
              <w:pStyle w:val="TableParagraph"/>
              <w:spacing w:line="360" w:lineRule="auto"/>
              <w:ind w:left="0"/>
              <w:rPr>
                <w:bCs/>
                <w:color w:val="000000" w:themeColor="text1"/>
                <w:spacing w:val="-2"/>
                <w:sz w:val="20"/>
                <w:szCs w:val="20"/>
              </w:rPr>
            </w:pPr>
            <w:r w:rsidRPr="004B1191">
              <w:rPr>
                <w:bCs/>
                <w:color w:val="000000" w:themeColor="text1"/>
                <w:spacing w:val="-2"/>
                <w:sz w:val="20"/>
                <w:szCs w:val="20"/>
              </w:rPr>
              <w:t>Historical focus limits direct applicability to current TB control strategies; lacks quantitative health outcome data; findings are context-specific to the postcolonial period.</w:t>
            </w:r>
          </w:p>
        </w:tc>
        <w:tc>
          <w:tcPr>
            <w:tcW w:w="729"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DB5FA19" w14:textId="77777777" w:rsidR="00AB0BD3" w:rsidRPr="00E955DE" w:rsidRDefault="00AB0BD3" w:rsidP="00454512">
            <w:pPr>
              <w:pStyle w:val="TableParagraph"/>
              <w:spacing w:line="360" w:lineRule="auto"/>
              <w:ind w:left="0"/>
              <w:rPr>
                <w:bCs/>
                <w:color w:val="000000" w:themeColor="text1"/>
                <w:spacing w:val="-2"/>
                <w:sz w:val="20"/>
                <w:szCs w:val="20"/>
              </w:rPr>
            </w:pPr>
            <w:r w:rsidRPr="004B1191">
              <w:rPr>
                <w:bCs/>
                <w:color w:val="000000" w:themeColor="text1"/>
                <w:spacing w:val="-2"/>
                <w:sz w:val="20"/>
                <w:szCs w:val="20"/>
              </w:rPr>
              <w:t>TB control programs reflected tensions between biomedical “magic bullet” approaches (e.g., BCG vaccination) and holistic public health strategies; resistance to BCG vaccination revealed fractured state authority in health policy implementation.</w:t>
            </w:r>
          </w:p>
        </w:tc>
        <w:tc>
          <w:tcPr>
            <w:tcW w:w="800"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9484D2C" w14:textId="77777777" w:rsidR="00AB0BD3" w:rsidRPr="00E955DE" w:rsidRDefault="00AB0BD3" w:rsidP="00454512">
            <w:pPr>
              <w:pStyle w:val="TableParagraph"/>
              <w:spacing w:line="360" w:lineRule="auto"/>
              <w:ind w:left="0"/>
              <w:rPr>
                <w:bCs/>
                <w:color w:val="000000" w:themeColor="text1"/>
                <w:spacing w:val="-2"/>
                <w:sz w:val="20"/>
                <w:szCs w:val="20"/>
              </w:rPr>
            </w:pPr>
            <w:r w:rsidRPr="004B1191">
              <w:rPr>
                <w:bCs/>
                <w:color w:val="000000" w:themeColor="text1"/>
                <w:spacing w:val="-2"/>
                <w:sz w:val="20"/>
                <w:szCs w:val="20"/>
              </w:rPr>
              <w:t>TB control in postcolonial South India and Southeast Asia was shaped by political, cultural, and ideological factors, demonstrating that public health interventions such as BCG vaccination are deeply influenced by broader social and governance contexts.</w:t>
            </w:r>
          </w:p>
        </w:tc>
      </w:tr>
      <w:tr w:rsidR="00AB0BD3" w:rsidRPr="00E955DE" w14:paraId="2E542232" w14:textId="77777777" w:rsidTr="00454512">
        <w:trPr>
          <w:trHeight w:val="470"/>
        </w:trPr>
        <w:tc>
          <w:tcPr>
            <w:tcW w:w="402"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5828594" w14:textId="77777777" w:rsidR="00AB0BD3" w:rsidRPr="00E955DE" w:rsidRDefault="00AB0BD3" w:rsidP="00454512">
            <w:pPr>
              <w:pStyle w:val="TableParagraph"/>
              <w:spacing w:line="360" w:lineRule="auto"/>
              <w:jc w:val="center"/>
              <w:rPr>
                <w:bCs/>
                <w:color w:val="000000" w:themeColor="text1"/>
                <w:spacing w:val="-2"/>
                <w:kern w:val="2"/>
                <w:sz w:val="20"/>
                <w:szCs w:val="20"/>
                <w:lang w:eastAsia="en-US"/>
              </w:rPr>
            </w:pPr>
            <w:r w:rsidRPr="00EB1656">
              <w:rPr>
                <w:bCs/>
                <w:color w:val="000000" w:themeColor="text1"/>
                <w:spacing w:val="-2"/>
                <w:kern w:val="2"/>
                <w:sz w:val="20"/>
                <w:szCs w:val="20"/>
                <w:lang w:eastAsia="en-US"/>
              </w:rPr>
              <w:t>Kusuma</w:t>
            </w:r>
            <w:r>
              <w:rPr>
                <w:bCs/>
                <w:color w:val="000000" w:themeColor="text1"/>
                <w:spacing w:val="-2"/>
                <w:kern w:val="2"/>
                <w:sz w:val="20"/>
                <w:szCs w:val="20"/>
                <w:lang w:eastAsia="en-US"/>
              </w:rPr>
              <w:t xml:space="preserve"> et al, 2018</w:t>
            </w:r>
          </w:p>
        </w:tc>
        <w:tc>
          <w:tcPr>
            <w:tcW w:w="567"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B4B51B7" w14:textId="77777777" w:rsidR="00AB0BD3" w:rsidRPr="00E955DE" w:rsidRDefault="00AB0BD3" w:rsidP="00454512">
            <w:pPr>
              <w:pStyle w:val="TableParagraph"/>
              <w:spacing w:line="360" w:lineRule="auto"/>
              <w:ind w:left="107"/>
              <w:rPr>
                <w:bCs/>
                <w:color w:val="000000" w:themeColor="text1"/>
                <w:spacing w:val="-2"/>
                <w:kern w:val="2"/>
                <w:sz w:val="20"/>
                <w:szCs w:val="20"/>
                <w:lang w:eastAsia="en-US"/>
              </w:rPr>
            </w:pPr>
            <w:r w:rsidRPr="000F3006">
              <w:rPr>
                <w:bCs/>
                <w:color w:val="000000" w:themeColor="text1"/>
                <w:spacing w:val="-2"/>
                <w:kern w:val="2"/>
                <w:sz w:val="20"/>
                <w:szCs w:val="20"/>
                <w:lang w:eastAsia="en-US"/>
              </w:rPr>
              <w:t>To examine access to childhood immunisation services among socio-economically disadvantaged migrant populations and identify determinants of full immunisation uptake by one year of age.</w:t>
            </w:r>
          </w:p>
        </w:tc>
        <w:tc>
          <w:tcPr>
            <w:tcW w:w="681"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38A8FE0" w14:textId="77777777" w:rsidR="00AB0BD3" w:rsidRPr="00E955DE" w:rsidRDefault="00AB0BD3" w:rsidP="00454512">
            <w:pPr>
              <w:pStyle w:val="TableParagraph"/>
              <w:spacing w:line="360" w:lineRule="auto"/>
              <w:ind w:left="107"/>
              <w:rPr>
                <w:bCs/>
                <w:color w:val="000000" w:themeColor="text1"/>
                <w:spacing w:val="-2"/>
                <w:kern w:val="2"/>
                <w:sz w:val="20"/>
                <w:szCs w:val="20"/>
                <w:lang w:eastAsia="en-US"/>
              </w:rPr>
            </w:pPr>
            <w:r w:rsidRPr="000F3006">
              <w:rPr>
                <w:bCs/>
                <w:color w:val="000000" w:themeColor="text1"/>
                <w:spacing w:val="-2"/>
                <w:kern w:val="2"/>
                <w:sz w:val="20"/>
                <w:szCs w:val="20"/>
                <w:lang w:eastAsia="en-US"/>
              </w:rPr>
              <w:t>Urban migrant population</w:t>
            </w:r>
            <w:r>
              <w:rPr>
                <w:bCs/>
                <w:color w:val="000000" w:themeColor="text1"/>
                <w:spacing w:val="-2"/>
                <w:kern w:val="2"/>
                <w:sz w:val="20"/>
                <w:szCs w:val="20"/>
                <w:lang w:eastAsia="en-US"/>
              </w:rPr>
              <w:t>:</w:t>
            </w:r>
            <w:r w:rsidRPr="000F3006">
              <w:rPr>
                <w:bCs/>
                <w:color w:val="000000" w:themeColor="text1"/>
                <w:spacing w:val="-2"/>
                <w:kern w:val="2"/>
                <w:sz w:val="20"/>
                <w:szCs w:val="20"/>
                <w:lang w:eastAsia="en-US"/>
              </w:rPr>
              <w:t xml:space="preserve"> 458 migrant households with children aged up to 2 years, including recent and settled migrants.</w:t>
            </w:r>
          </w:p>
        </w:tc>
        <w:tc>
          <w:tcPr>
            <w:tcW w:w="625"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5BE7FA2" w14:textId="77777777" w:rsidR="00AB0BD3" w:rsidRPr="00E955DE" w:rsidRDefault="00AB0BD3" w:rsidP="00454512">
            <w:pPr>
              <w:pStyle w:val="TableParagraph"/>
              <w:spacing w:line="360" w:lineRule="auto"/>
              <w:ind w:left="0"/>
              <w:rPr>
                <w:bCs/>
                <w:color w:val="000000" w:themeColor="text1"/>
                <w:spacing w:val="-2"/>
                <w:kern w:val="2"/>
                <w:sz w:val="20"/>
                <w:szCs w:val="20"/>
                <w:lang w:eastAsia="en-US"/>
              </w:rPr>
            </w:pPr>
            <w:r w:rsidRPr="000F3006">
              <w:rPr>
                <w:bCs/>
                <w:color w:val="000000" w:themeColor="text1"/>
                <w:spacing w:val="-2"/>
                <w:kern w:val="2"/>
                <w:sz w:val="20"/>
                <w:szCs w:val="20"/>
                <w:lang w:eastAsia="en-US"/>
              </w:rPr>
              <w:t>Cross-sectional survey using interviewer-administered, pretested questionnaires; multiple logistic regression analysis to identify determinants of full immunisation.</w:t>
            </w:r>
          </w:p>
        </w:tc>
        <w:tc>
          <w:tcPr>
            <w:tcW w:w="626"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8333BFA" w14:textId="77777777" w:rsidR="00AB0BD3" w:rsidRPr="00E955DE" w:rsidRDefault="00AB0BD3" w:rsidP="00454512">
            <w:pPr>
              <w:pStyle w:val="TableParagraph"/>
              <w:spacing w:line="360" w:lineRule="auto"/>
              <w:ind w:left="0"/>
              <w:rPr>
                <w:bCs/>
                <w:color w:val="000000" w:themeColor="text1"/>
                <w:spacing w:val="-2"/>
                <w:sz w:val="20"/>
                <w:szCs w:val="20"/>
              </w:rPr>
            </w:pPr>
            <w:r w:rsidRPr="000F3006">
              <w:rPr>
                <w:bCs/>
                <w:color w:val="000000" w:themeColor="text1"/>
                <w:spacing w:val="-2"/>
                <w:sz w:val="20"/>
                <w:szCs w:val="20"/>
              </w:rPr>
              <w:t>Focus on a vulnerable and under-studied population; use of regression analysis to identify key determinants; collection of detailed socio-demographic and healthcare utilisation data.</w:t>
            </w:r>
          </w:p>
        </w:tc>
        <w:tc>
          <w:tcPr>
            <w:tcW w:w="570"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0909C4B" w14:textId="77777777" w:rsidR="00AB0BD3" w:rsidRPr="00E955DE" w:rsidRDefault="00AB0BD3" w:rsidP="00454512">
            <w:pPr>
              <w:pStyle w:val="TableParagraph"/>
              <w:spacing w:line="360" w:lineRule="auto"/>
              <w:ind w:left="0"/>
              <w:rPr>
                <w:bCs/>
                <w:color w:val="000000" w:themeColor="text1"/>
                <w:spacing w:val="-2"/>
                <w:sz w:val="20"/>
                <w:szCs w:val="20"/>
              </w:rPr>
            </w:pPr>
            <w:r w:rsidRPr="000F3006">
              <w:rPr>
                <w:bCs/>
                <w:color w:val="000000" w:themeColor="text1"/>
                <w:spacing w:val="-2"/>
                <w:sz w:val="20"/>
                <w:szCs w:val="20"/>
              </w:rPr>
              <w:t>Cross-sectional design limits causal inference; reliance on self-reported immunisation data may introduce recall bias; findings may not be generalisable beyond migrant populations.</w:t>
            </w:r>
          </w:p>
        </w:tc>
        <w:tc>
          <w:tcPr>
            <w:tcW w:w="729"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6C8C51C" w14:textId="77777777" w:rsidR="00AB0BD3" w:rsidRPr="00E955DE" w:rsidRDefault="00AB0BD3" w:rsidP="00454512">
            <w:pPr>
              <w:pStyle w:val="TableParagraph"/>
              <w:spacing w:line="360" w:lineRule="auto"/>
              <w:ind w:left="0"/>
              <w:rPr>
                <w:bCs/>
                <w:color w:val="000000" w:themeColor="text1"/>
                <w:spacing w:val="-2"/>
                <w:sz w:val="20"/>
                <w:szCs w:val="20"/>
              </w:rPr>
            </w:pPr>
            <w:r w:rsidRPr="000F3006">
              <w:rPr>
                <w:bCs/>
                <w:color w:val="000000" w:themeColor="text1"/>
                <w:spacing w:val="-2"/>
                <w:sz w:val="20"/>
                <w:szCs w:val="20"/>
              </w:rPr>
              <w:t xml:space="preserve">Only 31% of recent-migrant children and 53% of settled-migrant children were fully immunised by 12 months. Barriers included lack of awareness, mobility, child illness, fear of side-effects, and poor service familiarity. Maternal education, media exposure, hospital birth, and health worker counselling </w:t>
            </w:r>
            <w:r w:rsidRPr="000F3006">
              <w:rPr>
                <w:bCs/>
                <w:color w:val="000000" w:themeColor="text1"/>
                <w:spacing w:val="-2"/>
                <w:sz w:val="20"/>
                <w:szCs w:val="20"/>
              </w:rPr>
              <w:lastRenderedPageBreak/>
              <w:t>improved uptake.</w:t>
            </w:r>
          </w:p>
        </w:tc>
        <w:tc>
          <w:tcPr>
            <w:tcW w:w="800"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F3E912C" w14:textId="77777777" w:rsidR="00AB0BD3" w:rsidRPr="00E955DE" w:rsidRDefault="00AB0BD3" w:rsidP="00454512">
            <w:pPr>
              <w:pStyle w:val="TableParagraph"/>
              <w:spacing w:line="360" w:lineRule="auto"/>
              <w:ind w:left="0"/>
              <w:rPr>
                <w:bCs/>
                <w:color w:val="000000" w:themeColor="text1"/>
                <w:spacing w:val="-2"/>
                <w:sz w:val="20"/>
                <w:szCs w:val="20"/>
              </w:rPr>
            </w:pPr>
            <w:r w:rsidRPr="000F3006">
              <w:rPr>
                <w:bCs/>
                <w:color w:val="000000" w:themeColor="text1"/>
                <w:spacing w:val="-2"/>
                <w:sz w:val="20"/>
                <w:szCs w:val="20"/>
              </w:rPr>
              <w:lastRenderedPageBreak/>
              <w:t>Migrant children, particularly recent migrants, are at high risk of missing immunisation services. Targeted, migrant-friendly service delivery, improved education, and socio-economic support are essential to enhance and sustain immunisation coverage.</w:t>
            </w:r>
          </w:p>
        </w:tc>
      </w:tr>
      <w:tr w:rsidR="00AB0BD3" w:rsidRPr="00E955DE" w14:paraId="0ED60990" w14:textId="77777777" w:rsidTr="00454512">
        <w:trPr>
          <w:trHeight w:val="470"/>
        </w:trPr>
        <w:tc>
          <w:tcPr>
            <w:tcW w:w="402"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CB0B081" w14:textId="77777777" w:rsidR="00AB0BD3" w:rsidRPr="00E955DE" w:rsidRDefault="00AB0BD3" w:rsidP="00454512">
            <w:pPr>
              <w:pStyle w:val="TableParagraph"/>
              <w:spacing w:line="360" w:lineRule="auto"/>
              <w:rPr>
                <w:sz w:val="20"/>
                <w:szCs w:val="20"/>
              </w:rPr>
            </w:pPr>
            <w:r>
              <w:rPr>
                <w:sz w:val="20"/>
                <w:szCs w:val="20"/>
              </w:rPr>
              <w:t>Patel and Vyas, 2018</w:t>
            </w:r>
          </w:p>
        </w:tc>
        <w:tc>
          <w:tcPr>
            <w:tcW w:w="567"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170249F" w14:textId="77777777" w:rsidR="00AB0BD3" w:rsidRPr="00E955DE" w:rsidRDefault="00AB0BD3" w:rsidP="00454512">
            <w:pPr>
              <w:pStyle w:val="TableParagraph"/>
              <w:spacing w:line="360" w:lineRule="auto"/>
              <w:rPr>
                <w:bCs/>
                <w:color w:val="000000" w:themeColor="text1"/>
                <w:spacing w:val="-2"/>
                <w:sz w:val="20"/>
                <w:szCs w:val="20"/>
              </w:rPr>
            </w:pPr>
            <w:r w:rsidRPr="00CD0BAB">
              <w:rPr>
                <w:bCs/>
                <w:color w:val="000000" w:themeColor="text1"/>
                <w:spacing w:val="-2"/>
                <w:sz w:val="20"/>
                <w:szCs w:val="20"/>
              </w:rPr>
              <w:t>To identify challenges and barriers to immunization coverage and to evaluate innovative strategies for improving coverage during Intensified Mission Indradhanush (IMI).</w:t>
            </w:r>
          </w:p>
        </w:tc>
        <w:tc>
          <w:tcPr>
            <w:tcW w:w="681"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639C6FF" w14:textId="77777777" w:rsidR="00AB0BD3" w:rsidRPr="00E955DE" w:rsidRDefault="00AB0BD3" w:rsidP="00454512">
            <w:pPr>
              <w:pStyle w:val="TableParagraph"/>
              <w:spacing w:line="360" w:lineRule="auto"/>
              <w:ind w:left="0"/>
              <w:rPr>
                <w:bCs/>
                <w:color w:val="000000" w:themeColor="text1"/>
                <w:spacing w:val="-2"/>
                <w:kern w:val="2"/>
                <w:sz w:val="20"/>
                <w:szCs w:val="20"/>
                <w:lang w:eastAsia="en-US"/>
              </w:rPr>
            </w:pPr>
            <w:r w:rsidRPr="00CD0BAB">
              <w:rPr>
                <w:bCs/>
                <w:color w:val="000000" w:themeColor="text1"/>
                <w:spacing w:val="-2"/>
                <w:kern w:val="2"/>
                <w:sz w:val="20"/>
                <w:szCs w:val="20"/>
                <w:lang w:eastAsia="en-US"/>
              </w:rPr>
              <w:t>Two slum areas in the South zone of Ahmedabad Municipal Corporation; families with children &lt;2 years having incomplete immunization. One area served as intervention site (UHTC of AMC MET Medical College).</w:t>
            </w:r>
          </w:p>
        </w:tc>
        <w:tc>
          <w:tcPr>
            <w:tcW w:w="625"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193F94F" w14:textId="77777777" w:rsidR="00AB0BD3" w:rsidRPr="00E955DE" w:rsidRDefault="00AB0BD3" w:rsidP="00454512">
            <w:pPr>
              <w:pStyle w:val="TableParagraph"/>
              <w:spacing w:line="360" w:lineRule="auto"/>
              <w:ind w:left="0"/>
              <w:rPr>
                <w:bCs/>
                <w:color w:val="000000" w:themeColor="text1"/>
                <w:spacing w:val="-2"/>
                <w:sz w:val="20"/>
                <w:szCs w:val="20"/>
              </w:rPr>
            </w:pPr>
            <w:r w:rsidRPr="00CD0BAB">
              <w:rPr>
                <w:bCs/>
                <w:color w:val="000000" w:themeColor="text1"/>
                <w:spacing w:val="-2"/>
                <w:sz w:val="20"/>
                <w:szCs w:val="20"/>
              </w:rPr>
              <w:t>Community-based interventional comparative study. Innovative strategies included personal household visits, one-to-one health education, mobile reminders, and involvement of local influencers. Data collected using a pre-tested proforma; qualitative analysis of non-acceptance reasons conducted.</w:t>
            </w:r>
          </w:p>
        </w:tc>
        <w:tc>
          <w:tcPr>
            <w:tcW w:w="626"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4D008EB" w14:textId="77777777" w:rsidR="00AB0BD3" w:rsidRPr="00E955DE" w:rsidRDefault="00AB0BD3" w:rsidP="00454512">
            <w:pPr>
              <w:pStyle w:val="TableParagraph"/>
              <w:spacing w:line="360" w:lineRule="auto"/>
              <w:ind w:left="0"/>
              <w:rPr>
                <w:bCs/>
                <w:color w:val="000000" w:themeColor="text1"/>
                <w:spacing w:val="-2"/>
                <w:sz w:val="20"/>
                <w:szCs w:val="20"/>
              </w:rPr>
            </w:pPr>
            <w:r w:rsidRPr="00CD0BAB">
              <w:rPr>
                <w:bCs/>
                <w:color w:val="000000" w:themeColor="text1"/>
                <w:spacing w:val="-2"/>
                <w:sz w:val="20"/>
                <w:szCs w:val="20"/>
              </w:rPr>
              <w:t>Practical, community-based intervention; comparison between intervention and non-intervention areas; combination of quantitative coverage assessment and qualitative analysis of barriers.</w:t>
            </w:r>
          </w:p>
        </w:tc>
        <w:tc>
          <w:tcPr>
            <w:tcW w:w="570"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BF2E235" w14:textId="77777777" w:rsidR="00AB0BD3" w:rsidRPr="00E955DE" w:rsidRDefault="00AB0BD3" w:rsidP="00454512">
            <w:pPr>
              <w:pStyle w:val="TableParagraph"/>
              <w:spacing w:line="360" w:lineRule="auto"/>
              <w:ind w:left="0"/>
              <w:rPr>
                <w:bCs/>
                <w:color w:val="000000" w:themeColor="text1"/>
                <w:spacing w:val="-2"/>
                <w:sz w:val="20"/>
                <w:szCs w:val="20"/>
              </w:rPr>
            </w:pPr>
            <w:r w:rsidRPr="00CD0BAB">
              <w:rPr>
                <w:bCs/>
                <w:color w:val="000000" w:themeColor="text1"/>
                <w:spacing w:val="-2"/>
                <w:sz w:val="20"/>
                <w:szCs w:val="20"/>
              </w:rPr>
              <w:t>Limited to two slum areas, reducing generalisability; short-term assessment; focus on childhood immunization limits applicability to adult vaccination programs.</w:t>
            </w:r>
          </w:p>
        </w:tc>
        <w:tc>
          <w:tcPr>
            <w:tcW w:w="729"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FDCF17F" w14:textId="77777777" w:rsidR="00AB0BD3" w:rsidRPr="00E955DE" w:rsidRDefault="00AB0BD3" w:rsidP="00454512">
            <w:pPr>
              <w:pStyle w:val="TableParagraph"/>
              <w:spacing w:line="360" w:lineRule="auto"/>
              <w:ind w:left="0"/>
              <w:rPr>
                <w:bCs/>
                <w:color w:val="000000" w:themeColor="text1"/>
                <w:spacing w:val="-2"/>
                <w:sz w:val="20"/>
                <w:szCs w:val="20"/>
              </w:rPr>
            </w:pPr>
            <w:r w:rsidRPr="00CD0BAB">
              <w:rPr>
                <w:bCs/>
                <w:color w:val="000000" w:themeColor="text1"/>
                <w:spacing w:val="-2"/>
                <w:sz w:val="20"/>
                <w:szCs w:val="20"/>
              </w:rPr>
              <w:t>Coverage of BCG, fIPV1, OPV1, and Pentavalent-1 was 100% in both areas. OPV2 and Pentavalent-2 coverage was 100% in intervention area vs 57% in non-intervention area. Overall vaccine coverage was higher in the intervention area. Barriers included lack of information, fear, and religious beliefs.</w:t>
            </w:r>
          </w:p>
        </w:tc>
        <w:tc>
          <w:tcPr>
            <w:tcW w:w="800"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A295607" w14:textId="77777777" w:rsidR="00AB0BD3" w:rsidRPr="00E955DE" w:rsidRDefault="00AB0BD3" w:rsidP="00454512">
            <w:pPr>
              <w:pStyle w:val="TableParagraph"/>
              <w:spacing w:line="360" w:lineRule="auto"/>
              <w:ind w:left="0"/>
              <w:rPr>
                <w:bCs/>
                <w:color w:val="000000" w:themeColor="text1"/>
                <w:spacing w:val="-2"/>
                <w:sz w:val="20"/>
                <w:szCs w:val="20"/>
              </w:rPr>
            </w:pPr>
            <w:r w:rsidRPr="00CD0BAB">
              <w:rPr>
                <w:bCs/>
                <w:color w:val="000000" w:themeColor="text1"/>
                <w:spacing w:val="-2"/>
                <w:sz w:val="20"/>
                <w:szCs w:val="20"/>
              </w:rPr>
              <w:t>Innovative, community-based strategies such as personal visits, community leader involvement, motivation, and mobile reminders significantly improved immunization coverage during IMI sessions.</w:t>
            </w:r>
          </w:p>
        </w:tc>
      </w:tr>
      <w:tr w:rsidR="00AB0BD3" w:rsidRPr="00E955DE" w14:paraId="296ADC25" w14:textId="77777777" w:rsidTr="00454512">
        <w:trPr>
          <w:trHeight w:val="470"/>
        </w:trPr>
        <w:tc>
          <w:tcPr>
            <w:tcW w:w="402"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4398392" w14:textId="77777777" w:rsidR="00AB0BD3" w:rsidRPr="00E955DE" w:rsidRDefault="00AB0BD3" w:rsidP="00454512">
            <w:pPr>
              <w:pStyle w:val="TableParagraph"/>
              <w:spacing w:line="360" w:lineRule="auto"/>
              <w:ind w:left="0"/>
              <w:rPr>
                <w:sz w:val="20"/>
                <w:szCs w:val="20"/>
              </w:rPr>
            </w:pPr>
            <w:r w:rsidRPr="000B2CC1">
              <w:rPr>
                <w:sz w:val="20"/>
                <w:szCs w:val="20"/>
              </w:rPr>
              <w:t>Jain</w:t>
            </w:r>
            <w:r>
              <w:rPr>
                <w:sz w:val="20"/>
                <w:szCs w:val="20"/>
              </w:rPr>
              <w:t xml:space="preserve"> et al, 2020</w:t>
            </w:r>
          </w:p>
        </w:tc>
        <w:tc>
          <w:tcPr>
            <w:tcW w:w="567"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D7962F6" w14:textId="77777777" w:rsidR="00AB0BD3" w:rsidRPr="00E955DE" w:rsidRDefault="00AB0BD3" w:rsidP="00454512">
            <w:pPr>
              <w:pStyle w:val="TableParagraph"/>
              <w:spacing w:line="360" w:lineRule="auto"/>
              <w:ind w:left="0"/>
              <w:rPr>
                <w:bCs/>
                <w:color w:val="000000" w:themeColor="text1"/>
                <w:spacing w:val="-2"/>
                <w:sz w:val="20"/>
                <w:szCs w:val="20"/>
              </w:rPr>
            </w:pPr>
            <w:r w:rsidRPr="000B2CC1">
              <w:rPr>
                <w:bCs/>
                <w:color w:val="000000" w:themeColor="text1"/>
                <w:spacing w:val="-2"/>
                <w:sz w:val="20"/>
                <w:szCs w:val="20"/>
              </w:rPr>
              <w:t>To identify barriers to childhood vaccination as perceived by ASHAs and health workers in a low-coverage district.</w:t>
            </w:r>
          </w:p>
        </w:tc>
        <w:tc>
          <w:tcPr>
            <w:tcW w:w="681"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4D658EC" w14:textId="77777777" w:rsidR="00AB0BD3" w:rsidRPr="00E955DE" w:rsidRDefault="00AB0BD3" w:rsidP="00454512">
            <w:pPr>
              <w:pStyle w:val="TableParagraph"/>
              <w:spacing w:line="360" w:lineRule="auto"/>
              <w:ind w:left="0"/>
              <w:rPr>
                <w:bCs/>
                <w:color w:val="000000" w:themeColor="text1"/>
                <w:spacing w:val="-2"/>
                <w:kern w:val="2"/>
                <w:sz w:val="20"/>
                <w:szCs w:val="20"/>
                <w:lang w:eastAsia="en-US"/>
              </w:rPr>
            </w:pPr>
            <w:r w:rsidRPr="000B2CC1">
              <w:rPr>
                <w:bCs/>
                <w:color w:val="000000" w:themeColor="text1"/>
                <w:spacing w:val="-2"/>
                <w:kern w:val="2"/>
                <w:sz w:val="20"/>
                <w:szCs w:val="20"/>
                <w:lang w:eastAsia="en-US"/>
              </w:rPr>
              <w:t xml:space="preserve">Field practice area of SHKM Government Medical College, Nalhar, District Mewat, Haryana, India; participants included ASHAs and multipurpose health workers </w:t>
            </w:r>
            <w:r w:rsidRPr="000B2CC1">
              <w:rPr>
                <w:bCs/>
                <w:color w:val="000000" w:themeColor="text1"/>
                <w:spacing w:val="-2"/>
                <w:kern w:val="2"/>
                <w:sz w:val="20"/>
                <w:szCs w:val="20"/>
                <w:lang w:eastAsia="en-US"/>
              </w:rPr>
              <w:lastRenderedPageBreak/>
              <w:t>(MPHW-F/M).</w:t>
            </w:r>
          </w:p>
        </w:tc>
        <w:tc>
          <w:tcPr>
            <w:tcW w:w="625"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E1E42C2" w14:textId="77777777" w:rsidR="00AB0BD3" w:rsidRPr="00E955DE" w:rsidRDefault="00AB0BD3" w:rsidP="00454512">
            <w:pPr>
              <w:pStyle w:val="TableParagraph"/>
              <w:spacing w:line="360" w:lineRule="auto"/>
              <w:ind w:left="0"/>
              <w:rPr>
                <w:bCs/>
                <w:color w:val="000000" w:themeColor="text1"/>
                <w:spacing w:val="-2"/>
                <w:sz w:val="20"/>
                <w:szCs w:val="20"/>
              </w:rPr>
            </w:pPr>
            <w:r w:rsidRPr="000B2CC1">
              <w:rPr>
                <w:bCs/>
                <w:color w:val="000000" w:themeColor="text1"/>
                <w:spacing w:val="-2"/>
                <w:sz w:val="20"/>
                <w:szCs w:val="20"/>
              </w:rPr>
              <w:lastRenderedPageBreak/>
              <w:t xml:space="preserve">Qualitative study using Focus Group Discussions (FGDs); thematic exploration of perceived barriers; no statistical analysis </w:t>
            </w:r>
            <w:r w:rsidRPr="000B2CC1">
              <w:rPr>
                <w:bCs/>
                <w:color w:val="000000" w:themeColor="text1"/>
                <w:spacing w:val="-2"/>
                <w:sz w:val="20"/>
                <w:szCs w:val="20"/>
              </w:rPr>
              <w:lastRenderedPageBreak/>
              <w:t>performed.</w:t>
            </w:r>
          </w:p>
        </w:tc>
        <w:tc>
          <w:tcPr>
            <w:tcW w:w="626"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9F3CAF8" w14:textId="77777777" w:rsidR="00AB0BD3" w:rsidRPr="00E955DE" w:rsidRDefault="00AB0BD3" w:rsidP="00454512">
            <w:pPr>
              <w:pStyle w:val="TableParagraph"/>
              <w:spacing w:line="360" w:lineRule="auto"/>
              <w:ind w:left="0"/>
              <w:rPr>
                <w:bCs/>
                <w:color w:val="000000" w:themeColor="text1"/>
                <w:spacing w:val="-2"/>
                <w:sz w:val="20"/>
                <w:szCs w:val="20"/>
              </w:rPr>
            </w:pPr>
            <w:r w:rsidRPr="000B2CC1">
              <w:rPr>
                <w:bCs/>
                <w:color w:val="000000" w:themeColor="text1"/>
                <w:spacing w:val="-2"/>
                <w:sz w:val="20"/>
                <w:szCs w:val="20"/>
              </w:rPr>
              <w:lastRenderedPageBreak/>
              <w:t xml:space="preserve">Provides frontline worker perspectives; rich qualitative insights into socio-cultural and system-level barriers; focuses on a low-literacy, low-coverage </w:t>
            </w:r>
            <w:r w:rsidRPr="000B2CC1">
              <w:rPr>
                <w:bCs/>
                <w:color w:val="000000" w:themeColor="text1"/>
                <w:spacing w:val="-2"/>
                <w:sz w:val="20"/>
                <w:szCs w:val="20"/>
              </w:rPr>
              <w:lastRenderedPageBreak/>
              <w:t>setting.</w:t>
            </w:r>
          </w:p>
        </w:tc>
        <w:tc>
          <w:tcPr>
            <w:tcW w:w="570"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8BE524D" w14:textId="77777777" w:rsidR="00AB0BD3" w:rsidRPr="00E955DE" w:rsidRDefault="00AB0BD3" w:rsidP="00454512">
            <w:pPr>
              <w:pStyle w:val="TableParagraph"/>
              <w:spacing w:line="360" w:lineRule="auto"/>
              <w:ind w:left="0"/>
              <w:rPr>
                <w:bCs/>
                <w:color w:val="000000" w:themeColor="text1"/>
                <w:spacing w:val="-2"/>
                <w:sz w:val="20"/>
                <w:szCs w:val="20"/>
              </w:rPr>
            </w:pPr>
            <w:r w:rsidRPr="000B2CC1">
              <w:rPr>
                <w:bCs/>
                <w:color w:val="000000" w:themeColor="text1"/>
                <w:spacing w:val="-2"/>
                <w:sz w:val="20"/>
                <w:szCs w:val="20"/>
              </w:rPr>
              <w:lastRenderedPageBreak/>
              <w:t xml:space="preserve">Findings are context-specific and may not be generalisable; absence of quantitative analysis; focuses on childhood vaccination </w:t>
            </w:r>
            <w:r w:rsidRPr="000B2CC1">
              <w:rPr>
                <w:bCs/>
                <w:color w:val="000000" w:themeColor="text1"/>
                <w:spacing w:val="-2"/>
                <w:sz w:val="20"/>
                <w:szCs w:val="20"/>
              </w:rPr>
              <w:lastRenderedPageBreak/>
              <w:t>rather than adult populations.</w:t>
            </w:r>
          </w:p>
        </w:tc>
        <w:tc>
          <w:tcPr>
            <w:tcW w:w="729"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8683562" w14:textId="77777777" w:rsidR="00AB0BD3" w:rsidRPr="00E955DE" w:rsidRDefault="00AB0BD3" w:rsidP="00454512">
            <w:pPr>
              <w:pStyle w:val="TableParagraph"/>
              <w:spacing w:line="360" w:lineRule="auto"/>
              <w:ind w:left="0"/>
              <w:rPr>
                <w:bCs/>
                <w:color w:val="000000" w:themeColor="text1"/>
                <w:spacing w:val="-2"/>
                <w:sz w:val="20"/>
                <w:szCs w:val="20"/>
              </w:rPr>
            </w:pPr>
            <w:r w:rsidRPr="000B2CC1">
              <w:rPr>
                <w:bCs/>
                <w:color w:val="000000" w:themeColor="text1"/>
                <w:spacing w:val="-2"/>
                <w:sz w:val="20"/>
                <w:szCs w:val="20"/>
              </w:rPr>
              <w:lastRenderedPageBreak/>
              <w:t xml:space="preserve">Identified barriers included fear of pain and side effects, myths (e.g., infertility), lack of awareness, denial by elders, beliefs in supernatural causes, delayed BCG vaccination, </w:t>
            </w:r>
            <w:r w:rsidRPr="000B2CC1">
              <w:rPr>
                <w:bCs/>
                <w:color w:val="000000" w:themeColor="text1"/>
                <w:spacing w:val="-2"/>
                <w:sz w:val="20"/>
                <w:szCs w:val="20"/>
              </w:rPr>
              <w:lastRenderedPageBreak/>
              <w:t>extra workload for workers, poor accessibility, and lack of incentives.</w:t>
            </w:r>
          </w:p>
        </w:tc>
        <w:tc>
          <w:tcPr>
            <w:tcW w:w="800"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0D4A92B" w14:textId="77777777" w:rsidR="00AB0BD3" w:rsidRPr="00E955DE" w:rsidRDefault="00AB0BD3" w:rsidP="00454512">
            <w:pPr>
              <w:pStyle w:val="TableParagraph"/>
              <w:spacing w:line="360" w:lineRule="auto"/>
              <w:ind w:left="0"/>
              <w:rPr>
                <w:bCs/>
                <w:color w:val="000000" w:themeColor="text1"/>
                <w:spacing w:val="-2"/>
                <w:sz w:val="20"/>
                <w:szCs w:val="20"/>
              </w:rPr>
            </w:pPr>
            <w:r w:rsidRPr="000B2CC1">
              <w:rPr>
                <w:bCs/>
                <w:color w:val="000000" w:themeColor="text1"/>
                <w:spacing w:val="-2"/>
                <w:sz w:val="20"/>
                <w:szCs w:val="20"/>
              </w:rPr>
              <w:lastRenderedPageBreak/>
              <w:t>Understanding barriers from the perspectives of ASHAs and health workers can inform tailored strategies to improve vaccination coverage in underserved and high-risk areas.</w:t>
            </w:r>
          </w:p>
        </w:tc>
      </w:tr>
      <w:tr w:rsidR="00AB0BD3" w:rsidRPr="00E955DE" w14:paraId="4DD9E2EC" w14:textId="77777777" w:rsidTr="00454512">
        <w:trPr>
          <w:trHeight w:val="470"/>
        </w:trPr>
        <w:tc>
          <w:tcPr>
            <w:tcW w:w="402"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38C454C" w14:textId="77777777" w:rsidR="00AB0BD3" w:rsidRPr="00E955DE" w:rsidRDefault="00AB0BD3" w:rsidP="00454512">
            <w:pPr>
              <w:pStyle w:val="TableParagraph"/>
              <w:spacing w:line="360" w:lineRule="auto"/>
              <w:rPr>
                <w:bCs/>
                <w:color w:val="000000" w:themeColor="text1"/>
                <w:spacing w:val="-2"/>
                <w:kern w:val="2"/>
                <w:sz w:val="20"/>
                <w:szCs w:val="20"/>
                <w:lang w:eastAsia="en-US"/>
              </w:rPr>
            </w:pPr>
            <w:r w:rsidRPr="00893599">
              <w:rPr>
                <w:bCs/>
                <w:color w:val="000000" w:themeColor="text1"/>
                <w:spacing w:val="-2"/>
                <w:kern w:val="2"/>
                <w:sz w:val="20"/>
                <w:szCs w:val="20"/>
                <w:lang w:eastAsia="en-US"/>
              </w:rPr>
              <w:t>Hatherill</w:t>
            </w:r>
            <w:r>
              <w:rPr>
                <w:bCs/>
                <w:color w:val="000000" w:themeColor="text1"/>
                <w:spacing w:val="-2"/>
                <w:kern w:val="2"/>
                <w:sz w:val="20"/>
                <w:szCs w:val="20"/>
                <w:lang w:eastAsia="en-US"/>
              </w:rPr>
              <w:t xml:space="preserve"> et al, 2016</w:t>
            </w:r>
          </w:p>
        </w:tc>
        <w:tc>
          <w:tcPr>
            <w:tcW w:w="567"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74B1D85" w14:textId="77777777" w:rsidR="00AB0BD3" w:rsidRPr="00E955DE" w:rsidRDefault="00AB0BD3" w:rsidP="00454512">
            <w:pPr>
              <w:pStyle w:val="TableParagraph"/>
              <w:spacing w:line="360" w:lineRule="auto"/>
              <w:rPr>
                <w:bCs/>
                <w:color w:val="000000" w:themeColor="text1"/>
                <w:spacing w:val="-2"/>
                <w:sz w:val="20"/>
                <w:szCs w:val="20"/>
              </w:rPr>
            </w:pPr>
            <w:r w:rsidRPr="009D01FC">
              <w:rPr>
                <w:bCs/>
                <w:color w:val="000000" w:themeColor="text1"/>
                <w:spacing w:val="-2"/>
                <w:sz w:val="20"/>
                <w:szCs w:val="20"/>
              </w:rPr>
              <w:t>To examine the role and limitations of pre- and post-exposure TB vaccination strategies, including BCG revaccination, for protecting healthcare workers (HCWs) in TB-endemic settings.</w:t>
            </w:r>
          </w:p>
        </w:tc>
        <w:tc>
          <w:tcPr>
            <w:tcW w:w="681"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7B857E6" w14:textId="77777777" w:rsidR="00AB0BD3" w:rsidRPr="00E955DE" w:rsidRDefault="00AB0BD3" w:rsidP="00454512">
            <w:pPr>
              <w:pStyle w:val="TableParagraph"/>
              <w:spacing w:line="360" w:lineRule="auto"/>
              <w:ind w:left="0"/>
              <w:rPr>
                <w:bCs/>
                <w:color w:val="000000" w:themeColor="text1"/>
                <w:spacing w:val="-2"/>
                <w:kern w:val="2"/>
                <w:sz w:val="20"/>
                <w:szCs w:val="20"/>
                <w:lang w:eastAsia="en-US"/>
              </w:rPr>
            </w:pPr>
            <w:r w:rsidRPr="009D01FC">
              <w:rPr>
                <w:bCs/>
                <w:color w:val="000000" w:themeColor="text1"/>
                <w:spacing w:val="-2"/>
                <w:kern w:val="2"/>
                <w:sz w:val="20"/>
                <w:szCs w:val="20"/>
                <w:lang w:eastAsia="en-US"/>
              </w:rPr>
              <w:t xml:space="preserve">Healthcare workers in tuberculosis-endemic countries; focus on occupational exposure to </w:t>
            </w:r>
            <w:r w:rsidRPr="009D01FC">
              <w:rPr>
                <w:bCs/>
                <w:i/>
                <w:iCs/>
                <w:color w:val="000000" w:themeColor="text1"/>
                <w:spacing w:val="-2"/>
                <w:kern w:val="2"/>
                <w:sz w:val="20"/>
                <w:szCs w:val="20"/>
                <w:lang w:eastAsia="en-US"/>
              </w:rPr>
              <w:t>Mycobacterium tuberculosis</w:t>
            </w:r>
            <w:r w:rsidRPr="009D01FC">
              <w:rPr>
                <w:bCs/>
                <w:color w:val="000000" w:themeColor="text1"/>
                <w:spacing w:val="-2"/>
                <w:kern w:val="2"/>
                <w:sz w:val="20"/>
                <w:szCs w:val="20"/>
                <w:lang w:eastAsia="en-US"/>
              </w:rPr>
              <w:t>.</w:t>
            </w:r>
          </w:p>
        </w:tc>
        <w:tc>
          <w:tcPr>
            <w:tcW w:w="625"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610F190" w14:textId="77777777" w:rsidR="00AB0BD3" w:rsidRPr="00E955DE" w:rsidRDefault="00AB0BD3" w:rsidP="00454512">
            <w:pPr>
              <w:pStyle w:val="TableParagraph"/>
              <w:spacing w:line="360" w:lineRule="auto"/>
              <w:ind w:left="0"/>
              <w:rPr>
                <w:bCs/>
                <w:color w:val="000000" w:themeColor="text1"/>
                <w:spacing w:val="-2"/>
                <w:kern w:val="2"/>
                <w:sz w:val="20"/>
                <w:szCs w:val="20"/>
                <w:lang w:eastAsia="en-US"/>
              </w:rPr>
            </w:pPr>
            <w:r w:rsidRPr="009D01FC">
              <w:rPr>
                <w:bCs/>
                <w:color w:val="000000" w:themeColor="text1"/>
                <w:spacing w:val="-2"/>
                <w:kern w:val="2"/>
                <w:sz w:val="20"/>
                <w:szCs w:val="20"/>
                <w:lang w:eastAsia="en-US"/>
              </w:rPr>
              <w:t>Narrative review and conceptual analysis of existing evidence on TB vaccines, immune responses, and occupational risk among HCWs.</w:t>
            </w:r>
          </w:p>
        </w:tc>
        <w:tc>
          <w:tcPr>
            <w:tcW w:w="626"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3100770" w14:textId="77777777" w:rsidR="00AB0BD3" w:rsidRPr="00E955DE" w:rsidRDefault="00AB0BD3" w:rsidP="00454512">
            <w:pPr>
              <w:pStyle w:val="TableParagraph"/>
              <w:spacing w:line="360" w:lineRule="auto"/>
              <w:ind w:left="0"/>
              <w:rPr>
                <w:bCs/>
                <w:color w:val="000000" w:themeColor="text1"/>
                <w:spacing w:val="-2"/>
                <w:sz w:val="20"/>
                <w:szCs w:val="20"/>
              </w:rPr>
            </w:pPr>
            <w:r w:rsidRPr="009D01FC">
              <w:rPr>
                <w:bCs/>
                <w:color w:val="000000" w:themeColor="text1"/>
                <w:spacing w:val="-2"/>
                <w:sz w:val="20"/>
                <w:szCs w:val="20"/>
              </w:rPr>
              <w:t>Highlights a high-risk and priority population; integrates immunological mechanisms with public health considerations; explores innovative vaccine delivery strategies (e.g., aerosol vaccination).</w:t>
            </w:r>
          </w:p>
        </w:tc>
        <w:tc>
          <w:tcPr>
            <w:tcW w:w="570"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8FA43A1" w14:textId="77777777" w:rsidR="00AB0BD3" w:rsidRPr="00E955DE" w:rsidRDefault="00AB0BD3" w:rsidP="00454512">
            <w:pPr>
              <w:pStyle w:val="TableParagraph"/>
              <w:spacing w:line="360" w:lineRule="auto"/>
              <w:ind w:left="0"/>
              <w:rPr>
                <w:bCs/>
                <w:color w:val="000000" w:themeColor="text1"/>
                <w:spacing w:val="-2"/>
                <w:sz w:val="20"/>
                <w:szCs w:val="20"/>
              </w:rPr>
            </w:pPr>
            <w:r w:rsidRPr="009D01FC">
              <w:rPr>
                <w:bCs/>
                <w:color w:val="000000" w:themeColor="text1"/>
                <w:spacing w:val="-2"/>
                <w:sz w:val="20"/>
                <w:szCs w:val="20"/>
              </w:rPr>
              <w:t>Lacks primary empirical data; largely theoretical; feasibility challenges not tested in real-world health systems; limited quantitative outcome measures.</w:t>
            </w:r>
          </w:p>
        </w:tc>
        <w:tc>
          <w:tcPr>
            <w:tcW w:w="729"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4015F91" w14:textId="77777777" w:rsidR="00AB0BD3" w:rsidRPr="00E955DE" w:rsidRDefault="00AB0BD3" w:rsidP="00454512">
            <w:pPr>
              <w:pStyle w:val="TableParagraph"/>
              <w:spacing w:line="360" w:lineRule="auto"/>
              <w:ind w:left="0"/>
              <w:rPr>
                <w:bCs/>
                <w:color w:val="000000" w:themeColor="text1"/>
                <w:spacing w:val="-2"/>
                <w:sz w:val="20"/>
                <w:szCs w:val="20"/>
              </w:rPr>
            </w:pPr>
            <w:r w:rsidRPr="009D01FC">
              <w:rPr>
                <w:bCs/>
                <w:color w:val="000000" w:themeColor="text1"/>
                <w:spacing w:val="-2"/>
                <w:sz w:val="20"/>
                <w:szCs w:val="20"/>
              </w:rPr>
              <w:t>BCG revaccination may benefit Mtb-uninfected HCWs, but most HCWs in endemic areas are already sensitized. Post-exposure TB vaccines show greater potential. Novel mucosal and aerosol strategies could improve immune protection.</w:t>
            </w:r>
          </w:p>
        </w:tc>
        <w:tc>
          <w:tcPr>
            <w:tcW w:w="800"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3BBFCB1" w14:textId="77777777" w:rsidR="00AB0BD3" w:rsidRPr="00E955DE" w:rsidRDefault="00AB0BD3" w:rsidP="00454512">
            <w:pPr>
              <w:pStyle w:val="TableParagraph"/>
              <w:spacing w:line="360" w:lineRule="auto"/>
              <w:ind w:left="0"/>
              <w:rPr>
                <w:bCs/>
                <w:color w:val="000000" w:themeColor="text1"/>
                <w:spacing w:val="-2"/>
                <w:sz w:val="20"/>
                <w:szCs w:val="20"/>
              </w:rPr>
            </w:pPr>
            <w:r w:rsidRPr="009D01FC">
              <w:rPr>
                <w:bCs/>
                <w:color w:val="000000" w:themeColor="text1"/>
                <w:spacing w:val="-2"/>
                <w:sz w:val="20"/>
                <w:szCs w:val="20"/>
              </w:rPr>
              <w:t>Protecting HCWs from TB requires improved vaccine strategies and stronger occupational health systems. Post-exposure vaccination approaches may offer greater benefit than BCG revaccination in endemic settings.</w:t>
            </w:r>
          </w:p>
        </w:tc>
      </w:tr>
      <w:tr w:rsidR="00AB0BD3" w:rsidRPr="00E955DE" w14:paraId="1FACC3C8" w14:textId="77777777" w:rsidTr="00454512">
        <w:trPr>
          <w:trHeight w:val="470"/>
        </w:trPr>
        <w:tc>
          <w:tcPr>
            <w:tcW w:w="402"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AE362A8" w14:textId="77777777" w:rsidR="00AB0BD3" w:rsidRPr="00E955DE" w:rsidRDefault="00AB0BD3" w:rsidP="00454512">
            <w:pPr>
              <w:pStyle w:val="TableParagraph"/>
              <w:spacing w:line="360" w:lineRule="auto"/>
              <w:ind w:left="0"/>
              <w:rPr>
                <w:bCs/>
                <w:color w:val="000000" w:themeColor="text1"/>
                <w:spacing w:val="-2"/>
                <w:kern w:val="2"/>
                <w:sz w:val="20"/>
                <w:szCs w:val="20"/>
                <w:lang w:eastAsia="en-US"/>
              </w:rPr>
            </w:pPr>
            <w:r w:rsidRPr="00B90759">
              <w:rPr>
                <w:bCs/>
                <w:color w:val="000000" w:themeColor="text1"/>
                <w:spacing w:val="-2"/>
                <w:kern w:val="2"/>
                <w:sz w:val="20"/>
                <w:szCs w:val="20"/>
                <w:lang w:eastAsia="en-US"/>
              </w:rPr>
              <w:t>Pelzer</w:t>
            </w:r>
            <w:r>
              <w:rPr>
                <w:bCs/>
                <w:color w:val="000000" w:themeColor="text1"/>
                <w:spacing w:val="-2"/>
                <w:kern w:val="2"/>
                <w:sz w:val="20"/>
                <w:szCs w:val="20"/>
                <w:lang w:eastAsia="en-US"/>
              </w:rPr>
              <w:t xml:space="preserve"> et al, 2022</w:t>
            </w:r>
          </w:p>
        </w:tc>
        <w:tc>
          <w:tcPr>
            <w:tcW w:w="567"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04CA897" w14:textId="77777777" w:rsidR="00AB0BD3" w:rsidRPr="00E955DE" w:rsidRDefault="00AB0BD3" w:rsidP="00454512">
            <w:pPr>
              <w:pStyle w:val="TableParagraph"/>
              <w:spacing w:line="360" w:lineRule="auto"/>
              <w:ind w:left="0"/>
              <w:rPr>
                <w:bCs/>
                <w:color w:val="000000" w:themeColor="text1"/>
                <w:spacing w:val="-2"/>
                <w:sz w:val="20"/>
                <w:szCs w:val="20"/>
              </w:rPr>
            </w:pPr>
            <w:r w:rsidRPr="00AA410D">
              <w:rPr>
                <w:bCs/>
                <w:color w:val="000000" w:themeColor="text1"/>
                <w:spacing w:val="-2"/>
                <w:sz w:val="20"/>
                <w:szCs w:val="20"/>
              </w:rPr>
              <w:t xml:space="preserve">To identify potential implementation strategies and assess the acceptability and feasibility of novel TB vaccines, including M72/AS01E and BCG-revaccination-like candidates, for adolescents </w:t>
            </w:r>
            <w:r w:rsidRPr="00AA410D">
              <w:rPr>
                <w:bCs/>
                <w:color w:val="000000" w:themeColor="text1"/>
                <w:spacing w:val="-2"/>
                <w:sz w:val="20"/>
                <w:szCs w:val="20"/>
              </w:rPr>
              <w:lastRenderedPageBreak/>
              <w:t>and adults.</w:t>
            </w:r>
          </w:p>
        </w:tc>
        <w:tc>
          <w:tcPr>
            <w:tcW w:w="681"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7EC6F5D" w14:textId="77777777" w:rsidR="00AB0BD3" w:rsidRPr="00E955DE" w:rsidRDefault="00AB0BD3" w:rsidP="00454512">
            <w:pPr>
              <w:pStyle w:val="TableParagraph"/>
              <w:spacing w:line="360" w:lineRule="auto"/>
              <w:ind w:left="107"/>
              <w:rPr>
                <w:bCs/>
                <w:color w:val="000000" w:themeColor="text1"/>
                <w:spacing w:val="-2"/>
                <w:kern w:val="2"/>
                <w:sz w:val="20"/>
                <w:szCs w:val="20"/>
                <w:lang w:eastAsia="en-US"/>
              </w:rPr>
            </w:pPr>
            <w:r w:rsidRPr="00AA410D">
              <w:rPr>
                <w:bCs/>
                <w:color w:val="000000" w:themeColor="text1"/>
                <w:spacing w:val="-2"/>
                <w:kern w:val="2"/>
                <w:sz w:val="20"/>
                <w:szCs w:val="20"/>
                <w:lang w:eastAsia="en-US"/>
              </w:rPr>
              <w:lastRenderedPageBreak/>
              <w:t>South Africa, India, and China; key decision makers involved in TB control and vaccination policy.</w:t>
            </w:r>
          </w:p>
        </w:tc>
        <w:tc>
          <w:tcPr>
            <w:tcW w:w="625"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47919B4" w14:textId="77777777" w:rsidR="00AB0BD3" w:rsidRPr="00E955DE" w:rsidRDefault="00AB0BD3" w:rsidP="00454512">
            <w:pPr>
              <w:pStyle w:val="TableParagraph"/>
              <w:spacing w:line="360" w:lineRule="auto"/>
              <w:ind w:left="0"/>
              <w:rPr>
                <w:bCs/>
                <w:color w:val="000000" w:themeColor="text1"/>
                <w:spacing w:val="-2"/>
                <w:kern w:val="2"/>
                <w:sz w:val="20"/>
                <w:szCs w:val="20"/>
                <w:lang w:eastAsia="en-US"/>
              </w:rPr>
            </w:pPr>
            <w:r w:rsidRPr="00AA410D">
              <w:rPr>
                <w:bCs/>
                <w:color w:val="000000" w:themeColor="text1"/>
                <w:spacing w:val="-2"/>
                <w:kern w:val="2"/>
                <w:sz w:val="20"/>
                <w:szCs w:val="20"/>
                <w:lang w:eastAsia="en-US"/>
              </w:rPr>
              <w:t>Qualitative study using in-depth semi-structured interviews; thematic and deductive analysis with a predefined coding framework.</w:t>
            </w:r>
          </w:p>
        </w:tc>
        <w:tc>
          <w:tcPr>
            <w:tcW w:w="626"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4DBDCD7" w14:textId="77777777" w:rsidR="00AB0BD3" w:rsidRPr="00E955DE" w:rsidRDefault="00AB0BD3" w:rsidP="00454512">
            <w:pPr>
              <w:pStyle w:val="TableParagraph"/>
              <w:spacing w:line="360" w:lineRule="auto"/>
              <w:ind w:left="0"/>
              <w:rPr>
                <w:bCs/>
                <w:color w:val="000000" w:themeColor="text1"/>
                <w:spacing w:val="-2"/>
                <w:sz w:val="20"/>
                <w:szCs w:val="20"/>
              </w:rPr>
            </w:pPr>
            <w:r w:rsidRPr="00AA410D">
              <w:rPr>
                <w:bCs/>
                <w:color w:val="000000" w:themeColor="text1"/>
                <w:spacing w:val="-2"/>
                <w:sz w:val="20"/>
                <w:szCs w:val="20"/>
              </w:rPr>
              <w:t>Multi-country perspective; focuses on real-world implementation and policy considerations; captures stakeholder insights on feasibility, acceptability, and target groups.</w:t>
            </w:r>
          </w:p>
        </w:tc>
        <w:tc>
          <w:tcPr>
            <w:tcW w:w="570"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1B404C4" w14:textId="77777777" w:rsidR="00AB0BD3" w:rsidRPr="00E955DE" w:rsidRDefault="00AB0BD3" w:rsidP="00454512">
            <w:pPr>
              <w:pStyle w:val="TableParagraph"/>
              <w:spacing w:line="360" w:lineRule="auto"/>
              <w:ind w:left="0"/>
              <w:rPr>
                <w:bCs/>
                <w:color w:val="000000" w:themeColor="text1"/>
                <w:spacing w:val="-2"/>
                <w:sz w:val="20"/>
                <w:szCs w:val="20"/>
              </w:rPr>
            </w:pPr>
            <w:r w:rsidRPr="00AA410D">
              <w:rPr>
                <w:bCs/>
                <w:color w:val="000000" w:themeColor="text1"/>
                <w:spacing w:val="-2"/>
                <w:sz w:val="20"/>
                <w:szCs w:val="20"/>
              </w:rPr>
              <w:t>Qualitative design limits generalisability; relies on perceptions rather than observed implementation; does not measure health outcomes or vaccine effectiveness.</w:t>
            </w:r>
          </w:p>
        </w:tc>
        <w:tc>
          <w:tcPr>
            <w:tcW w:w="729"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22792D1" w14:textId="77777777" w:rsidR="00AB0BD3" w:rsidRPr="00E955DE" w:rsidRDefault="00AB0BD3" w:rsidP="00454512">
            <w:pPr>
              <w:pStyle w:val="TableParagraph"/>
              <w:spacing w:line="360" w:lineRule="auto"/>
              <w:ind w:left="0"/>
              <w:rPr>
                <w:bCs/>
                <w:color w:val="000000" w:themeColor="text1"/>
                <w:spacing w:val="-2"/>
                <w:sz w:val="20"/>
                <w:szCs w:val="20"/>
              </w:rPr>
            </w:pPr>
            <w:r w:rsidRPr="00AA410D">
              <w:rPr>
                <w:bCs/>
                <w:color w:val="000000" w:themeColor="text1"/>
                <w:spacing w:val="-2"/>
                <w:sz w:val="20"/>
                <w:szCs w:val="20"/>
              </w:rPr>
              <w:t xml:space="preserve">Stakeholders showed strong interest in new TB vaccines. School-attending adolescents were identified as key targets in all countries; older adults were also identified in India and China. Routine vaccination was preferred over mass campaigns. Challenges included </w:t>
            </w:r>
            <w:r w:rsidRPr="00AA410D">
              <w:rPr>
                <w:bCs/>
                <w:color w:val="000000" w:themeColor="text1"/>
                <w:spacing w:val="-2"/>
                <w:sz w:val="20"/>
                <w:szCs w:val="20"/>
              </w:rPr>
              <w:lastRenderedPageBreak/>
              <w:t>infrastructure needs and two-dose regimens (M72/AS01E), while BCG familiarity was valued but concerns existed for people living with HIV.</w:t>
            </w:r>
          </w:p>
        </w:tc>
        <w:tc>
          <w:tcPr>
            <w:tcW w:w="800"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3383DF0" w14:textId="77777777" w:rsidR="00AB0BD3" w:rsidRPr="00E955DE" w:rsidRDefault="00AB0BD3" w:rsidP="00454512">
            <w:pPr>
              <w:pStyle w:val="TableParagraph"/>
              <w:spacing w:line="360" w:lineRule="auto"/>
              <w:rPr>
                <w:bCs/>
                <w:color w:val="000000" w:themeColor="text1"/>
                <w:spacing w:val="-2"/>
                <w:sz w:val="20"/>
                <w:szCs w:val="20"/>
              </w:rPr>
            </w:pPr>
            <w:r w:rsidRPr="00192B1E">
              <w:rPr>
                <w:bCs/>
                <w:color w:val="000000" w:themeColor="text1"/>
                <w:spacing w:val="-2"/>
                <w:sz w:val="20"/>
                <w:szCs w:val="20"/>
              </w:rPr>
              <w:lastRenderedPageBreak/>
              <w:t>Successful implementation of novel TB vaccines will depend on country-specific strategies, with routine delivery and clearly defined target groups. Early inclusion of these groups in trials and planning is essential for effective rollout.</w:t>
            </w:r>
          </w:p>
        </w:tc>
      </w:tr>
      <w:tr w:rsidR="00AB0BD3" w:rsidRPr="00E955DE" w14:paraId="65FC2781" w14:textId="77777777" w:rsidTr="00454512">
        <w:trPr>
          <w:trHeight w:val="470"/>
        </w:trPr>
        <w:tc>
          <w:tcPr>
            <w:tcW w:w="402"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1DF8DD9" w14:textId="77777777" w:rsidR="00AB0BD3" w:rsidRPr="00E955DE" w:rsidRDefault="00AB0BD3" w:rsidP="00454512">
            <w:pPr>
              <w:pStyle w:val="TableParagraph"/>
              <w:spacing w:line="360" w:lineRule="auto"/>
              <w:rPr>
                <w:bCs/>
                <w:color w:val="000000" w:themeColor="text1"/>
                <w:spacing w:val="-2"/>
                <w:kern w:val="2"/>
                <w:sz w:val="20"/>
                <w:szCs w:val="20"/>
                <w:lang w:eastAsia="en-US"/>
              </w:rPr>
            </w:pPr>
            <w:r w:rsidRPr="008E4107">
              <w:rPr>
                <w:bCs/>
                <w:color w:val="000000" w:themeColor="text1"/>
                <w:spacing w:val="-2"/>
                <w:kern w:val="2"/>
                <w:sz w:val="20"/>
                <w:szCs w:val="20"/>
                <w:lang w:eastAsia="en-US"/>
              </w:rPr>
              <w:t>Clark</w:t>
            </w:r>
            <w:r>
              <w:rPr>
                <w:bCs/>
                <w:color w:val="000000" w:themeColor="text1"/>
                <w:spacing w:val="-2"/>
                <w:kern w:val="2"/>
                <w:sz w:val="20"/>
                <w:szCs w:val="20"/>
                <w:lang w:eastAsia="en-US"/>
              </w:rPr>
              <w:t xml:space="preserve"> et al, 2024</w:t>
            </w:r>
          </w:p>
        </w:tc>
        <w:tc>
          <w:tcPr>
            <w:tcW w:w="567"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851A589" w14:textId="77777777" w:rsidR="00AB0BD3" w:rsidRPr="00E955DE" w:rsidRDefault="00AB0BD3" w:rsidP="00454512">
            <w:pPr>
              <w:pStyle w:val="TableParagraph"/>
              <w:spacing w:line="360" w:lineRule="auto"/>
              <w:ind w:left="107"/>
              <w:rPr>
                <w:bCs/>
                <w:color w:val="000000" w:themeColor="text1"/>
                <w:spacing w:val="-2"/>
                <w:kern w:val="2"/>
                <w:sz w:val="20"/>
                <w:szCs w:val="20"/>
                <w:lang w:eastAsia="en-US"/>
              </w:rPr>
            </w:pPr>
            <w:r w:rsidRPr="00C114D6">
              <w:rPr>
                <w:bCs/>
                <w:color w:val="000000" w:themeColor="text1"/>
                <w:spacing w:val="-2"/>
                <w:kern w:val="2"/>
                <w:sz w:val="20"/>
                <w:szCs w:val="20"/>
                <w:lang w:eastAsia="en-US"/>
              </w:rPr>
              <w:t>To compare the health and economic impact of M72/AS01E and BCG-revaccination in Indian regions with differing TB prevalence under alternative delivery strategies.</w:t>
            </w:r>
          </w:p>
        </w:tc>
        <w:tc>
          <w:tcPr>
            <w:tcW w:w="681"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F483B3B" w14:textId="77777777" w:rsidR="00AB0BD3" w:rsidRPr="00E955DE" w:rsidRDefault="00AB0BD3" w:rsidP="00454512">
            <w:pPr>
              <w:pStyle w:val="TableParagraph"/>
              <w:spacing w:line="360" w:lineRule="auto"/>
              <w:ind w:left="107"/>
              <w:rPr>
                <w:bCs/>
                <w:color w:val="000000" w:themeColor="text1"/>
                <w:spacing w:val="-2"/>
                <w:kern w:val="2"/>
                <w:sz w:val="20"/>
                <w:szCs w:val="20"/>
                <w:lang w:eastAsia="en-US"/>
              </w:rPr>
            </w:pPr>
            <w:r w:rsidRPr="00C114D6">
              <w:rPr>
                <w:bCs/>
                <w:color w:val="000000" w:themeColor="text1"/>
                <w:spacing w:val="-2"/>
                <w:kern w:val="2"/>
                <w:sz w:val="20"/>
                <w:szCs w:val="20"/>
                <w:lang w:eastAsia="en-US"/>
              </w:rPr>
              <w:t>India; regional modelling focused on Delhi (high TB prevalence) and Gujarat (low TB prevalence).</w:t>
            </w:r>
          </w:p>
        </w:tc>
        <w:tc>
          <w:tcPr>
            <w:tcW w:w="625"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11524B3" w14:textId="77777777" w:rsidR="00AB0BD3" w:rsidRPr="00E955DE" w:rsidRDefault="00AB0BD3" w:rsidP="00454512">
            <w:pPr>
              <w:pStyle w:val="TableParagraph"/>
              <w:spacing w:line="360" w:lineRule="auto"/>
              <w:ind w:left="107"/>
              <w:rPr>
                <w:bCs/>
                <w:color w:val="000000" w:themeColor="text1"/>
                <w:spacing w:val="-2"/>
                <w:kern w:val="2"/>
                <w:sz w:val="20"/>
                <w:szCs w:val="20"/>
                <w:lang w:eastAsia="en-US"/>
              </w:rPr>
            </w:pPr>
            <w:r w:rsidRPr="00C114D6">
              <w:rPr>
                <w:bCs/>
                <w:color w:val="000000" w:themeColor="text1"/>
                <w:spacing w:val="-2"/>
                <w:kern w:val="2"/>
                <w:sz w:val="20"/>
                <w:szCs w:val="20"/>
                <w:lang w:eastAsia="en-US"/>
              </w:rPr>
              <w:t>Mathematical compartmental TB transmission model; regional projections to 2050; simulation of vaccine scenarios varying target ages and vaccine characteristics; cost-effectiveness analysis using multiple thresholds.</w:t>
            </w:r>
          </w:p>
        </w:tc>
        <w:tc>
          <w:tcPr>
            <w:tcW w:w="626"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32D8779" w14:textId="77777777" w:rsidR="00AB0BD3" w:rsidRPr="00E955DE" w:rsidRDefault="00AB0BD3" w:rsidP="00454512">
            <w:pPr>
              <w:pStyle w:val="TableParagraph"/>
              <w:spacing w:line="360" w:lineRule="auto"/>
              <w:rPr>
                <w:bCs/>
                <w:color w:val="000000" w:themeColor="text1"/>
                <w:spacing w:val="-2"/>
                <w:kern w:val="2"/>
                <w:sz w:val="20"/>
                <w:szCs w:val="20"/>
                <w:lang w:eastAsia="en-US"/>
              </w:rPr>
            </w:pPr>
            <w:r w:rsidRPr="00C114D6">
              <w:rPr>
                <w:bCs/>
                <w:color w:val="000000" w:themeColor="text1"/>
                <w:spacing w:val="-2"/>
                <w:kern w:val="2"/>
                <w:sz w:val="20"/>
                <w:szCs w:val="20"/>
                <w:lang w:eastAsia="en-US"/>
              </w:rPr>
              <w:t>Region-specific comparison; integrates epidemiological and economic outcomes; evaluates multiple delivery and efficacy scenarios; policy-relevant long-term projections.</w:t>
            </w:r>
          </w:p>
        </w:tc>
        <w:tc>
          <w:tcPr>
            <w:tcW w:w="570"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4B2F963" w14:textId="77777777" w:rsidR="00AB0BD3" w:rsidRPr="00E955DE" w:rsidRDefault="00AB0BD3" w:rsidP="00454512">
            <w:pPr>
              <w:pStyle w:val="TableParagraph"/>
              <w:spacing w:line="360" w:lineRule="auto"/>
              <w:rPr>
                <w:bCs/>
                <w:color w:val="000000" w:themeColor="text1"/>
                <w:spacing w:val="-2"/>
                <w:kern w:val="2"/>
                <w:sz w:val="20"/>
                <w:szCs w:val="20"/>
                <w:lang w:eastAsia="en-US"/>
              </w:rPr>
            </w:pPr>
            <w:r w:rsidRPr="00C114D6">
              <w:rPr>
                <w:bCs/>
                <w:color w:val="000000" w:themeColor="text1"/>
                <w:spacing w:val="-2"/>
                <w:kern w:val="2"/>
                <w:sz w:val="20"/>
                <w:szCs w:val="20"/>
                <w:lang w:eastAsia="en-US"/>
              </w:rPr>
              <w:t>Model-based assumptions may not reflect real-world implementation; relies on assumed vaccine efficacy and costs; uncertainty remains without empirical post-implementation data.</w:t>
            </w:r>
          </w:p>
        </w:tc>
        <w:tc>
          <w:tcPr>
            <w:tcW w:w="729"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1161470" w14:textId="77777777" w:rsidR="00AB0BD3" w:rsidRPr="00E955DE" w:rsidRDefault="00AB0BD3" w:rsidP="00454512">
            <w:pPr>
              <w:pStyle w:val="TableParagraph"/>
              <w:spacing w:line="360" w:lineRule="auto"/>
              <w:rPr>
                <w:bCs/>
                <w:color w:val="000000" w:themeColor="text1"/>
                <w:spacing w:val="-2"/>
                <w:kern w:val="2"/>
                <w:sz w:val="20"/>
                <w:szCs w:val="20"/>
                <w:lang w:eastAsia="en-US"/>
              </w:rPr>
            </w:pPr>
            <w:r w:rsidRPr="00C114D6">
              <w:rPr>
                <w:bCs/>
                <w:color w:val="000000" w:themeColor="text1"/>
                <w:spacing w:val="-2"/>
                <w:kern w:val="2"/>
                <w:sz w:val="20"/>
                <w:szCs w:val="20"/>
                <w:lang w:eastAsia="en-US"/>
              </w:rPr>
              <w:t>M72/AS01E averted more TB cases than BCG-revaccination (Delhi: 16.0% vs 8.3%; Gujarat: 8.5% vs 5.1%) but incurred higher costs. BCG-revaccination was cost-effective or cost-saving in both regions. M72/AS01E was cost-effective in Delhi across scenarios and in Gujarat under most assumptions.</w:t>
            </w:r>
          </w:p>
        </w:tc>
        <w:tc>
          <w:tcPr>
            <w:tcW w:w="800"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71AB0C4" w14:textId="77777777" w:rsidR="00AB0BD3" w:rsidRPr="00E955DE" w:rsidRDefault="00AB0BD3" w:rsidP="00454512">
            <w:pPr>
              <w:pStyle w:val="TableParagraph"/>
              <w:spacing w:line="360" w:lineRule="auto"/>
              <w:rPr>
                <w:bCs/>
                <w:color w:val="000000" w:themeColor="text1"/>
                <w:spacing w:val="-2"/>
                <w:sz w:val="20"/>
                <w:szCs w:val="20"/>
              </w:rPr>
            </w:pPr>
            <w:r w:rsidRPr="00C114D6">
              <w:rPr>
                <w:bCs/>
                <w:color w:val="000000" w:themeColor="text1"/>
                <w:spacing w:val="-2"/>
                <w:sz w:val="20"/>
                <w:szCs w:val="20"/>
              </w:rPr>
              <w:t>Both M72/AS01E and BCG-revaccination could substantially reduce TB burden and be cost-effective in India. Regional differences in TB prevalence and demography should guide vaccine selection and delivery strategies.</w:t>
            </w:r>
          </w:p>
        </w:tc>
      </w:tr>
    </w:tbl>
    <w:p w14:paraId="15847AD3" w14:textId="77777777" w:rsidR="00AB0BD3" w:rsidRPr="00ED61CC" w:rsidRDefault="00AB0BD3" w:rsidP="00AB0BD3">
      <w:pPr>
        <w:spacing w:line="360" w:lineRule="auto"/>
        <w:jc w:val="both"/>
        <w:rPr>
          <w:rFonts w:ascii="Arial" w:hAnsi="Arial" w:cs="Arial"/>
        </w:rPr>
      </w:pPr>
    </w:p>
    <w:p w14:paraId="53ACCFBF" w14:textId="79B61D56" w:rsidR="00AB0BD3" w:rsidRDefault="000A64A5" w:rsidP="004F2450">
      <w:pPr>
        <w:pStyle w:val="Heading1"/>
      </w:pPr>
      <w:bookmarkStart w:id="43" w:name="_Toc218418697"/>
      <w:r>
        <w:t>4.</w:t>
      </w:r>
      <w:r w:rsidR="009F4010">
        <w:t>4</w:t>
      </w:r>
      <w:r>
        <w:t xml:space="preserve"> </w:t>
      </w:r>
      <w:r w:rsidR="00AB0BD3">
        <w:t>Thematic Analysis</w:t>
      </w:r>
      <w:bookmarkEnd w:id="43"/>
    </w:p>
    <w:p w14:paraId="27AAB54B" w14:textId="4B61C969" w:rsidR="00AB0BD3" w:rsidRPr="000955A3" w:rsidRDefault="00AB0BD3" w:rsidP="00AB0BD3">
      <w:pPr>
        <w:pStyle w:val="Heading2"/>
        <w:rPr>
          <w:lang w:eastAsia="en-GB"/>
        </w:rPr>
      </w:pPr>
      <w:bookmarkStart w:id="44" w:name="_Toc218418698"/>
      <w:r w:rsidRPr="000955A3">
        <w:rPr>
          <w:lang w:eastAsia="en-GB"/>
        </w:rPr>
        <w:t>Theme 1:</w:t>
      </w:r>
      <w:r w:rsidR="00A20467">
        <w:rPr>
          <w:lang w:eastAsia="en-GB"/>
        </w:rPr>
        <w:t>Low</w:t>
      </w:r>
      <w:r w:rsidRPr="000955A3">
        <w:rPr>
          <w:lang w:eastAsia="en-GB"/>
        </w:rPr>
        <w:t xml:space="preserve"> Impact of BCG and TB Vaccination Strategies on TB Incidence and Morbidity</w:t>
      </w:r>
      <w:bookmarkEnd w:id="44"/>
    </w:p>
    <w:p w14:paraId="5AF9CF18" w14:textId="77777777" w:rsidR="00AB0BD3" w:rsidRPr="000955A3" w:rsidRDefault="00AB0BD3" w:rsidP="00AB0BD3">
      <w:pPr>
        <w:spacing w:line="360" w:lineRule="auto"/>
        <w:jc w:val="both"/>
        <w:rPr>
          <w:rFonts w:ascii="Arial" w:hAnsi="Arial" w:cs="Arial"/>
          <w:lang w:eastAsia="en-GB"/>
        </w:rPr>
      </w:pPr>
      <w:r w:rsidRPr="000955A3">
        <w:rPr>
          <w:rFonts w:ascii="Arial" w:hAnsi="Arial" w:cs="Arial"/>
          <w:lang w:eastAsia="en-GB"/>
        </w:rPr>
        <w:t xml:space="preserve">Evidence across modelling and review studies demonstrates that vaccination strategies, including BCG revaccination, have the potential to significantly reduce </w:t>
      </w:r>
      <w:r w:rsidRPr="000955A3">
        <w:rPr>
          <w:rFonts w:ascii="Arial" w:hAnsi="Arial" w:cs="Arial"/>
          <w:lang w:eastAsia="en-GB"/>
        </w:rPr>
        <w:lastRenderedPageBreak/>
        <w:t>tuberculosis incidence and mortality, particularly in high-burden settings such as Delhi. Two modelling studies by Clark et al. (2024) consistently showed that BCG revaccination could avert between 8–9% of TB cases and deaths in Delhi over long-term projections, while newer vaccine candidates such as M72/AS01E showed even higher impact. These findings indicate that while BCG alone may offer moderate protection in adults, its population-level impact in high-risk urban districts remains meaningful, especially when disease prevalence is high. Similarly, Arinaminpathy et al. (2023) demonstrated that even vaccines with moderate efficacy (50%) could lead to substantial reductions in TB incidence, particularly when strategically deployed.</w:t>
      </w:r>
    </w:p>
    <w:p w14:paraId="3C8AA52F" w14:textId="5B163A0C" w:rsidR="00AB0BD3" w:rsidRPr="000955A3" w:rsidRDefault="00AB0BD3" w:rsidP="00AB0BD3">
      <w:pPr>
        <w:spacing w:line="360" w:lineRule="auto"/>
        <w:jc w:val="both"/>
        <w:rPr>
          <w:rFonts w:ascii="Arial" w:hAnsi="Arial" w:cs="Arial"/>
          <w:lang w:eastAsia="en-GB"/>
        </w:rPr>
      </w:pPr>
      <w:r w:rsidRPr="000955A3">
        <w:rPr>
          <w:rFonts w:ascii="Arial" w:hAnsi="Arial" w:cs="Arial"/>
          <w:lang w:eastAsia="en-GB"/>
        </w:rPr>
        <w:t xml:space="preserve">However, narrative and historical evidence </w:t>
      </w:r>
      <w:r w:rsidR="00F26625">
        <w:rPr>
          <w:rFonts w:ascii="Arial" w:hAnsi="Arial" w:cs="Arial"/>
          <w:lang w:eastAsia="en-GB"/>
        </w:rPr>
        <w:t>suggest</w:t>
      </w:r>
      <w:r w:rsidRPr="000955A3">
        <w:rPr>
          <w:rFonts w:ascii="Arial" w:hAnsi="Arial" w:cs="Arial"/>
          <w:lang w:eastAsia="en-GB"/>
        </w:rPr>
        <w:t xml:space="preserve"> that BCG’s effectiveness varies by age and disease form. Singh et al. (2020) highlighted that while BCG provides strong protection against severe TB in infancy, its effectiveness against pulmonary TB in adults is limited and inconsistent. This partially explains why adult TB morbidity persists in high-risk districts despite widespread childhood BCG coverage. Nevertheless, historical analyses indicate that resistance to vaccination and uneven implementation, rather than biological inefficacy alone, have influenced TB outcomes (Neelakantan, 2018). Collectively, these findings suggest that while BCG may not fully prevent adult pulmonary TB, its revaccination and integration with broader TB control strategies can contribute to reducing morbidity and transmission in high-risk populations aged 15–60 years (Clark et al., 2024; Arinaminpathy et al., 2023).</w:t>
      </w:r>
    </w:p>
    <w:p w14:paraId="2DEFD145" w14:textId="5DA46134" w:rsidR="00AB0BD3" w:rsidRPr="000955A3" w:rsidRDefault="00AB0BD3" w:rsidP="00AB0BD3">
      <w:pPr>
        <w:pStyle w:val="Heading2"/>
        <w:rPr>
          <w:lang w:eastAsia="en-GB"/>
        </w:rPr>
      </w:pPr>
      <w:bookmarkStart w:id="45" w:name="_Toc218418699"/>
      <w:r w:rsidRPr="000955A3">
        <w:rPr>
          <w:lang w:eastAsia="en-GB"/>
        </w:rPr>
        <w:t xml:space="preserve">Theme 2: </w:t>
      </w:r>
      <w:r w:rsidR="00A20467">
        <w:rPr>
          <w:lang w:eastAsia="en-GB"/>
        </w:rPr>
        <w:t xml:space="preserve">Challenging </w:t>
      </w:r>
      <w:r w:rsidRPr="000955A3">
        <w:rPr>
          <w:lang w:eastAsia="en-GB"/>
        </w:rPr>
        <w:t>Coverage and Outreach of Vaccination Campaigns in High-Risk and Vulnerable Populations</w:t>
      </w:r>
      <w:bookmarkEnd w:id="45"/>
    </w:p>
    <w:p w14:paraId="643C0BB2" w14:textId="6D5B2199" w:rsidR="00AB0BD3" w:rsidRPr="000955A3" w:rsidRDefault="00AB0BD3" w:rsidP="00AB0BD3">
      <w:pPr>
        <w:spacing w:line="360" w:lineRule="auto"/>
        <w:jc w:val="both"/>
        <w:rPr>
          <w:rFonts w:ascii="Arial" w:hAnsi="Arial" w:cs="Arial"/>
          <w:lang w:eastAsia="en-GB"/>
        </w:rPr>
      </w:pPr>
      <w:r w:rsidRPr="000955A3">
        <w:rPr>
          <w:rFonts w:ascii="Arial" w:hAnsi="Arial" w:cs="Arial"/>
          <w:lang w:eastAsia="en-GB"/>
        </w:rPr>
        <w:t>Several studies highlight substantial inequities in vaccination coverage among urban poor, migrants, and other vulnerable populations</w:t>
      </w:r>
      <w:r>
        <w:rPr>
          <w:rFonts w:ascii="Arial" w:hAnsi="Arial" w:cs="Arial"/>
          <w:lang w:eastAsia="en-GB"/>
        </w:rPr>
        <w:t xml:space="preserve">, </w:t>
      </w:r>
      <w:r w:rsidRPr="000955A3">
        <w:rPr>
          <w:rFonts w:ascii="Arial" w:hAnsi="Arial" w:cs="Arial"/>
          <w:lang w:eastAsia="en-GB"/>
        </w:rPr>
        <w:t>groups that are highly relevant to Delhi’s high-risk districts. Kusuma et al. (2018) found that immunisation coverage among migrant children was alarmingly low, particularly among recent migrants, due to mobility, lack of awareness, and unfamiliarity with urban health systems. Although this study focused on childhood vaccination, the structural barriers identified are directly transferable to adult BCG campaigns, especially among migrant workers aged 15–60 years in urban slums.</w:t>
      </w:r>
    </w:p>
    <w:p w14:paraId="6E999E60" w14:textId="1A5FE41F" w:rsidR="00AB0BD3" w:rsidRPr="000955A3" w:rsidRDefault="00AB0BD3" w:rsidP="00AB0BD3">
      <w:pPr>
        <w:spacing w:line="360" w:lineRule="auto"/>
        <w:jc w:val="both"/>
        <w:rPr>
          <w:rFonts w:ascii="Arial" w:hAnsi="Arial" w:cs="Arial"/>
          <w:lang w:eastAsia="en-GB"/>
        </w:rPr>
      </w:pPr>
      <w:r w:rsidRPr="000955A3">
        <w:rPr>
          <w:rFonts w:ascii="Arial" w:hAnsi="Arial" w:cs="Arial"/>
          <w:lang w:eastAsia="en-GB"/>
        </w:rPr>
        <w:t xml:space="preserve">Interventional evidence demonstrates that outreach-focused strategies can significantly improve vaccination coverage. Patel and Vyas (2018) showed that personal household visits, one-to-one health education, mobile reminders, and </w:t>
      </w:r>
      <w:r w:rsidRPr="000955A3">
        <w:rPr>
          <w:rFonts w:ascii="Arial" w:hAnsi="Arial" w:cs="Arial"/>
          <w:lang w:eastAsia="en-GB"/>
        </w:rPr>
        <w:lastRenderedPageBreak/>
        <w:t xml:space="preserve">engagement of community influencers led to markedly higher immunisation coverage in slum areas compared to non-intervention sites. These findings align with Pelzer et al. (2022), where stakeholders across India </w:t>
      </w:r>
      <w:r>
        <w:rPr>
          <w:rFonts w:ascii="Arial" w:hAnsi="Arial" w:cs="Arial"/>
          <w:lang w:eastAsia="en-GB"/>
        </w:rPr>
        <w:t>emphasised</w:t>
      </w:r>
      <w:r w:rsidRPr="000955A3">
        <w:rPr>
          <w:rFonts w:ascii="Arial" w:hAnsi="Arial" w:cs="Arial"/>
          <w:lang w:eastAsia="en-GB"/>
        </w:rPr>
        <w:t xml:space="preserve"> routine vaccination delivery over mass campaigns due to stigma and logistical challenges. Importantly, older adults were identified as a key target group in India, supporting the relevance of adult-focused BCG strategies. Together, these studies suggest that effective BCG outreach in Delhi’s high-risk districts depends on proactive, community-based delivery models that address mobility, awareness, and trust. Without such tailored strategies, vaccination campaigns risk systematically excluding the very populations most vulnerable to TB (Kusuma et al., 2018; Patel </w:t>
      </w:r>
      <w:r w:rsidR="003A3A09">
        <w:rPr>
          <w:rFonts w:ascii="Arial" w:hAnsi="Arial" w:cs="Arial"/>
          <w:lang w:eastAsia="en-GB"/>
        </w:rPr>
        <w:t>and</w:t>
      </w:r>
      <w:r w:rsidRPr="000955A3">
        <w:rPr>
          <w:rFonts w:ascii="Arial" w:hAnsi="Arial" w:cs="Arial"/>
          <w:lang w:eastAsia="en-GB"/>
        </w:rPr>
        <w:t xml:space="preserve"> Vyas, 2018; Pelzer et al., 2022).</w:t>
      </w:r>
    </w:p>
    <w:p w14:paraId="165DCC9A" w14:textId="77777777" w:rsidR="00AB0BD3" w:rsidRPr="000955A3" w:rsidRDefault="00AB0BD3" w:rsidP="00AB0BD3">
      <w:pPr>
        <w:pStyle w:val="Heading2"/>
        <w:rPr>
          <w:lang w:eastAsia="en-GB"/>
        </w:rPr>
      </w:pPr>
      <w:bookmarkStart w:id="46" w:name="_Toc218418700"/>
      <w:r w:rsidRPr="000955A3">
        <w:rPr>
          <w:lang w:eastAsia="en-GB"/>
        </w:rPr>
        <w:t>Theme 3: Barriers to Effective BCG Vaccination Programme Implementation</w:t>
      </w:r>
      <w:bookmarkEnd w:id="46"/>
    </w:p>
    <w:p w14:paraId="277EF003" w14:textId="77777777" w:rsidR="00AB0BD3" w:rsidRPr="000955A3" w:rsidRDefault="00AB0BD3" w:rsidP="00AB0BD3">
      <w:pPr>
        <w:spacing w:line="360" w:lineRule="auto"/>
        <w:jc w:val="both"/>
        <w:rPr>
          <w:rFonts w:ascii="Arial" w:hAnsi="Arial" w:cs="Arial"/>
          <w:lang w:eastAsia="en-GB"/>
        </w:rPr>
      </w:pPr>
      <w:r w:rsidRPr="000955A3">
        <w:rPr>
          <w:rFonts w:ascii="Arial" w:hAnsi="Arial" w:cs="Arial"/>
          <w:lang w:eastAsia="en-GB"/>
        </w:rPr>
        <w:t>Across multiple qualitative and mixed-methods studies, socio-cultural, logistical, and health-system barriers emerged as major impediments to effective vaccination implementation. Jain et al. (2020) identified fear of side effects, myths related to infertility, lack of awareness, denial by elders, and delayed BCG administration as prominent barriers in low-coverage settings. These barriers are particularly relevant in high-risk urban districts where misinformation and social resistance remain prevalent. Similarly, Patel and Vyas (2018) reported fear, religious beliefs, and lack of information about immunisation rounds as key reasons for non-acceptance in slum populations.</w:t>
      </w:r>
    </w:p>
    <w:p w14:paraId="4BCA622E" w14:textId="77EB881A" w:rsidR="00AB0BD3" w:rsidRPr="000955A3" w:rsidRDefault="00AB0BD3" w:rsidP="00AB0BD3">
      <w:pPr>
        <w:spacing w:line="360" w:lineRule="auto"/>
        <w:jc w:val="both"/>
        <w:rPr>
          <w:rFonts w:ascii="Arial" w:hAnsi="Arial" w:cs="Arial"/>
          <w:lang w:eastAsia="en-GB"/>
        </w:rPr>
      </w:pPr>
      <w:r w:rsidRPr="000955A3">
        <w:rPr>
          <w:rFonts w:ascii="Arial" w:hAnsi="Arial" w:cs="Arial"/>
          <w:lang w:eastAsia="en-GB"/>
        </w:rPr>
        <w:t>At the system level, historical and policy-focused studies reveal deeper structural challenges. Neelakantan (2018) demonstrated that resistance to BCG vaccination has long been linked to fractured governance, mistrust in state health initiatives, and tensions between biomedical and holistic approaches to health. In occupational settings, Hatherill et al. (2016) highlighted that even healthcare workers</w:t>
      </w:r>
      <w:r w:rsidR="00F26625">
        <w:rPr>
          <w:rFonts w:ascii="Arial" w:hAnsi="Arial" w:cs="Arial"/>
          <w:lang w:eastAsia="en-GB"/>
        </w:rPr>
        <w:t xml:space="preserve">, </w:t>
      </w:r>
      <w:r w:rsidRPr="000955A3">
        <w:rPr>
          <w:rFonts w:ascii="Arial" w:hAnsi="Arial" w:cs="Arial"/>
          <w:lang w:eastAsia="en-GB"/>
        </w:rPr>
        <w:t>despite high TB risk—face barriers such as lack of screening infrastructure and absence of robust occupational health systems, limiting the feasibility of BCG revaccination. Collectively, these findings show that barriers to BCG implementation are multidimensional, spanning individual beliefs, community norms, workforce constraints, and governance challenges. Addressing TB in Delhi’s high-risk districts</w:t>
      </w:r>
      <w:r>
        <w:rPr>
          <w:rFonts w:ascii="Arial" w:hAnsi="Arial" w:cs="Arial"/>
          <w:lang w:eastAsia="en-GB"/>
        </w:rPr>
        <w:t>,</w:t>
      </w:r>
      <w:r w:rsidRPr="000955A3">
        <w:rPr>
          <w:rFonts w:ascii="Arial" w:hAnsi="Arial" w:cs="Arial"/>
          <w:lang w:eastAsia="en-GB"/>
        </w:rPr>
        <w:t xml:space="preserve"> therefore</w:t>
      </w:r>
      <w:r w:rsidR="00F26625">
        <w:rPr>
          <w:rFonts w:ascii="Arial" w:hAnsi="Arial" w:cs="Arial"/>
          <w:lang w:eastAsia="en-GB"/>
        </w:rPr>
        <w:t>,</w:t>
      </w:r>
      <w:r w:rsidRPr="000955A3">
        <w:rPr>
          <w:rFonts w:ascii="Arial" w:hAnsi="Arial" w:cs="Arial"/>
          <w:lang w:eastAsia="en-GB"/>
        </w:rPr>
        <w:t xml:space="preserve"> requires not only vaccine availability but also targeted efforts to overcome misinformation, improve service accessibility, and strengthen health system trust (Jain et al., 2020; Neelakantan, 2018; Hatherill et al., 2016).</w:t>
      </w:r>
    </w:p>
    <w:p w14:paraId="2E25564E" w14:textId="0FE717B6" w:rsidR="00AB0BD3" w:rsidRPr="000955A3" w:rsidRDefault="00AB0BD3" w:rsidP="00AB0BD3">
      <w:pPr>
        <w:pStyle w:val="Heading2"/>
        <w:rPr>
          <w:lang w:eastAsia="en-GB"/>
        </w:rPr>
      </w:pPr>
      <w:bookmarkStart w:id="47" w:name="_Toc218418701"/>
      <w:r w:rsidRPr="000955A3">
        <w:rPr>
          <w:lang w:eastAsia="en-GB"/>
        </w:rPr>
        <w:lastRenderedPageBreak/>
        <w:t xml:space="preserve">Theme 4: </w:t>
      </w:r>
      <w:r w:rsidR="00A20467">
        <w:rPr>
          <w:lang w:eastAsia="en-GB"/>
        </w:rPr>
        <w:t xml:space="preserve">Various </w:t>
      </w:r>
      <w:r w:rsidRPr="000955A3">
        <w:rPr>
          <w:lang w:eastAsia="en-GB"/>
        </w:rPr>
        <w:t>Strategies for Improving BCG Campaign Design, Delivery, and Equity</w:t>
      </w:r>
      <w:bookmarkEnd w:id="47"/>
    </w:p>
    <w:p w14:paraId="696CAEC6" w14:textId="77777777" w:rsidR="00AB0BD3" w:rsidRPr="000955A3" w:rsidRDefault="00AB0BD3" w:rsidP="00AB0BD3">
      <w:pPr>
        <w:spacing w:line="360" w:lineRule="auto"/>
        <w:jc w:val="both"/>
        <w:rPr>
          <w:rFonts w:ascii="Arial" w:hAnsi="Arial" w:cs="Arial"/>
          <w:lang w:eastAsia="en-GB"/>
        </w:rPr>
      </w:pPr>
      <w:r w:rsidRPr="000955A3">
        <w:rPr>
          <w:rFonts w:ascii="Arial" w:hAnsi="Arial" w:cs="Arial"/>
          <w:lang w:eastAsia="en-GB"/>
        </w:rPr>
        <w:t xml:space="preserve">The reviewed studies provide strong evidence for adopting targeted, equity-focused strategies to enhance the effectiveness of BCG vaccination campaigns in high-risk urban populations. Modelling studies consistently </w:t>
      </w:r>
      <w:r>
        <w:rPr>
          <w:rFonts w:ascii="Arial" w:hAnsi="Arial" w:cs="Arial"/>
          <w:lang w:eastAsia="en-GB"/>
        </w:rPr>
        <w:t>emphasise prioritisation</w:t>
      </w:r>
      <w:r w:rsidRPr="000955A3">
        <w:rPr>
          <w:rFonts w:ascii="Arial" w:hAnsi="Arial" w:cs="Arial"/>
          <w:lang w:eastAsia="en-GB"/>
        </w:rPr>
        <w:t xml:space="preserve"> of vulnerable groups as a high-impact approach. Arinaminpathy et al. (2023) showed that vaccinating undernourished populations</w:t>
      </w:r>
      <w:r>
        <w:rPr>
          <w:rFonts w:ascii="Arial" w:hAnsi="Arial" w:cs="Arial"/>
          <w:lang w:eastAsia="en-GB"/>
        </w:rPr>
        <w:t xml:space="preserve">, </w:t>
      </w:r>
      <w:r w:rsidRPr="000955A3">
        <w:rPr>
          <w:rFonts w:ascii="Arial" w:hAnsi="Arial" w:cs="Arial"/>
          <w:lang w:eastAsia="en-GB"/>
        </w:rPr>
        <w:t>who represent a relatively small proportion of the population</w:t>
      </w:r>
      <w:r>
        <w:rPr>
          <w:rFonts w:ascii="Arial" w:hAnsi="Arial" w:cs="Arial"/>
          <w:lang w:eastAsia="en-GB"/>
        </w:rPr>
        <w:t xml:space="preserve">, </w:t>
      </w:r>
      <w:r w:rsidRPr="000955A3">
        <w:rPr>
          <w:rFonts w:ascii="Arial" w:hAnsi="Arial" w:cs="Arial"/>
          <w:lang w:eastAsia="en-GB"/>
        </w:rPr>
        <w:t>could achieve nearly half the impact of mass vaccination strategies. Similarly, Clark et al. (2024) demonstrated that regional tailoring of vaccination strategies based on disease prevalence and demography significantly improves cost-effectiveness, particularly in high-burden areas like Delhi.</w:t>
      </w:r>
    </w:p>
    <w:p w14:paraId="0979C3DD" w14:textId="77777777" w:rsidR="00AB0BD3" w:rsidRDefault="00AB0BD3" w:rsidP="00AB0BD3">
      <w:pPr>
        <w:spacing w:line="360" w:lineRule="auto"/>
        <w:jc w:val="both"/>
        <w:rPr>
          <w:rFonts w:ascii="Arial" w:hAnsi="Arial" w:cs="Arial"/>
          <w:lang w:eastAsia="en-GB"/>
        </w:rPr>
      </w:pPr>
      <w:r w:rsidRPr="000955A3">
        <w:rPr>
          <w:rFonts w:ascii="Arial" w:hAnsi="Arial" w:cs="Arial"/>
          <w:lang w:eastAsia="en-GB"/>
        </w:rPr>
        <w:t xml:space="preserve">Community-based and system-strengthening strategies also emerged as critical enablers. Patel and Vyas (2018) provided practical evidence that personalised outreach, community leader involvement, and digital reminders can substantially improve coverage. Pelzer et al. (2022) further recommended routine vaccination platforms over mass campaigns to reduce stigma and logistical barriers, especially for adolescents and adults. Additionally, Singh et al. (2020) and Hatherill et al. (2016) stressed the importance of integrating vaccination with broader public health and occupational health systems. Overall, the evidence supports a shift from one-size-fits-all approaches toward locally adapted, people-centred BCG campaigns that prioritise high-risk adults, migrants, and underserved communities. Such strategies are essential for improving equity, coverage, and long-term TB control in Delhi’s high-risk districts (Clark et al., 2024; Arinaminpathy et al., 2023; Patel </w:t>
      </w:r>
      <w:r>
        <w:rPr>
          <w:rFonts w:ascii="Arial" w:hAnsi="Arial" w:cs="Arial"/>
          <w:lang w:eastAsia="en-GB"/>
        </w:rPr>
        <w:t>and</w:t>
      </w:r>
      <w:r w:rsidRPr="000955A3">
        <w:rPr>
          <w:rFonts w:ascii="Arial" w:hAnsi="Arial" w:cs="Arial"/>
          <w:lang w:eastAsia="en-GB"/>
        </w:rPr>
        <w:t xml:space="preserve"> Vyas, 2018).</w:t>
      </w:r>
    </w:p>
    <w:p w14:paraId="151871EC" w14:textId="7C7D1B17" w:rsidR="009F4010" w:rsidRPr="009F4010" w:rsidRDefault="009F4010" w:rsidP="004F2450">
      <w:pPr>
        <w:pStyle w:val="Heading1"/>
      </w:pPr>
      <w:bookmarkStart w:id="48" w:name="_Toc218418702"/>
      <w:r>
        <w:t xml:space="preserve">4.5 </w:t>
      </w:r>
      <w:r w:rsidRPr="009F4010">
        <w:t>Chapter Summary</w:t>
      </w:r>
      <w:bookmarkEnd w:id="48"/>
    </w:p>
    <w:p w14:paraId="65D73343" w14:textId="77777777" w:rsidR="009F4010" w:rsidRPr="009F4010" w:rsidRDefault="009F4010" w:rsidP="009F4010">
      <w:pPr>
        <w:spacing w:line="360" w:lineRule="auto"/>
        <w:jc w:val="both"/>
        <w:rPr>
          <w:rFonts w:ascii="Arial" w:hAnsi="Arial" w:cs="Arial"/>
          <w:lang w:eastAsia="en-GB"/>
        </w:rPr>
      </w:pPr>
      <w:r w:rsidRPr="009F4010">
        <w:rPr>
          <w:rFonts w:ascii="Arial" w:hAnsi="Arial" w:cs="Arial"/>
          <w:lang w:eastAsia="en-GB"/>
        </w:rPr>
        <w:t>This chapter presented the results of a systematic review examining the impact of BCG vaccination campaigns on tuberculosis outcomes among high-risk populations aged 15–60 years in selected districts of Delhi. Using PRISMA-guided methods, ten studies were included, encompassing modelling, observational, qualitative, and programmatic evidence. The findings indicate that BCG vaccination and revaccination have a modest but meaningful population-level impact on TB incidence and mortality in high-burden urban settings, particularly when strategically targeted. However, persistent inequities in coverage, especially among migrants, slum dwellers, and socio-economically disadvantaged groups, substantially limit effectiveness. Socio-</w:t>
      </w:r>
      <w:r w:rsidRPr="009F4010">
        <w:rPr>
          <w:rFonts w:ascii="Arial" w:hAnsi="Arial" w:cs="Arial"/>
          <w:lang w:eastAsia="en-GB"/>
        </w:rPr>
        <w:lastRenderedPageBreak/>
        <w:t>cultural resistance, misinformation, delayed vaccination, and health-system constraints emerged as key barriers to implementation. Importantly, evidence consistently supported risk-based targeting, community-based outreach, strengthened routine services, and integration with broader TB control measures as effective strategies for improving equity and impact. Overall, the results highlight that optimising BCG campaign design and delivery is essential for enhancing TB control in Delhi’s high-risk districts.</w:t>
      </w:r>
    </w:p>
    <w:p w14:paraId="004E8A79" w14:textId="77777777" w:rsidR="00850D98" w:rsidRDefault="00850D98" w:rsidP="00AB0BD3">
      <w:pPr>
        <w:spacing w:line="360" w:lineRule="auto"/>
        <w:jc w:val="both"/>
        <w:rPr>
          <w:rFonts w:ascii="Arial" w:hAnsi="Arial" w:cs="Arial"/>
          <w:lang w:eastAsia="en-GB"/>
        </w:rPr>
      </w:pPr>
    </w:p>
    <w:p w14:paraId="3A0D9CE5" w14:textId="77777777" w:rsidR="00850D98" w:rsidRDefault="00850D98" w:rsidP="00AB0BD3">
      <w:pPr>
        <w:spacing w:line="360" w:lineRule="auto"/>
        <w:jc w:val="both"/>
        <w:rPr>
          <w:rFonts w:ascii="Arial" w:hAnsi="Arial" w:cs="Arial"/>
          <w:lang w:eastAsia="en-GB"/>
        </w:rPr>
      </w:pPr>
    </w:p>
    <w:p w14:paraId="7E31F3FB" w14:textId="77777777" w:rsidR="0052700B" w:rsidRDefault="0052700B" w:rsidP="00AB0BD3">
      <w:pPr>
        <w:spacing w:line="360" w:lineRule="auto"/>
        <w:jc w:val="both"/>
        <w:rPr>
          <w:rFonts w:ascii="Arial" w:hAnsi="Arial" w:cs="Arial"/>
          <w:lang w:eastAsia="en-GB"/>
        </w:rPr>
      </w:pPr>
    </w:p>
    <w:p w14:paraId="19031460" w14:textId="77777777" w:rsidR="0052700B" w:rsidRDefault="0052700B" w:rsidP="00AB0BD3">
      <w:pPr>
        <w:spacing w:line="360" w:lineRule="auto"/>
        <w:jc w:val="both"/>
        <w:rPr>
          <w:rFonts w:ascii="Arial" w:hAnsi="Arial" w:cs="Arial"/>
          <w:lang w:eastAsia="en-GB"/>
        </w:rPr>
      </w:pPr>
    </w:p>
    <w:p w14:paraId="519CFB40" w14:textId="77777777" w:rsidR="0052700B" w:rsidRDefault="0052700B" w:rsidP="00AB0BD3">
      <w:pPr>
        <w:spacing w:line="360" w:lineRule="auto"/>
        <w:jc w:val="both"/>
        <w:rPr>
          <w:rFonts w:ascii="Arial" w:hAnsi="Arial" w:cs="Arial"/>
          <w:lang w:eastAsia="en-GB"/>
        </w:rPr>
      </w:pPr>
    </w:p>
    <w:p w14:paraId="0676398E" w14:textId="77777777" w:rsidR="0052700B" w:rsidRDefault="0052700B" w:rsidP="00AB0BD3">
      <w:pPr>
        <w:spacing w:line="360" w:lineRule="auto"/>
        <w:jc w:val="both"/>
        <w:rPr>
          <w:rFonts w:ascii="Arial" w:hAnsi="Arial" w:cs="Arial"/>
          <w:lang w:eastAsia="en-GB"/>
        </w:rPr>
      </w:pPr>
    </w:p>
    <w:p w14:paraId="6537B479" w14:textId="77777777" w:rsidR="0052700B" w:rsidRDefault="0052700B" w:rsidP="00AB0BD3">
      <w:pPr>
        <w:spacing w:line="360" w:lineRule="auto"/>
        <w:jc w:val="both"/>
        <w:rPr>
          <w:rFonts w:ascii="Arial" w:hAnsi="Arial" w:cs="Arial"/>
          <w:lang w:eastAsia="en-GB"/>
        </w:rPr>
      </w:pPr>
    </w:p>
    <w:p w14:paraId="7471452E" w14:textId="77777777" w:rsidR="0052700B" w:rsidRDefault="0052700B" w:rsidP="00AB0BD3">
      <w:pPr>
        <w:spacing w:line="360" w:lineRule="auto"/>
        <w:jc w:val="both"/>
        <w:rPr>
          <w:rFonts w:ascii="Arial" w:hAnsi="Arial" w:cs="Arial"/>
          <w:lang w:eastAsia="en-GB"/>
        </w:rPr>
      </w:pPr>
    </w:p>
    <w:p w14:paraId="6CBA6868" w14:textId="77777777" w:rsidR="0052700B" w:rsidRDefault="0052700B" w:rsidP="00AB0BD3">
      <w:pPr>
        <w:spacing w:line="360" w:lineRule="auto"/>
        <w:jc w:val="both"/>
        <w:rPr>
          <w:rFonts w:ascii="Arial" w:hAnsi="Arial" w:cs="Arial"/>
          <w:lang w:eastAsia="en-GB"/>
        </w:rPr>
      </w:pPr>
    </w:p>
    <w:p w14:paraId="480CFBE9" w14:textId="77777777" w:rsidR="0052700B" w:rsidRDefault="0052700B" w:rsidP="00AB0BD3">
      <w:pPr>
        <w:spacing w:line="360" w:lineRule="auto"/>
        <w:jc w:val="both"/>
        <w:rPr>
          <w:rFonts w:ascii="Arial" w:hAnsi="Arial" w:cs="Arial"/>
          <w:lang w:eastAsia="en-GB"/>
        </w:rPr>
      </w:pPr>
    </w:p>
    <w:p w14:paraId="00DAB929" w14:textId="77777777" w:rsidR="0052700B" w:rsidRDefault="0052700B" w:rsidP="00AB0BD3">
      <w:pPr>
        <w:spacing w:line="360" w:lineRule="auto"/>
        <w:jc w:val="both"/>
        <w:rPr>
          <w:rFonts w:ascii="Arial" w:hAnsi="Arial" w:cs="Arial"/>
          <w:lang w:eastAsia="en-GB"/>
        </w:rPr>
      </w:pPr>
    </w:p>
    <w:p w14:paraId="69CCAD43" w14:textId="77777777" w:rsidR="0052700B" w:rsidRDefault="0052700B" w:rsidP="00AB0BD3">
      <w:pPr>
        <w:spacing w:line="360" w:lineRule="auto"/>
        <w:jc w:val="both"/>
        <w:rPr>
          <w:rFonts w:ascii="Arial" w:hAnsi="Arial" w:cs="Arial"/>
          <w:lang w:eastAsia="en-GB"/>
        </w:rPr>
      </w:pPr>
    </w:p>
    <w:p w14:paraId="1A97C924" w14:textId="77777777" w:rsidR="0052700B" w:rsidRDefault="0052700B" w:rsidP="00AB0BD3">
      <w:pPr>
        <w:spacing w:line="360" w:lineRule="auto"/>
        <w:jc w:val="both"/>
        <w:rPr>
          <w:rFonts w:ascii="Arial" w:hAnsi="Arial" w:cs="Arial"/>
          <w:lang w:eastAsia="en-GB"/>
        </w:rPr>
      </w:pPr>
    </w:p>
    <w:p w14:paraId="0ACD801F" w14:textId="77777777" w:rsidR="0052700B" w:rsidRDefault="0052700B" w:rsidP="00AB0BD3">
      <w:pPr>
        <w:spacing w:line="360" w:lineRule="auto"/>
        <w:jc w:val="both"/>
        <w:rPr>
          <w:rFonts w:ascii="Arial" w:hAnsi="Arial" w:cs="Arial"/>
          <w:lang w:eastAsia="en-GB"/>
        </w:rPr>
      </w:pPr>
    </w:p>
    <w:p w14:paraId="343D74E8" w14:textId="77777777" w:rsidR="0052700B" w:rsidRDefault="0052700B" w:rsidP="00AB0BD3">
      <w:pPr>
        <w:spacing w:line="360" w:lineRule="auto"/>
        <w:jc w:val="both"/>
        <w:rPr>
          <w:rFonts w:ascii="Arial" w:hAnsi="Arial" w:cs="Arial"/>
          <w:lang w:eastAsia="en-GB"/>
        </w:rPr>
      </w:pPr>
    </w:p>
    <w:p w14:paraId="784098C3" w14:textId="77777777" w:rsidR="0052700B" w:rsidRDefault="0052700B" w:rsidP="00AB0BD3">
      <w:pPr>
        <w:spacing w:line="360" w:lineRule="auto"/>
        <w:jc w:val="both"/>
        <w:rPr>
          <w:rFonts w:ascii="Arial" w:hAnsi="Arial" w:cs="Arial"/>
          <w:lang w:eastAsia="en-GB"/>
        </w:rPr>
      </w:pPr>
    </w:p>
    <w:p w14:paraId="7C8B8C52" w14:textId="77777777" w:rsidR="00850D98" w:rsidRDefault="00850D98" w:rsidP="00AB0BD3">
      <w:pPr>
        <w:spacing w:line="360" w:lineRule="auto"/>
        <w:jc w:val="both"/>
        <w:rPr>
          <w:rFonts w:ascii="Arial" w:hAnsi="Arial" w:cs="Arial"/>
          <w:lang w:eastAsia="en-GB"/>
        </w:rPr>
      </w:pPr>
    </w:p>
    <w:p w14:paraId="1FC0F80F" w14:textId="77777777" w:rsidR="004A56F1" w:rsidRPr="001D37FF" w:rsidRDefault="004A56F1" w:rsidP="004F2450">
      <w:pPr>
        <w:pStyle w:val="Heading1"/>
      </w:pPr>
      <w:bookmarkStart w:id="49" w:name="_Toc218418703"/>
      <w:r w:rsidRPr="00FC3864">
        <w:lastRenderedPageBreak/>
        <w:t>Chapter 5: Discussion</w:t>
      </w:r>
      <w:bookmarkEnd w:id="49"/>
      <w:r w:rsidRPr="00FC3864">
        <w:t xml:space="preserve"> </w:t>
      </w:r>
    </w:p>
    <w:p w14:paraId="48F912A5" w14:textId="55668F52" w:rsidR="004A56F1" w:rsidRPr="00FC3864" w:rsidRDefault="00FB66E1" w:rsidP="004F2450">
      <w:pPr>
        <w:pStyle w:val="Heading1"/>
      </w:pPr>
      <w:bookmarkStart w:id="50" w:name="_Toc218418704"/>
      <w:r>
        <w:t xml:space="preserve">5.1 </w:t>
      </w:r>
      <w:r w:rsidR="004A56F1" w:rsidRPr="00FC3864">
        <w:t>Introduction</w:t>
      </w:r>
      <w:bookmarkEnd w:id="50"/>
    </w:p>
    <w:p w14:paraId="164D15F4" w14:textId="77777777" w:rsidR="004A56F1" w:rsidRPr="001D37FF" w:rsidRDefault="004A56F1" w:rsidP="004A56F1">
      <w:pPr>
        <w:spacing w:line="360" w:lineRule="auto"/>
        <w:jc w:val="both"/>
        <w:rPr>
          <w:rFonts w:ascii="Arial" w:hAnsi="Arial" w:cs="Arial"/>
        </w:rPr>
      </w:pPr>
      <w:r w:rsidRPr="00FC3864">
        <w:rPr>
          <w:rFonts w:ascii="Arial" w:hAnsi="Arial" w:cs="Arial"/>
        </w:rPr>
        <w:t xml:space="preserve">This chapter discusses the findings of the systematic review evaluating the impact of Bacillus Calmette–Guérin (BCG) vaccination campaigns on tuberculosis (TB) control among high-risk populations aged 15 to 60 years in selected districts of Delhi, India. The discussion integrates epidemiological, programmatic, and socio-contextual evidence to address the study’s research question, aim, and objectives. Drawing on modelling studies, reviews, qualitative research, and community-based investigations, this chapter critically examines trends in TB incidence in relation to BCG implementation, the reach of vaccination campaigns among vulnerable adult populations, and the persistent barriers affecting programme effectiveness. </w:t>
      </w:r>
      <w:r w:rsidRPr="001D37FF">
        <w:rPr>
          <w:rFonts w:ascii="Arial" w:hAnsi="Arial" w:cs="Arial"/>
        </w:rPr>
        <w:t>Attention</w:t>
      </w:r>
      <w:r w:rsidRPr="00FC3864">
        <w:rPr>
          <w:rFonts w:ascii="Arial" w:hAnsi="Arial" w:cs="Arial"/>
        </w:rPr>
        <w:t xml:space="preserve"> is given to urban high-risk contexts characterised by overcrowding, migration, undernutrition, and health-system constraints. The findings are interpreted </w:t>
      </w:r>
      <w:r w:rsidRPr="001D37FF">
        <w:rPr>
          <w:rFonts w:ascii="Arial" w:hAnsi="Arial" w:cs="Arial"/>
        </w:rPr>
        <w:t>considering</w:t>
      </w:r>
      <w:r w:rsidRPr="00FC3864">
        <w:rPr>
          <w:rFonts w:ascii="Arial" w:hAnsi="Arial" w:cs="Arial"/>
        </w:rPr>
        <w:t xml:space="preserve"> existing national TB control strategies and emerging evidence on BCG revaccination and adult immunisation. Overall, this chapter situates the review findings within broader public health and policy frameworks to inform evidence-based recommendations for strengthening BCG vaccination strategies in high-burden urban settings.</w:t>
      </w:r>
    </w:p>
    <w:p w14:paraId="5A5660D9" w14:textId="143ED231" w:rsidR="00FB66E1" w:rsidRDefault="00FB66E1" w:rsidP="004F2450">
      <w:pPr>
        <w:pStyle w:val="Heading1"/>
      </w:pPr>
      <w:bookmarkStart w:id="51" w:name="_Toc218418705"/>
      <w:r>
        <w:t>5.2 Discussion of themes</w:t>
      </w:r>
      <w:bookmarkEnd w:id="51"/>
    </w:p>
    <w:p w14:paraId="264FF0E2" w14:textId="12FBA0D9" w:rsidR="004A56F1" w:rsidRPr="0071584B" w:rsidRDefault="004A56F1" w:rsidP="004A56F1">
      <w:pPr>
        <w:spacing w:line="360" w:lineRule="auto"/>
        <w:jc w:val="both"/>
        <w:rPr>
          <w:rFonts w:ascii="Arial" w:hAnsi="Arial" w:cs="Arial"/>
        </w:rPr>
      </w:pPr>
      <w:r w:rsidRPr="0071584B">
        <w:rPr>
          <w:rFonts w:ascii="Arial" w:hAnsi="Arial" w:cs="Arial"/>
          <w:b/>
          <w:bCs/>
        </w:rPr>
        <w:t>Theme 1: Low Impact of BCG and TB Vaccination Strategies on TB Incidence and Morbidity</w:t>
      </w:r>
    </w:p>
    <w:p w14:paraId="63D8CD44" w14:textId="77777777" w:rsidR="004A56F1" w:rsidRPr="0071584B" w:rsidRDefault="004A56F1" w:rsidP="004A56F1">
      <w:pPr>
        <w:spacing w:line="360" w:lineRule="auto"/>
        <w:jc w:val="both"/>
        <w:rPr>
          <w:rFonts w:ascii="Arial" w:hAnsi="Arial" w:cs="Arial"/>
        </w:rPr>
      </w:pPr>
      <w:r w:rsidRPr="0071584B">
        <w:rPr>
          <w:rFonts w:ascii="Arial" w:hAnsi="Arial" w:cs="Arial"/>
        </w:rPr>
        <w:t xml:space="preserve">Comparative evidence from modelling and observational studies suggests that the population-level impact of BCG vaccination in adults is modest but contextually important. Modelling studies in high-burden settings such as Delhi indicate that BCG revaccination could avert approximately 8–9% of TB cases and deaths over the long term, with greater impact observed for newer vaccine candidates such as M72/AS01E (Clark et al., 2024). These findings are consistent with Arinaminpathy et al. (2023), who demonstrated that vaccines with moderate efficacy (around 50%) can still produce substantial reductions in TB incidence when strategically deployed, particularly among high-risk populations. In contrast, Abbott et al. (2019), using surveillance data from England, found that BCG vaccination was associated primarily with reduced all-cause mortality among TB cases rather than strong protection against </w:t>
      </w:r>
      <w:r w:rsidRPr="0071584B">
        <w:rPr>
          <w:rFonts w:ascii="Arial" w:hAnsi="Arial" w:cs="Arial"/>
        </w:rPr>
        <w:lastRenderedPageBreak/>
        <w:t>pulmonary disease or recurrence, and that these benefits diminished after 10 years. This contrast highlights how BCG’s impact in low-incidence settings may be more disease-modifying than preventive, whereas in high-burden contexts like Delhi, even partial protection can yield meaningful population-level gains.</w:t>
      </w:r>
    </w:p>
    <w:p w14:paraId="0F478844" w14:textId="77777777" w:rsidR="004A56F1" w:rsidRPr="001D37FF" w:rsidRDefault="004A56F1" w:rsidP="004A56F1">
      <w:pPr>
        <w:spacing w:line="360" w:lineRule="auto"/>
        <w:jc w:val="both"/>
        <w:rPr>
          <w:rFonts w:ascii="Arial" w:hAnsi="Arial" w:cs="Arial"/>
        </w:rPr>
      </w:pPr>
      <w:r w:rsidRPr="0071584B">
        <w:rPr>
          <w:rFonts w:ascii="Arial" w:hAnsi="Arial" w:cs="Arial"/>
        </w:rPr>
        <w:t>Further comparison with Sweeney et al. (2019) underscores the role of vaccination coverage and policy context in shaping observed effectiveness. In Ireland, TB incidence was substantially higher in unvaccinated regions compared with areas implementing neonatal or school-age BCG vaccination, demonstrating strong primary preventive effects at the population level. This contrasts with the limited adult protection observed in reviews such as Singh et al. (2020), which reported inconsistent efficacy against adult pulmonary TB. Historical analyses suggest that uneven implementation, sociopolitical resistance, and health-system constraints</w:t>
      </w:r>
      <w:r>
        <w:rPr>
          <w:rFonts w:ascii="Arial" w:hAnsi="Arial" w:cs="Arial"/>
        </w:rPr>
        <w:t xml:space="preserve">, </w:t>
      </w:r>
      <w:r w:rsidRPr="0071584B">
        <w:rPr>
          <w:rFonts w:ascii="Arial" w:hAnsi="Arial" w:cs="Arial"/>
        </w:rPr>
        <w:t>rather than biological limitations alone</w:t>
      </w:r>
      <w:r>
        <w:rPr>
          <w:rFonts w:ascii="Arial" w:hAnsi="Arial" w:cs="Arial"/>
        </w:rPr>
        <w:t xml:space="preserve">, </w:t>
      </w:r>
      <w:r w:rsidRPr="0071584B">
        <w:rPr>
          <w:rFonts w:ascii="Arial" w:hAnsi="Arial" w:cs="Arial"/>
        </w:rPr>
        <w:t>have influenced TB outcomes in endemic regions (Neelakantan, 2018). Finally, global modelling by Clark et al. (2023) reinforces that the relatively low impact of BCG alone can be substantially amplified through combined routine and campaign-based vaccination strategies using novel vaccines. Collectively, these studies indicate that while BCG alone may not dramatically reduce adult TB morbidity, its strategic revaccination and integration with new vaccines and broader TB control measures remain essential for reducing transmission and disease burden among high-risk populations aged 15–60 years (Clark et al., 2024; Arinaminpathy et al., 2023).</w:t>
      </w:r>
    </w:p>
    <w:p w14:paraId="46435505" w14:textId="77777777" w:rsidR="004A56F1" w:rsidRPr="007A511A" w:rsidRDefault="004A56F1" w:rsidP="004A56F1">
      <w:pPr>
        <w:spacing w:line="360" w:lineRule="auto"/>
        <w:jc w:val="both"/>
        <w:rPr>
          <w:rFonts w:ascii="Arial" w:hAnsi="Arial" w:cs="Arial"/>
        </w:rPr>
      </w:pPr>
      <w:r w:rsidRPr="007A511A">
        <w:rPr>
          <w:rFonts w:ascii="Arial" w:hAnsi="Arial" w:cs="Arial"/>
          <w:b/>
          <w:bCs/>
        </w:rPr>
        <w:t>Theme 2: Challenging Coverage and Outreach of Vaccination Campaigns in High-Risk and Vulnerable Populations</w:t>
      </w:r>
    </w:p>
    <w:p w14:paraId="20218320" w14:textId="77777777" w:rsidR="004A56F1" w:rsidRPr="007A511A" w:rsidRDefault="004A56F1" w:rsidP="004A56F1">
      <w:pPr>
        <w:spacing w:line="360" w:lineRule="auto"/>
        <w:jc w:val="both"/>
        <w:rPr>
          <w:rFonts w:ascii="Arial" w:hAnsi="Arial" w:cs="Arial"/>
        </w:rPr>
      </w:pPr>
      <w:r w:rsidRPr="007A511A">
        <w:rPr>
          <w:rFonts w:ascii="Arial" w:hAnsi="Arial" w:cs="Arial"/>
        </w:rPr>
        <w:t xml:space="preserve">Evidence consistently demonstrates that inequitable coverage and limited outreach remain major constraints on the effectiveness of BCG and TB vaccination campaigns in high-risk populations. Studies from urban India show that migrants, slum dwellers, and socio-economically marginalised groups experience disproportionately low immunisation coverage due to mobility, lack of awareness, and weak integration with health systems (Kusuma et al., 2018). Although focused on children, these structural barriers are highly relevant to adult populations aged 15–60 years in Delhi, particularly migrant workers in informal settlements. Similar inequities are observed globally. Osborne et al. (2024) reported that despite substantial improvements in national BCG </w:t>
      </w:r>
      <w:r w:rsidRPr="007A511A">
        <w:rPr>
          <w:rFonts w:ascii="Arial" w:hAnsi="Arial" w:cs="Arial"/>
        </w:rPr>
        <w:lastRenderedPageBreak/>
        <w:t>coverage in Sierra Leone, persistent age-related and sub-national inequalities remained, indicating that overall coverage gains can mask vulnerable sub-groups that remain underserved. In contrast to the Indian urban context, reductions in economic and educational inequalities in Sierra Leone suggest that sustained policy commitment and health-system strengthening can narrow access gaps, highlighting opportunities for adaptation in Delhi’s high-risk districts.</w:t>
      </w:r>
    </w:p>
    <w:p w14:paraId="40B02217" w14:textId="77777777" w:rsidR="004A56F1" w:rsidRPr="001D37FF" w:rsidRDefault="004A56F1" w:rsidP="004A56F1">
      <w:pPr>
        <w:spacing w:line="360" w:lineRule="auto"/>
        <w:jc w:val="both"/>
        <w:rPr>
          <w:rFonts w:ascii="Arial" w:hAnsi="Arial" w:cs="Arial"/>
        </w:rPr>
      </w:pPr>
      <w:r w:rsidRPr="007A511A">
        <w:rPr>
          <w:rFonts w:ascii="Arial" w:hAnsi="Arial" w:cs="Arial"/>
        </w:rPr>
        <w:t>Interventional and qualitative studies further emphasise that coverage challenges are not solely biological but programmatic and social in nature. Patel and Vyas (2018) demonstrated that community-based outreach strategies</w:t>
      </w:r>
      <w:r>
        <w:rPr>
          <w:rFonts w:ascii="Arial" w:hAnsi="Arial" w:cs="Arial"/>
        </w:rPr>
        <w:t xml:space="preserve">, </w:t>
      </w:r>
      <w:r w:rsidRPr="007A511A">
        <w:rPr>
          <w:rFonts w:ascii="Arial" w:hAnsi="Arial" w:cs="Arial"/>
        </w:rPr>
        <w:t>such as household visits, tailored education, and engagement of local influencers</w:t>
      </w:r>
      <w:r>
        <w:rPr>
          <w:rFonts w:ascii="Arial" w:hAnsi="Arial" w:cs="Arial"/>
        </w:rPr>
        <w:t xml:space="preserve">, </w:t>
      </w:r>
      <w:r w:rsidRPr="007A511A">
        <w:rPr>
          <w:rFonts w:ascii="Arial" w:hAnsi="Arial" w:cs="Arial"/>
        </w:rPr>
        <w:t>substantially improved immunisation uptake in slum settings, findings that align with stakeholder preferences for routine, stigma-free delivery models reported by Pelzer et al. (2022). These delivery challenges are compounded by biological limitations of BCG, including variable and waning immune protection (Bradford et al., 2024), which may reduce public confidence in vaccination and weaken demand. However, emerging evidence on the broader immunological benefits of BCG, including trained immunity and potential multivalent protection against other infections, suggests an opportunity to reframe vaccination campaigns to enhance acceptability and perceived value (Campelo et al., 2025). Collectively, these studies indicate that improving BCG impact in high-risk districts of Delhi requires not only novel or enhanced vaccines but also equity-focused outreach strategies that address social exclusion, mobility, trust, and health-system responsiveness.</w:t>
      </w:r>
    </w:p>
    <w:p w14:paraId="4018A06D" w14:textId="77777777" w:rsidR="004A56F1" w:rsidRPr="006572D9" w:rsidRDefault="004A56F1" w:rsidP="004A56F1">
      <w:pPr>
        <w:spacing w:line="360" w:lineRule="auto"/>
        <w:jc w:val="both"/>
        <w:rPr>
          <w:rFonts w:ascii="Arial" w:hAnsi="Arial" w:cs="Arial"/>
        </w:rPr>
      </w:pPr>
      <w:r w:rsidRPr="006572D9">
        <w:rPr>
          <w:rFonts w:ascii="Arial" w:hAnsi="Arial" w:cs="Arial"/>
          <w:b/>
          <w:bCs/>
        </w:rPr>
        <w:t>Theme 3: Barriers to Effective BCG Vaccination Programme Implementation</w:t>
      </w:r>
    </w:p>
    <w:p w14:paraId="0BCF47CC" w14:textId="77777777" w:rsidR="004A56F1" w:rsidRPr="006572D9" w:rsidRDefault="004A56F1" w:rsidP="004A56F1">
      <w:pPr>
        <w:spacing w:line="360" w:lineRule="auto"/>
        <w:jc w:val="both"/>
        <w:rPr>
          <w:rFonts w:ascii="Arial" w:hAnsi="Arial" w:cs="Arial"/>
        </w:rPr>
      </w:pPr>
      <w:r w:rsidRPr="006572D9">
        <w:rPr>
          <w:rFonts w:ascii="Arial" w:hAnsi="Arial" w:cs="Arial"/>
        </w:rPr>
        <w:t xml:space="preserve">Comparative evidence across qualitative, mixed-methods, and policy-focused studies demonstrates that barriers to BCG vaccination extend far beyond vaccine availability, encompassing socio-cultural resistance, delayed delivery, and systemic inefficiencies. In urban Indian settings, frontline perspectives highlight fear of side effects, myths surrounding infertility, elder-driven refusal, and poor awareness as key deterrents to uptake (Jain et al., 2020), findings that closely align with slum-based interventional evidence identifying religious beliefs and inadequate communication as reasons for non-acceptance (Patel </w:t>
      </w:r>
      <w:r>
        <w:rPr>
          <w:rFonts w:ascii="Arial" w:hAnsi="Arial" w:cs="Arial"/>
        </w:rPr>
        <w:t xml:space="preserve">and </w:t>
      </w:r>
      <w:r w:rsidRPr="006572D9">
        <w:rPr>
          <w:rFonts w:ascii="Arial" w:hAnsi="Arial" w:cs="Arial"/>
        </w:rPr>
        <w:t xml:space="preserve">Vyas, 2018). These demand-side barriers mirror implementation challenges observed in low-income countries. Rasmussen et al. </w:t>
      </w:r>
      <w:r w:rsidRPr="006572D9">
        <w:rPr>
          <w:rFonts w:ascii="Arial" w:hAnsi="Arial" w:cs="Arial"/>
        </w:rPr>
        <w:lastRenderedPageBreak/>
        <w:t>(2024) showed that although BCG coverage in Guinea-Bissau exceeded 90% by 12 months, only 19% of children were vaccinated at birth, revealing substantial delays masked by conventional coverage indicators. This parallels the Indian context, where reported coverage may obscure missed or delayed vaccination opportunities in high-risk districts, limiting both TB-specific and non-specific benefits of BCG.</w:t>
      </w:r>
    </w:p>
    <w:p w14:paraId="2A021A8D" w14:textId="77777777" w:rsidR="004A56F1" w:rsidRPr="001D37FF" w:rsidRDefault="004A56F1" w:rsidP="004A56F1">
      <w:pPr>
        <w:spacing w:line="360" w:lineRule="auto"/>
        <w:jc w:val="both"/>
        <w:rPr>
          <w:rFonts w:ascii="Arial" w:hAnsi="Arial" w:cs="Arial"/>
        </w:rPr>
      </w:pPr>
      <w:r w:rsidRPr="006572D9">
        <w:rPr>
          <w:rFonts w:ascii="Arial" w:hAnsi="Arial" w:cs="Arial"/>
        </w:rPr>
        <w:t xml:space="preserve">At the system and policy level, structural constraints further undermine programme effectiveness. Historical analysis from South Asia illustrates how mistrust in state health initiatives and fragmented governance have long shaped resistance to BCG vaccination (Neelakantan, 2018), a pattern echoed in contemporary health systems. Jones et al. (2024) found that even in a well-resourced setting such as England, changes to neonatal BCG delivery pathways created implementation challenges related to staffing, appointment systems, and </w:t>
      </w:r>
      <w:r w:rsidRPr="001D37FF">
        <w:rPr>
          <w:rFonts w:ascii="Arial" w:hAnsi="Arial" w:cs="Arial"/>
        </w:rPr>
        <w:t xml:space="preserve">the </w:t>
      </w:r>
      <w:r w:rsidRPr="006572D9">
        <w:rPr>
          <w:rFonts w:ascii="Arial" w:hAnsi="Arial" w:cs="Arial"/>
        </w:rPr>
        <w:t xml:space="preserve">feasibility of vaccination timelines. These findings resonate with Vedel (2025), who demonstrated that restrictive vial-opening policies and resource limitations in Guinea-Bissau led to missed vaccination opportunities, delayed administration, and reduced staff morale, despite high overall coverage. In occupational and high-risk settings, additional barriers such as weak screening infrastructure and lack of dedicated occupational health systems further constrain BCG revaccination efforts (Hatherill et al., 2016). Collectively, these studies indicate that effective BCG implementation in Delhi’s high-risk districts requires re-examining performance indicators, strengthening health-system capacity, and addressing socio-cultural mistrust alongside logistical constraints. Without such multidimensional interventions, vaccination programmes risk underperforming despite adequate </w:t>
      </w:r>
      <w:r w:rsidRPr="001D37FF">
        <w:rPr>
          <w:rFonts w:ascii="Arial" w:hAnsi="Arial" w:cs="Arial"/>
        </w:rPr>
        <w:t>vaccines.</w:t>
      </w:r>
    </w:p>
    <w:p w14:paraId="2DC16AF7" w14:textId="77777777" w:rsidR="004A56F1" w:rsidRPr="001D37FF" w:rsidRDefault="004A56F1" w:rsidP="004A56F1">
      <w:pPr>
        <w:spacing w:line="360" w:lineRule="auto"/>
        <w:jc w:val="both"/>
        <w:rPr>
          <w:rFonts w:ascii="Arial" w:hAnsi="Arial" w:cs="Arial"/>
        </w:rPr>
      </w:pPr>
      <w:r w:rsidRPr="001D37FF">
        <w:rPr>
          <w:rFonts w:ascii="Arial" w:hAnsi="Arial" w:cs="Arial"/>
          <w:b/>
          <w:bCs/>
        </w:rPr>
        <w:t>Theme 4: Various Strategies for Improving BCG Campaign Design, Delivery, and Equity</w:t>
      </w:r>
    </w:p>
    <w:p w14:paraId="7031541A" w14:textId="77777777" w:rsidR="004A56F1" w:rsidRPr="001D37FF" w:rsidRDefault="004A56F1" w:rsidP="004A56F1">
      <w:pPr>
        <w:spacing w:line="360" w:lineRule="auto"/>
        <w:jc w:val="both"/>
        <w:rPr>
          <w:rFonts w:ascii="Arial" w:hAnsi="Arial" w:cs="Arial"/>
        </w:rPr>
      </w:pPr>
      <w:r w:rsidRPr="001D37FF">
        <w:rPr>
          <w:rFonts w:ascii="Arial" w:hAnsi="Arial" w:cs="Arial"/>
        </w:rPr>
        <w:t xml:space="preserve">Across modelling, empirical, and policy-oriented studies, a consistent finding is that targeted and equity-focused strategies substantially enhance the impact of BCG vaccination campaigns. Modelling evidence from India demonstrates that prioritising vulnerable subpopulations yields disproportionately high returns. Arinaminpathy et al. (2023) showed that vaccinating undernourished individuals who represent a relatively small share of the population could achieve nearly half the impact of mass vaccination strategies, reinforcing the importance of risk-based targeting. Similarly, Clark et al. </w:t>
      </w:r>
      <w:r w:rsidRPr="001D37FF">
        <w:rPr>
          <w:rFonts w:ascii="Arial" w:hAnsi="Arial" w:cs="Arial"/>
        </w:rPr>
        <w:lastRenderedPageBreak/>
        <w:t xml:space="preserve">(2024) highlighted that tailoring vaccination strategies to regional TB prevalence and demographic profiles improves cost-effectiveness in high-burden settings such as Delhi. These findings align with population-based evidence from Somalia, where Hassan et al. (2025) found substantial regional and socio-demographic disparities in BCG uptake, underscoring the need to address inequities related to maternal health, wealth, birth order, and geography.  </w:t>
      </w:r>
      <w:r>
        <w:rPr>
          <w:rFonts w:ascii="Arial" w:hAnsi="Arial" w:cs="Arial"/>
        </w:rPr>
        <w:t>These</w:t>
      </w:r>
      <w:r w:rsidRPr="001D37FF">
        <w:rPr>
          <w:rFonts w:ascii="Arial" w:hAnsi="Arial" w:cs="Arial"/>
        </w:rPr>
        <w:t xml:space="preserve"> studies suggest that universal approaches alone are insufficient and that locally adapted strategies are essential to improve equity and coverage in high-risk populations.</w:t>
      </w:r>
    </w:p>
    <w:p w14:paraId="2F746980" w14:textId="77777777" w:rsidR="004A56F1" w:rsidRPr="001D37FF" w:rsidRDefault="004A56F1" w:rsidP="004A56F1">
      <w:pPr>
        <w:spacing w:line="360" w:lineRule="auto"/>
        <w:jc w:val="both"/>
        <w:rPr>
          <w:rFonts w:ascii="Arial" w:hAnsi="Arial" w:cs="Arial"/>
        </w:rPr>
      </w:pPr>
      <w:r w:rsidRPr="001D37FF">
        <w:rPr>
          <w:rFonts w:ascii="Arial" w:hAnsi="Arial" w:cs="Arial"/>
        </w:rPr>
        <w:t xml:space="preserve">Evidence from health-system strengthening and vaccination delivery research further illustrates how design and delivery strategies influence campaign success. Community-based interventions in India, including personalised outreach, community leader engagement, and digital reminders, have been shown to significantly improve immunisation uptake in underserved urban populations (Patel </w:t>
      </w:r>
      <w:r>
        <w:rPr>
          <w:rFonts w:ascii="Arial" w:hAnsi="Arial" w:cs="Arial"/>
        </w:rPr>
        <w:t xml:space="preserve">and </w:t>
      </w:r>
      <w:r w:rsidRPr="001D37FF">
        <w:rPr>
          <w:rFonts w:ascii="Arial" w:hAnsi="Arial" w:cs="Arial"/>
        </w:rPr>
        <w:t>Vyas, 2018), findings supported by stakeholder preferences for routine, stigma-free delivery platforms (Pelzer et al., 2022). In contrast, over-reliance on episodic outreach campaigns may perpetuate geographical inequities when routine services are weak, as demonstrated by Rajaonarifara et al. (2022). Their findings indicate that investments in primary health-care systems improve coverage, timeliness, and economic equity, though complementary outreach remains necessary to reach remote populations. At the vaccine strategy level, renewed interest in BCG revaccination reflects emerging evidence of heterologous benefits and acceptable safety profiles, although variability in efficacy and adverse events highlights the need for standardised protocols and careful targeting (Antas et al., 2024). Together, these studies support a shift towards integrated, people-centred BCG strategies that combine risk-based targeting, strengthened routine services, and context-specific outreach to improve equity and long-term TB control in Delhi’s high-risk districts (Clark et al., 2024; Arinaminpathy et al., 2023).</w:t>
      </w:r>
    </w:p>
    <w:p w14:paraId="20001750" w14:textId="67D67323" w:rsidR="004A56F1" w:rsidRPr="00EC0BF8" w:rsidRDefault="00FB66E1" w:rsidP="004F2450">
      <w:pPr>
        <w:pStyle w:val="Heading1"/>
      </w:pPr>
      <w:bookmarkStart w:id="52" w:name="_Toc218418706"/>
      <w:r>
        <w:t xml:space="preserve">5.3 </w:t>
      </w:r>
      <w:r w:rsidR="004A56F1" w:rsidRPr="00EC0BF8">
        <w:t>Chapter Summary</w:t>
      </w:r>
      <w:bookmarkEnd w:id="52"/>
    </w:p>
    <w:p w14:paraId="3E8B1A4D" w14:textId="77777777" w:rsidR="004A56F1" w:rsidRDefault="004A56F1" w:rsidP="004A56F1">
      <w:pPr>
        <w:spacing w:line="360" w:lineRule="auto"/>
        <w:jc w:val="both"/>
        <w:rPr>
          <w:rFonts w:ascii="Arial" w:hAnsi="Arial" w:cs="Arial"/>
        </w:rPr>
      </w:pPr>
      <w:r w:rsidRPr="00EC0BF8">
        <w:rPr>
          <w:rFonts w:ascii="Arial" w:hAnsi="Arial" w:cs="Arial"/>
        </w:rPr>
        <w:t xml:space="preserve">This chapter synthesised evidence from diverse study designs to evaluate the impact of BCG vaccination campaigns on tuberculosis control among high-risk populations aged 15–60 years in Delhi. Overall, the findings indicate that while BCG vaccination and revaccination have a modest direct impact on adult TB incidence, their population-level benefits are contextually significant when strategically targeted and integrated </w:t>
      </w:r>
      <w:r w:rsidRPr="00EC0BF8">
        <w:rPr>
          <w:rFonts w:ascii="Arial" w:hAnsi="Arial" w:cs="Arial"/>
        </w:rPr>
        <w:lastRenderedPageBreak/>
        <w:t>with broader TB control measures. Persistent challenges related to inequitable coverage, limited outreach, socio-cultural resistance, and health-system constraints were identified as major factors undermining programme effectiveness. The discussion highlighted that reported vaccination coverage often masks delays and missed opportunities among vulnerable groups, including migrants and urban poor populations. Importantly, evidence supports a shift away from uniform approaches towards equity-focused, locally adapted strategies that prioritise high-risk subgroups, strengthen routine immunisation systems, and employ community-based delivery models. Emerging interest in BCG revaccination and novel vaccines further underscores the need for standardised, people-centred implementation frameworks. Collectively, these findings reinforce that optimising BCG campaign design, delivery, and equity is essential for achieving meaningful and sustainable TB control in high-burden urban settings such as Delhi.</w:t>
      </w:r>
    </w:p>
    <w:p w14:paraId="0CE811C9" w14:textId="77777777" w:rsidR="00A4764F" w:rsidRDefault="00A4764F" w:rsidP="004A56F1">
      <w:pPr>
        <w:spacing w:line="360" w:lineRule="auto"/>
        <w:jc w:val="both"/>
        <w:rPr>
          <w:rFonts w:ascii="Arial" w:hAnsi="Arial" w:cs="Arial"/>
        </w:rPr>
      </w:pPr>
    </w:p>
    <w:p w14:paraId="7CFDE163" w14:textId="77777777" w:rsidR="00A4764F" w:rsidRDefault="00A4764F" w:rsidP="004A56F1">
      <w:pPr>
        <w:spacing w:line="360" w:lineRule="auto"/>
        <w:jc w:val="both"/>
        <w:rPr>
          <w:rFonts w:ascii="Arial" w:hAnsi="Arial" w:cs="Arial"/>
        </w:rPr>
      </w:pPr>
    </w:p>
    <w:p w14:paraId="6C6FE2D4" w14:textId="77777777" w:rsidR="00A4764F" w:rsidRDefault="00A4764F" w:rsidP="004A56F1">
      <w:pPr>
        <w:spacing w:line="360" w:lineRule="auto"/>
        <w:jc w:val="both"/>
        <w:rPr>
          <w:rFonts w:ascii="Arial" w:hAnsi="Arial" w:cs="Arial"/>
        </w:rPr>
      </w:pPr>
    </w:p>
    <w:p w14:paraId="1EA7E2AA" w14:textId="77777777" w:rsidR="00A4764F" w:rsidRDefault="00A4764F" w:rsidP="004A56F1">
      <w:pPr>
        <w:spacing w:line="360" w:lineRule="auto"/>
        <w:jc w:val="both"/>
        <w:rPr>
          <w:rFonts w:ascii="Arial" w:hAnsi="Arial" w:cs="Arial"/>
        </w:rPr>
      </w:pPr>
    </w:p>
    <w:p w14:paraId="2BC2AF12" w14:textId="77777777" w:rsidR="00A4764F" w:rsidRDefault="00A4764F" w:rsidP="004A56F1">
      <w:pPr>
        <w:spacing w:line="360" w:lineRule="auto"/>
        <w:jc w:val="both"/>
        <w:rPr>
          <w:rFonts w:ascii="Arial" w:hAnsi="Arial" w:cs="Arial"/>
        </w:rPr>
      </w:pPr>
    </w:p>
    <w:p w14:paraId="3506545C" w14:textId="77777777" w:rsidR="00A4764F" w:rsidRDefault="00A4764F" w:rsidP="004A56F1">
      <w:pPr>
        <w:spacing w:line="360" w:lineRule="auto"/>
        <w:jc w:val="both"/>
        <w:rPr>
          <w:rFonts w:ascii="Arial" w:hAnsi="Arial" w:cs="Arial"/>
        </w:rPr>
      </w:pPr>
    </w:p>
    <w:p w14:paraId="5D7B9005" w14:textId="77777777" w:rsidR="00A4764F" w:rsidRDefault="00A4764F" w:rsidP="004A56F1">
      <w:pPr>
        <w:spacing w:line="360" w:lineRule="auto"/>
        <w:jc w:val="both"/>
        <w:rPr>
          <w:rFonts w:ascii="Arial" w:hAnsi="Arial" w:cs="Arial"/>
        </w:rPr>
      </w:pPr>
    </w:p>
    <w:p w14:paraId="40D8C1DA" w14:textId="77777777" w:rsidR="00A4764F" w:rsidRDefault="00A4764F" w:rsidP="004A56F1">
      <w:pPr>
        <w:spacing w:line="360" w:lineRule="auto"/>
        <w:jc w:val="both"/>
        <w:rPr>
          <w:rFonts w:ascii="Arial" w:hAnsi="Arial" w:cs="Arial"/>
        </w:rPr>
      </w:pPr>
    </w:p>
    <w:p w14:paraId="64A20C11" w14:textId="77777777" w:rsidR="00A4764F" w:rsidRDefault="00A4764F" w:rsidP="004A56F1">
      <w:pPr>
        <w:spacing w:line="360" w:lineRule="auto"/>
        <w:jc w:val="both"/>
        <w:rPr>
          <w:rFonts w:ascii="Arial" w:hAnsi="Arial" w:cs="Arial"/>
        </w:rPr>
      </w:pPr>
    </w:p>
    <w:p w14:paraId="392BD6D2" w14:textId="77777777" w:rsidR="00A4764F" w:rsidRDefault="00A4764F" w:rsidP="004A56F1">
      <w:pPr>
        <w:spacing w:line="360" w:lineRule="auto"/>
        <w:jc w:val="both"/>
        <w:rPr>
          <w:rFonts w:ascii="Arial" w:hAnsi="Arial" w:cs="Arial"/>
        </w:rPr>
      </w:pPr>
    </w:p>
    <w:p w14:paraId="6ABC225A" w14:textId="77777777" w:rsidR="00A4764F" w:rsidRDefault="00A4764F" w:rsidP="004A56F1">
      <w:pPr>
        <w:spacing w:line="360" w:lineRule="auto"/>
        <w:jc w:val="both"/>
        <w:rPr>
          <w:rFonts w:ascii="Arial" w:hAnsi="Arial" w:cs="Arial"/>
        </w:rPr>
      </w:pPr>
    </w:p>
    <w:p w14:paraId="3FEE3F83" w14:textId="77777777" w:rsidR="00A4764F" w:rsidRPr="00EC0BF8" w:rsidRDefault="00A4764F" w:rsidP="004A56F1">
      <w:pPr>
        <w:spacing w:line="360" w:lineRule="auto"/>
        <w:jc w:val="both"/>
        <w:rPr>
          <w:rFonts w:ascii="Arial" w:hAnsi="Arial" w:cs="Arial"/>
        </w:rPr>
      </w:pPr>
    </w:p>
    <w:p w14:paraId="797CC553" w14:textId="77777777" w:rsidR="004A56F1" w:rsidRPr="004103B7" w:rsidRDefault="004A56F1" w:rsidP="004F2450">
      <w:pPr>
        <w:pStyle w:val="Heading1"/>
      </w:pPr>
      <w:bookmarkStart w:id="53" w:name="_Toc218418707"/>
      <w:r w:rsidRPr="004103B7">
        <w:lastRenderedPageBreak/>
        <w:t>Chapter 6: Conclusion and Recommendations</w:t>
      </w:r>
      <w:bookmarkEnd w:id="53"/>
    </w:p>
    <w:p w14:paraId="42AAFAB0" w14:textId="77777777" w:rsidR="004A56F1" w:rsidRPr="004103B7" w:rsidRDefault="004A56F1" w:rsidP="004F2450">
      <w:pPr>
        <w:pStyle w:val="Heading1"/>
      </w:pPr>
      <w:bookmarkStart w:id="54" w:name="_Toc218418708"/>
      <w:r w:rsidRPr="004103B7">
        <w:t>6.1 Introduction</w:t>
      </w:r>
      <w:bookmarkEnd w:id="54"/>
    </w:p>
    <w:p w14:paraId="6188BBCB" w14:textId="336A5397" w:rsidR="004A56F1" w:rsidRPr="004103B7" w:rsidRDefault="004A56F1" w:rsidP="004A56F1">
      <w:pPr>
        <w:spacing w:line="360" w:lineRule="auto"/>
        <w:jc w:val="both"/>
        <w:rPr>
          <w:rFonts w:ascii="Arial" w:hAnsi="Arial" w:cs="Arial"/>
        </w:rPr>
      </w:pPr>
      <w:r w:rsidRPr="004103B7">
        <w:rPr>
          <w:rFonts w:ascii="Arial" w:hAnsi="Arial" w:cs="Arial"/>
        </w:rPr>
        <w:t>This chapter concludes the systematic review evaluating the impact of Bacillus Calmette–Guérin (BCG) vaccination campaigns on tuberculosis (TB) control among high-risk populations aged 15–60 years in selected districts of Delhi, India. It revisits the research aim, question, and objectives outlined in Chapter 1 and synthesises the key findings discussed in Chapter 5. The chapter critically reflects on how far current BCG vaccination campaigns have contributed to TB control in high-burden urban settings and identifies the structural, social, and programmatic factors shaping their effectiveness.</w:t>
      </w:r>
      <w:r w:rsidR="00FB66E1">
        <w:rPr>
          <w:rFonts w:ascii="Arial" w:hAnsi="Arial" w:cs="Arial"/>
        </w:rPr>
        <w:t xml:space="preserve"> </w:t>
      </w:r>
      <w:r w:rsidRPr="004103B7">
        <w:rPr>
          <w:rFonts w:ascii="Arial" w:hAnsi="Arial" w:cs="Arial"/>
        </w:rPr>
        <w:t>In addition, this chapter acknowledges the limitations of the review, proposes evidence-based recommendations for policy and practice, and outlines implications for future research. The chapter concludes with a final reflective statement on the role of BCG vaccination within broader TB elimination strategies in Delhi and similar high-risk urban contexts.</w:t>
      </w:r>
    </w:p>
    <w:p w14:paraId="55994C1D" w14:textId="77777777" w:rsidR="004A56F1" w:rsidRPr="004103B7" w:rsidRDefault="004A56F1" w:rsidP="004F2450">
      <w:pPr>
        <w:pStyle w:val="Heading1"/>
      </w:pPr>
      <w:bookmarkStart w:id="55" w:name="_Toc218418709"/>
      <w:r w:rsidRPr="004103B7">
        <w:t>6.2 Restatement of the Research Aim and Objectives</w:t>
      </w:r>
      <w:bookmarkEnd w:id="55"/>
    </w:p>
    <w:p w14:paraId="7509C78E" w14:textId="77777777" w:rsidR="004A56F1" w:rsidRPr="004103B7" w:rsidRDefault="004A56F1" w:rsidP="004A56F1">
      <w:pPr>
        <w:spacing w:line="360" w:lineRule="auto"/>
        <w:jc w:val="both"/>
        <w:rPr>
          <w:rFonts w:ascii="Arial" w:hAnsi="Arial" w:cs="Arial"/>
        </w:rPr>
      </w:pPr>
      <w:r>
        <w:rPr>
          <w:rFonts w:ascii="Arial" w:hAnsi="Arial" w:cs="Arial"/>
        </w:rPr>
        <w:t>This research aimed</w:t>
      </w:r>
      <w:r w:rsidRPr="004103B7">
        <w:rPr>
          <w:rFonts w:ascii="Arial" w:hAnsi="Arial" w:cs="Arial"/>
        </w:rPr>
        <w:t xml:space="preserve"> to evaluate the impact of BCG vaccination campaigns in controlling tuberculosis among high-risk populations aged 15–60 years in Delhi and to identify effective strategies for improvement.</w:t>
      </w:r>
    </w:p>
    <w:p w14:paraId="13397652" w14:textId="77777777" w:rsidR="004A56F1" w:rsidRPr="004103B7" w:rsidRDefault="004A56F1" w:rsidP="004A56F1">
      <w:pPr>
        <w:spacing w:line="360" w:lineRule="auto"/>
        <w:jc w:val="both"/>
        <w:rPr>
          <w:rFonts w:ascii="Arial" w:hAnsi="Arial" w:cs="Arial"/>
        </w:rPr>
      </w:pPr>
      <w:r w:rsidRPr="004103B7">
        <w:rPr>
          <w:rFonts w:ascii="Arial" w:hAnsi="Arial" w:cs="Arial"/>
        </w:rPr>
        <w:t>The research question guiding the study was:</w:t>
      </w:r>
    </w:p>
    <w:p w14:paraId="1E7CD247" w14:textId="77777777" w:rsidR="004A56F1" w:rsidRPr="004103B7" w:rsidRDefault="004A56F1" w:rsidP="004A56F1">
      <w:pPr>
        <w:spacing w:line="360" w:lineRule="auto"/>
        <w:jc w:val="both"/>
        <w:rPr>
          <w:rFonts w:ascii="Arial" w:hAnsi="Arial" w:cs="Arial"/>
        </w:rPr>
      </w:pPr>
      <w:r w:rsidRPr="004103B7">
        <w:rPr>
          <w:rFonts w:ascii="Arial" w:hAnsi="Arial" w:cs="Arial"/>
        </w:rPr>
        <w:t>What is the impact of BCG vaccination campaigns in high-risk districts of Delhi (India) among populations aged 15 to 60 years?</w:t>
      </w:r>
    </w:p>
    <w:p w14:paraId="359BA0E5" w14:textId="77777777" w:rsidR="004A56F1" w:rsidRPr="004103B7" w:rsidRDefault="004A56F1" w:rsidP="004A56F1">
      <w:pPr>
        <w:spacing w:line="360" w:lineRule="auto"/>
        <w:jc w:val="both"/>
        <w:rPr>
          <w:rFonts w:ascii="Arial" w:hAnsi="Arial" w:cs="Arial"/>
        </w:rPr>
      </w:pPr>
      <w:r w:rsidRPr="004103B7">
        <w:rPr>
          <w:rFonts w:ascii="Arial" w:hAnsi="Arial" w:cs="Arial"/>
        </w:rPr>
        <w:t>To address this question, four objectives were set. The discussion below synthesises the key findings in relation to each objective.</w:t>
      </w:r>
    </w:p>
    <w:p w14:paraId="2E784663" w14:textId="77777777" w:rsidR="004A56F1" w:rsidRPr="004103B7" w:rsidRDefault="004A56F1" w:rsidP="004F2450">
      <w:pPr>
        <w:pStyle w:val="Heading1"/>
      </w:pPr>
      <w:bookmarkStart w:id="56" w:name="_Toc218418710"/>
      <w:r w:rsidRPr="004103B7">
        <w:t>6.3 Discussion of Key Findings in Relation to Research Objectives</w:t>
      </w:r>
      <w:bookmarkEnd w:id="56"/>
    </w:p>
    <w:p w14:paraId="57310B98" w14:textId="77777777" w:rsidR="004A56F1" w:rsidRPr="004103B7" w:rsidRDefault="004A56F1" w:rsidP="004A56F1">
      <w:pPr>
        <w:pStyle w:val="Heading2"/>
      </w:pPr>
      <w:bookmarkStart w:id="57" w:name="_Toc218418711"/>
      <w:r w:rsidRPr="004103B7">
        <w:t>6.3.1 Objective 1: Trends in Tuberculosis Incidence and Morbidity in Relation to BCG Campaigns</w:t>
      </w:r>
      <w:bookmarkEnd w:id="57"/>
    </w:p>
    <w:p w14:paraId="0F96B8F0" w14:textId="77777777" w:rsidR="004A56F1" w:rsidRPr="004103B7" w:rsidRDefault="004A56F1" w:rsidP="004A56F1">
      <w:pPr>
        <w:spacing w:line="360" w:lineRule="auto"/>
        <w:jc w:val="both"/>
        <w:rPr>
          <w:rFonts w:ascii="Arial" w:hAnsi="Arial" w:cs="Arial"/>
        </w:rPr>
      </w:pPr>
      <w:r w:rsidRPr="004103B7">
        <w:rPr>
          <w:rFonts w:ascii="Arial" w:hAnsi="Arial" w:cs="Arial"/>
        </w:rPr>
        <w:t xml:space="preserve">The review found that the impact of BCG vaccination campaigns on TB incidence and morbidity among adults aged 15–60 years is modest but contextually significant. Modelling studies consistently demonstrated that BCG revaccination and TB vaccination strategies could avert approximately 8–9% of TB cases and deaths in high-burden settings such as Delhi (Clark et al., 2024; Arinaminpathy et al., 2023). </w:t>
      </w:r>
      <w:r w:rsidRPr="004103B7">
        <w:rPr>
          <w:rFonts w:ascii="Arial" w:hAnsi="Arial" w:cs="Arial"/>
        </w:rPr>
        <w:lastRenderedPageBreak/>
        <w:t>Although this reduction may appear limited, it represents a meaningful population-level gain in districts characterised by intense transmission, overcrowding, and high latent TB prevalence.</w:t>
      </w:r>
    </w:p>
    <w:p w14:paraId="24418630" w14:textId="77777777" w:rsidR="004A56F1" w:rsidRPr="004103B7" w:rsidRDefault="004A56F1" w:rsidP="004A56F1">
      <w:pPr>
        <w:spacing w:line="360" w:lineRule="auto"/>
        <w:jc w:val="both"/>
        <w:rPr>
          <w:rFonts w:ascii="Arial" w:hAnsi="Arial" w:cs="Arial"/>
        </w:rPr>
      </w:pPr>
      <w:r w:rsidRPr="004103B7">
        <w:rPr>
          <w:rFonts w:ascii="Arial" w:hAnsi="Arial" w:cs="Arial"/>
        </w:rPr>
        <w:t>However, observational evidence from low-incidence settings, such as England, suggested that BCG’s benefits in adults are more disease-modifying than preventive, with reduced all-cause mortality rather than strong protection against pulmonary TB or recurrence (Abbott et al., 2019). This contrast highlights that the perceived “low impact” of BCG is highly dependent on epidemiological context. In high-burden urban districts of Delhi, even partial protection can translate into substantial absolute reductions in disease burden.</w:t>
      </w:r>
      <w:r>
        <w:rPr>
          <w:rFonts w:ascii="Arial" w:hAnsi="Arial" w:cs="Arial"/>
        </w:rPr>
        <w:t xml:space="preserve"> </w:t>
      </w:r>
      <w:r w:rsidRPr="004103B7">
        <w:rPr>
          <w:rFonts w:ascii="Arial" w:hAnsi="Arial" w:cs="Arial"/>
        </w:rPr>
        <w:t>Overall, the findings suggest that while BCG alone is insufficient to dramatically reduce adult TB morbidity, it remains a valuable component of TB control when integrated with revaccination strategies, newer vaccines, and non-vaccine interventions.</w:t>
      </w:r>
    </w:p>
    <w:p w14:paraId="00C59F5B" w14:textId="77777777" w:rsidR="004A56F1" w:rsidRPr="004103B7" w:rsidRDefault="004A56F1" w:rsidP="004A56F1">
      <w:pPr>
        <w:pStyle w:val="Heading2"/>
      </w:pPr>
      <w:bookmarkStart w:id="58" w:name="_Toc218418712"/>
      <w:r w:rsidRPr="004103B7">
        <w:t>6.3.2 Objective 2: Coverage and Outreach of BCG Vaccination Campaigns</w:t>
      </w:r>
      <w:bookmarkEnd w:id="58"/>
    </w:p>
    <w:p w14:paraId="387F1736" w14:textId="77777777" w:rsidR="004A56F1" w:rsidRPr="004103B7" w:rsidRDefault="004A56F1" w:rsidP="004A56F1">
      <w:pPr>
        <w:spacing w:line="360" w:lineRule="auto"/>
        <w:jc w:val="both"/>
        <w:rPr>
          <w:rFonts w:ascii="Arial" w:hAnsi="Arial" w:cs="Arial"/>
        </w:rPr>
      </w:pPr>
      <w:r w:rsidRPr="004103B7">
        <w:rPr>
          <w:rFonts w:ascii="Arial" w:hAnsi="Arial" w:cs="Arial"/>
        </w:rPr>
        <w:t>A central finding of the review was that inequitable coverage and limited outreach significantly undermine the effectiveness of BCG vaccination campaigns in Delhi’s high-risk districts. Migrants, slum residents, informal workers, and socio-economically marginalised populations were consistently identified as being under-reached due to mobility, lack of documentation, poor awareness, and weak linkage with health services (Kusuma et al., 2018).</w:t>
      </w:r>
    </w:p>
    <w:p w14:paraId="7EAA5273" w14:textId="77777777" w:rsidR="004A56F1" w:rsidRPr="004103B7" w:rsidRDefault="004A56F1" w:rsidP="004A56F1">
      <w:pPr>
        <w:spacing w:line="360" w:lineRule="auto"/>
        <w:jc w:val="both"/>
        <w:rPr>
          <w:rFonts w:ascii="Arial" w:hAnsi="Arial" w:cs="Arial"/>
        </w:rPr>
      </w:pPr>
      <w:r w:rsidRPr="004103B7">
        <w:rPr>
          <w:rFonts w:ascii="Arial" w:hAnsi="Arial" w:cs="Arial"/>
        </w:rPr>
        <w:t>Evidence from comparable global contexts reinforced these findings. Studies from Sierra Leone and Somalia demonstrated that national-level improvements in BCG coverage often conceal persistent sub-national and socio-demographic inequalities (Osborne et al., 2024; Hassan et al., 2025). These parallels suggest that Delhi’s challenges are not unique but reflect broader structural barriers in urban health systems.</w:t>
      </w:r>
    </w:p>
    <w:p w14:paraId="6729F74B" w14:textId="77777777" w:rsidR="004A56F1" w:rsidRPr="004103B7" w:rsidRDefault="004A56F1" w:rsidP="004A56F1">
      <w:pPr>
        <w:spacing w:line="360" w:lineRule="auto"/>
        <w:jc w:val="both"/>
        <w:rPr>
          <w:rFonts w:ascii="Arial" w:hAnsi="Arial" w:cs="Arial"/>
        </w:rPr>
      </w:pPr>
      <w:r w:rsidRPr="004103B7">
        <w:rPr>
          <w:rFonts w:ascii="Arial" w:hAnsi="Arial" w:cs="Arial"/>
        </w:rPr>
        <w:t>Importantly, the review showed that coverage challenges are not purely logistical but also social and behavioural. Community-based outreach, routine service delivery, and stigma-free vaccination platforms were consistently associated with improved uptake (Patel and Vyas, 2018; Pelzer et al., 2022). This highlights that improving coverage among adults requires moving beyond child-focused immunisation paradigms towards inclusive, adult-oriented delivery models.</w:t>
      </w:r>
    </w:p>
    <w:p w14:paraId="5000D947" w14:textId="77777777" w:rsidR="004A56F1" w:rsidRPr="004103B7" w:rsidRDefault="004A56F1" w:rsidP="004A56F1">
      <w:pPr>
        <w:pStyle w:val="Heading2"/>
      </w:pPr>
      <w:bookmarkStart w:id="59" w:name="_Toc218418713"/>
      <w:r w:rsidRPr="004103B7">
        <w:lastRenderedPageBreak/>
        <w:t>6.3.3 Objective 3: Barriers to Effective BCG Programme Implementation</w:t>
      </w:r>
      <w:bookmarkEnd w:id="59"/>
    </w:p>
    <w:p w14:paraId="4B9C5B40" w14:textId="77777777" w:rsidR="004A56F1" w:rsidRPr="004103B7" w:rsidRDefault="004A56F1" w:rsidP="004A56F1">
      <w:pPr>
        <w:spacing w:line="360" w:lineRule="auto"/>
        <w:jc w:val="both"/>
        <w:rPr>
          <w:rFonts w:ascii="Arial" w:hAnsi="Arial" w:cs="Arial"/>
        </w:rPr>
      </w:pPr>
      <w:r w:rsidRPr="004103B7">
        <w:rPr>
          <w:rFonts w:ascii="Arial" w:hAnsi="Arial" w:cs="Arial"/>
        </w:rPr>
        <w:t>The review identified multiple interconnected barriers affecting the implementation of BCG vaccination programmes. At the demand side, socio-cultural resistance, misinformation, fear of side effects, and mistrust in government health initiatives were prominent, particularly in marginalised urban communities (Jain et al., 2020; Neelakantan, 2018).</w:t>
      </w:r>
    </w:p>
    <w:p w14:paraId="486573A7" w14:textId="77777777" w:rsidR="004A56F1" w:rsidRPr="004103B7" w:rsidRDefault="004A56F1" w:rsidP="004A56F1">
      <w:pPr>
        <w:spacing w:line="360" w:lineRule="auto"/>
        <w:jc w:val="both"/>
        <w:rPr>
          <w:rFonts w:ascii="Arial" w:hAnsi="Arial" w:cs="Arial"/>
        </w:rPr>
      </w:pPr>
      <w:r w:rsidRPr="004103B7">
        <w:rPr>
          <w:rFonts w:ascii="Arial" w:hAnsi="Arial" w:cs="Arial"/>
        </w:rPr>
        <w:t>On the supply side, systemic constraints such as delayed vaccination, rigid vial-opening policies, workforce shortages, weak monitoring systems, and fragmented service delivery reduced programme efficiency (Rasmussen et al., 2024; Vedel, 2025). Importantly, several studies demonstrated that reported coverage figures often masked delayed or missed vaccination opportunities, limiting both TB-specific and non-specific benefits of BCG.</w:t>
      </w:r>
    </w:p>
    <w:p w14:paraId="7712997E" w14:textId="77777777" w:rsidR="004A56F1" w:rsidRPr="004103B7" w:rsidRDefault="004A56F1" w:rsidP="004A56F1">
      <w:pPr>
        <w:spacing w:line="360" w:lineRule="auto"/>
        <w:jc w:val="both"/>
        <w:rPr>
          <w:rFonts w:ascii="Arial" w:hAnsi="Arial" w:cs="Arial"/>
        </w:rPr>
      </w:pPr>
      <w:r w:rsidRPr="004103B7">
        <w:rPr>
          <w:rFonts w:ascii="Arial" w:hAnsi="Arial" w:cs="Arial"/>
        </w:rPr>
        <w:t>These barriers underscore that vaccination programme performance cannot be assessed solely through coverage indicators. Instead, timeliness, equity, trust, and health-system responsiveness must be central to evaluation frameworks. Without addressing these multidimensional barriers, BCG campaigns are likely to underperform, even when vaccine supply is adequate.</w:t>
      </w:r>
    </w:p>
    <w:p w14:paraId="1F977016" w14:textId="77777777" w:rsidR="004A56F1" w:rsidRPr="004103B7" w:rsidRDefault="004A56F1" w:rsidP="004A56F1">
      <w:pPr>
        <w:pStyle w:val="Heading2"/>
      </w:pPr>
      <w:bookmarkStart w:id="60" w:name="_Toc218418714"/>
      <w:r w:rsidRPr="004103B7">
        <w:t>6.3.4 Objective 4: Strategies for Improving Design, Delivery, and Equity</w:t>
      </w:r>
      <w:bookmarkEnd w:id="60"/>
    </w:p>
    <w:p w14:paraId="0FB3B278" w14:textId="77777777" w:rsidR="004A56F1" w:rsidRPr="004103B7" w:rsidRDefault="004A56F1" w:rsidP="004A56F1">
      <w:pPr>
        <w:spacing w:line="360" w:lineRule="auto"/>
        <w:jc w:val="both"/>
        <w:rPr>
          <w:rFonts w:ascii="Arial" w:hAnsi="Arial" w:cs="Arial"/>
        </w:rPr>
      </w:pPr>
      <w:r w:rsidRPr="004103B7">
        <w:rPr>
          <w:rFonts w:ascii="Arial" w:hAnsi="Arial" w:cs="Arial"/>
        </w:rPr>
        <w:t>The strongest and most consistent evidence from the review supported a shift towards targeted, equity-focused, and integrated vaccination strategies. Modelling studies demonstrated that prioritising high-risk subgroups</w:t>
      </w:r>
      <w:r>
        <w:rPr>
          <w:rFonts w:ascii="Arial" w:hAnsi="Arial" w:cs="Arial"/>
        </w:rPr>
        <w:t xml:space="preserve">, </w:t>
      </w:r>
      <w:r w:rsidRPr="004103B7">
        <w:rPr>
          <w:rFonts w:ascii="Arial" w:hAnsi="Arial" w:cs="Arial"/>
        </w:rPr>
        <w:t>such as undernourished individuals or populations in high-prevalence districts</w:t>
      </w:r>
      <w:r>
        <w:rPr>
          <w:rFonts w:ascii="Arial" w:hAnsi="Arial" w:cs="Arial"/>
        </w:rPr>
        <w:t xml:space="preserve">, </w:t>
      </w:r>
      <w:r w:rsidRPr="004103B7">
        <w:rPr>
          <w:rFonts w:ascii="Arial" w:hAnsi="Arial" w:cs="Arial"/>
        </w:rPr>
        <w:t>could achieve disproportionate impact compared to uniform mass vaccination (Arinaminpathy et al., 2023; Clark et al., 2024).</w:t>
      </w:r>
    </w:p>
    <w:p w14:paraId="7BD25B17" w14:textId="77777777" w:rsidR="004A56F1" w:rsidRPr="004103B7" w:rsidRDefault="004A56F1" w:rsidP="004A56F1">
      <w:pPr>
        <w:spacing w:line="360" w:lineRule="auto"/>
        <w:jc w:val="both"/>
        <w:rPr>
          <w:rFonts w:ascii="Arial" w:hAnsi="Arial" w:cs="Arial"/>
        </w:rPr>
      </w:pPr>
      <w:r w:rsidRPr="004103B7">
        <w:rPr>
          <w:rFonts w:ascii="Arial" w:hAnsi="Arial" w:cs="Arial"/>
        </w:rPr>
        <w:t>Empirical evidence further showed that strengthening routine primary healthcare systems improves coverage, timeliness, and equity, although targeted outreach remains essential for reaching mobile and underserved populations (Rajaonarifara et al., 2022). Renewed interest in BCG revaccination, supported by emerging evidence on heterologous benefits and acceptable safety profiles, presents an additional opportunity, if implementation is standardised and carefully targeted (Antas et al., 2024).</w:t>
      </w:r>
      <w:r>
        <w:rPr>
          <w:rFonts w:ascii="Arial" w:hAnsi="Arial" w:cs="Arial"/>
        </w:rPr>
        <w:t xml:space="preserve"> </w:t>
      </w:r>
      <w:r w:rsidRPr="004103B7">
        <w:rPr>
          <w:rFonts w:ascii="Arial" w:hAnsi="Arial" w:cs="Arial"/>
        </w:rPr>
        <w:t xml:space="preserve">Collectively, these findings </w:t>
      </w:r>
      <w:r>
        <w:rPr>
          <w:rFonts w:ascii="Arial" w:hAnsi="Arial" w:cs="Arial"/>
        </w:rPr>
        <w:t>suggest that future BCG strategies in Delhi should be people-centred, risk-based, and system-integrated, rather than campaign-heavy or one-size-fits-all approaches</w:t>
      </w:r>
      <w:r w:rsidRPr="004103B7">
        <w:rPr>
          <w:rFonts w:ascii="Arial" w:hAnsi="Arial" w:cs="Arial"/>
        </w:rPr>
        <w:t>.</w:t>
      </w:r>
    </w:p>
    <w:p w14:paraId="4FFD75B8" w14:textId="77777777" w:rsidR="004A56F1" w:rsidRPr="004103B7" w:rsidRDefault="004A56F1" w:rsidP="004F2450">
      <w:pPr>
        <w:pStyle w:val="Heading1"/>
      </w:pPr>
      <w:bookmarkStart w:id="61" w:name="_Toc218418715"/>
      <w:r w:rsidRPr="004103B7">
        <w:lastRenderedPageBreak/>
        <w:t>6.4 Limitations of the Study</w:t>
      </w:r>
      <w:bookmarkEnd w:id="61"/>
    </w:p>
    <w:p w14:paraId="4999F121" w14:textId="77777777" w:rsidR="004A56F1" w:rsidRPr="004103B7" w:rsidRDefault="004A56F1" w:rsidP="004A56F1">
      <w:pPr>
        <w:spacing w:line="360" w:lineRule="auto"/>
        <w:jc w:val="both"/>
        <w:rPr>
          <w:rFonts w:ascii="Arial" w:hAnsi="Arial" w:cs="Arial"/>
        </w:rPr>
      </w:pPr>
      <w:r w:rsidRPr="004103B7">
        <w:rPr>
          <w:rFonts w:ascii="Arial" w:hAnsi="Arial" w:cs="Arial"/>
        </w:rPr>
        <w:t>Several limitations should be considered when interpreting the findings of this systematic review. First, the inclusion of only ten studies reflects the scarcity of district-level and adult-focused research on BCG vaccination in urban Indian contexts. This limited evidence base restricted the depth of analysis and precluded robust quantitative synthesis, such as meta-analysis. Second, the 16-week timeframe for conducting the review constrained the extent of database searching and limited the inclusion of grey literature, policy documents, and unpublished programmatic reports that may have provided additional local insights from Delhi’s health authorities.</w:t>
      </w:r>
    </w:p>
    <w:p w14:paraId="31C45E4C" w14:textId="77777777" w:rsidR="004A56F1" w:rsidRPr="004103B7" w:rsidRDefault="004A56F1" w:rsidP="004A56F1">
      <w:pPr>
        <w:spacing w:line="360" w:lineRule="auto"/>
        <w:jc w:val="both"/>
        <w:rPr>
          <w:rFonts w:ascii="Arial" w:hAnsi="Arial" w:cs="Arial"/>
        </w:rPr>
      </w:pPr>
      <w:r w:rsidRPr="004103B7">
        <w:rPr>
          <w:rFonts w:ascii="Arial" w:hAnsi="Arial" w:cs="Arial"/>
        </w:rPr>
        <w:t xml:space="preserve">Furthermore, the heterogeneity of the included studies posed methodological challenges. The review drew on diverse study designs, including modelling, observational, qualitative, and policy-oriented analyses, which limited direct comparability across findings and necessitated a primarily narrative synthesis. In addition, several studies were conducted in settings outside Delhi or India, </w:t>
      </w:r>
      <w:r>
        <w:rPr>
          <w:rFonts w:ascii="Arial" w:hAnsi="Arial" w:cs="Arial"/>
        </w:rPr>
        <w:t>which may have affected the generalisability of the conclusions,</w:t>
      </w:r>
      <w:r w:rsidRPr="004103B7">
        <w:rPr>
          <w:rFonts w:ascii="Arial" w:hAnsi="Arial" w:cs="Arial"/>
        </w:rPr>
        <w:t xml:space="preserve"> despite careful contextual interpretation. Finally, reliance on secondary data meant that real-time assessments of campaign implementation, community perceptions, and frontline healthcare experiences in Delhi’s high-risk districts could not be directly captured. As a result, the findings should be interpreted as indicative rather than definitive, highlighting trends and gaps that warrant further primary research.</w:t>
      </w:r>
    </w:p>
    <w:p w14:paraId="5562653F" w14:textId="77777777" w:rsidR="004A56F1" w:rsidRPr="004103B7" w:rsidRDefault="004A56F1" w:rsidP="004F2450">
      <w:pPr>
        <w:pStyle w:val="Heading1"/>
      </w:pPr>
      <w:bookmarkStart w:id="62" w:name="_Toc218418716"/>
      <w:r w:rsidRPr="004103B7">
        <w:t>6.5 Recommendations</w:t>
      </w:r>
      <w:bookmarkEnd w:id="62"/>
    </w:p>
    <w:p w14:paraId="3AD30159" w14:textId="77777777" w:rsidR="004A56F1" w:rsidRPr="004103B7" w:rsidRDefault="004A56F1" w:rsidP="004A56F1">
      <w:pPr>
        <w:spacing w:line="360" w:lineRule="auto"/>
        <w:jc w:val="both"/>
        <w:rPr>
          <w:rFonts w:ascii="Arial" w:hAnsi="Arial" w:cs="Arial"/>
        </w:rPr>
      </w:pPr>
      <w:r w:rsidRPr="004103B7">
        <w:rPr>
          <w:rFonts w:ascii="Arial" w:hAnsi="Arial" w:cs="Arial"/>
        </w:rPr>
        <w:t>Based on the findings of this systematic review, a set of evidence-based recommendations is proposed to enhance the effectiveness, equity, and sustainability of BCG vaccination campaigns in high-risk districts of Delhi. These recommendations are structured around programmatic design, service delivery, monitoring, and future research priorities.</w:t>
      </w:r>
    </w:p>
    <w:p w14:paraId="4BE7768B" w14:textId="77777777" w:rsidR="004A56F1" w:rsidRPr="004103B7" w:rsidRDefault="004A56F1" w:rsidP="004A56F1">
      <w:pPr>
        <w:numPr>
          <w:ilvl w:val="0"/>
          <w:numId w:val="4"/>
        </w:numPr>
        <w:tabs>
          <w:tab w:val="clear" w:pos="360"/>
          <w:tab w:val="num" w:pos="720"/>
        </w:tabs>
        <w:spacing w:line="360" w:lineRule="auto"/>
        <w:jc w:val="both"/>
        <w:rPr>
          <w:rFonts w:ascii="Arial" w:hAnsi="Arial" w:cs="Arial"/>
        </w:rPr>
      </w:pPr>
      <w:r w:rsidRPr="004103B7">
        <w:rPr>
          <w:rFonts w:ascii="Arial" w:hAnsi="Arial" w:cs="Arial"/>
          <w:b/>
          <w:bCs/>
        </w:rPr>
        <w:t>Adopt risk-based targeting of BCG and revaccination strategies</w:t>
      </w:r>
      <w:r w:rsidRPr="004103B7">
        <w:rPr>
          <w:rFonts w:ascii="Arial" w:hAnsi="Arial" w:cs="Arial"/>
        </w:rPr>
        <w:t xml:space="preserve"> by prioritising high-prevalence districts and populations at greatest risk of TB transmission and disease progression. This includes undernourished individuals, migrant workers, residents of informal settlements, and those engaged in high-exposure occupations. Targeted approaches are likely to yield greater population-level impact than uniform mass vaccination strategies in resource-constrained urban settings.</w:t>
      </w:r>
    </w:p>
    <w:p w14:paraId="09BB89B7" w14:textId="592078CB" w:rsidR="004A56F1" w:rsidRPr="004103B7" w:rsidRDefault="004A56F1" w:rsidP="004A56F1">
      <w:pPr>
        <w:numPr>
          <w:ilvl w:val="0"/>
          <w:numId w:val="4"/>
        </w:numPr>
        <w:tabs>
          <w:tab w:val="clear" w:pos="360"/>
          <w:tab w:val="num" w:pos="720"/>
        </w:tabs>
        <w:spacing w:line="360" w:lineRule="auto"/>
        <w:jc w:val="both"/>
        <w:rPr>
          <w:rFonts w:ascii="Arial" w:hAnsi="Arial" w:cs="Arial"/>
        </w:rPr>
      </w:pPr>
      <w:r w:rsidRPr="004103B7">
        <w:rPr>
          <w:rFonts w:ascii="Arial" w:hAnsi="Arial" w:cs="Arial"/>
          <w:b/>
          <w:bCs/>
        </w:rPr>
        <w:lastRenderedPageBreak/>
        <w:t>Strengthen routine primary healthcare systems</w:t>
      </w:r>
      <w:r w:rsidRPr="004103B7">
        <w:rPr>
          <w:rFonts w:ascii="Arial" w:hAnsi="Arial" w:cs="Arial"/>
        </w:rPr>
        <w:t xml:space="preserve"> to support timely, continuous, and stigma-free adult vaccination services. Embedding BCG delivery within routine health services can improve accessibility and continuity of care, while targeted outreach mechanisms</w:t>
      </w:r>
      <w:r>
        <w:rPr>
          <w:rFonts w:ascii="Arial" w:hAnsi="Arial" w:cs="Arial"/>
        </w:rPr>
        <w:t xml:space="preserve">, </w:t>
      </w:r>
      <w:r w:rsidRPr="004103B7">
        <w:rPr>
          <w:rFonts w:ascii="Arial" w:hAnsi="Arial" w:cs="Arial"/>
        </w:rPr>
        <w:t>such as mobile clinics and workplace vaccination</w:t>
      </w:r>
      <w:r>
        <w:rPr>
          <w:rFonts w:ascii="Arial" w:hAnsi="Arial" w:cs="Arial"/>
        </w:rPr>
        <w:t xml:space="preserve">, </w:t>
      </w:r>
      <w:r w:rsidRPr="004103B7">
        <w:rPr>
          <w:rFonts w:ascii="Arial" w:hAnsi="Arial" w:cs="Arial"/>
        </w:rPr>
        <w:t>should be used to reach highly mobile and underserved populations.</w:t>
      </w:r>
    </w:p>
    <w:p w14:paraId="7A9EF570" w14:textId="77777777" w:rsidR="004A56F1" w:rsidRPr="004103B7" w:rsidRDefault="004A56F1" w:rsidP="004A56F1">
      <w:pPr>
        <w:numPr>
          <w:ilvl w:val="0"/>
          <w:numId w:val="4"/>
        </w:numPr>
        <w:tabs>
          <w:tab w:val="clear" w:pos="360"/>
          <w:tab w:val="num" w:pos="720"/>
        </w:tabs>
        <w:spacing w:line="360" w:lineRule="auto"/>
        <w:jc w:val="both"/>
        <w:rPr>
          <w:rFonts w:ascii="Arial" w:hAnsi="Arial" w:cs="Arial"/>
        </w:rPr>
      </w:pPr>
      <w:r w:rsidRPr="004103B7">
        <w:rPr>
          <w:rFonts w:ascii="Arial" w:hAnsi="Arial" w:cs="Arial"/>
          <w:b/>
          <w:bCs/>
        </w:rPr>
        <w:t>Integrate BCG vaccination strategies with broader TB control interventions</w:t>
      </w:r>
      <w:r w:rsidRPr="004103B7">
        <w:rPr>
          <w:rFonts w:ascii="Arial" w:hAnsi="Arial" w:cs="Arial"/>
        </w:rPr>
        <w:t>, including active case finding, preventive therapy, nutritional supplementation, and occupational health services. A more holistic approach can address both biological and social determinants of TB risk, thereby enhancing the overall effectiveness of vaccination campaigns.</w:t>
      </w:r>
    </w:p>
    <w:p w14:paraId="3F3AC039" w14:textId="77777777" w:rsidR="004A56F1" w:rsidRPr="004103B7" w:rsidRDefault="004A56F1" w:rsidP="004A56F1">
      <w:pPr>
        <w:numPr>
          <w:ilvl w:val="0"/>
          <w:numId w:val="4"/>
        </w:numPr>
        <w:tabs>
          <w:tab w:val="clear" w:pos="360"/>
          <w:tab w:val="num" w:pos="720"/>
        </w:tabs>
        <w:spacing w:line="360" w:lineRule="auto"/>
        <w:jc w:val="both"/>
        <w:rPr>
          <w:rFonts w:ascii="Arial" w:hAnsi="Arial" w:cs="Arial"/>
        </w:rPr>
      </w:pPr>
      <w:r w:rsidRPr="004103B7">
        <w:rPr>
          <w:rFonts w:ascii="Arial" w:hAnsi="Arial" w:cs="Arial"/>
          <w:b/>
          <w:bCs/>
        </w:rPr>
        <w:t>Improve monitoring and evaluation frameworks</w:t>
      </w:r>
      <w:r w:rsidRPr="004103B7">
        <w:rPr>
          <w:rFonts w:ascii="Arial" w:hAnsi="Arial" w:cs="Arial"/>
        </w:rPr>
        <w:t xml:space="preserve"> by expanding beyond conventional coverage indicators. Incorporating measures of equity, timeliness of vaccination, and missed opportunities will provide a more accurate assessment of programme performance and help identify underserved sub-populations.</w:t>
      </w:r>
    </w:p>
    <w:p w14:paraId="4BED3255" w14:textId="77777777" w:rsidR="004A56F1" w:rsidRPr="004103B7" w:rsidRDefault="004A56F1" w:rsidP="004A56F1">
      <w:pPr>
        <w:numPr>
          <w:ilvl w:val="0"/>
          <w:numId w:val="4"/>
        </w:numPr>
        <w:tabs>
          <w:tab w:val="clear" w:pos="360"/>
          <w:tab w:val="num" w:pos="720"/>
        </w:tabs>
        <w:spacing w:line="360" w:lineRule="auto"/>
        <w:jc w:val="both"/>
        <w:rPr>
          <w:rFonts w:ascii="Arial" w:hAnsi="Arial" w:cs="Arial"/>
        </w:rPr>
      </w:pPr>
      <w:r w:rsidRPr="004103B7">
        <w:rPr>
          <w:rFonts w:ascii="Arial" w:hAnsi="Arial" w:cs="Arial"/>
          <w:b/>
          <w:bCs/>
        </w:rPr>
        <w:t>Invest in community engagement and trust-building initiatives</w:t>
      </w:r>
      <w:r w:rsidRPr="004103B7">
        <w:rPr>
          <w:rFonts w:ascii="Arial" w:hAnsi="Arial" w:cs="Arial"/>
        </w:rPr>
        <w:t xml:space="preserve"> by involving local leaders, community health workers, and civil society organisations. Tailored communication strategies that are culturally sensitive and linguistically appropriate are essential to address misinformation, reduce vaccine hesitancy, and improve acceptance among marginalised groups.</w:t>
      </w:r>
    </w:p>
    <w:p w14:paraId="65B0C8BC" w14:textId="77777777" w:rsidR="004A56F1" w:rsidRPr="004103B7" w:rsidRDefault="004A56F1" w:rsidP="004A56F1">
      <w:pPr>
        <w:numPr>
          <w:ilvl w:val="0"/>
          <w:numId w:val="4"/>
        </w:numPr>
        <w:tabs>
          <w:tab w:val="clear" w:pos="360"/>
          <w:tab w:val="num" w:pos="720"/>
        </w:tabs>
        <w:spacing w:line="360" w:lineRule="auto"/>
        <w:jc w:val="both"/>
        <w:rPr>
          <w:rFonts w:ascii="Arial" w:hAnsi="Arial" w:cs="Arial"/>
        </w:rPr>
      </w:pPr>
      <w:r w:rsidRPr="004103B7">
        <w:rPr>
          <w:rFonts w:ascii="Arial" w:hAnsi="Arial" w:cs="Arial"/>
          <w:b/>
          <w:bCs/>
        </w:rPr>
        <w:t>Support further research and pilot programmes on BCG revaccination and novel TB vaccines</w:t>
      </w:r>
      <w:r w:rsidRPr="004103B7">
        <w:rPr>
          <w:rFonts w:ascii="Arial" w:hAnsi="Arial" w:cs="Arial"/>
        </w:rPr>
        <w:t>, particularly among adult populations in high-burden urban contexts. Such initiatives should prioritise safety, acceptability, and cost-effectiveness to inform scalable and evidence-based policy decisions.</w:t>
      </w:r>
    </w:p>
    <w:p w14:paraId="4A11B6AD" w14:textId="77777777" w:rsidR="004A56F1" w:rsidRPr="004103B7" w:rsidRDefault="004A56F1" w:rsidP="004A56F1">
      <w:pPr>
        <w:spacing w:line="360" w:lineRule="auto"/>
        <w:jc w:val="both"/>
        <w:rPr>
          <w:rFonts w:ascii="Arial" w:hAnsi="Arial" w:cs="Arial"/>
        </w:rPr>
      </w:pPr>
      <w:r w:rsidRPr="004103B7">
        <w:rPr>
          <w:rFonts w:ascii="Arial" w:hAnsi="Arial" w:cs="Arial"/>
        </w:rPr>
        <w:t>Together, these recommendations emphasise the need for integrated, people-centred, and equity-driven approaches to strengthen BCG vaccination efforts and advance TB control in Delhi’s high-risk districts.</w:t>
      </w:r>
    </w:p>
    <w:p w14:paraId="2499F7A5" w14:textId="77777777" w:rsidR="004A56F1" w:rsidRPr="004103B7" w:rsidRDefault="004A56F1" w:rsidP="004F2450">
      <w:pPr>
        <w:pStyle w:val="Heading1"/>
      </w:pPr>
      <w:bookmarkStart w:id="63" w:name="_Toc218418717"/>
      <w:r w:rsidRPr="004103B7">
        <w:t>6.6 Conclusion</w:t>
      </w:r>
      <w:bookmarkEnd w:id="63"/>
      <w:r w:rsidRPr="004103B7">
        <w:t xml:space="preserve"> </w:t>
      </w:r>
    </w:p>
    <w:p w14:paraId="41BE44E4" w14:textId="77777777" w:rsidR="004A56F1" w:rsidRPr="004103B7" w:rsidRDefault="004A56F1" w:rsidP="004A56F1">
      <w:pPr>
        <w:spacing w:line="360" w:lineRule="auto"/>
        <w:jc w:val="both"/>
        <w:rPr>
          <w:rFonts w:ascii="Arial" w:hAnsi="Arial" w:cs="Arial"/>
        </w:rPr>
      </w:pPr>
      <w:r w:rsidRPr="004103B7">
        <w:rPr>
          <w:rFonts w:ascii="Arial" w:hAnsi="Arial" w:cs="Arial"/>
        </w:rPr>
        <w:t xml:space="preserve">This systematic review demonstrates that although BCG vaccination campaigns exert a limited direct effect on reducing adult tuberculosis (TB) incidence, their role in TB control within high-risk districts of Delhi remains contextually significant. The persistence of TB in these urban settings is less indicative of biological vaccine failure </w:t>
      </w:r>
      <w:r w:rsidRPr="004103B7">
        <w:rPr>
          <w:rFonts w:ascii="Arial" w:hAnsi="Arial" w:cs="Arial"/>
        </w:rPr>
        <w:lastRenderedPageBreak/>
        <w:t>and more reflective of entrenched structural challenges, including inequitable coverage, delayed vaccination, socio-cultural resistance, and constrained health-system capacity. Evidence from diverse study designs shows that reported coverage often masks missed opportunities among migrants, informal workers, and residents of overcrowded settlements, thereby diminishing the potential impact of vaccination programmes. When strategically targeted and integrated with routine services, BCG vaccination can contribute meaningfully to reducing disease severity, transmission risk, and overall TB burden among populations aged 15–60 years who bear the greatest share of infection and spread.</w:t>
      </w:r>
    </w:p>
    <w:p w14:paraId="3B65B166" w14:textId="198814C8" w:rsidR="004A56F1" w:rsidRPr="004103B7" w:rsidRDefault="004A56F1" w:rsidP="004A56F1">
      <w:pPr>
        <w:spacing w:line="360" w:lineRule="auto"/>
        <w:jc w:val="both"/>
        <w:rPr>
          <w:rFonts w:ascii="Arial" w:hAnsi="Arial" w:cs="Arial"/>
        </w:rPr>
      </w:pPr>
      <w:r w:rsidRPr="004103B7">
        <w:rPr>
          <w:rFonts w:ascii="Arial" w:hAnsi="Arial" w:cs="Arial"/>
        </w:rPr>
        <w:t>The findings underscore the need for a paradigm shift in TB prevention strategies in Delhi</w:t>
      </w:r>
      <w:r w:rsidR="00CC4D22">
        <w:rPr>
          <w:rFonts w:ascii="Arial" w:hAnsi="Arial" w:cs="Arial"/>
        </w:rPr>
        <w:t xml:space="preserve">, </w:t>
      </w:r>
      <w:r w:rsidRPr="004103B7">
        <w:rPr>
          <w:rFonts w:ascii="Arial" w:hAnsi="Arial" w:cs="Arial"/>
        </w:rPr>
        <w:t>from predominantly universal, child-focused immunisation models towards equity-driven, adult-inclusive, and system-strengthened approaches. BCG vaccination, particularly when complemented by revaccination strategies, novel TB vaccines, active case finding, nutritional support, and occupational health interventions, remains a relevant component of India’s TB elimination agenda. However, maximising its impact requires rethinking how vaccination success is measured, prioritising timeliness and equity alongside coverage, and investing in community trust and health-system responsiveness. Ultimately, optimising BCG campaign design, delivery, and equity is not merely a technical challenge but a social and political imperative. Addressing the needs of Delhi’s most vulnerable populations is essential if TB elimination targets are to be achieved, offering lessons that are equally applicable to other high-burden urban settings globally.</w:t>
      </w:r>
    </w:p>
    <w:p w14:paraId="790B48AC" w14:textId="77777777" w:rsidR="00850D98" w:rsidRPr="000955A3" w:rsidRDefault="00850D98" w:rsidP="00AB0BD3">
      <w:pPr>
        <w:spacing w:line="360" w:lineRule="auto"/>
        <w:jc w:val="both"/>
        <w:rPr>
          <w:rFonts w:ascii="Arial" w:hAnsi="Arial" w:cs="Arial"/>
          <w:lang w:eastAsia="en-GB"/>
        </w:rPr>
      </w:pPr>
    </w:p>
    <w:p w14:paraId="1F5BB846" w14:textId="77777777" w:rsidR="00AB0BD3" w:rsidRPr="000955A3" w:rsidRDefault="00AB0BD3" w:rsidP="00AB0BD3">
      <w:pPr>
        <w:rPr>
          <w:rFonts w:ascii="Arial" w:hAnsi="Arial" w:cs="Arial"/>
          <w:lang w:eastAsia="en-GB"/>
        </w:rPr>
      </w:pPr>
    </w:p>
    <w:p w14:paraId="26324A6C" w14:textId="77777777" w:rsidR="00AB0BD3" w:rsidRDefault="00AB0BD3" w:rsidP="0046084C">
      <w:pPr>
        <w:spacing w:before="240" w:line="360" w:lineRule="auto"/>
        <w:jc w:val="both"/>
        <w:rPr>
          <w:rFonts w:ascii="Arial" w:hAnsi="Arial" w:cs="Arial"/>
        </w:rPr>
      </w:pPr>
    </w:p>
    <w:p w14:paraId="1573D709" w14:textId="77777777" w:rsidR="00A4764F" w:rsidRDefault="00A4764F" w:rsidP="0046084C">
      <w:pPr>
        <w:spacing w:before="240" w:line="360" w:lineRule="auto"/>
        <w:jc w:val="both"/>
        <w:rPr>
          <w:rFonts w:ascii="Arial" w:hAnsi="Arial" w:cs="Arial"/>
        </w:rPr>
      </w:pPr>
    </w:p>
    <w:p w14:paraId="4847ECBB" w14:textId="77777777" w:rsidR="00570C95" w:rsidRDefault="00570C95" w:rsidP="0046084C">
      <w:pPr>
        <w:spacing w:before="240" w:line="360" w:lineRule="auto"/>
        <w:jc w:val="both"/>
        <w:rPr>
          <w:rFonts w:ascii="Arial" w:hAnsi="Arial" w:cs="Arial"/>
        </w:rPr>
      </w:pPr>
    </w:p>
    <w:p w14:paraId="058C3CA0" w14:textId="77777777" w:rsidR="00A4764F" w:rsidRPr="00AB0BD3" w:rsidRDefault="00A4764F" w:rsidP="0046084C">
      <w:pPr>
        <w:spacing w:before="240" w:line="360" w:lineRule="auto"/>
        <w:jc w:val="both"/>
        <w:rPr>
          <w:rFonts w:ascii="Arial" w:hAnsi="Arial" w:cs="Arial"/>
        </w:rPr>
      </w:pPr>
    </w:p>
    <w:p w14:paraId="3384331B" w14:textId="3C86BE3C" w:rsidR="00963E45" w:rsidRPr="00AB0BD3" w:rsidRDefault="00963E45" w:rsidP="004F2450">
      <w:pPr>
        <w:pStyle w:val="Heading1"/>
      </w:pPr>
      <w:bookmarkStart w:id="64" w:name="_Toc218418718"/>
      <w:r w:rsidRPr="00AB0BD3">
        <w:lastRenderedPageBreak/>
        <w:t>References</w:t>
      </w:r>
      <w:bookmarkEnd w:id="64"/>
    </w:p>
    <w:p w14:paraId="22A06BF0" w14:textId="063035A2" w:rsidR="00FD417E" w:rsidRDefault="00FD417E" w:rsidP="0046084C">
      <w:pPr>
        <w:spacing w:before="240" w:line="360" w:lineRule="auto"/>
        <w:jc w:val="both"/>
      </w:pPr>
      <w:r w:rsidRPr="00AB0BD3">
        <w:rPr>
          <w:rFonts w:ascii="Arial" w:hAnsi="Arial" w:cs="Arial"/>
        </w:rPr>
        <w:t xml:space="preserve">Adhisivam, B., Kamalarathnam, C., Bhat, B.V., Jayaraman, K., Namachivayam, S.P., Shann, F., McSharry, B., David, P. and Sundaram, M., </w:t>
      </w:r>
      <w:r w:rsidR="00636104" w:rsidRPr="00AB0BD3">
        <w:rPr>
          <w:rFonts w:ascii="Arial" w:hAnsi="Arial" w:cs="Arial"/>
        </w:rPr>
        <w:t>(</w:t>
      </w:r>
      <w:r w:rsidRPr="00AB0BD3">
        <w:rPr>
          <w:rFonts w:ascii="Arial" w:hAnsi="Arial" w:cs="Arial"/>
        </w:rPr>
        <w:t>2025</w:t>
      </w:r>
      <w:r w:rsidR="00636104" w:rsidRPr="00AB0BD3">
        <w:rPr>
          <w:rFonts w:ascii="Arial" w:hAnsi="Arial" w:cs="Arial"/>
        </w:rPr>
        <w:t>)</w:t>
      </w:r>
      <w:r w:rsidRPr="00AB0BD3">
        <w:rPr>
          <w:rFonts w:ascii="Arial" w:hAnsi="Arial" w:cs="Arial"/>
        </w:rPr>
        <w:t>. Effect of BCG Danish and oral polio vaccine on neonatal mortality in newborn babies weighing less than 2000 g in India: multicentre open label randomised controlled trial (BLOW2). </w:t>
      </w:r>
      <w:r w:rsidRPr="00AB0BD3">
        <w:rPr>
          <w:rFonts w:ascii="Arial" w:hAnsi="Arial" w:cs="Arial"/>
          <w:i/>
          <w:iCs/>
        </w:rPr>
        <w:t>bmj</w:t>
      </w:r>
      <w:r w:rsidRPr="00AB0BD3">
        <w:rPr>
          <w:rFonts w:ascii="Arial" w:hAnsi="Arial" w:cs="Arial"/>
        </w:rPr>
        <w:t>, </w:t>
      </w:r>
      <w:r w:rsidRPr="00AB0BD3">
        <w:rPr>
          <w:rFonts w:ascii="Arial" w:hAnsi="Arial" w:cs="Arial"/>
          <w:i/>
          <w:iCs/>
        </w:rPr>
        <w:t>390</w:t>
      </w:r>
      <w:r w:rsidRPr="00AB0BD3">
        <w:rPr>
          <w:rFonts w:ascii="Arial" w:hAnsi="Arial" w:cs="Arial"/>
        </w:rPr>
        <w:t xml:space="preserve">. </w:t>
      </w:r>
      <w:hyperlink r:id="rId15" w:history="1">
        <w:r w:rsidRPr="00AB0BD3">
          <w:rPr>
            <w:rStyle w:val="Hyperlink"/>
            <w:rFonts w:ascii="Arial" w:hAnsi="Arial" w:cs="Arial"/>
          </w:rPr>
          <w:t>https://www.bmj.com/content/390/bmj-2025-084745.abstract</w:t>
        </w:r>
      </w:hyperlink>
    </w:p>
    <w:p w14:paraId="6AB7BEFD" w14:textId="1AC10E60" w:rsidR="00DD5ADC" w:rsidRDefault="00DD5ADC" w:rsidP="00DD5ADC">
      <w:pPr>
        <w:spacing w:line="360" w:lineRule="auto"/>
        <w:jc w:val="both"/>
        <w:rPr>
          <w:rFonts w:ascii="Arial" w:hAnsi="Arial" w:cs="Arial"/>
        </w:rPr>
      </w:pPr>
      <w:r w:rsidRPr="001D37FF">
        <w:rPr>
          <w:rFonts w:ascii="Arial" w:hAnsi="Arial" w:cs="Arial"/>
        </w:rPr>
        <w:t xml:space="preserve">Abbott, S., Christensen, H., Lalor, M.K., Zenner, D., Campbell, C., Ramsay, M.E. and Brooks-Pollock, E., </w:t>
      </w:r>
      <w:r w:rsidR="005C0572">
        <w:rPr>
          <w:rFonts w:ascii="Arial" w:hAnsi="Arial" w:cs="Arial"/>
        </w:rPr>
        <w:t>(</w:t>
      </w:r>
      <w:r w:rsidRPr="001D37FF">
        <w:rPr>
          <w:rFonts w:ascii="Arial" w:hAnsi="Arial" w:cs="Arial"/>
        </w:rPr>
        <w:t>2019</w:t>
      </w:r>
      <w:r w:rsidR="005C0572">
        <w:rPr>
          <w:rFonts w:ascii="Arial" w:hAnsi="Arial" w:cs="Arial"/>
        </w:rPr>
        <w:t>)</w:t>
      </w:r>
      <w:r w:rsidRPr="001D37FF">
        <w:rPr>
          <w:rFonts w:ascii="Arial" w:hAnsi="Arial" w:cs="Arial"/>
        </w:rPr>
        <w:t>. Exploring the effects of BCG vaccination in patients diagnosed with tuberculosis: Observational study using the Enhanced Tuberculosis Surveillance system. </w:t>
      </w:r>
      <w:r w:rsidRPr="001D37FF">
        <w:rPr>
          <w:rFonts w:ascii="Arial" w:hAnsi="Arial" w:cs="Arial"/>
          <w:i/>
          <w:iCs/>
        </w:rPr>
        <w:t>Vaccine</w:t>
      </w:r>
      <w:r w:rsidRPr="001D37FF">
        <w:rPr>
          <w:rFonts w:ascii="Arial" w:hAnsi="Arial" w:cs="Arial"/>
        </w:rPr>
        <w:t>, </w:t>
      </w:r>
      <w:r w:rsidRPr="001D37FF">
        <w:rPr>
          <w:rFonts w:ascii="Arial" w:hAnsi="Arial" w:cs="Arial"/>
          <w:i/>
          <w:iCs/>
        </w:rPr>
        <w:t>37</w:t>
      </w:r>
      <w:r w:rsidRPr="001D37FF">
        <w:rPr>
          <w:rFonts w:ascii="Arial" w:hAnsi="Arial" w:cs="Arial"/>
        </w:rPr>
        <w:t>(35), pp.5067-5072.</w:t>
      </w:r>
      <w:r>
        <w:rPr>
          <w:rFonts w:ascii="Arial" w:hAnsi="Arial" w:cs="Arial"/>
        </w:rPr>
        <w:t xml:space="preserve"> </w:t>
      </w:r>
      <w:hyperlink r:id="rId16" w:history="1">
        <w:r w:rsidRPr="00B65757">
          <w:rPr>
            <w:rStyle w:val="Hyperlink"/>
            <w:rFonts w:ascii="Arial" w:hAnsi="Arial" w:cs="Arial"/>
          </w:rPr>
          <w:t>https://www.sciencedirect.com/science/article/pii/S0264410X19308187</w:t>
        </w:r>
      </w:hyperlink>
    </w:p>
    <w:p w14:paraId="2626F236" w14:textId="7874D872" w:rsidR="00DD5ADC" w:rsidRDefault="00DD5ADC" w:rsidP="00DD5ADC">
      <w:pPr>
        <w:spacing w:line="360" w:lineRule="auto"/>
        <w:jc w:val="both"/>
        <w:rPr>
          <w:rFonts w:ascii="Arial" w:hAnsi="Arial" w:cs="Arial"/>
        </w:rPr>
      </w:pPr>
      <w:r w:rsidRPr="001D37FF">
        <w:rPr>
          <w:rFonts w:ascii="Arial" w:hAnsi="Arial" w:cs="Arial"/>
        </w:rPr>
        <w:t xml:space="preserve">Antas, P.R., Flores-Valdez, M.A. and Locht, C., </w:t>
      </w:r>
      <w:r w:rsidR="005C0572">
        <w:rPr>
          <w:rFonts w:ascii="Arial" w:hAnsi="Arial" w:cs="Arial"/>
        </w:rPr>
        <w:t>(</w:t>
      </w:r>
      <w:r w:rsidRPr="001D37FF">
        <w:rPr>
          <w:rFonts w:ascii="Arial" w:hAnsi="Arial" w:cs="Arial"/>
        </w:rPr>
        <w:t>2024</w:t>
      </w:r>
      <w:r w:rsidR="005C0572">
        <w:rPr>
          <w:rFonts w:ascii="Arial" w:hAnsi="Arial" w:cs="Arial"/>
        </w:rPr>
        <w:t>)</w:t>
      </w:r>
      <w:r w:rsidRPr="001D37FF">
        <w:rPr>
          <w:rFonts w:ascii="Arial" w:hAnsi="Arial" w:cs="Arial"/>
        </w:rPr>
        <w:t>. Revamping the BCG revaccination strategy: Records to recall, or just call it phoenix?. </w:t>
      </w:r>
      <w:r w:rsidRPr="001D37FF">
        <w:rPr>
          <w:rFonts w:ascii="Arial" w:hAnsi="Arial" w:cs="Arial"/>
          <w:i/>
          <w:iCs/>
        </w:rPr>
        <w:t>Human Vaccines &amp; Immunotherapeutics</w:t>
      </w:r>
      <w:r w:rsidRPr="001D37FF">
        <w:rPr>
          <w:rFonts w:ascii="Arial" w:hAnsi="Arial" w:cs="Arial"/>
        </w:rPr>
        <w:t>, </w:t>
      </w:r>
      <w:r w:rsidRPr="001D37FF">
        <w:rPr>
          <w:rFonts w:ascii="Arial" w:hAnsi="Arial" w:cs="Arial"/>
          <w:i/>
          <w:iCs/>
        </w:rPr>
        <w:t>20</w:t>
      </w:r>
      <w:r w:rsidRPr="001D37FF">
        <w:rPr>
          <w:rFonts w:ascii="Arial" w:hAnsi="Arial" w:cs="Arial"/>
        </w:rPr>
        <w:t>(1), p.2300158.</w:t>
      </w:r>
      <w:r>
        <w:rPr>
          <w:rFonts w:ascii="Arial" w:hAnsi="Arial" w:cs="Arial"/>
        </w:rPr>
        <w:t xml:space="preserve"> </w:t>
      </w:r>
      <w:hyperlink r:id="rId17" w:history="1">
        <w:r w:rsidRPr="00B65757">
          <w:rPr>
            <w:rStyle w:val="Hyperlink"/>
            <w:rFonts w:ascii="Arial" w:hAnsi="Arial" w:cs="Arial"/>
          </w:rPr>
          <w:t>https://www.tandfonline.com/doi/full/10.1080/21645515.2023.2300158</w:t>
        </w:r>
      </w:hyperlink>
    </w:p>
    <w:p w14:paraId="4DCFADF8" w14:textId="77777777" w:rsidR="002E018A" w:rsidRPr="00AB0BD3" w:rsidRDefault="002E018A" w:rsidP="002E018A">
      <w:pPr>
        <w:spacing w:line="360" w:lineRule="auto"/>
        <w:jc w:val="both"/>
        <w:rPr>
          <w:rFonts w:ascii="Arial" w:hAnsi="Arial" w:cs="Arial"/>
        </w:rPr>
      </w:pPr>
      <w:r w:rsidRPr="00AB0BD3">
        <w:rPr>
          <w:rFonts w:ascii="Arial" w:hAnsi="Arial" w:cs="Arial"/>
        </w:rPr>
        <w:t>Ahmed, A., Rakshit, S., Adiga, V., Dias, M., Dwarkanath, P., D’Souza, G. and Vyakarnam, A., (2021). A century of BCG: Impact on tuberculosis control and beyond. </w:t>
      </w:r>
      <w:r w:rsidRPr="00AB0BD3">
        <w:rPr>
          <w:rFonts w:ascii="Arial" w:hAnsi="Arial" w:cs="Arial"/>
          <w:i/>
          <w:iCs/>
        </w:rPr>
        <w:t>Immunological reviews</w:t>
      </w:r>
      <w:r w:rsidRPr="00AB0BD3">
        <w:rPr>
          <w:rFonts w:ascii="Arial" w:hAnsi="Arial" w:cs="Arial"/>
        </w:rPr>
        <w:t>, </w:t>
      </w:r>
      <w:r w:rsidRPr="00AB0BD3">
        <w:rPr>
          <w:rFonts w:ascii="Arial" w:hAnsi="Arial" w:cs="Arial"/>
          <w:i/>
          <w:iCs/>
        </w:rPr>
        <w:t>301</w:t>
      </w:r>
      <w:r w:rsidRPr="00AB0BD3">
        <w:rPr>
          <w:rFonts w:ascii="Arial" w:hAnsi="Arial" w:cs="Arial"/>
        </w:rPr>
        <w:t xml:space="preserve">(1), pp.98-121. </w:t>
      </w:r>
      <w:hyperlink r:id="rId18" w:history="1">
        <w:r w:rsidRPr="00AB0BD3">
          <w:rPr>
            <w:rStyle w:val="Hyperlink"/>
            <w:rFonts w:ascii="Arial" w:hAnsi="Arial" w:cs="Arial"/>
          </w:rPr>
          <w:t>https://onlinelibrary.wiley.com/doi/abs/10.1111/imr.12968</w:t>
        </w:r>
      </w:hyperlink>
    </w:p>
    <w:p w14:paraId="19C26E7E" w14:textId="36F33F94" w:rsidR="00E5504D" w:rsidRPr="00AB0BD3" w:rsidRDefault="00E5504D" w:rsidP="0046084C">
      <w:pPr>
        <w:spacing w:before="240" w:line="360" w:lineRule="auto"/>
        <w:jc w:val="both"/>
      </w:pPr>
      <w:r w:rsidRPr="00AB0BD3">
        <w:rPr>
          <w:rFonts w:ascii="Arial" w:hAnsi="Arial" w:cs="Arial"/>
        </w:rPr>
        <w:t xml:space="preserve">Arinaminpathy, N., Rade, K., Kumar, R., Joshi, R.P. and Rao, R., </w:t>
      </w:r>
      <w:r w:rsidR="00BD2E7B" w:rsidRPr="00AB0BD3">
        <w:rPr>
          <w:rFonts w:ascii="Arial" w:hAnsi="Arial" w:cs="Arial"/>
        </w:rPr>
        <w:t>(</w:t>
      </w:r>
      <w:r w:rsidRPr="00AB0BD3">
        <w:rPr>
          <w:rFonts w:ascii="Arial" w:hAnsi="Arial" w:cs="Arial"/>
        </w:rPr>
        <w:t>2023</w:t>
      </w:r>
      <w:r w:rsidR="00BD2E7B" w:rsidRPr="00AB0BD3">
        <w:rPr>
          <w:rFonts w:ascii="Arial" w:hAnsi="Arial" w:cs="Arial"/>
        </w:rPr>
        <w:t>)</w:t>
      </w:r>
      <w:r w:rsidRPr="00AB0BD3">
        <w:rPr>
          <w:rFonts w:ascii="Arial" w:hAnsi="Arial" w:cs="Arial"/>
        </w:rPr>
        <w:t>. The potential impact of vaccination on tuberculosis burden in India: A modelling analysis. </w:t>
      </w:r>
      <w:r w:rsidRPr="00AB0BD3">
        <w:rPr>
          <w:rFonts w:ascii="Arial" w:hAnsi="Arial" w:cs="Arial"/>
          <w:i/>
          <w:iCs/>
        </w:rPr>
        <w:t>Indian Journal of Medical Research</w:t>
      </w:r>
      <w:r w:rsidRPr="00AB0BD3">
        <w:rPr>
          <w:rFonts w:ascii="Arial" w:hAnsi="Arial" w:cs="Arial"/>
        </w:rPr>
        <w:t>, </w:t>
      </w:r>
      <w:r w:rsidRPr="00AB0BD3">
        <w:rPr>
          <w:rFonts w:ascii="Arial" w:hAnsi="Arial" w:cs="Arial"/>
          <w:i/>
          <w:iCs/>
        </w:rPr>
        <w:t>157</w:t>
      </w:r>
      <w:r w:rsidRPr="00AB0BD3">
        <w:rPr>
          <w:rFonts w:ascii="Arial" w:hAnsi="Arial" w:cs="Arial"/>
        </w:rPr>
        <w:t xml:space="preserve">(2&amp;3), pp.119-126. </w:t>
      </w:r>
      <w:hyperlink r:id="rId19" w:history="1">
        <w:r w:rsidRPr="00AB0BD3">
          <w:rPr>
            <w:rStyle w:val="Hyperlink"/>
            <w:rFonts w:ascii="Arial" w:hAnsi="Arial" w:cs="Arial"/>
          </w:rPr>
          <w:t>https://journals.lww.com/ijmr/fulltext/2023/02000/The_potential_impact_of_vaccination_on.3.aspx</w:t>
        </w:r>
      </w:hyperlink>
    </w:p>
    <w:p w14:paraId="294676EA" w14:textId="77777777" w:rsidR="003F75FD" w:rsidRPr="00AB0BD3" w:rsidRDefault="003F75FD" w:rsidP="003F75FD">
      <w:pPr>
        <w:spacing w:before="240" w:line="360" w:lineRule="auto"/>
        <w:jc w:val="both"/>
        <w:rPr>
          <w:rFonts w:ascii="Arial" w:hAnsi="Arial" w:cs="Arial"/>
        </w:rPr>
      </w:pPr>
      <w:r w:rsidRPr="00AB0BD3">
        <w:rPr>
          <w:rFonts w:ascii="Arial" w:hAnsi="Arial" w:cs="Arial"/>
        </w:rPr>
        <w:t>Ahn, E. and Kang, H., (2018). Introduction to systematic review and meta-analysis. </w:t>
      </w:r>
      <w:r w:rsidRPr="00AB0BD3">
        <w:rPr>
          <w:rFonts w:ascii="Arial" w:hAnsi="Arial" w:cs="Arial"/>
          <w:i/>
          <w:iCs/>
        </w:rPr>
        <w:t>Korean journal of anesthesiology</w:t>
      </w:r>
      <w:r w:rsidRPr="00AB0BD3">
        <w:rPr>
          <w:rFonts w:ascii="Arial" w:hAnsi="Arial" w:cs="Arial"/>
        </w:rPr>
        <w:t>, </w:t>
      </w:r>
      <w:r w:rsidRPr="00AB0BD3">
        <w:rPr>
          <w:rFonts w:ascii="Arial" w:hAnsi="Arial" w:cs="Arial"/>
          <w:i/>
          <w:iCs/>
        </w:rPr>
        <w:t>71</w:t>
      </w:r>
      <w:r w:rsidRPr="00AB0BD3">
        <w:rPr>
          <w:rFonts w:ascii="Arial" w:hAnsi="Arial" w:cs="Arial"/>
        </w:rPr>
        <w:t xml:space="preserve">(2), pp.103-112. </w:t>
      </w:r>
      <w:hyperlink r:id="rId20" w:history="1">
        <w:r w:rsidRPr="00AB0BD3">
          <w:rPr>
            <w:rStyle w:val="Hyperlink"/>
            <w:rFonts w:ascii="Arial" w:hAnsi="Arial" w:cs="Arial"/>
          </w:rPr>
          <w:t>https://synapse.koreamed.org/articles/1156645</w:t>
        </w:r>
      </w:hyperlink>
    </w:p>
    <w:p w14:paraId="429DC0CD" w14:textId="372EDFEE" w:rsidR="000C0736" w:rsidRDefault="000C0736" w:rsidP="0046084C">
      <w:pPr>
        <w:spacing w:before="240" w:line="360" w:lineRule="auto"/>
        <w:jc w:val="both"/>
        <w:rPr>
          <w:rFonts w:ascii="Arial" w:hAnsi="Arial" w:cs="Arial"/>
        </w:rPr>
      </w:pPr>
      <w:r w:rsidRPr="000C0736">
        <w:rPr>
          <w:rFonts w:ascii="Arial" w:hAnsi="Arial" w:cs="Arial"/>
        </w:rPr>
        <w:t xml:space="preserve">Arinaminpathy, N., Rade, K., Kumar, R., Joshi, R.P. and Rao, R., </w:t>
      </w:r>
      <w:r w:rsidR="0015714A">
        <w:rPr>
          <w:rFonts w:ascii="Arial" w:hAnsi="Arial" w:cs="Arial"/>
        </w:rPr>
        <w:t>(</w:t>
      </w:r>
      <w:r w:rsidRPr="000C0736">
        <w:rPr>
          <w:rFonts w:ascii="Arial" w:hAnsi="Arial" w:cs="Arial"/>
        </w:rPr>
        <w:t>2023</w:t>
      </w:r>
      <w:r w:rsidR="0015714A">
        <w:rPr>
          <w:rFonts w:ascii="Arial" w:hAnsi="Arial" w:cs="Arial"/>
        </w:rPr>
        <w:t>)</w:t>
      </w:r>
      <w:r w:rsidRPr="000C0736">
        <w:rPr>
          <w:rFonts w:ascii="Arial" w:hAnsi="Arial" w:cs="Arial"/>
        </w:rPr>
        <w:t>. The potential impact of vaccination on tuberculosis burden in India: A modelling analysis. </w:t>
      </w:r>
      <w:r w:rsidRPr="000C0736">
        <w:rPr>
          <w:rFonts w:ascii="Arial" w:hAnsi="Arial" w:cs="Arial"/>
          <w:i/>
          <w:iCs/>
        </w:rPr>
        <w:t>Indian Journal of Medical Research</w:t>
      </w:r>
      <w:r w:rsidRPr="000C0736">
        <w:rPr>
          <w:rFonts w:ascii="Arial" w:hAnsi="Arial" w:cs="Arial"/>
        </w:rPr>
        <w:t>, </w:t>
      </w:r>
      <w:r w:rsidRPr="000C0736">
        <w:rPr>
          <w:rFonts w:ascii="Arial" w:hAnsi="Arial" w:cs="Arial"/>
          <w:i/>
          <w:iCs/>
        </w:rPr>
        <w:t>157</w:t>
      </w:r>
      <w:r w:rsidRPr="000C0736">
        <w:rPr>
          <w:rFonts w:ascii="Arial" w:hAnsi="Arial" w:cs="Arial"/>
        </w:rPr>
        <w:t>(2&amp;3), pp.119-126.</w:t>
      </w:r>
      <w:r>
        <w:rPr>
          <w:rFonts w:ascii="Arial" w:hAnsi="Arial" w:cs="Arial"/>
        </w:rPr>
        <w:t xml:space="preserve"> </w:t>
      </w:r>
      <w:hyperlink r:id="rId21" w:history="1">
        <w:r w:rsidRPr="001B69CC">
          <w:rPr>
            <w:rStyle w:val="Hyperlink"/>
            <w:rFonts w:ascii="Arial" w:hAnsi="Arial" w:cs="Arial"/>
          </w:rPr>
          <w:t>https://journals.lww.com/ijmr/fulltext/2023/02000/The_potential_impact_of_vaccination_on.3.aspx</w:t>
        </w:r>
      </w:hyperlink>
    </w:p>
    <w:p w14:paraId="7F70E678" w14:textId="69281AEC" w:rsidR="003F75FD" w:rsidRPr="00AB0BD3" w:rsidRDefault="003F75FD" w:rsidP="0046084C">
      <w:pPr>
        <w:spacing w:before="240" w:line="360" w:lineRule="auto"/>
        <w:jc w:val="both"/>
        <w:rPr>
          <w:rFonts w:ascii="Arial" w:hAnsi="Arial" w:cs="Arial"/>
        </w:rPr>
      </w:pPr>
      <w:r w:rsidRPr="00AB0BD3">
        <w:rPr>
          <w:rFonts w:ascii="Arial" w:hAnsi="Arial" w:cs="Arial"/>
        </w:rPr>
        <w:t>Belotto, M.J., (2018). Data analysis methods for qualitative research: Managing the challenges of coding, interrater reliability, and thematic analysis. </w:t>
      </w:r>
      <w:r w:rsidRPr="00AB0BD3">
        <w:rPr>
          <w:rFonts w:ascii="Arial" w:hAnsi="Arial" w:cs="Arial"/>
          <w:i/>
          <w:iCs/>
        </w:rPr>
        <w:t>The qualitative report</w:t>
      </w:r>
      <w:r w:rsidRPr="00AB0BD3">
        <w:rPr>
          <w:rFonts w:ascii="Arial" w:hAnsi="Arial" w:cs="Arial"/>
        </w:rPr>
        <w:t>, </w:t>
      </w:r>
      <w:r w:rsidRPr="00AB0BD3">
        <w:rPr>
          <w:rFonts w:ascii="Arial" w:hAnsi="Arial" w:cs="Arial"/>
          <w:i/>
          <w:iCs/>
        </w:rPr>
        <w:t>23</w:t>
      </w:r>
      <w:r w:rsidRPr="00AB0BD3">
        <w:rPr>
          <w:rFonts w:ascii="Arial" w:hAnsi="Arial" w:cs="Arial"/>
        </w:rPr>
        <w:t xml:space="preserve">(11), pp.2622-2633. </w:t>
      </w:r>
      <w:hyperlink r:id="rId22" w:history="1">
        <w:r w:rsidRPr="00AB0BD3">
          <w:rPr>
            <w:rStyle w:val="Hyperlink"/>
            <w:rFonts w:ascii="Arial" w:hAnsi="Arial" w:cs="Arial"/>
          </w:rPr>
          <w:t>https://search.proquest.com/openview/21b8de9a65315a8d00d10bbe0a8b062d/1?pq-origsite=gscholar&amp;cbl=55152</w:t>
        </w:r>
      </w:hyperlink>
    </w:p>
    <w:p w14:paraId="0E68261A" w14:textId="637136C9" w:rsidR="00DD5ADC" w:rsidRDefault="00DD5ADC" w:rsidP="00DD5ADC">
      <w:pPr>
        <w:spacing w:line="360" w:lineRule="auto"/>
        <w:jc w:val="both"/>
        <w:rPr>
          <w:rFonts w:ascii="Arial" w:hAnsi="Arial" w:cs="Arial"/>
        </w:rPr>
      </w:pPr>
      <w:r w:rsidRPr="001D37FF">
        <w:rPr>
          <w:rFonts w:ascii="Arial" w:hAnsi="Arial" w:cs="Arial"/>
        </w:rPr>
        <w:t xml:space="preserve">Bradford, S.D., Ryan, K.J., Divens, A.M., Povroznik, J.M., Bonigala, S. and Robinson, C.M., </w:t>
      </w:r>
      <w:r w:rsidR="000D09D7">
        <w:rPr>
          <w:rFonts w:ascii="Arial" w:hAnsi="Arial" w:cs="Arial"/>
        </w:rPr>
        <w:t>(</w:t>
      </w:r>
      <w:r w:rsidRPr="001D37FF">
        <w:rPr>
          <w:rFonts w:ascii="Arial" w:hAnsi="Arial" w:cs="Arial"/>
        </w:rPr>
        <w:t>2024</w:t>
      </w:r>
      <w:r w:rsidR="000D09D7">
        <w:rPr>
          <w:rFonts w:ascii="Arial" w:hAnsi="Arial" w:cs="Arial"/>
        </w:rPr>
        <w:t>)</w:t>
      </w:r>
      <w:r w:rsidRPr="001D37FF">
        <w:rPr>
          <w:rFonts w:ascii="Arial" w:hAnsi="Arial" w:cs="Arial"/>
        </w:rPr>
        <w:t>. IL-27 alters inflammatory cytokine expression and limits protective immunity against Mycobacterium tuberculosis in a neonatal BCG vaccination model. </w:t>
      </w:r>
      <w:r w:rsidRPr="001D37FF">
        <w:rPr>
          <w:rFonts w:ascii="Arial" w:hAnsi="Arial" w:cs="Arial"/>
          <w:i/>
          <w:iCs/>
        </w:rPr>
        <w:t>Frontiers in Immunology</w:t>
      </w:r>
      <w:r w:rsidRPr="001D37FF">
        <w:rPr>
          <w:rFonts w:ascii="Arial" w:hAnsi="Arial" w:cs="Arial"/>
        </w:rPr>
        <w:t>, </w:t>
      </w:r>
      <w:r w:rsidRPr="001D37FF">
        <w:rPr>
          <w:rFonts w:ascii="Arial" w:hAnsi="Arial" w:cs="Arial"/>
          <w:i/>
          <w:iCs/>
        </w:rPr>
        <w:t>15</w:t>
      </w:r>
      <w:r w:rsidRPr="001D37FF">
        <w:rPr>
          <w:rFonts w:ascii="Arial" w:hAnsi="Arial" w:cs="Arial"/>
        </w:rPr>
        <w:t>, p.1217098.</w:t>
      </w:r>
      <w:r>
        <w:rPr>
          <w:rFonts w:ascii="Arial" w:hAnsi="Arial" w:cs="Arial"/>
        </w:rPr>
        <w:t xml:space="preserve"> </w:t>
      </w:r>
      <w:hyperlink r:id="rId23" w:history="1">
        <w:r w:rsidRPr="00B65757">
          <w:rPr>
            <w:rStyle w:val="Hyperlink"/>
            <w:rFonts w:ascii="Arial" w:hAnsi="Arial" w:cs="Arial"/>
          </w:rPr>
          <w:t>https://www.frontiersin.org/journals/immunology/articles/10.3389/fimmu.2024.1217098/full</w:t>
        </w:r>
      </w:hyperlink>
    </w:p>
    <w:p w14:paraId="24D36484" w14:textId="662A852F" w:rsidR="007C0DE6" w:rsidRPr="00AB0BD3" w:rsidRDefault="007C0DE6" w:rsidP="0046084C">
      <w:pPr>
        <w:spacing w:before="240" w:line="360" w:lineRule="auto"/>
        <w:jc w:val="both"/>
        <w:rPr>
          <w:rFonts w:ascii="Arial" w:hAnsi="Arial" w:cs="Arial"/>
        </w:rPr>
      </w:pPr>
      <w:r w:rsidRPr="00AB0BD3">
        <w:rPr>
          <w:rFonts w:ascii="Arial" w:hAnsi="Arial" w:cs="Arial"/>
        </w:rPr>
        <w:t xml:space="preserve">Bhargava, A., Bhargava, M. and Juneja, A., </w:t>
      </w:r>
      <w:r w:rsidR="00BD2E7B" w:rsidRPr="00AB0BD3">
        <w:rPr>
          <w:rFonts w:ascii="Arial" w:hAnsi="Arial" w:cs="Arial"/>
        </w:rPr>
        <w:t>(</w:t>
      </w:r>
      <w:r w:rsidRPr="00AB0BD3">
        <w:rPr>
          <w:rFonts w:ascii="Arial" w:hAnsi="Arial" w:cs="Arial"/>
        </w:rPr>
        <w:t>2021</w:t>
      </w:r>
      <w:r w:rsidR="00BD2E7B" w:rsidRPr="00AB0BD3">
        <w:rPr>
          <w:rFonts w:ascii="Arial" w:hAnsi="Arial" w:cs="Arial"/>
        </w:rPr>
        <w:t>)</w:t>
      </w:r>
      <w:r w:rsidRPr="00AB0BD3">
        <w:rPr>
          <w:rFonts w:ascii="Arial" w:hAnsi="Arial" w:cs="Arial"/>
        </w:rPr>
        <w:t>. Social determinants of tuberculosis: context, framework, and the way forward to ending TB in India. </w:t>
      </w:r>
      <w:r w:rsidRPr="00AB0BD3">
        <w:rPr>
          <w:rFonts w:ascii="Arial" w:hAnsi="Arial" w:cs="Arial"/>
          <w:i/>
          <w:iCs/>
        </w:rPr>
        <w:t>Expert Review of Respiratory Medicine</w:t>
      </w:r>
      <w:r w:rsidRPr="00AB0BD3">
        <w:rPr>
          <w:rFonts w:ascii="Arial" w:hAnsi="Arial" w:cs="Arial"/>
        </w:rPr>
        <w:t>, </w:t>
      </w:r>
      <w:r w:rsidRPr="00AB0BD3">
        <w:rPr>
          <w:rFonts w:ascii="Arial" w:hAnsi="Arial" w:cs="Arial"/>
          <w:i/>
          <w:iCs/>
        </w:rPr>
        <w:t>15</w:t>
      </w:r>
      <w:r w:rsidRPr="00AB0BD3">
        <w:rPr>
          <w:rFonts w:ascii="Arial" w:hAnsi="Arial" w:cs="Arial"/>
        </w:rPr>
        <w:t xml:space="preserve">(7), pp.867-883. </w:t>
      </w:r>
      <w:hyperlink r:id="rId24" w:history="1">
        <w:r w:rsidRPr="00AB0BD3">
          <w:rPr>
            <w:rStyle w:val="Hyperlink"/>
            <w:rFonts w:ascii="Arial" w:hAnsi="Arial" w:cs="Arial"/>
          </w:rPr>
          <w:t>https://www.tandfonline.com/doi/abs/10.1080/17476348.2021.1832469</w:t>
        </w:r>
      </w:hyperlink>
    </w:p>
    <w:p w14:paraId="15CF5A31" w14:textId="77777777" w:rsidR="002E018A" w:rsidRPr="00AB0BD3" w:rsidRDefault="002E018A" w:rsidP="002E018A">
      <w:pPr>
        <w:spacing w:line="360" w:lineRule="auto"/>
        <w:jc w:val="both"/>
        <w:rPr>
          <w:rFonts w:ascii="Arial" w:hAnsi="Arial" w:cs="Arial"/>
        </w:rPr>
      </w:pPr>
      <w:r w:rsidRPr="00AB0BD3">
        <w:rPr>
          <w:rFonts w:ascii="Arial" w:hAnsi="Arial" w:cs="Arial"/>
        </w:rPr>
        <w:t>Behera, D., Pannu, V.P. and Behera, R.K., (2020). National tb elimination programme–can it end tb in india by 2025: An appraisal. </w:t>
      </w:r>
      <w:r w:rsidRPr="00AB0BD3">
        <w:rPr>
          <w:rFonts w:ascii="Arial" w:hAnsi="Arial" w:cs="Arial"/>
          <w:i/>
          <w:iCs/>
        </w:rPr>
        <w:t>Indian J Chest Dis Allied Sci</w:t>
      </w:r>
      <w:r w:rsidRPr="00AB0BD3">
        <w:rPr>
          <w:rFonts w:ascii="Arial" w:hAnsi="Arial" w:cs="Arial"/>
        </w:rPr>
        <w:t>, </w:t>
      </w:r>
      <w:r w:rsidRPr="00AB0BD3">
        <w:rPr>
          <w:rFonts w:ascii="Arial" w:hAnsi="Arial" w:cs="Arial"/>
          <w:i/>
          <w:iCs/>
        </w:rPr>
        <w:t>62</w:t>
      </w:r>
      <w:r w:rsidRPr="00AB0BD3">
        <w:rPr>
          <w:rFonts w:ascii="Arial" w:hAnsi="Arial" w:cs="Arial"/>
        </w:rPr>
        <w:t xml:space="preserve">, pp.203-27. </w:t>
      </w:r>
      <w:hyperlink r:id="rId25" w:history="1">
        <w:r w:rsidRPr="00AB0BD3">
          <w:rPr>
            <w:rStyle w:val="Hyperlink"/>
            <w:rFonts w:ascii="Arial" w:hAnsi="Arial" w:cs="Arial"/>
          </w:rPr>
          <w:t>https://www.ijcdas.com/abstractArticleContentBrowse?paginateValue=30095&amp;abstractArticle=abstractArticle&amp;jpdAbstractArticle=&amp;documentType=Article&amp;jCode=IJCDAS&amp;jid=84&amp;art_volume=62&amp;art_issue=&amp;art_page=&amp;numberResult=10&amp;id=30096&amp;sortType=</w:t>
        </w:r>
      </w:hyperlink>
    </w:p>
    <w:p w14:paraId="10B72A53" w14:textId="1FC7857E" w:rsidR="00DD5ADC" w:rsidRDefault="00DD5ADC" w:rsidP="00DD5ADC">
      <w:pPr>
        <w:spacing w:line="360" w:lineRule="auto"/>
        <w:jc w:val="both"/>
        <w:rPr>
          <w:rFonts w:ascii="Arial" w:hAnsi="Arial" w:cs="Arial"/>
        </w:rPr>
      </w:pPr>
      <w:r w:rsidRPr="001D37FF">
        <w:rPr>
          <w:rFonts w:ascii="Arial" w:hAnsi="Arial" w:cs="Arial"/>
        </w:rPr>
        <w:t xml:space="preserve">Campelo, T.A., Oliveira, N.S., Souza, P.F., de-Oliveira, D.F., Frota, C.C. and Antas, P.R., </w:t>
      </w:r>
      <w:r w:rsidR="00A5514D">
        <w:rPr>
          <w:rFonts w:ascii="Arial" w:hAnsi="Arial" w:cs="Arial"/>
        </w:rPr>
        <w:t>(</w:t>
      </w:r>
      <w:r w:rsidRPr="001D37FF">
        <w:rPr>
          <w:rFonts w:ascii="Arial" w:hAnsi="Arial" w:cs="Arial"/>
        </w:rPr>
        <w:t>2025</w:t>
      </w:r>
      <w:r w:rsidR="00A5514D">
        <w:rPr>
          <w:rFonts w:ascii="Arial" w:hAnsi="Arial" w:cs="Arial"/>
        </w:rPr>
        <w:t>)</w:t>
      </w:r>
      <w:r w:rsidRPr="001D37FF">
        <w:rPr>
          <w:rFonts w:ascii="Arial" w:hAnsi="Arial" w:cs="Arial"/>
        </w:rPr>
        <w:t>. Unleashing the power of the BCG vaccine in modulating viral immunity through heterologous protection: A scoping review. </w:t>
      </w:r>
      <w:r w:rsidRPr="001D37FF">
        <w:rPr>
          <w:rFonts w:ascii="Arial" w:hAnsi="Arial" w:cs="Arial"/>
          <w:i/>
          <w:iCs/>
        </w:rPr>
        <w:t>Human Vaccines &amp; Immunotherapeutics</w:t>
      </w:r>
      <w:r w:rsidRPr="001D37FF">
        <w:rPr>
          <w:rFonts w:ascii="Arial" w:hAnsi="Arial" w:cs="Arial"/>
        </w:rPr>
        <w:t>, </w:t>
      </w:r>
      <w:r w:rsidRPr="001D37FF">
        <w:rPr>
          <w:rFonts w:ascii="Arial" w:hAnsi="Arial" w:cs="Arial"/>
          <w:i/>
          <w:iCs/>
        </w:rPr>
        <w:t>21</w:t>
      </w:r>
      <w:r w:rsidRPr="001D37FF">
        <w:rPr>
          <w:rFonts w:ascii="Arial" w:hAnsi="Arial" w:cs="Arial"/>
        </w:rPr>
        <w:t>(1), p.2521190.</w:t>
      </w:r>
      <w:r>
        <w:rPr>
          <w:rFonts w:ascii="Arial" w:hAnsi="Arial" w:cs="Arial"/>
        </w:rPr>
        <w:t xml:space="preserve"> </w:t>
      </w:r>
      <w:hyperlink r:id="rId26" w:history="1">
        <w:r w:rsidRPr="00B65757">
          <w:rPr>
            <w:rStyle w:val="Hyperlink"/>
            <w:rFonts w:ascii="Arial" w:hAnsi="Arial" w:cs="Arial"/>
          </w:rPr>
          <w:t>https://www.tandfonline.com/doi/abs/10.1080/21645515.2025.2521190</w:t>
        </w:r>
      </w:hyperlink>
    </w:p>
    <w:p w14:paraId="5DDF6E8B" w14:textId="60FB2E39" w:rsidR="00DD5ADC" w:rsidRDefault="00DD5ADC" w:rsidP="00DD5ADC">
      <w:pPr>
        <w:spacing w:line="360" w:lineRule="auto"/>
        <w:jc w:val="both"/>
        <w:rPr>
          <w:rFonts w:ascii="Arial" w:hAnsi="Arial" w:cs="Arial"/>
        </w:rPr>
      </w:pPr>
      <w:r w:rsidRPr="001D37FF">
        <w:rPr>
          <w:rFonts w:ascii="Arial" w:hAnsi="Arial" w:cs="Arial"/>
        </w:rPr>
        <w:t xml:space="preserve">Clark, R.A., Mukandavire, C., Portnoy, A., Weerasuriya, C.K., Deol, A., Scarponi, D., Iskauskas, A., Bakker, R., Quaife, M., Malhotra, S. and Gebreselassie, N., </w:t>
      </w:r>
      <w:r w:rsidR="00F965B2">
        <w:rPr>
          <w:rFonts w:ascii="Arial" w:hAnsi="Arial" w:cs="Arial"/>
        </w:rPr>
        <w:t>(</w:t>
      </w:r>
      <w:r w:rsidRPr="001D37FF">
        <w:rPr>
          <w:rFonts w:ascii="Arial" w:hAnsi="Arial" w:cs="Arial"/>
        </w:rPr>
        <w:t>2023</w:t>
      </w:r>
      <w:r w:rsidR="00F965B2">
        <w:rPr>
          <w:rFonts w:ascii="Arial" w:hAnsi="Arial" w:cs="Arial"/>
        </w:rPr>
        <w:t>(</w:t>
      </w:r>
      <w:r w:rsidRPr="001D37FF">
        <w:rPr>
          <w:rFonts w:ascii="Arial" w:hAnsi="Arial" w:cs="Arial"/>
        </w:rPr>
        <w:t xml:space="preserve">. The </w:t>
      </w:r>
      <w:r w:rsidRPr="001D37FF">
        <w:rPr>
          <w:rFonts w:ascii="Arial" w:hAnsi="Arial" w:cs="Arial"/>
        </w:rPr>
        <w:lastRenderedPageBreak/>
        <w:t>impact of alternative delivery strategies for novel tuberculosis vaccines in low-income and middle-income countries: a modelling study. </w:t>
      </w:r>
      <w:r w:rsidRPr="001D37FF">
        <w:rPr>
          <w:rFonts w:ascii="Arial" w:hAnsi="Arial" w:cs="Arial"/>
          <w:i/>
          <w:iCs/>
        </w:rPr>
        <w:t>The Lancet Global Health</w:t>
      </w:r>
      <w:r w:rsidRPr="001D37FF">
        <w:rPr>
          <w:rFonts w:ascii="Arial" w:hAnsi="Arial" w:cs="Arial"/>
        </w:rPr>
        <w:t>, </w:t>
      </w:r>
      <w:r w:rsidRPr="001D37FF">
        <w:rPr>
          <w:rFonts w:ascii="Arial" w:hAnsi="Arial" w:cs="Arial"/>
          <w:i/>
          <w:iCs/>
        </w:rPr>
        <w:t>11</w:t>
      </w:r>
      <w:r w:rsidRPr="001D37FF">
        <w:rPr>
          <w:rFonts w:ascii="Arial" w:hAnsi="Arial" w:cs="Arial"/>
        </w:rPr>
        <w:t>(4), pp.e546-e555.</w:t>
      </w:r>
      <w:r>
        <w:rPr>
          <w:rFonts w:ascii="Arial" w:hAnsi="Arial" w:cs="Arial"/>
        </w:rPr>
        <w:t xml:space="preserve"> </w:t>
      </w:r>
      <w:hyperlink r:id="rId27" w:history="1">
        <w:r w:rsidRPr="00B65757">
          <w:rPr>
            <w:rStyle w:val="Hyperlink"/>
            <w:rFonts w:ascii="Arial" w:hAnsi="Arial" w:cs="Arial"/>
          </w:rPr>
          <w:t>https://www.thelancet.com/journals/langlo/article/PIIS2214-109X(23)00045-1/fulltext</w:t>
        </w:r>
      </w:hyperlink>
    </w:p>
    <w:p w14:paraId="4EC3B496" w14:textId="77777777" w:rsidR="002E018A" w:rsidRPr="00AB0BD3" w:rsidRDefault="002E018A" w:rsidP="002E018A">
      <w:pPr>
        <w:spacing w:before="240" w:line="360" w:lineRule="auto"/>
        <w:jc w:val="both"/>
        <w:rPr>
          <w:rFonts w:ascii="Arial" w:hAnsi="Arial" w:cs="Arial"/>
        </w:rPr>
      </w:pPr>
      <w:r w:rsidRPr="00AB0BD3">
        <w:rPr>
          <w:rFonts w:ascii="Arial" w:hAnsi="Arial" w:cs="Arial"/>
        </w:rPr>
        <w:t>Clark, R.A., Portnoy, A., Weerasuriya, C.K., Sumner, T., Bakker, R., Harris, R.C., Rade, K., Mattoo, S.K., Tumu, D., Menzies, N.A. and White, R.G., (2024). Estimating the potential health and economic impacts of new tuberculosis vaccines under varying delivery strategies in Delhi and Gujarat, India: a modelling study. </w:t>
      </w:r>
      <w:r w:rsidRPr="00AB0BD3">
        <w:rPr>
          <w:rFonts w:ascii="Arial" w:hAnsi="Arial" w:cs="Arial"/>
          <w:i/>
          <w:iCs/>
        </w:rPr>
        <w:t>The Lancet Regional Health-Southeast Asia</w:t>
      </w:r>
      <w:r w:rsidRPr="00AB0BD3">
        <w:rPr>
          <w:rFonts w:ascii="Arial" w:hAnsi="Arial" w:cs="Arial"/>
        </w:rPr>
        <w:t>, </w:t>
      </w:r>
      <w:r w:rsidRPr="00AB0BD3">
        <w:rPr>
          <w:rFonts w:ascii="Arial" w:hAnsi="Arial" w:cs="Arial"/>
          <w:i/>
          <w:iCs/>
        </w:rPr>
        <w:t>31</w:t>
      </w:r>
      <w:r w:rsidRPr="00AB0BD3">
        <w:rPr>
          <w:rFonts w:ascii="Arial" w:hAnsi="Arial" w:cs="Arial"/>
        </w:rPr>
        <w:t xml:space="preserve">. </w:t>
      </w:r>
      <w:hyperlink r:id="rId28" w:history="1">
        <w:r w:rsidRPr="00AB0BD3">
          <w:rPr>
            <w:rStyle w:val="Hyperlink"/>
            <w:rFonts w:ascii="Arial" w:hAnsi="Arial" w:cs="Arial"/>
          </w:rPr>
          <w:t>https://www.thelancet.com/journals/lansea/article/PIIS2772-3682(24)00074-X/fulltext</w:t>
        </w:r>
      </w:hyperlink>
    </w:p>
    <w:p w14:paraId="3E323940" w14:textId="3FC3366A" w:rsidR="00753BDC" w:rsidRPr="00AB0BD3" w:rsidRDefault="00753BDC" w:rsidP="0046084C">
      <w:pPr>
        <w:spacing w:before="240" w:line="360" w:lineRule="auto"/>
        <w:jc w:val="both"/>
        <w:rPr>
          <w:rFonts w:ascii="Arial" w:hAnsi="Arial" w:cs="Arial"/>
        </w:rPr>
      </w:pPr>
      <w:r w:rsidRPr="00AB0BD3">
        <w:rPr>
          <w:rFonts w:ascii="Arial" w:hAnsi="Arial" w:cs="Arial"/>
        </w:rPr>
        <w:t xml:space="preserve">Cernuschi, T., Malvolti, S., Nickels, E. and Friede, M., </w:t>
      </w:r>
      <w:r w:rsidR="00BD2E7B" w:rsidRPr="00AB0BD3">
        <w:rPr>
          <w:rFonts w:ascii="Arial" w:hAnsi="Arial" w:cs="Arial"/>
        </w:rPr>
        <w:t>(</w:t>
      </w:r>
      <w:r w:rsidRPr="00AB0BD3">
        <w:rPr>
          <w:rFonts w:ascii="Arial" w:hAnsi="Arial" w:cs="Arial"/>
        </w:rPr>
        <w:t>2018</w:t>
      </w:r>
      <w:r w:rsidR="00BD2E7B" w:rsidRPr="00AB0BD3">
        <w:rPr>
          <w:rFonts w:ascii="Arial" w:hAnsi="Arial" w:cs="Arial"/>
        </w:rPr>
        <w:t>)</w:t>
      </w:r>
      <w:r w:rsidRPr="00AB0BD3">
        <w:rPr>
          <w:rFonts w:ascii="Arial" w:hAnsi="Arial" w:cs="Arial"/>
        </w:rPr>
        <w:t>. Bacillus Calmette-Guérin (BCG) vaccine: a global assessment of demand and supply balance. </w:t>
      </w:r>
      <w:r w:rsidRPr="00AB0BD3">
        <w:rPr>
          <w:rFonts w:ascii="Arial" w:hAnsi="Arial" w:cs="Arial"/>
          <w:i/>
          <w:iCs/>
        </w:rPr>
        <w:t>Vaccine</w:t>
      </w:r>
      <w:r w:rsidRPr="00AB0BD3">
        <w:rPr>
          <w:rFonts w:ascii="Arial" w:hAnsi="Arial" w:cs="Arial"/>
        </w:rPr>
        <w:t>, </w:t>
      </w:r>
      <w:r w:rsidRPr="00AB0BD3">
        <w:rPr>
          <w:rFonts w:ascii="Arial" w:hAnsi="Arial" w:cs="Arial"/>
          <w:i/>
          <w:iCs/>
        </w:rPr>
        <w:t>36</w:t>
      </w:r>
      <w:r w:rsidRPr="00AB0BD3">
        <w:rPr>
          <w:rFonts w:ascii="Arial" w:hAnsi="Arial" w:cs="Arial"/>
        </w:rPr>
        <w:t xml:space="preserve">(4), pp.498-506. </w:t>
      </w:r>
      <w:hyperlink r:id="rId29" w:history="1">
        <w:r w:rsidRPr="00AB0BD3">
          <w:rPr>
            <w:rStyle w:val="Hyperlink"/>
            <w:rFonts w:ascii="Arial" w:hAnsi="Arial" w:cs="Arial"/>
          </w:rPr>
          <w:t>https://www.sciencedirect.com/science/article/pii/S0264410X17317486</w:t>
        </w:r>
      </w:hyperlink>
    </w:p>
    <w:p w14:paraId="767E7094" w14:textId="33D4C024" w:rsidR="005D7B99" w:rsidRPr="00AB0BD3" w:rsidRDefault="005D7B99" w:rsidP="0046084C">
      <w:pPr>
        <w:spacing w:before="240" w:line="360" w:lineRule="auto"/>
        <w:jc w:val="both"/>
        <w:rPr>
          <w:rFonts w:ascii="Arial" w:hAnsi="Arial" w:cs="Arial"/>
        </w:rPr>
      </w:pPr>
      <w:r w:rsidRPr="00AB0BD3">
        <w:rPr>
          <w:rFonts w:ascii="Arial" w:hAnsi="Arial" w:cs="Arial"/>
        </w:rPr>
        <w:t xml:space="preserve">Chee, C.B., Reves, R., Zhang, Y. and Belknap, R., </w:t>
      </w:r>
      <w:r w:rsidR="00BD2E7B" w:rsidRPr="00AB0BD3">
        <w:rPr>
          <w:rFonts w:ascii="Arial" w:hAnsi="Arial" w:cs="Arial"/>
        </w:rPr>
        <w:t>(</w:t>
      </w:r>
      <w:r w:rsidRPr="00AB0BD3">
        <w:rPr>
          <w:rFonts w:ascii="Arial" w:hAnsi="Arial" w:cs="Arial"/>
        </w:rPr>
        <w:t>2018</w:t>
      </w:r>
      <w:r w:rsidR="00BD2E7B" w:rsidRPr="00AB0BD3">
        <w:rPr>
          <w:rFonts w:ascii="Arial" w:hAnsi="Arial" w:cs="Arial"/>
        </w:rPr>
        <w:t>)</w:t>
      </w:r>
      <w:r w:rsidRPr="00AB0BD3">
        <w:rPr>
          <w:rFonts w:ascii="Arial" w:hAnsi="Arial" w:cs="Arial"/>
        </w:rPr>
        <w:t>. Latent tuberculosis infection: Opportunities and challenges. </w:t>
      </w:r>
      <w:r w:rsidRPr="00AB0BD3">
        <w:rPr>
          <w:rFonts w:ascii="Arial" w:hAnsi="Arial" w:cs="Arial"/>
          <w:i/>
          <w:iCs/>
        </w:rPr>
        <w:t>Respirology</w:t>
      </w:r>
      <w:r w:rsidRPr="00AB0BD3">
        <w:rPr>
          <w:rFonts w:ascii="Arial" w:hAnsi="Arial" w:cs="Arial"/>
        </w:rPr>
        <w:t>, </w:t>
      </w:r>
      <w:r w:rsidRPr="00AB0BD3">
        <w:rPr>
          <w:rFonts w:ascii="Arial" w:hAnsi="Arial" w:cs="Arial"/>
          <w:i/>
          <w:iCs/>
        </w:rPr>
        <w:t>23</w:t>
      </w:r>
      <w:r w:rsidRPr="00AB0BD3">
        <w:rPr>
          <w:rFonts w:ascii="Arial" w:hAnsi="Arial" w:cs="Arial"/>
        </w:rPr>
        <w:t xml:space="preserve">(10), pp.893-900. </w:t>
      </w:r>
      <w:hyperlink r:id="rId30" w:history="1">
        <w:r w:rsidRPr="00AB0BD3">
          <w:rPr>
            <w:rStyle w:val="Hyperlink"/>
            <w:rFonts w:ascii="Arial" w:hAnsi="Arial" w:cs="Arial"/>
          </w:rPr>
          <w:t>https://onlinelibrary.wiley.com/doi/abs/10.1111/resp.13346</w:t>
        </w:r>
      </w:hyperlink>
    </w:p>
    <w:p w14:paraId="3FA5C5AD" w14:textId="0AC6322D" w:rsidR="000C0736" w:rsidRDefault="000C0736" w:rsidP="0046084C">
      <w:pPr>
        <w:spacing w:before="240" w:line="360" w:lineRule="auto"/>
        <w:jc w:val="both"/>
        <w:rPr>
          <w:rFonts w:ascii="Arial" w:hAnsi="Arial" w:cs="Arial"/>
        </w:rPr>
      </w:pPr>
      <w:r w:rsidRPr="000C0736">
        <w:rPr>
          <w:rFonts w:ascii="Arial" w:hAnsi="Arial" w:cs="Arial"/>
        </w:rPr>
        <w:t xml:space="preserve">Clark, R.A., Sumner, T., Weerasuriya, C.K., Bakker, R., Scriba, T.J. and White, R.G., </w:t>
      </w:r>
      <w:r w:rsidR="00F965B2">
        <w:rPr>
          <w:rFonts w:ascii="Arial" w:hAnsi="Arial" w:cs="Arial"/>
        </w:rPr>
        <w:t>(</w:t>
      </w:r>
      <w:r w:rsidRPr="000C0736">
        <w:rPr>
          <w:rFonts w:ascii="Arial" w:hAnsi="Arial" w:cs="Arial"/>
        </w:rPr>
        <w:t>2024</w:t>
      </w:r>
      <w:r w:rsidR="00F965B2">
        <w:rPr>
          <w:rFonts w:ascii="Arial" w:hAnsi="Arial" w:cs="Arial"/>
        </w:rPr>
        <w:t>)</w:t>
      </w:r>
      <w:r w:rsidRPr="000C0736">
        <w:rPr>
          <w:rFonts w:ascii="Arial" w:hAnsi="Arial" w:cs="Arial"/>
        </w:rPr>
        <w:t>. Estimating the potential public health value of BCG revaccination. </w:t>
      </w:r>
      <w:r w:rsidRPr="000C0736">
        <w:rPr>
          <w:rFonts w:ascii="Arial" w:hAnsi="Arial" w:cs="Arial"/>
          <w:i/>
          <w:iCs/>
        </w:rPr>
        <w:t>The Journal of infectious diseases</w:t>
      </w:r>
      <w:r w:rsidRPr="000C0736">
        <w:rPr>
          <w:rFonts w:ascii="Arial" w:hAnsi="Arial" w:cs="Arial"/>
        </w:rPr>
        <w:t>, </w:t>
      </w:r>
      <w:r w:rsidRPr="000C0736">
        <w:rPr>
          <w:rFonts w:ascii="Arial" w:hAnsi="Arial" w:cs="Arial"/>
          <w:i/>
          <w:iCs/>
        </w:rPr>
        <w:t>230</w:t>
      </w:r>
      <w:r w:rsidRPr="000C0736">
        <w:rPr>
          <w:rFonts w:ascii="Arial" w:hAnsi="Arial" w:cs="Arial"/>
        </w:rPr>
        <w:t>(1), pp.e139-e143.</w:t>
      </w:r>
      <w:r>
        <w:rPr>
          <w:rFonts w:ascii="Arial" w:hAnsi="Arial" w:cs="Arial"/>
        </w:rPr>
        <w:t xml:space="preserve"> </w:t>
      </w:r>
      <w:hyperlink r:id="rId31" w:history="1">
        <w:r w:rsidRPr="001B69CC">
          <w:rPr>
            <w:rStyle w:val="Hyperlink"/>
            <w:rFonts w:ascii="Arial" w:hAnsi="Arial" w:cs="Arial"/>
          </w:rPr>
          <w:t>https://academic.oup.com/jid/article-abstract/230/1/e139/7639736</w:t>
        </w:r>
      </w:hyperlink>
    </w:p>
    <w:p w14:paraId="3EDEA07E" w14:textId="7943F89E" w:rsidR="009C3E8B" w:rsidRPr="00AB0BD3" w:rsidRDefault="009C3E8B" w:rsidP="0046084C">
      <w:pPr>
        <w:spacing w:before="240" w:line="360" w:lineRule="auto"/>
        <w:jc w:val="both"/>
        <w:rPr>
          <w:rFonts w:ascii="Arial" w:hAnsi="Arial" w:cs="Arial"/>
        </w:rPr>
      </w:pPr>
      <w:r w:rsidRPr="00AB0BD3">
        <w:rPr>
          <w:rFonts w:ascii="Arial" w:hAnsi="Arial" w:cs="Arial"/>
        </w:rPr>
        <w:t xml:space="preserve">Clark, R.A., Weerasuriya, C.K., Portnoy, A., Mukandavire, C., Quaife, M., Bakker, R., Scarponi, D., Harris, R.C., Rade, K., Mattoo, S.K. and Tumu, D., </w:t>
      </w:r>
      <w:r w:rsidR="00BD2E7B" w:rsidRPr="00AB0BD3">
        <w:rPr>
          <w:rFonts w:ascii="Arial" w:hAnsi="Arial" w:cs="Arial"/>
        </w:rPr>
        <w:t>(</w:t>
      </w:r>
      <w:r w:rsidRPr="00AB0BD3">
        <w:rPr>
          <w:rFonts w:ascii="Arial" w:hAnsi="Arial" w:cs="Arial"/>
        </w:rPr>
        <w:t>2023</w:t>
      </w:r>
      <w:r w:rsidR="00BD2E7B" w:rsidRPr="00AB0BD3">
        <w:rPr>
          <w:rFonts w:ascii="Arial" w:hAnsi="Arial" w:cs="Arial"/>
        </w:rPr>
        <w:t>)</w:t>
      </w:r>
      <w:r w:rsidRPr="00AB0BD3">
        <w:rPr>
          <w:rFonts w:ascii="Arial" w:hAnsi="Arial" w:cs="Arial"/>
        </w:rPr>
        <w:t>. New tuberculosis vaccines in India: modelling the potential health and economic impacts of adolescent/adult vaccination with M72/AS01E and BCG-revaccination. </w:t>
      </w:r>
      <w:r w:rsidRPr="00AB0BD3">
        <w:rPr>
          <w:rFonts w:ascii="Arial" w:hAnsi="Arial" w:cs="Arial"/>
          <w:i/>
          <w:iCs/>
        </w:rPr>
        <w:t>BMC medicine</w:t>
      </w:r>
      <w:r w:rsidRPr="00AB0BD3">
        <w:rPr>
          <w:rFonts w:ascii="Arial" w:hAnsi="Arial" w:cs="Arial"/>
        </w:rPr>
        <w:t>, </w:t>
      </w:r>
      <w:r w:rsidRPr="00AB0BD3">
        <w:rPr>
          <w:rFonts w:ascii="Arial" w:hAnsi="Arial" w:cs="Arial"/>
          <w:i/>
          <w:iCs/>
        </w:rPr>
        <w:t>21</w:t>
      </w:r>
      <w:r w:rsidRPr="00AB0BD3">
        <w:rPr>
          <w:rFonts w:ascii="Arial" w:hAnsi="Arial" w:cs="Arial"/>
        </w:rPr>
        <w:t xml:space="preserve">(1), p.288. </w:t>
      </w:r>
      <w:hyperlink r:id="rId32" w:history="1">
        <w:r w:rsidRPr="00AB0BD3">
          <w:rPr>
            <w:rStyle w:val="Hyperlink"/>
            <w:rFonts w:ascii="Arial" w:hAnsi="Arial" w:cs="Arial"/>
          </w:rPr>
          <w:t>https://link.springer.com/article/10.1186/s12916-023-02992-7</w:t>
        </w:r>
      </w:hyperlink>
    </w:p>
    <w:p w14:paraId="5BF96110" w14:textId="229A3AB0" w:rsidR="00313518" w:rsidRPr="00AB0BD3" w:rsidRDefault="00313518" w:rsidP="0046084C">
      <w:pPr>
        <w:spacing w:before="240" w:line="360" w:lineRule="auto"/>
        <w:jc w:val="both"/>
        <w:rPr>
          <w:rFonts w:ascii="Arial" w:hAnsi="Arial" w:cs="Arial"/>
        </w:rPr>
      </w:pPr>
      <w:r w:rsidRPr="00AB0BD3">
        <w:rPr>
          <w:rFonts w:ascii="Arial" w:hAnsi="Arial" w:cs="Arial"/>
        </w:rPr>
        <w:t xml:space="preserve">Clarke-Deelder, E., Suharlim, C., Chatterjee, S., Brenzel, L., Ray, A., Cohen, J.L., McConnell, M., Resch, S.C. and Menzies, N.A., </w:t>
      </w:r>
      <w:r w:rsidR="00BD2E7B" w:rsidRPr="00AB0BD3">
        <w:rPr>
          <w:rFonts w:ascii="Arial" w:hAnsi="Arial" w:cs="Arial"/>
        </w:rPr>
        <w:t>(</w:t>
      </w:r>
      <w:r w:rsidRPr="00AB0BD3">
        <w:rPr>
          <w:rFonts w:ascii="Arial" w:hAnsi="Arial" w:cs="Arial"/>
        </w:rPr>
        <w:t>2021</w:t>
      </w:r>
      <w:r w:rsidR="00BD2E7B" w:rsidRPr="00AB0BD3">
        <w:rPr>
          <w:rFonts w:ascii="Arial" w:hAnsi="Arial" w:cs="Arial"/>
        </w:rPr>
        <w:t>)</w:t>
      </w:r>
      <w:r w:rsidRPr="00AB0BD3">
        <w:rPr>
          <w:rFonts w:ascii="Arial" w:hAnsi="Arial" w:cs="Arial"/>
        </w:rPr>
        <w:t>. Impact of campaign-style delivery of routine vaccines: a quasi-experimental evaluation using routine health services data in India. </w:t>
      </w:r>
      <w:r w:rsidRPr="00AB0BD3">
        <w:rPr>
          <w:rFonts w:ascii="Arial" w:hAnsi="Arial" w:cs="Arial"/>
          <w:i/>
          <w:iCs/>
        </w:rPr>
        <w:t>Health Policy and Planning</w:t>
      </w:r>
      <w:r w:rsidRPr="00AB0BD3">
        <w:rPr>
          <w:rFonts w:ascii="Arial" w:hAnsi="Arial" w:cs="Arial"/>
        </w:rPr>
        <w:t>, </w:t>
      </w:r>
      <w:r w:rsidRPr="00AB0BD3">
        <w:rPr>
          <w:rFonts w:ascii="Arial" w:hAnsi="Arial" w:cs="Arial"/>
          <w:i/>
          <w:iCs/>
        </w:rPr>
        <w:t>36</w:t>
      </w:r>
      <w:r w:rsidRPr="00AB0BD3">
        <w:rPr>
          <w:rFonts w:ascii="Arial" w:hAnsi="Arial" w:cs="Arial"/>
        </w:rPr>
        <w:t xml:space="preserve">(4), pp.454-463. </w:t>
      </w:r>
      <w:hyperlink r:id="rId33" w:history="1">
        <w:r w:rsidRPr="00AB0BD3">
          <w:rPr>
            <w:rStyle w:val="Hyperlink"/>
            <w:rFonts w:ascii="Arial" w:hAnsi="Arial" w:cs="Arial"/>
          </w:rPr>
          <w:t>https://academic.oup.com/heapol/article-abstract/36/4/454/6177596</w:t>
        </w:r>
      </w:hyperlink>
    </w:p>
    <w:p w14:paraId="286745A6" w14:textId="187F2654" w:rsidR="007147E2" w:rsidRPr="00AB0BD3" w:rsidRDefault="007147E2" w:rsidP="0046084C">
      <w:pPr>
        <w:spacing w:before="240" w:line="360" w:lineRule="auto"/>
        <w:jc w:val="both"/>
        <w:rPr>
          <w:rFonts w:ascii="Arial" w:hAnsi="Arial" w:cs="Arial"/>
        </w:rPr>
      </w:pPr>
      <w:r w:rsidRPr="00AB0BD3">
        <w:rPr>
          <w:rFonts w:ascii="Arial" w:hAnsi="Arial" w:cs="Arial"/>
        </w:rPr>
        <w:lastRenderedPageBreak/>
        <w:t xml:space="preserve">Chakaya, J., Khan, M., Ntoumi, F., Aklillu, E., Fatima, R., Mwaba, P., Kapata, N., Mfinanga, S., Hasnain, S.E., Katoto, P.D. and Bulabula, A.N., </w:t>
      </w:r>
      <w:r w:rsidR="00BD2E7B" w:rsidRPr="00AB0BD3">
        <w:rPr>
          <w:rFonts w:ascii="Arial" w:hAnsi="Arial" w:cs="Arial"/>
        </w:rPr>
        <w:t>(</w:t>
      </w:r>
      <w:r w:rsidRPr="00AB0BD3">
        <w:rPr>
          <w:rFonts w:ascii="Arial" w:hAnsi="Arial" w:cs="Arial"/>
        </w:rPr>
        <w:t>2021</w:t>
      </w:r>
      <w:r w:rsidR="00BD2E7B" w:rsidRPr="00AB0BD3">
        <w:rPr>
          <w:rFonts w:ascii="Arial" w:hAnsi="Arial" w:cs="Arial"/>
        </w:rPr>
        <w:t>)</w:t>
      </w:r>
      <w:r w:rsidRPr="00AB0BD3">
        <w:rPr>
          <w:rFonts w:ascii="Arial" w:hAnsi="Arial" w:cs="Arial"/>
        </w:rPr>
        <w:t>. Global Tuberculosis Report 2020–Reflections on the Global TB burden, treatment and prevention efforts. </w:t>
      </w:r>
      <w:r w:rsidRPr="00AB0BD3">
        <w:rPr>
          <w:rFonts w:ascii="Arial" w:hAnsi="Arial" w:cs="Arial"/>
          <w:i/>
          <w:iCs/>
        </w:rPr>
        <w:t>International journal of infectious diseases</w:t>
      </w:r>
      <w:r w:rsidRPr="00AB0BD3">
        <w:rPr>
          <w:rFonts w:ascii="Arial" w:hAnsi="Arial" w:cs="Arial"/>
        </w:rPr>
        <w:t>, </w:t>
      </w:r>
      <w:r w:rsidRPr="00AB0BD3">
        <w:rPr>
          <w:rFonts w:ascii="Arial" w:hAnsi="Arial" w:cs="Arial"/>
          <w:i/>
          <w:iCs/>
        </w:rPr>
        <w:t>113</w:t>
      </w:r>
      <w:r w:rsidRPr="00AB0BD3">
        <w:rPr>
          <w:rFonts w:ascii="Arial" w:hAnsi="Arial" w:cs="Arial"/>
        </w:rPr>
        <w:t xml:space="preserve">, pp.S7-S12. </w:t>
      </w:r>
      <w:hyperlink r:id="rId34" w:history="1">
        <w:r w:rsidRPr="00AB0BD3">
          <w:rPr>
            <w:rStyle w:val="Hyperlink"/>
            <w:rFonts w:ascii="Arial" w:hAnsi="Arial" w:cs="Arial"/>
          </w:rPr>
          <w:t>https://www.sciencedirect.com/science/article/pii/S1201971221001934</w:t>
        </w:r>
      </w:hyperlink>
    </w:p>
    <w:p w14:paraId="6B57582C" w14:textId="2D990937" w:rsidR="007147E2" w:rsidRPr="00AB0BD3" w:rsidRDefault="007147E2" w:rsidP="0046084C">
      <w:pPr>
        <w:spacing w:before="240" w:line="360" w:lineRule="auto"/>
        <w:jc w:val="both"/>
        <w:rPr>
          <w:rFonts w:ascii="Arial" w:hAnsi="Arial" w:cs="Arial"/>
        </w:rPr>
      </w:pPr>
      <w:r w:rsidRPr="00AB0BD3">
        <w:rPr>
          <w:rFonts w:ascii="Arial" w:hAnsi="Arial" w:cs="Arial"/>
        </w:rPr>
        <w:t xml:space="preserve">Daley, C.L., </w:t>
      </w:r>
      <w:r w:rsidR="00BD2E7B" w:rsidRPr="00AB0BD3">
        <w:rPr>
          <w:rFonts w:ascii="Arial" w:hAnsi="Arial" w:cs="Arial"/>
        </w:rPr>
        <w:t>(</w:t>
      </w:r>
      <w:r w:rsidRPr="00AB0BD3">
        <w:rPr>
          <w:rFonts w:ascii="Arial" w:hAnsi="Arial" w:cs="Arial"/>
        </w:rPr>
        <w:t>2019</w:t>
      </w:r>
      <w:r w:rsidR="00BD2E7B" w:rsidRPr="00AB0BD3">
        <w:rPr>
          <w:rFonts w:ascii="Arial" w:hAnsi="Arial" w:cs="Arial"/>
        </w:rPr>
        <w:t>)</w:t>
      </w:r>
      <w:r w:rsidRPr="00AB0BD3">
        <w:rPr>
          <w:rFonts w:ascii="Arial" w:hAnsi="Arial" w:cs="Arial"/>
        </w:rPr>
        <w:t>. The global fight against tuberculosis. </w:t>
      </w:r>
      <w:r w:rsidRPr="00AB0BD3">
        <w:rPr>
          <w:rFonts w:ascii="Arial" w:hAnsi="Arial" w:cs="Arial"/>
          <w:i/>
          <w:iCs/>
        </w:rPr>
        <w:t>Thoracic Surgery Clinics</w:t>
      </w:r>
      <w:r w:rsidRPr="00AB0BD3">
        <w:rPr>
          <w:rFonts w:ascii="Arial" w:hAnsi="Arial" w:cs="Arial"/>
        </w:rPr>
        <w:t>, </w:t>
      </w:r>
      <w:r w:rsidRPr="00AB0BD3">
        <w:rPr>
          <w:rFonts w:ascii="Arial" w:hAnsi="Arial" w:cs="Arial"/>
          <w:i/>
          <w:iCs/>
        </w:rPr>
        <w:t>29</w:t>
      </w:r>
      <w:r w:rsidRPr="00AB0BD3">
        <w:rPr>
          <w:rFonts w:ascii="Arial" w:hAnsi="Arial" w:cs="Arial"/>
        </w:rPr>
        <w:t xml:space="preserve">(1), pp.19-25. </w:t>
      </w:r>
      <w:hyperlink r:id="rId35" w:history="1">
        <w:r w:rsidRPr="00AB0BD3">
          <w:rPr>
            <w:rStyle w:val="Hyperlink"/>
            <w:rFonts w:ascii="Arial" w:hAnsi="Arial" w:cs="Arial"/>
          </w:rPr>
          <w:t>https://www.thoracic.theclinics.com/article/S1547-4127(18)30137-3/abstract</w:t>
        </w:r>
      </w:hyperlink>
    </w:p>
    <w:p w14:paraId="6EF986C0" w14:textId="5FD33DBA" w:rsidR="00313518" w:rsidRPr="00AB0BD3" w:rsidRDefault="00313518" w:rsidP="0046084C">
      <w:pPr>
        <w:spacing w:before="240" w:line="360" w:lineRule="auto"/>
        <w:jc w:val="both"/>
        <w:rPr>
          <w:rFonts w:ascii="Arial" w:hAnsi="Arial" w:cs="Arial"/>
        </w:rPr>
      </w:pPr>
      <w:r w:rsidRPr="00AB0BD3">
        <w:rPr>
          <w:rFonts w:ascii="Arial" w:hAnsi="Arial" w:cs="Arial"/>
        </w:rPr>
        <w:t xml:space="preserve">Devasenapathy, N., Jerath, S.G., Sharma, S., Allen, E., Shankar, A.H. and Zodpey, S., </w:t>
      </w:r>
      <w:r w:rsidR="00BD2E7B" w:rsidRPr="00AB0BD3">
        <w:rPr>
          <w:rFonts w:ascii="Arial" w:hAnsi="Arial" w:cs="Arial"/>
        </w:rPr>
        <w:t>(</w:t>
      </w:r>
      <w:r w:rsidRPr="00AB0BD3">
        <w:rPr>
          <w:rFonts w:ascii="Arial" w:hAnsi="Arial" w:cs="Arial"/>
        </w:rPr>
        <w:t>2016</w:t>
      </w:r>
      <w:r w:rsidR="00BD2E7B" w:rsidRPr="00AB0BD3">
        <w:rPr>
          <w:rFonts w:ascii="Arial" w:hAnsi="Arial" w:cs="Arial"/>
        </w:rPr>
        <w:t>)</w:t>
      </w:r>
      <w:r w:rsidRPr="00AB0BD3">
        <w:rPr>
          <w:rFonts w:ascii="Arial" w:hAnsi="Arial" w:cs="Arial"/>
        </w:rPr>
        <w:t>. Determinants of childhood immunisation coverage in urban poor settlements of Delhi, India: a cross-sectional study. </w:t>
      </w:r>
      <w:r w:rsidRPr="00AB0BD3">
        <w:rPr>
          <w:rFonts w:ascii="Arial" w:hAnsi="Arial" w:cs="Arial"/>
          <w:i/>
          <w:iCs/>
        </w:rPr>
        <w:t>BMJ open</w:t>
      </w:r>
      <w:r w:rsidRPr="00AB0BD3">
        <w:rPr>
          <w:rFonts w:ascii="Arial" w:hAnsi="Arial" w:cs="Arial"/>
        </w:rPr>
        <w:t>, </w:t>
      </w:r>
      <w:r w:rsidRPr="00AB0BD3">
        <w:rPr>
          <w:rFonts w:ascii="Arial" w:hAnsi="Arial" w:cs="Arial"/>
          <w:i/>
          <w:iCs/>
        </w:rPr>
        <w:t>6</w:t>
      </w:r>
      <w:r w:rsidRPr="00AB0BD3">
        <w:rPr>
          <w:rFonts w:ascii="Arial" w:hAnsi="Arial" w:cs="Arial"/>
        </w:rPr>
        <w:t xml:space="preserve">(8), p.e013015. </w:t>
      </w:r>
      <w:hyperlink r:id="rId36" w:history="1">
        <w:r w:rsidRPr="00AB0BD3">
          <w:rPr>
            <w:rStyle w:val="Hyperlink"/>
            <w:rFonts w:ascii="Arial" w:hAnsi="Arial" w:cs="Arial"/>
          </w:rPr>
          <w:t>https://bmjopen.bmj.com/content/6/8/e013015.short</w:t>
        </w:r>
      </w:hyperlink>
    </w:p>
    <w:p w14:paraId="2421E116" w14:textId="3C5DB87C" w:rsidR="00D533EF" w:rsidRPr="00AB0BD3" w:rsidRDefault="00D533EF" w:rsidP="0046084C">
      <w:pPr>
        <w:spacing w:before="240" w:line="360" w:lineRule="auto"/>
        <w:jc w:val="both"/>
        <w:rPr>
          <w:rFonts w:ascii="Arial" w:hAnsi="Arial" w:cs="Arial"/>
        </w:rPr>
      </w:pPr>
      <w:r w:rsidRPr="00AB0BD3">
        <w:rPr>
          <w:rFonts w:ascii="Arial" w:hAnsi="Arial" w:cs="Arial"/>
        </w:rPr>
        <w:t xml:space="preserve">Dudeja, N., Khan, T., Varughese, D.T., Abraham, S.G., Ninan, M.M., Prasad, C.L., Sarkar, R. and Kang, G., </w:t>
      </w:r>
      <w:r w:rsidR="00BD2E7B" w:rsidRPr="00AB0BD3">
        <w:rPr>
          <w:rFonts w:ascii="Arial" w:hAnsi="Arial" w:cs="Arial"/>
        </w:rPr>
        <w:t>(</w:t>
      </w:r>
      <w:r w:rsidRPr="00AB0BD3">
        <w:rPr>
          <w:rFonts w:ascii="Arial" w:hAnsi="Arial" w:cs="Arial"/>
        </w:rPr>
        <w:t>2024</w:t>
      </w:r>
      <w:r w:rsidR="00BD2E7B" w:rsidRPr="00AB0BD3">
        <w:rPr>
          <w:rFonts w:ascii="Arial" w:hAnsi="Arial" w:cs="Arial"/>
        </w:rPr>
        <w:t>)</w:t>
      </w:r>
      <w:r w:rsidRPr="00AB0BD3">
        <w:rPr>
          <w:rFonts w:ascii="Arial" w:hAnsi="Arial" w:cs="Arial"/>
        </w:rPr>
        <w:t>. Technologies for strengthening immunization coverage in India: a systematic review. </w:t>
      </w:r>
      <w:r w:rsidRPr="00AB0BD3">
        <w:rPr>
          <w:rFonts w:ascii="Arial" w:hAnsi="Arial" w:cs="Arial"/>
          <w:i/>
          <w:iCs/>
        </w:rPr>
        <w:t>The Lancet Regional Health-Southeast Asia</w:t>
      </w:r>
      <w:r w:rsidRPr="00AB0BD3">
        <w:rPr>
          <w:rFonts w:ascii="Arial" w:hAnsi="Arial" w:cs="Arial"/>
        </w:rPr>
        <w:t>, </w:t>
      </w:r>
      <w:r w:rsidRPr="00AB0BD3">
        <w:rPr>
          <w:rFonts w:ascii="Arial" w:hAnsi="Arial" w:cs="Arial"/>
          <w:i/>
          <w:iCs/>
        </w:rPr>
        <w:t>23</w:t>
      </w:r>
      <w:r w:rsidRPr="00AB0BD3">
        <w:rPr>
          <w:rFonts w:ascii="Arial" w:hAnsi="Arial" w:cs="Arial"/>
        </w:rPr>
        <w:t xml:space="preserve">. </w:t>
      </w:r>
      <w:hyperlink r:id="rId37" w:history="1">
        <w:r w:rsidRPr="00AB0BD3">
          <w:rPr>
            <w:rStyle w:val="Hyperlink"/>
            <w:rFonts w:ascii="Arial" w:hAnsi="Arial" w:cs="Arial"/>
          </w:rPr>
          <w:t>https://www.thelancet.com/journals/lansea/article/PIIS2772-3682(23)00111-7/fulltext</w:t>
        </w:r>
      </w:hyperlink>
    </w:p>
    <w:p w14:paraId="20E9CA16" w14:textId="7C7859DC" w:rsidR="00717B0F" w:rsidRPr="00AB0BD3" w:rsidRDefault="00717B0F" w:rsidP="0046084C">
      <w:pPr>
        <w:spacing w:before="240" w:line="360" w:lineRule="auto"/>
        <w:jc w:val="both"/>
        <w:rPr>
          <w:rFonts w:ascii="Arial" w:hAnsi="Arial" w:cs="Arial"/>
        </w:rPr>
      </w:pPr>
      <w:r w:rsidRPr="00AB0BD3">
        <w:rPr>
          <w:rFonts w:ascii="Arial" w:hAnsi="Arial" w:cs="Arial"/>
        </w:rPr>
        <w:t xml:space="preserve">Dutta, T., Agley, J., Meyerson, B.E., Barnes, P.A., Sherwood-Laughlin, C. and Nicholson-Crotty, J., </w:t>
      </w:r>
      <w:r w:rsidR="00BD2E7B" w:rsidRPr="00AB0BD3">
        <w:rPr>
          <w:rFonts w:ascii="Arial" w:hAnsi="Arial" w:cs="Arial"/>
        </w:rPr>
        <w:t>(</w:t>
      </w:r>
      <w:r w:rsidRPr="00AB0BD3">
        <w:rPr>
          <w:rFonts w:ascii="Arial" w:hAnsi="Arial" w:cs="Arial"/>
        </w:rPr>
        <w:t>2021</w:t>
      </w:r>
      <w:r w:rsidR="00BD2E7B" w:rsidRPr="00AB0BD3">
        <w:rPr>
          <w:rFonts w:ascii="Arial" w:hAnsi="Arial" w:cs="Arial"/>
        </w:rPr>
        <w:t>)</w:t>
      </w:r>
      <w:r w:rsidRPr="00AB0BD3">
        <w:rPr>
          <w:rFonts w:ascii="Arial" w:hAnsi="Arial" w:cs="Arial"/>
        </w:rPr>
        <w:t>. Perceived enablers and barriers of community engagement for vaccination in India: Using socioecological analysis. </w:t>
      </w:r>
      <w:r w:rsidRPr="00AB0BD3">
        <w:rPr>
          <w:rFonts w:ascii="Arial" w:hAnsi="Arial" w:cs="Arial"/>
          <w:i/>
          <w:iCs/>
        </w:rPr>
        <w:t>Plos one</w:t>
      </w:r>
      <w:r w:rsidRPr="00AB0BD3">
        <w:rPr>
          <w:rFonts w:ascii="Arial" w:hAnsi="Arial" w:cs="Arial"/>
        </w:rPr>
        <w:t>, </w:t>
      </w:r>
      <w:r w:rsidRPr="00AB0BD3">
        <w:rPr>
          <w:rFonts w:ascii="Arial" w:hAnsi="Arial" w:cs="Arial"/>
          <w:i/>
          <w:iCs/>
        </w:rPr>
        <w:t>16</w:t>
      </w:r>
      <w:r w:rsidRPr="00AB0BD3">
        <w:rPr>
          <w:rFonts w:ascii="Arial" w:hAnsi="Arial" w:cs="Arial"/>
        </w:rPr>
        <w:t xml:space="preserve">(6), p.e0253318. </w:t>
      </w:r>
      <w:hyperlink r:id="rId38" w:history="1">
        <w:r w:rsidRPr="00AB0BD3">
          <w:rPr>
            <w:rStyle w:val="Hyperlink"/>
            <w:rFonts w:ascii="Arial" w:hAnsi="Arial" w:cs="Arial"/>
          </w:rPr>
          <w:t>https://journals.plos.org/plosone/article?id=10.1371/journal.pone.0253318</w:t>
        </w:r>
      </w:hyperlink>
    </w:p>
    <w:p w14:paraId="1E8ECFFA" w14:textId="490113C9" w:rsidR="00FD417E" w:rsidRPr="00AB0BD3" w:rsidRDefault="00FD417E" w:rsidP="0046084C">
      <w:pPr>
        <w:spacing w:before="240" w:line="360" w:lineRule="auto"/>
        <w:jc w:val="both"/>
        <w:rPr>
          <w:rFonts w:ascii="Arial" w:hAnsi="Arial" w:cs="Arial"/>
        </w:rPr>
      </w:pPr>
      <w:r w:rsidRPr="00AB0BD3">
        <w:rPr>
          <w:rFonts w:ascii="Arial" w:hAnsi="Arial" w:cs="Arial"/>
        </w:rPr>
        <w:t xml:space="preserve">Fatima, S., Kumari, A., Das, G. and Dwivedi, V.P., </w:t>
      </w:r>
      <w:r w:rsidR="00BD2E7B" w:rsidRPr="00AB0BD3">
        <w:rPr>
          <w:rFonts w:ascii="Arial" w:hAnsi="Arial" w:cs="Arial"/>
        </w:rPr>
        <w:t>(</w:t>
      </w:r>
      <w:r w:rsidRPr="00AB0BD3">
        <w:rPr>
          <w:rFonts w:ascii="Arial" w:hAnsi="Arial" w:cs="Arial"/>
        </w:rPr>
        <w:t>2020</w:t>
      </w:r>
      <w:r w:rsidR="00BD2E7B" w:rsidRPr="00AB0BD3">
        <w:rPr>
          <w:rFonts w:ascii="Arial" w:hAnsi="Arial" w:cs="Arial"/>
        </w:rPr>
        <w:t>)</w:t>
      </w:r>
      <w:r w:rsidRPr="00AB0BD3">
        <w:rPr>
          <w:rFonts w:ascii="Arial" w:hAnsi="Arial" w:cs="Arial"/>
        </w:rPr>
        <w:t xml:space="preserve">. Tuberculosis vaccine: A journey from BCG to present. Life sciences, 252, p.117594. </w:t>
      </w:r>
      <w:hyperlink r:id="rId39" w:history="1">
        <w:r w:rsidRPr="00AB0BD3">
          <w:rPr>
            <w:rStyle w:val="Hyperlink"/>
            <w:rFonts w:ascii="Arial" w:hAnsi="Arial" w:cs="Arial"/>
          </w:rPr>
          <w:t>https://www.sciencedirect.com/science/article/pii/S0024320520303428</w:t>
        </w:r>
      </w:hyperlink>
    </w:p>
    <w:p w14:paraId="07A1B976" w14:textId="77777777" w:rsidR="003F75FD" w:rsidRPr="00AB0BD3" w:rsidRDefault="003F75FD" w:rsidP="003F75FD">
      <w:pPr>
        <w:spacing w:before="240" w:line="360" w:lineRule="auto"/>
        <w:jc w:val="both"/>
        <w:rPr>
          <w:rFonts w:ascii="Arial" w:hAnsi="Arial" w:cs="Arial"/>
        </w:rPr>
      </w:pPr>
      <w:r w:rsidRPr="00AB0BD3">
        <w:rPr>
          <w:rFonts w:ascii="Arial" w:hAnsi="Arial" w:cs="Arial"/>
        </w:rPr>
        <w:t>Fleming, J. and Zegwaard, K.E., (2018). Methodologies, methods and ethical considerations for conducting research in work-integrated learning. </w:t>
      </w:r>
      <w:r w:rsidRPr="00AB0BD3">
        <w:rPr>
          <w:rFonts w:ascii="Arial" w:hAnsi="Arial" w:cs="Arial"/>
          <w:i/>
          <w:iCs/>
        </w:rPr>
        <w:t>International Journal of Work-Integrated Learning</w:t>
      </w:r>
      <w:r w:rsidRPr="00AB0BD3">
        <w:rPr>
          <w:rFonts w:ascii="Arial" w:hAnsi="Arial" w:cs="Arial"/>
        </w:rPr>
        <w:t>, </w:t>
      </w:r>
      <w:r w:rsidRPr="00AB0BD3">
        <w:rPr>
          <w:rFonts w:ascii="Arial" w:hAnsi="Arial" w:cs="Arial"/>
          <w:i/>
          <w:iCs/>
        </w:rPr>
        <w:t>19</w:t>
      </w:r>
      <w:r w:rsidRPr="00AB0BD3">
        <w:rPr>
          <w:rFonts w:ascii="Arial" w:hAnsi="Arial" w:cs="Arial"/>
        </w:rPr>
        <w:t xml:space="preserve">(3), pp.205-213. </w:t>
      </w:r>
      <w:hyperlink r:id="rId40" w:history="1">
        <w:r w:rsidRPr="00AB0BD3">
          <w:rPr>
            <w:rStyle w:val="Hyperlink"/>
            <w:rFonts w:ascii="Arial" w:hAnsi="Arial" w:cs="Arial"/>
          </w:rPr>
          <w:t>https://eric.ed.gov/?id=EJ1196755</w:t>
        </w:r>
      </w:hyperlink>
    </w:p>
    <w:p w14:paraId="3351A90A" w14:textId="24986B2C" w:rsidR="00253AFE" w:rsidRPr="00AB0BD3" w:rsidRDefault="00253AFE" w:rsidP="0046084C">
      <w:pPr>
        <w:spacing w:before="240" w:line="360" w:lineRule="auto"/>
        <w:jc w:val="both"/>
        <w:rPr>
          <w:rFonts w:ascii="Arial" w:hAnsi="Arial" w:cs="Arial"/>
        </w:rPr>
      </w:pPr>
      <w:r w:rsidRPr="00AB0BD3">
        <w:rPr>
          <w:rFonts w:ascii="Arial" w:hAnsi="Arial" w:cs="Arial"/>
        </w:rPr>
        <w:lastRenderedPageBreak/>
        <w:t xml:space="preserve">Francis, M.R., Nuorti, J.P., Lumme-Sandt, K., Kompithra, R.Z., Balraj, V., Kang, G. and Mohan, V.R., </w:t>
      </w:r>
      <w:r w:rsidR="00BD2E7B" w:rsidRPr="00AB0BD3">
        <w:rPr>
          <w:rFonts w:ascii="Arial" w:hAnsi="Arial" w:cs="Arial"/>
        </w:rPr>
        <w:t>(</w:t>
      </w:r>
      <w:r w:rsidRPr="00AB0BD3">
        <w:rPr>
          <w:rFonts w:ascii="Arial" w:hAnsi="Arial" w:cs="Arial"/>
        </w:rPr>
        <w:t>2021</w:t>
      </w:r>
      <w:r w:rsidR="00BD2E7B" w:rsidRPr="00AB0BD3">
        <w:rPr>
          <w:rFonts w:ascii="Arial" w:hAnsi="Arial" w:cs="Arial"/>
        </w:rPr>
        <w:t>)</w:t>
      </w:r>
      <w:r w:rsidRPr="00AB0BD3">
        <w:rPr>
          <w:rFonts w:ascii="Arial" w:hAnsi="Arial" w:cs="Arial"/>
        </w:rPr>
        <w:t>. Vaccination coverage and the factors influencing routine childhood vaccination uptake among communities experiencing disadvantage in Vellore, southern India: a mixed-methods study. </w:t>
      </w:r>
      <w:r w:rsidRPr="00AB0BD3">
        <w:rPr>
          <w:rFonts w:ascii="Arial" w:hAnsi="Arial" w:cs="Arial"/>
          <w:i/>
          <w:iCs/>
        </w:rPr>
        <w:t>BMC Public Health</w:t>
      </w:r>
      <w:r w:rsidRPr="00AB0BD3">
        <w:rPr>
          <w:rFonts w:ascii="Arial" w:hAnsi="Arial" w:cs="Arial"/>
        </w:rPr>
        <w:t>, </w:t>
      </w:r>
      <w:r w:rsidRPr="00AB0BD3">
        <w:rPr>
          <w:rFonts w:ascii="Arial" w:hAnsi="Arial" w:cs="Arial"/>
          <w:i/>
          <w:iCs/>
        </w:rPr>
        <w:t>21</w:t>
      </w:r>
      <w:r w:rsidRPr="00AB0BD3">
        <w:rPr>
          <w:rFonts w:ascii="Arial" w:hAnsi="Arial" w:cs="Arial"/>
        </w:rPr>
        <w:t xml:space="preserve">(1), p.1807. </w:t>
      </w:r>
      <w:hyperlink r:id="rId41" w:history="1">
        <w:r w:rsidRPr="00AB0BD3">
          <w:rPr>
            <w:rStyle w:val="Hyperlink"/>
            <w:rFonts w:ascii="Arial" w:hAnsi="Arial" w:cs="Arial"/>
          </w:rPr>
          <w:t>https://link.springer.com/article/10.1186/s12889-021-11881-8</w:t>
        </w:r>
      </w:hyperlink>
    </w:p>
    <w:p w14:paraId="1D355C04" w14:textId="6A90ED20" w:rsidR="007147E2" w:rsidRPr="00AB0BD3" w:rsidRDefault="007147E2" w:rsidP="0046084C">
      <w:pPr>
        <w:spacing w:before="240" w:line="360" w:lineRule="auto"/>
        <w:jc w:val="both"/>
        <w:rPr>
          <w:rFonts w:ascii="Arial" w:hAnsi="Arial" w:cs="Arial"/>
        </w:rPr>
      </w:pPr>
      <w:r w:rsidRPr="00AB0BD3">
        <w:rPr>
          <w:rFonts w:ascii="Arial" w:hAnsi="Arial" w:cs="Arial"/>
        </w:rPr>
        <w:t xml:space="preserve">Glaziou, P., Floyd, K. and Raviglione, M.C., </w:t>
      </w:r>
      <w:r w:rsidR="00BD2E7B" w:rsidRPr="00AB0BD3">
        <w:rPr>
          <w:rFonts w:ascii="Arial" w:hAnsi="Arial" w:cs="Arial"/>
        </w:rPr>
        <w:t>(</w:t>
      </w:r>
      <w:r w:rsidRPr="00AB0BD3">
        <w:rPr>
          <w:rFonts w:ascii="Arial" w:hAnsi="Arial" w:cs="Arial"/>
        </w:rPr>
        <w:t>2018</w:t>
      </w:r>
      <w:r w:rsidR="00BD2E7B" w:rsidRPr="00AB0BD3">
        <w:rPr>
          <w:rFonts w:ascii="Arial" w:hAnsi="Arial" w:cs="Arial"/>
        </w:rPr>
        <w:t>)</w:t>
      </w:r>
      <w:r w:rsidRPr="00AB0BD3">
        <w:rPr>
          <w:rFonts w:ascii="Arial" w:hAnsi="Arial" w:cs="Arial"/>
        </w:rPr>
        <w:t>, June. Global epidemiology of tuberculosis. In </w:t>
      </w:r>
      <w:r w:rsidRPr="00AB0BD3">
        <w:rPr>
          <w:rFonts w:ascii="Arial" w:hAnsi="Arial" w:cs="Arial"/>
          <w:i/>
          <w:iCs/>
        </w:rPr>
        <w:t>Seminars in respiratory and critical care medicine</w:t>
      </w:r>
      <w:r w:rsidRPr="00AB0BD3">
        <w:rPr>
          <w:rFonts w:ascii="Arial" w:hAnsi="Arial" w:cs="Arial"/>
        </w:rPr>
        <w:t xml:space="preserve"> (Vol. 39, No. 03, pp. 271-285). Thieme Medical Publishers. </w:t>
      </w:r>
      <w:hyperlink r:id="rId42" w:history="1">
        <w:r w:rsidRPr="00AB0BD3">
          <w:rPr>
            <w:rStyle w:val="Hyperlink"/>
            <w:rFonts w:ascii="Arial" w:hAnsi="Arial" w:cs="Arial"/>
          </w:rPr>
          <w:t>https://www.thieme-connect.com/products/ejournals/html/10.1055/s-0038-1651492</w:t>
        </w:r>
      </w:hyperlink>
    </w:p>
    <w:p w14:paraId="5DE81921" w14:textId="787A37F6" w:rsidR="00DD5ADC" w:rsidRDefault="00DD5ADC" w:rsidP="00DD5ADC">
      <w:pPr>
        <w:spacing w:line="360" w:lineRule="auto"/>
        <w:jc w:val="both"/>
        <w:rPr>
          <w:rFonts w:ascii="Arial" w:hAnsi="Arial" w:cs="Arial"/>
        </w:rPr>
      </w:pPr>
      <w:r w:rsidRPr="001D37FF">
        <w:rPr>
          <w:rFonts w:ascii="Arial" w:hAnsi="Arial" w:cs="Arial"/>
        </w:rPr>
        <w:t xml:space="preserve">Hassan, Y.S.A., Ali, A.S., Abdirahim Omar, M. and Ahmed, M.M., </w:t>
      </w:r>
      <w:r w:rsidR="00066F06">
        <w:rPr>
          <w:rFonts w:ascii="Arial" w:hAnsi="Arial" w:cs="Arial"/>
        </w:rPr>
        <w:t>(</w:t>
      </w:r>
      <w:r w:rsidRPr="001D37FF">
        <w:rPr>
          <w:rFonts w:ascii="Arial" w:hAnsi="Arial" w:cs="Arial"/>
        </w:rPr>
        <w:t>2025</w:t>
      </w:r>
      <w:r w:rsidR="00066F06">
        <w:rPr>
          <w:rFonts w:ascii="Arial" w:hAnsi="Arial" w:cs="Arial"/>
        </w:rPr>
        <w:t>)</w:t>
      </w:r>
      <w:r w:rsidRPr="001D37FF">
        <w:rPr>
          <w:rFonts w:ascii="Arial" w:hAnsi="Arial" w:cs="Arial"/>
        </w:rPr>
        <w:t>. BCG Vaccination Coverage and Determinants Among Children in Somalia: A Nationwide Survey Study. </w:t>
      </w:r>
      <w:r w:rsidRPr="001D37FF">
        <w:rPr>
          <w:rFonts w:ascii="Arial" w:hAnsi="Arial" w:cs="Arial"/>
          <w:i/>
          <w:iCs/>
        </w:rPr>
        <w:t>Sage Open Pediatrics</w:t>
      </w:r>
      <w:r w:rsidRPr="001D37FF">
        <w:rPr>
          <w:rFonts w:ascii="Arial" w:hAnsi="Arial" w:cs="Arial"/>
        </w:rPr>
        <w:t>, </w:t>
      </w:r>
      <w:r w:rsidRPr="001D37FF">
        <w:rPr>
          <w:rFonts w:ascii="Arial" w:hAnsi="Arial" w:cs="Arial"/>
          <w:i/>
          <w:iCs/>
        </w:rPr>
        <w:t>12</w:t>
      </w:r>
      <w:r w:rsidRPr="001D37FF">
        <w:rPr>
          <w:rFonts w:ascii="Arial" w:hAnsi="Arial" w:cs="Arial"/>
        </w:rPr>
        <w:t>, p.30502225251388151.</w:t>
      </w:r>
      <w:r>
        <w:rPr>
          <w:rFonts w:ascii="Arial" w:hAnsi="Arial" w:cs="Arial"/>
        </w:rPr>
        <w:t xml:space="preserve"> </w:t>
      </w:r>
      <w:hyperlink r:id="rId43" w:history="1">
        <w:r w:rsidRPr="00B65757">
          <w:rPr>
            <w:rStyle w:val="Hyperlink"/>
            <w:rFonts w:ascii="Arial" w:hAnsi="Arial" w:cs="Arial"/>
          </w:rPr>
          <w:t>https://journals.sagepub.com/doi/abs/10.1177/30502225251388151</w:t>
        </w:r>
      </w:hyperlink>
    </w:p>
    <w:p w14:paraId="4A4259CB" w14:textId="77777777" w:rsidR="003F75FD" w:rsidRPr="00AB0BD3" w:rsidRDefault="003F75FD" w:rsidP="003F75FD">
      <w:pPr>
        <w:spacing w:before="240" w:line="360" w:lineRule="auto"/>
        <w:jc w:val="both"/>
        <w:rPr>
          <w:rFonts w:ascii="Arial" w:hAnsi="Arial" w:cs="Arial"/>
        </w:rPr>
      </w:pPr>
      <w:r w:rsidRPr="00AB0BD3">
        <w:rPr>
          <w:rFonts w:ascii="Arial" w:hAnsi="Arial" w:cs="Arial"/>
        </w:rPr>
        <w:t>Haile, Z.T., (2022). Critical appraisal tools and reporting guidelines. </w:t>
      </w:r>
      <w:r w:rsidRPr="00AB0BD3">
        <w:rPr>
          <w:rFonts w:ascii="Arial" w:hAnsi="Arial" w:cs="Arial"/>
          <w:i/>
          <w:iCs/>
        </w:rPr>
        <w:t>Journal of Human Lactation</w:t>
      </w:r>
      <w:r w:rsidRPr="00AB0BD3">
        <w:rPr>
          <w:rFonts w:ascii="Arial" w:hAnsi="Arial" w:cs="Arial"/>
        </w:rPr>
        <w:t>, </w:t>
      </w:r>
      <w:r w:rsidRPr="00AB0BD3">
        <w:rPr>
          <w:rFonts w:ascii="Arial" w:hAnsi="Arial" w:cs="Arial"/>
          <w:i/>
          <w:iCs/>
        </w:rPr>
        <w:t>38</w:t>
      </w:r>
      <w:r w:rsidRPr="00AB0BD3">
        <w:rPr>
          <w:rFonts w:ascii="Arial" w:hAnsi="Arial" w:cs="Arial"/>
        </w:rPr>
        <w:t xml:space="preserve">(1), pp.21-27. </w:t>
      </w:r>
      <w:hyperlink r:id="rId44" w:history="1">
        <w:r w:rsidRPr="00AB0BD3">
          <w:rPr>
            <w:rStyle w:val="Hyperlink"/>
            <w:rFonts w:ascii="Arial" w:hAnsi="Arial" w:cs="Arial"/>
          </w:rPr>
          <w:t>https://journals.sagepub.com/doi/abs/10.1177/08903344211058374</w:t>
        </w:r>
      </w:hyperlink>
    </w:p>
    <w:p w14:paraId="6E7B9C75" w14:textId="77777777" w:rsidR="003F75FD" w:rsidRPr="00AB0BD3" w:rsidRDefault="003F75FD" w:rsidP="003F75FD">
      <w:pPr>
        <w:spacing w:before="240" w:line="360" w:lineRule="auto"/>
        <w:jc w:val="both"/>
        <w:rPr>
          <w:rFonts w:ascii="Arial" w:hAnsi="Arial" w:cs="Arial"/>
        </w:rPr>
      </w:pPr>
      <w:r w:rsidRPr="00AB0BD3">
        <w:rPr>
          <w:rFonts w:ascii="Arial" w:hAnsi="Arial" w:cs="Arial"/>
        </w:rPr>
        <w:t>Hilton, M., (2024). Product: JBI Critical appraisal checklist for systematic reviews and research syntheses. </w:t>
      </w:r>
      <w:r w:rsidRPr="00AB0BD3">
        <w:rPr>
          <w:rFonts w:ascii="Arial" w:hAnsi="Arial" w:cs="Arial"/>
          <w:i/>
          <w:iCs/>
        </w:rPr>
        <w:t>Journal of the Canadian Health Libraries Association (JCHLA)</w:t>
      </w:r>
      <w:r w:rsidRPr="00AB0BD3">
        <w:rPr>
          <w:rFonts w:ascii="Arial" w:hAnsi="Arial" w:cs="Arial"/>
        </w:rPr>
        <w:t>, </w:t>
      </w:r>
      <w:r w:rsidRPr="00AB0BD3">
        <w:rPr>
          <w:rFonts w:ascii="Arial" w:hAnsi="Arial" w:cs="Arial"/>
          <w:i/>
          <w:iCs/>
        </w:rPr>
        <w:t>45</w:t>
      </w:r>
      <w:r w:rsidRPr="00AB0BD3">
        <w:rPr>
          <w:rFonts w:ascii="Arial" w:hAnsi="Arial" w:cs="Arial"/>
        </w:rPr>
        <w:t xml:space="preserve">(3). </w:t>
      </w:r>
      <w:hyperlink r:id="rId45" w:history="1">
        <w:r w:rsidRPr="00AB0BD3">
          <w:rPr>
            <w:rStyle w:val="Hyperlink"/>
            <w:rFonts w:ascii="Arial" w:hAnsi="Arial" w:cs="Arial"/>
          </w:rPr>
          <w:t>https://search.ebscohost.com/login.aspx?direct=true&amp;profile=ehost&amp;scope=site&amp;authtype=crawler&amp;jrnl=17086892&amp;asa=N&amp;AN=181687377&amp;h=qTN5mR8e4aMpcNz3JkGTvVE0377ZyOq2OX1NxIcNccQjEkYTSMQX%2F%2FdeKBBtex0i3Tkoz4ZgHM6mJDjBtwrWwg%3D%3D&amp;crl=c</w:t>
        </w:r>
      </w:hyperlink>
    </w:p>
    <w:p w14:paraId="172E1AEF" w14:textId="77777777" w:rsidR="003F75FD" w:rsidRPr="00AB0BD3" w:rsidRDefault="003F75FD" w:rsidP="003F75FD">
      <w:pPr>
        <w:spacing w:before="240" w:line="360" w:lineRule="auto"/>
        <w:jc w:val="both"/>
      </w:pPr>
      <w:r w:rsidRPr="00AB0BD3">
        <w:rPr>
          <w:rFonts w:ascii="Arial" w:hAnsi="Arial" w:cs="Arial"/>
        </w:rPr>
        <w:t>Hutton, B., Wolfe, D., Moher, D. and Shamseer, L., (2017). Reporting guidance considerations from a statistical perspective: overview of tools to enhance the rigour of reporting of randomised trials and systematic reviews. </w:t>
      </w:r>
      <w:r w:rsidRPr="00AB0BD3">
        <w:rPr>
          <w:rFonts w:ascii="Arial" w:hAnsi="Arial" w:cs="Arial"/>
          <w:i/>
          <w:iCs/>
        </w:rPr>
        <w:t>BMJ Ment Health</w:t>
      </w:r>
      <w:r w:rsidRPr="00AB0BD3">
        <w:rPr>
          <w:rFonts w:ascii="Arial" w:hAnsi="Arial" w:cs="Arial"/>
        </w:rPr>
        <w:t>, </w:t>
      </w:r>
      <w:r w:rsidRPr="00AB0BD3">
        <w:rPr>
          <w:rFonts w:ascii="Arial" w:hAnsi="Arial" w:cs="Arial"/>
          <w:i/>
          <w:iCs/>
        </w:rPr>
        <w:t>20</w:t>
      </w:r>
      <w:r w:rsidRPr="00AB0BD3">
        <w:rPr>
          <w:rFonts w:ascii="Arial" w:hAnsi="Arial" w:cs="Arial"/>
        </w:rPr>
        <w:t xml:space="preserve">(2), pp.46-52. </w:t>
      </w:r>
      <w:hyperlink r:id="rId46" w:history="1">
        <w:r w:rsidRPr="00AB0BD3">
          <w:rPr>
            <w:rStyle w:val="Hyperlink"/>
            <w:rFonts w:ascii="Arial" w:hAnsi="Arial" w:cs="Arial"/>
          </w:rPr>
          <w:t>https://mentalhealth.bmj.com/content/20/2/46.abstract</w:t>
        </w:r>
      </w:hyperlink>
    </w:p>
    <w:p w14:paraId="1B627389" w14:textId="105DA3A7" w:rsidR="006A30F2" w:rsidRPr="00AB0BD3" w:rsidRDefault="006A30F2" w:rsidP="0046084C">
      <w:pPr>
        <w:spacing w:before="240" w:line="360" w:lineRule="auto"/>
        <w:jc w:val="both"/>
        <w:rPr>
          <w:rFonts w:ascii="Arial" w:hAnsi="Arial" w:cs="Arial"/>
        </w:rPr>
      </w:pPr>
      <w:r w:rsidRPr="00AB0BD3">
        <w:rPr>
          <w:rFonts w:ascii="Arial" w:hAnsi="Arial" w:cs="Arial"/>
        </w:rPr>
        <w:t xml:space="preserve">Harris, R.C., Sumner, T., Knight, G.M., Zhang, H. and White, R.G., </w:t>
      </w:r>
      <w:r w:rsidR="00BD2E7B" w:rsidRPr="00AB0BD3">
        <w:rPr>
          <w:rFonts w:ascii="Arial" w:hAnsi="Arial" w:cs="Arial"/>
        </w:rPr>
        <w:t>(</w:t>
      </w:r>
      <w:r w:rsidRPr="00AB0BD3">
        <w:rPr>
          <w:rFonts w:ascii="Arial" w:hAnsi="Arial" w:cs="Arial"/>
        </w:rPr>
        <w:t>2020</w:t>
      </w:r>
      <w:r w:rsidR="00BD2E7B" w:rsidRPr="00AB0BD3">
        <w:rPr>
          <w:rFonts w:ascii="Arial" w:hAnsi="Arial" w:cs="Arial"/>
        </w:rPr>
        <w:t>)</w:t>
      </w:r>
      <w:r w:rsidRPr="00AB0BD3">
        <w:rPr>
          <w:rFonts w:ascii="Arial" w:hAnsi="Arial" w:cs="Arial"/>
        </w:rPr>
        <w:t>. Potential impact of tuberculosis vaccines in China, South Africa, and India. </w:t>
      </w:r>
      <w:r w:rsidRPr="00AB0BD3">
        <w:rPr>
          <w:rFonts w:ascii="Arial" w:hAnsi="Arial" w:cs="Arial"/>
          <w:i/>
          <w:iCs/>
        </w:rPr>
        <w:t xml:space="preserve">Science </w:t>
      </w:r>
      <w:r w:rsidRPr="00AB0BD3">
        <w:rPr>
          <w:rFonts w:ascii="Arial" w:hAnsi="Arial" w:cs="Arial"/>
          <w:i/>
          <w:iCs/>
        </w:rPr>
        <w:lastRenderedPageBreak/>
        <w:t>Translational Medicine</w:t>
      </w:r>
      <w:r w:rsidRPr="00AB0BD3">
        <w:rPr>
          <w:rFonts w:ascii="Arial" w:hAnsi="Arial" w:cs="Arial"/>
        </w:rPr>
        <w:t>, </w:t>
      </w:r>
      <w:r w:rsidRPr="00AB0BD3">
        <w:rPr>
          <w:rFonts w:ascii="Arial" w:hAnsi="Arial" w:cs="Arial"/>
          <w:i/>
          <w:iCs/>
        </w:rPr>
        <w:t>12</w:t>
      </w:r>
      <w:r w:rsidRPr="00AB0BD3">
        <w:rPr>
          <w:rFonts w:ascii="Arial" w:hAnsi="Arial" w:cs="Arial"/>
        </w:rPr>
        <w:t xml:space="preserve">(564), p.eaax4607. </w:t>
      </w:r>
      <w:hyperlink r:id="rId47" w:history="1">
        <w:r w:rsidRPr="00AB0BD3">
          <w:rPr>
            <w:rStyle w:val="Hyperlink"/>
            <w:rFonts w:ascii="Arial" w:hAnsi="Arial" w:cs="Arial"/>
          </w:rPr>
          <w:t>https://www.science.org/doi/abs/10.1126/scitranslmed.aax4607</w:t>
        </w:r>
      </w:hyperlink>
    </w:p>
    <w:p w14:paraId="56A7712C" w14:textId="113EEC33" w:rsidR="0091359B" w:rsidRPr="00AB0BD3" w:rsidRDefault="0091359B" w:rsidP="0046084C">
      <w:pPr>
        <w:spacing w:before="240" w:line="360" w:lineRule="auto"/>
        <w:jc w:val="both"/>
        <w:rPr>
          <w:rFonts w:ascii="Arial" w:hAnsi="Arial" w:cs="Arial"/>
        </w:rPr>
      </w:pPr>
      <w:r w:rsidRPr="00AB0BD3">
        <w:rPr>
          <w:rFonts w:ascii="Arial" w:hAnsi="Arial" w:cs="Arial"/>
        </w:rPr>
        <w:t xml:space="preserve">Hatherill, M. and Cobelens, F., </w:t>
      </w:r>
      <w:r w:rsidR="00BD2E7B" w:rsidRPr="00AB0BD3">
        <w:rPr>
          <w:rFonts w:ascii="Arial" w:hAnsi="Arial" w:cs="Arial"/>
        </w:rPr>
        <w:t>(</w:t>
      </w:r>
      <w:r w:rsidRPr="00AB0BD3">
        <w:rPr>
          <w:rFonts w:ascii="Arial" w:hAnsi="Arial" w:cs="Arial"/>
        </w:rPr>
        <w:t>2022</w:t>
      </w:r>
      <w:r w:rsidR="00BD2E7B" w:rsidRPr="00AB0BD3">
        <w:rPr>
          <w:rFonts w:ascii="Arial" w:hAnsi="Arial" w:cs="Arial"/>
        </w:rPr>
        <w:t>)</w:t>
      </w:r>
      <w:r w:rsidRPr="00AB0BD3">
        <w:rPr>
          <w:rFonts w:ascii="Arial" w:hAnsi="Arial" w:cs="Arial"/>
        </w:rPr>
        <w:t>. Infant BCG vaccination is beneficial, but not sufficient. </w:t>
      </w:r>
      <w:r w:rsidRPr="00AB0BD3">
        <w:rPr>
          <w:rFonts w:ascii="Arial" w:hAnsi="Arial" w:cs="Arial"/>
          <w:i/>
          <w:iCs/>
        </w:rPr>
        <w:t>The Lancet Global Health</w:t>
      </w:r>
      <w:r w:rsidRPr="00AB0BD3">
        <w:rPr>
          <w:rFonts w:ascii="Arial" w:hAnsi="Arial" w:cs="Arial"/>
        </w:rPr>
        <w:t>, </w:t>
      </w:r>
      <w:r w:rsidRPr="00AB0BD3">
        <w:rPr>
          <w:rFonts w:ascii="Arial" w:hAnsi="Arial" w:cs="Arial"/>
          <w:i/>
          <w:iCs/>
        </w:rPr>
        <w:t>10</w:t>
      </w:r>
      <w:r w:rsidRPr="00AB0BD3">
        <w:rPr>
          <w:rFonts w:ascii="Arial" w:hAnsi="Arial" w:cs="Arial"/>
        </w:rPr>
        <w:t xml:space="preserve">(9), pp.e1220-e1221. </w:t>
      </w:r>
      <w:hyperlink r:id="rId48" w:history="1">
        <w:r w:rsidRPr="00AB0BD3">
          <w:rPr>
            <w:rStyle w:val="Hyperlink"/>
            <w:rFonts w:ascii="Arial" w:hAnsi="Arial" w:cs="Arial"/>
          </w:rPr>
          <w:t>https://www.thelancet.com/journals/langlo/article/PIIS2214-109X(22)00325-4/fulltext</w:t>
        </w:r>
      </w:hyperlink>
    </w:p>
    <w:p w14:paraId="447C5C77" w14:textId="1DDFE0A2" w:rsidR="000C0736" w:rsidRDefault="000C0736" w:rsidP="0046084C">
      <w:pPr>
        <w:spacing w:before="240" w:line="360" w:lineRule="auto"/>
        <w:jc w:val="both"/>
        <w:rPr>
          <w:rFonts w:ascii="Arial" w:hAnsi="Arial" w:cs="Arial"/>
        </w:rPr>
      </w:pPr>
      <w:r w:rsidRPr="000C0736">
        <w:rPr>
          <w:rFonts w:ascii="Arial" w:hAnsi="Arial" w:cs="Arial"/>
        </w:rPr>
        <w:t xml:space="preserve">Hatherill, M., Scriba, T.J., Udwadia, Z.F., Mullerpattan, J.B., Hawkridge, A., Mahomed, H. and Dye, C., </w:t>
      </w:r>
      <w:r w:rsidR="00066F06">
        <w:rPr>
          <w:rFonts w:ascii="Arial" w:hAnsi="Arial" w:cs="Arial"/>
        </w:rPr>
        <w:t>(</w:t>
      </w:r>
      <w:r w:rsidRPr="000C0736">
        <w:rPr>
          <w:rFonts w:ascii="Arial" w:hAnsi="Arial" w:cs="Arial"/>
        </w:rPr>
        <w:t>2016</w:t>
      </w:r>
      <w:r w:rsidR="00066F06">
        <w:rPr>
          <w:rFonts w:ascii="Arial" w:hAnsi="Arial" w:cs="Arial"/>
        </w:rPr>
        <w:t>)</w:t>
      </w:r>
      <w:r w:rsidRPr="000C0736">
        <w:rPr>
          <w:rFonts w:ascii="Arial" w:hAnsi="Arial" w:cs="Arial"/>
        </w:rPr>
        <w:t>. BCG and new preventive tuberculosis vaccines: implications for healthcare workers. </w:t>
      </w:r>
      <w:r w:rsidRPr="000C0736">
        <w:rPr>
          <w:rFonts w:ascii="Arial" w:hAnsi="Arial" w:cs="Arial"/>
          <w:i/>
          <w:iCs/>
        </w:rPr>
        <w:t>Clinical Infectious Diseases</w:t>
      </w:r>
      <w:r w:rsidRPr="000C0736">
        <w:rPr>
          <w:rFonts w:ascii="Arial" w:hAnsi="Arial" w:cs="Arial"/>
        </w:rPr>
        <w:t>, </w:t>
      </w:r>
      <w:r w:rsidRPr="000C0736">
        <w:rPr>
          <w:rFonts w:ascii="Arial" w:hAnsi="Arial" w:cs="Arial"/>
          <w:i/>
          <w:iCs/>
        </w:rPr>
        <w:t>62</w:t>
      </w:r>
      <w:r w:rsidRPr="000C0736">
        <w:rPr>
          <w:rFonts w:ascii="Arial" w:hAnsi="Arial" w:cs="Arial"/>
        </w:rPr>
        <w:t>(suppl_3), pp.S262-S267.</w:t>
      </w:r>
      <w:r>
        <w:rPr>
          <w:rFonts w:ascii="Arial" w:hAnsi="Arial" w:cs="Arial"/>
        </w:rPr>
        <w:t xml:space="preserve"> </w:t>
      </w:r>
      <w:hyperlink r:id="rId49" w:history="1">
        <w:r w:rsidRPr="001B69CC">
          <w:rPr>
            <w:rStyle w:val="Hyperlink"/>
            <w:rFonts w:ascii="Arial" w:hAnsi="Arial" w:cs="Arial"/>
          </w:rPr>
          <w:t>https://academic.oup.com/cid/article-abstract/62/suppl_3/S262/2566592</w:t>
        </w:r>
      </w:hyperlink>
    </w:p>
    <w:p w14:paraId="715E4CB0" w14:textId="0ABE602D" w:rsidR="00B57C90" w:rsidRPr="00AB0BD3" w:rsidRDefault="00B57C90" w:rsidP="0046084C">
      <w:pPr>
        <w:spacing w:before="240" w:line="360" w:lineRule="auto"/>
        <w:jc w:val="both"/>
        <w:rPr>
          <w:rFonts w:ascii="Arial" w:hAnsi="Arial" w:cs="Arial"/>
        </w:rPr>
      </w:pPr>
      <w:r w:rsidRPr="00AB0BD3">
        <w:rPr>
          <w:rFonts w:ascii="Arial" w:hAnsi="Arial" w:cs="Arial"/>
        </w:rPr>
        <w:t xml:space="preserve">Higgins, J.P., Soares-Weiser, K., López-López, J.A., Kakourou, A., Chaplin, K., Christensen, H., Martin, N.K., Sterne, J.A. and Reingold, A.L., </w:t>
      </w:r>
      <w:r w:rsidR="00BD2E7B" w:rsidRPr="00AB0BD3">
        <w:rPr>
          <w:rFonts w:ascii="Arial" w:hAnsi="Arial" w:cs="Arial"/>
        </w:rPr>
        <w:t>(</w:t>
      </w:r>
      <w:r w:rsidRPr="00AB0BD3">
        <w:rPr>
          <w:rFonts w:ascii="Arial" w:hAnsi="Arial" w:cs="Arial"/>
        </w:rPr>
        <w:t>2016</w:t>
      </w:r>
      <w:r w:rsidR="00BD2E7B" w:rsidRPr="00AB0BD3">
        <w:rPr>
          <w:rFonts w:ascii="Arial" w:hAnsi="Arial" w:cs="Arial"/>
        </w:rPr>
        <w:t>)</w:t>
      </w:r>
      <w:r w:rsidRPr="00AB0BD3">
        <w:rPr>
          <w:rFonts w:ascii="Arial" w:hAnsi="Arial" w:cs="Arial"/>
        </w:rPr>
        <w:t>. Association of BCG, DTP, and measles containing vaccines with childhood mortality: systematic review. </w:t>
      </w:r>
      <w:r w:rsidRPr="00AB0BD3">
        <w:rPr>
          <w:rFonts w:ascii="Arial" w:hAnsi="Arial" w:cs="Arial"/>
          <w:i/>
          <w:iCs/>
        </w:rPr>
        <w:t>bmj</w:t>
      </w:r>
      <w:r w:rsidRPr="00AB0BD3">
        <w:rPr>
          <w:rFonts w:ascii="Arial" w:hAnsi="Arial" w:cs="Arial"/>
        </w:rPr>
        <w:t>, </w:t>
      </w:r>
      <w:r w:rsidRPr="00AB0BD3">
        <w:rPr>
          <w:rFonts w:ascii="Arial" w:hAnsi="Arial" w:cs="Arial"/>
          <w:i/>
          <w:iCs/>
        </w:rPr>
        <w:t>355</w:t>
      </w:r>
      <w:r w:rsidRPr="00AB0BD3">
        <w:rPr>
          <w:rFonts w:ascii="Arial" w:hAnsi="Arial" w:cs="Arial"/>
        </w:rPr>
        <w:t xml:space="preserve">. </w:t>
      </w:r>
      <w:hyperlink r:id="rId50" w:history="1">
        <w:r w:rsidRPr="00AB0BD3">
          <w:rPr>
            <w:rStyle w:val="Hyperlink"/>
            <w:rFonts w:ascii="Arial" w:hAnsi="Arial" w:cs="Arial"/>
          </w:rPr>
          <w:t>https://www.bmj.com/content/355/bmj.i5170.short</w:t>
        </w:r>
      </w:hyperlink>
    </w:p>
    <w:p w14:paraId="557DA5F7" w14:textId="77777777" w:rsidR="003F75FD" w:rsidRPr="00AB0BD3" w:rsidRDefault="003F75FD" w:rsidP="003F75FD">
      <w:pPr>
        <w:spacing w:before="240" w:line="360" w:lineRule="auto"/>
        <w:jc w:val="both"/>
        <w:rPr>
          <w:rFonts w:ascii="Arial" w:hAnsi="Arial" w:cs="Arial"/>
        </w:rPr>
      </w:pPr>
      <w:r w:rsidRPr="00AB0BD3">
        <w:rPr>
          <w:rFonts w:ascii="Arial" w:hAnsi="Arial" w:cs="Arial"/>
        </w:rPr>
        <w:t>Ikram, M. and Kenayathulla, H.B., (2022). Out of touch: comparing and contrasting positivism and interpretivism in social science. </w:t>
      </w:r>
      <w:r w:rsidRPr="00AB0BD3">
        <w:rPr>
          <w:rFonts w:ascii="Arial" w:hAnsi="Arial" w:cs="Arial"/>
          <w:i/>
          <w:iCs/>
        </w:rPr>
        <w:t>Asian Journal of Research in Education and Social Sciences</w:t>
      </w:r>
      <w:r w:rsidRPr="00AB0BD3">
        <w:rPr>
          <w:rFonts w:ascii="Arial" w:hAnsi="Arial" w:cs="Arial"/>
        </w:rPr>
        <w:t>, </w:t>
      </w:r>
      <w:r w:rsidRPr="00AB0BD3">
        <w:rPr>
          <w:rFonts w:ascii="Arial" w:hAnsi="Arial" w:cs="Arial"/>
          <w:i/>
          <w:iCs/>
        </w:rPr>
        <w:t>4</w:t>
      </w:r>
      <w:r w:rsidRPr="00AB0BD3">
        <w:rPr>
          <w:rFonts w:ascii="Arial" w:hAnsi="Arial" w:cs="Arial"/>
        </w:rPr>
        <w:t xml:space="preserve">(2), pp.39-49. </w:t>
      </w:r>
      <w:hyperlink r:id="rId51" w:history="1">
        <w:r w:rsidRPr="00AB0BD3">
          <w:rPr>
            <w:rStyle w:val="Hyperlink"/>
            <w:rFonts w:ascii="Arial" w:hAnsi="Arial" w:cs="Arial"/>
          </w:rPr>
          <w:t>https://www.researchgate.net/profile/Maryam-Ikram/publication/366810045_Out_of_Touch_Comparing_and_Contrasting_Positivism_and_Interpretivism_in_Social_Science/links/63b30f54097c7832ca84ccd3/Out-of-Touch-Comparing-and-Contrasting-Positivism-and-Interpretivism-in-Social-Science.pdf</w:t>
        </w:r>
      </w:hyperlink>
    </w:p>
    <w:p w14:paraId="3FD5C47E" w14:textId="5132C10A" w:rsidR="000C0736" w:rsidRDefault="000C0736" w:rsidP="003F75FD">
      <w:pPr>
        <w:spacing w:before="240" w:line="360" w:lineRule="auto"/>
        <w:jc w:val="both"/>
        <w:rPr>
          <w:rFonts w:ascii="Arial" w:hAnsi="Arial" w:cs="Arial"/>
        </w:rPr>
      </w:pPr>
      <w:r w:rsidRPr="000C0736">
        <w:rPr>
          <w:rFonts w:ascii="Arial" w:hAnsi="Arial" w:cs="Arial"/>
        </w:rPr>
        <w:t xml:space="preserve">Jain, R.B., Kumar, A., Sharma, E. and Goel, P.K., </w:t>
      </w:r>
      <w:r w:rsidR="00066F06">
        <w:rPr>
          <w:rFonts w:ascii="Arial" w:hAnsi="Arial" w:cs="Arial"/>
        </w:rPr>
        <w:t>(</w:t>
      </w:r>
      <w:r w:rsidRPr="000C0736">
        <w:rPr>
          <w:rFonts w:ascii="Arial" w:hAnsi="Arial" w:cs="Arial"/>
        </w:rPr>
        <w:t>2020</w:t>
      </w:r>
      <w:r w:rsidR="00066F06">
        <w:rPr>
          <w:rFonts w:ascii="Arial" w:hAnsi="Arial" w:cs="Arial"/>
        </w:rPr>
        <w:t>)</w:t>
      </w:r>
      <w:r w:rsidRPr="000C0736">
        <w:rPr>
          <w:rFonts w:ascii="Arial" w:hAnsi="Arial" w:cs="Arial"/>
        </w:rPr>
        <w:t>. Barriers to childhood vaccination as perceived by accredited social health activists and multipurpose health workers in Mewat, Haryana (India): A qualitative research. </w:t>
      </w:r>
      <w:r w:rsidRPr="000C0736">
        <w:rPr>
          <w:rFonts w:ascii="Arial" w:hAnsi="Arial" w:cs="Arial"/>
          <w:i/>
          <w:iCs/>
        </w:rPr>
        <w:t>Journal of Family Medicine and Primary Care</w:t>
      </w:r>
      <w:r w:rsidRPr="000C0736">
        <w:rPr>
          <w:rFonts w:ascii="Arial" w:hAnsi="Arial" w:cs="Arial"/>
        </w:rPr>
        <w:t>, </w:t>
      </w:r>
      <w:r w:rsidRPr="000C0736">
        <w:rPr>
          <w:rFonts w:ascii="Arial" w:hAnsi="Arial" w:cs="Arial"/>
          <w:i/>
          <w:iCs/>
        </w:rPr>
        <w:t>9</w:t>
      </w:r>
      <w:r w:rsidRPr="000C0736">
        <w:rPr>
          <w:rFonts w:ascii="Arial" w:hAnsi="Arial" w:cs="Arial"/>
        </w:rPr>
        <w:t>(8), pp.4134-4138.</w:t>
      </w:r>
      <w:r>
        <w:rPr>
          <w:rFonts w:ascii="Arial" w:hAnsi="Arial" w:cs="Arial"/>
        </w:rPr>
        <w:t xml:space="preserve"> </w:t>
      </w:r>
      <w:hyperlink r:id="rId52" w:history="1">
        <w:r w:rsidRPr="001B69CC">
          <w:rPr>
            <w:rStyle w:val="Hyperlink"/>
            <w:rFonts w:ascii="Arial" w:hAnsi="Arial" w:cs="Arial"/>
          </w:rPr>
          <w:t>https://journals.lww.com/jfmpc/fulltext/2020/09080/Barriers_to_childhood_vaccination_as_perceived_by.53.aspx</w:t>
        </w:r>
      </w:hyperlink>
    </w:p>
    <w:p w14:paraId="5054DE74" w14:textId="2E870E38" w:rsidR="003F75FD" w:rsidRPr="00AB0BD3" w:rsidRDefault="003F75FD" w:rsidP="003F75FD">
      <w:pPr>
        <w:spacing w:before="240" w:line="360" w:lineRule="auto"/>
        <w:jc w:val="both"/>
        <w:rPr>
          <w:rFonts w:ascii="Arial" w:hAnsi="Arial" w:cs="Arial"/>
        </w:rPr>
      </w:pPr>
      <w:r w:rsidRPr="00AB0BD3">
        <w:rPr>
          <w:rFonts w:ascii="Arial" w:hAnsi="Arial" w:cs="Arial"/>
        </w:rPr>
        <w:t>Jones, K., Chisnall, G., Crocker-Buque, T., Elliman, D., Horwood, J., Mounier-Jack, S., Campbell, C.N., Saliba, V. and Chantler, T., (2024). A new neonatal BCG vaccination pathway in England: a mixed methods evaluation of its implementation. </w:t>
      </w:r>
      <w:r w:rsidRPr="00AB0BD3">
        <w:rPr>
          <w:rFonts w:ascii="Arial" w:hAnsi="Arial" w:cs="Arial"/>
          <w:i/>
          <w:iCs/>
        </w:rPr>
        <w:t>BMC Public Health</w:t>
      </w:r>
      <w:r w:rsidRPr="00AB0BD3">
        <w:rPr>
          <w:rFonts w:ascii="Arial" w:hAnsi="Arial" w:cs="Arial"/>
        </w:rPr>
        <w:t>, </w:t>
      </w:r>
      <w:r w:rsidRPr="00AB0BD3">
        <w:rPr>
          <w:rFonts w:ascii="Arial" w:hAnsi="Arial" w:cs="Arial"/>
          <w:i/>
          <w:iCs/>
        </w:rPr>
        <w:t>24</w:t>
      </w:r>
      <w:r w:rsidRPr="00AB0BD3">
        <w:rPr>
          <w:rFonts w:ascii="Arial" w:hAnsi="Arial" w:cs="Arial"/>
        </w:rPr>
        <w:t xml:space="preserve">(1), p.1175. </w:t>
      </w:r>
      <w:hyperlink r:id="rId53" w:history="1">
        <w:r w:rsidRPr="00AB0BD3">
          <w:rPr>
            <w:rStyle w:val="Hyperlink"/>
            <w:rFonts w:ascii="Arial" w:hAnsi="Arial" w:cs="Arial"/>
          </w:rPr>
          <w:t>https://link.springer.com/article/10.1186/s12889-024-18586-8</w:t>
        </w:r>
      </w:hyperlink>
    </w:p>
    <w:p w14:paraId="0C33DF8B" w14:textId="0A0A0B59" w:rsidR="009C3E8B" w:rsidRPr="00AB0BD3" w:rsidRDefault="009C3E8B" w:rsidP="0046084C">
      <w:pPr>
        <w:spacing w:before="240" w:line="360" w:lineRule="auto"/>
        <w:jc w:val="both"/>
        <w:rPr>
          <w:rFonts w:ascii="Arial" w:hAnsi="Arial" w:cs="Arial"/>
        </w:rPr>
      </w:pPr>
      <w:r w:rsidRPr="00AB0BD3">
        <w:rPr>
          <w:rFonts w:ascii="Arial" w:hAnsi="Arial" w:cs="Arial"/>
        </w:rPr>
        <w:lastRenderedPageBreak/>
        <w:t xml:space="preserve">Katelaris, A.L., Jackson, C., Southern, J., Gupta, R.K., Drobniewski, F., Lalvani, A., Lipman, M., Mangtani, P. and Abubakar, I., </w:t>
      </w:r>
      <w:r w:rsidR="00BD2E7B" w:rsidRPr="00AB0BD3">
        <w:rPr>
          <w:rFonts w:ascii="Arial" w:hAnsi="Arial" w:cs="Arial"/>
        </w:rPr>
        <w:t>(</w:t>
      </w:r>
      <w:r w:rsidRPr="00AB0BD3">
        <w:rPr>
          <w:rFonts w:ascii="Arial" w:hAnsi="Arial" w:cs="Arial"/>
        </w:rPr>
        <w:t>2020</w:t>
      </w:r>
      <w:r w:rsidR="00BD2E7B" w:rsidRPr="00AB0BD3">
        <w:rPr>
          <w:rFonts w:ascii="Arial" w:hAnsi="Arial" w:cs="Arial"/>
        </w:rPr>
        <w:t>)</w:t>
      </w:r>
      <w:r w:rsidRPr="00AB0BD3">
        <w:rPr>
          <w:rFonts w:ascii="Arial" w:hAnsi="Arial" w:cs="Arial"/>
        </w:rPr>
        <w:t>. Effectiveness of BCG vaccination against Mycobacterium tuberculosis infection in adults: a cross-sectional analysis of a UK-based cohort. </w:t>
      </w:r>
      <w:r w:rsidRPr="00AB0BD3">
        <w:rPr>
          <w:rFonts w:ascii="Arial" w:hAnsi="Arial" w:cs="Arial"/>
          <w:i/>
          <w:iCs/>
        </w:rPr>
        <w:t>The Journal of Infectious Diseases</w:t>
      </w:r>
      <w:r w:rsidRPr="00AB0BD3">
        <w:rPr>
          <w:rFonts w:ascii="Arial" w:hAnsi="Arial" w:cs="Arial"/>
        </w:rPr>
        <w:t>, </w:t>
      </w:r>
      <w:r w:rsidRPr="00AB0BD3">
        <w:rPr>
          <w:rFonts w:ascii="Arial" w:hAnsi="Arial" w:cs="Arial"/>
          <w:i/>
          <w:iCs/>
        </w:rPr>
        <w:t>221</w:t>
      </w:r>
      <w:r w:rsidRPr="00AB0BD3">
        <w:rPr>
          <w:rFonts w:ascii="Arial" w:hAnsi="Arial" w:cs="Arial"/>
        </w:rPr>
        <w:t xml:space="preserve">(1), pp.146-155. </w:t>
      </w:r>
      <w:hyperlink r:id="rId54" w:history="1">
        <w:r w:rsidRPr="00AB0BD3">
          <w:rPr>
            <w:rStyle w:val="Hyperlink"/>
            <w:rFonts w:ascii="Arial" w:hAnsi="Arial" w:cs="Arial"/>
          </w:rPr>
          <w:t>https://academic.oup.com/jid/article-abstract/221/1/146/5556484</w:t>
        </w:r>
      </w:hyperlink>
    </w:p>
    <w:p w14:paraId="5E8B1210" w14:textId="51D080AE" w:rsidR="00196C3A" w:rsidRPr="00AB0BD3" w:rsidRDefault="00196C3A" w:rsidP="0046084C">
      <w:pPr>
        <w:spacing w:before="240" w:line="360" w:lineRule="auto"/>
        <w:jc w:val="both"/>
        <w:rPr>
          <w:rFonts w:ascii="Arial" w:hAnsi="Arial" w:cs="Arial"/>
        </w:rPr>
      </w:pPr>
      <w:r w:rsidRPr="00AB0BD3">
        <w:rPr>
          <w:rFonts w:ascii="Arial" w:hAnsi="Arial" w:cs="Arial"/>
        </w:rPr>
        <w:t xml:space="preserve">Khanna, A., Saha, R. and Ahmad, N., </w:t>
      </w:r>
      <w:r w:rsidR="00BD2E7B" w:rsidRPr="00AB0BD3">
        <w:rPr>
          <w:rFonts w:ascii="Arial" w:hAnsi="Arial" w:cs="Arial"/>
        </w:rPr>
        <w:t>(</w:t>
      </w:r>
      <w:r w:rsidRPr="00AB0BD3">
        <w:rPr>
          <w:rFonts w:ascii="Arial" w:hAnsi="Arial" w:cs="Arial"/>
        </w:rPr>
        <w:t>2023</w:t>
      </w:r>
      <w:r w:rsidR="00BD2E7B" w:rsidRPr="00AB0BD3">
        <w:rPr>
          <w:rFonts w:ascii="Arial" w:hAnsi="Arial" w:cs="Arial"/>
        </w:rPr>
        <w:t>)</w:t>
      </w:r>
      <w:r w:rsidRPr="00AB0BD3">
        <w:rPr>
          <w:rFonts w:ascii="Arial" w:hAnsi="Arial" w:cs="Arial"/>
        </w:rPr>
        <w:t>. National TB elimination programme-What has changed. </w:t>
      </w:r>
      <w:r w:rsidRPr="00AB0BD3">
        <w:rPr>
          <w:rFonts w:ascii="Arial" w:hAnsi="Arial" w:cs="Arial"/>
          <w:i/>
          <w:iCs/>
        </w:rPr>
        <w:t>Indian Journal of Medical Microbiology</w:t>
      </w:r>
      <w:r w:rsidRPr="00AB0BD3">
        <w:rPr>
          <w:rFonts w:ascii="Arial" w:hAnsi="Arial" w:cs="Arial"/>
        </w:rPr>
        <w:t>, </w:t>
      </w:r>
      <w:r w:rsidRPr="00AB0BD3">
        <w:rPr>
          <w:rFonts w:ascii="Arial" w:hAnsi="Arial" w:cs="Arial"/>
          <w:i/>
          <w:iCs/>
        </w:rPr>
        <w:t>42</w:t>
      </w:r>
      <w:r w:rsidRPr="00AB0BD3">
        <w:rPr>
          <w:rFonts w:ascii="Arial" w:hAnsi="Arial" w:cs="Arial"/>
        </w:rPr>
        <w:t xml:space="preserve">, pp.103-107. </w:t>
      </w:r>
      <w:hyperlink r:id="rId55" w:history="1">
        <w:r w:rsidRPr="00AB0BD3">
          <w:rPr>
            <w:rStyle w:val="Hyperlink"/>
            <w:rFonts w:ascii="Arial" w:hAnsi="Arial" w:cs="Arial"/>
          </w:rPr>
          <w:t>https://www.sciencedirect.com/science/article/pii/S0255085722002341</w:t>
        </w:r>
      </w:hyperlink>
    </w:p>
    <w:p w14:paraId="227B36DD" w14:textId="6D69BCCD" w:rsidR="00495ECE" w:rsidRPr="00AB0BD3" w:rsidRDefault="00495ECE" w:rsidP="0046084C">
      <w:pPr>
        <w:spacing w:before="240" w:line="360" w:lineRule="auto"/>
        <w:jc w:val="both"/>
        <w:rPr>
          <w:rFonts w:ascii="Arial" w:hAnsi="Arial" w:cs="Arial"/>
        </w:rPr>
      </w:pPr>
      <w:r w:rsidRPr="00AB0BD3">
        <w:rPr>
          <w:rFonts w:ascii="Arial" w:hAnsi="Arial" w:cs="Arial"/>
        </w:rPr>
        <w:t xml:space="preserve">Kumar, P., </w:t>
      </w:r>
      <w:r w:rsidR="00BD2E7B" w:rsidRPr="00AB0BD3">
        <w:rPr>
          <w:rFonts w:ascii="Arial" w:hAnsi="Arial" w:cs="Arial"/>
        </w:rPr>
        <w:t>(</w:t>
      </w:r>
      <w:r w:rsidRPr="00AB0BD3">
        <w:rPr>
          <w:rFonts w:ascii="Arial" w:hAnsi="Arial" w:cs="Arial"/>
        </w:rPr>
        <w:t>2021</w:t>
      </w:r>
      <w:r w:rsidR="00BD2E7B" w:rsidRPr="00AB0BD3">
        <w:rPr>
          <w:rFonts w:ascii="Arial" w:hAnsi="Arial" w:cs="Arial"/>
        </w:rPr>
        <w:t>)</w:t>
      </w:r>
      <w:r w:rsidRPr="00AB0BD3">
        <w:rPr>
          <w:rFonts w:ascii="Arial" w:hAnsi="Arial" w:cs="Arial"/>
        </w:rPr>
        <w:t>. A perspective on the success and failure of BCG. </w:t>
      </w:r>
      <w:r w:rsidRPr="00AB0BD3">
        <w:rPr>
          <w:rFonts w:ascii="Arial" w:hAnsi="Arial" w:cs="Arial"/>
          <w:i/>
          <w:iCs/>
        </w:rPr>
        <w:t>Frontiers in Immunology</w:t>
      </w:r>
      <w:r w:rsidRPr="00AB0BD3">
        <w:rPr>
          <w:rFonts w:ascii="Arial" w:hAnsi="Arial" w:cs="Arial"/>
        </w:rPr>
        <w:t>, </w:t>
      </w:r>
      <w:r w:rsidRPr="00AB0BD3">
        <w:rPr>
          <w:rFonts w:ascii="Arial" w:hAnsi="Arial" w:cs="Arial"/>
          <w:i/>
          <w:iCs/>
        </w:rPr>
        <w:t>12</w:t>
      </w:r>
      <w:r w:rsidRPr="00AB0BD3">
        <w:rPr>
          <w:rFonts w:ascii="Arial" w:hAnsi="Arial" w:cs="Arial"/>
        </w:rPr>
        <w:t xml:space="preserve">, p.778028. </w:t>
      </w:r>
      <w:hyperlink r:id="rId56" w:history="1">
        <w:r w:rsidRPr="00AB0BD3">
          <w:rPr>
            <w:rStyle w:val="Hyperlink"/>
            <w:rFonts w:ascii="Arial" w:hAnsi="Arial" w:cs="Arial"/>
          </w:rPr>
          <w:t>https://www.frontiersin.org/articles/10.3389/fimmu.2021.778028/full</w:t>
        </w:r>
      </w:hyperlink>
    </w:p>
    <w:p w14:paraId="6EA5E260" w14:textId="77777777" w:rsidR="002E018A" w:rsidRPr="00AB0BD3" w:rsidRDefault="002E018A" w:rsidP="002E018A">
      <w:pPr>
        <w:spacing w:before="240" w:line="360" w:lineRule="auto"/>
        <w:jc w:val="both"/>
        <w:rPr>
          <w:rFonts w:ascii="Arial" w:hAnsi="Arial" w:cs="Arial"/>
        </w:rPr>
      </w:pPr>
      <w:r w:rsidRPr="00AB0BD3">
        <w:rPr>
          <w:rFonts w:ascii="Arial" w:hAnsi="Arial" w:cs="Arial"/>
        </w:rPr>
        <w:t>Kusuma, Y.S., Kaushal, S., Sundari, A.B. and Babu, B.V., (2018). Access to childhood immunisation services and its determinants among recent and settled migrants in Delhi, India. </w:t>
      </w:r>
      <w:r w:rsidRPr="00AB0BD3">
        <w:rPr>
          <w:rFonts w:ascii="Arial" w:hAnsi="Arial" w:cs="Arial"/>
          <w:i/>
          <w:iCs/>
        </w:rPr>
        <w:t>Public Health</w:t>
      </w:r>
      <w:r w:rsidRPr="00AB0BD3">
        <w:rPr>
          <w:rFonts w:ascii="Arial" w:hAnsi="Arial" w:cs="Arial"/>
        </w:rPr>
        <w:t>, </w:t>
      </w:r>
      <w:r w:rsidRPr="00AB0BD3">
        <w:rPr>
          <w:rFonts w:ascii="Arial" w:hAnsi="Arial" w:cs="Arial"/>
          <w:i/>
          <w:iCs/>
        </w:rPr>
        <w:t>158</w:t>
      </w:r>
      <w:r w:rsidRPr="00AB0BD3">
        <w:rPr>
          <w:rFonts w:ascii="Arial" w:hAnsi="Arial" w:cs="Arial"/>
        </w:rPr>
        <w:t xml:space="preserve">, pp.135-143.  </w:t>
      </w:r>
      <w:hyperlink r:id="rId57" w:history="1">
        <w:r w:rsidRPr="00AB0BD3">
          <w:rPr>
            <w:rStyle w:val="Hyperlink"/>
            <w:rFonts w:ascii="Arial" w:hAnsi="Arial" w:cs="Arial"/>
          </w:rPr>
          <w:t>https://www.sciencedirect.com/science/article/pii/S0033350618300945</w:t>
        </w:r>
      </w:hyperlink>
    </w:p>
    <w:p w14:paraId="6AFBDD36" w14:textId="77777777" w:rsidR="003F75FD" w:rsidRPr="00AB0BD3" w:rsidRDefault="003F75FD" w:rsidP="003F75FD">
      <w:pPr>
        <w:spacing w:before="240" w:line="360" w:lineRule="auto"/>
        <w:jc w:val="both"/>
        <w:rPr>
          <w:rFonts w:ascii="Arial" w:hAnsi="Arial" w:cs="Arial"/>
        </w:rPr>
      </w:pPr>
      <w:r w:rsidRPr="00AB0BD3">
        <w:rPr>
          <w:rFonts w:ascii="Arial" w:hAnsi="Arial" w:cs="Arial"/>
        </w:rPr>
        <w:t>Lan, H., Yu, X., Wang, Z., Wang, P., Sun, Y., Wang, Z., Su, R., Wang, L., Zhao, J., Hu, Y. and Wu, S., (2023). How about the evidence assessment tools used in education and management systematic reviews?. </w:t>
      </w:r>
      <w:r w:rsidRPr="00AB0BD3">
        <w:rPr>
          <w:rFonts w:ascii="Arial" w:hAnsi="Arial" w:cs="Arial"/>
          <w:i/>
          <w:iCs/>
        </w:rPr>
        <w:t>Frontiers in Medicine</w:t>
      </w:r>
      <w:r w:rsidRPr="00AB0BD3">
        <w:rPr>
          <w:rFonts w:ascii="Arial" w:hAnsi="Arial" w:cs="Arial"/>
        </w:rPr>
        <w:t>, </w:t>
      </w:r>
      <w:r w:rsidRPr="00AB0BD3">
        <w:rPr>
          <w:rFonts w:ascii="Arial" w:hAnsi="Arial" w:cs="Arial"/>
          <w:i/>
          <w:iCs/>
        </w:rPr>
        <w:t>10</w:t>
      </w:r>
      <w:r w:rsidRPr="00AB0BD3">
        <w:rPr>
          <w:rFonts w:ascii="Arial" w:hAnsi="Arial" w:cs="Arial"/>
        </w:rPr>
        <w:t xml:space="preserve">, p.1160289. </w:t>
      </w:r>
      <w:hyperlink r:id="rId58" w:history="1">
        <w:r w:rsidRPr="00AB0BD3">
          <w:rPr>
            <w:rStyle w:val="Hyperlink"/>
            <w:rFonts w:ascii="Arial" w:hAnsi="Arial" w:cs="Arial"/>
          </w:rPr>
          <w:t>https://www.frontiersin.org/journals/medicine/articles/10.3389/fmed.2023.1160289/full</w:t>
        </w:r>
      </w:hyperlink>
    </w:p>
    <w:p w14:paraId="6CEA6805" w14:textId="77777777" w:rsidR="002E018A" w:rsidRPr="00AB0BD3" w:rsidRDefault="002E018A" w:rsidP="002E018A">
      <w:pPr>
        <w:spacing w:before="240" w:line="360" w:lineRule="auto"/>
        <w:jc w:val="both"/>
        <w:rPr>
          <w:rFonts w:ascii="Arial" w:hAnsi="Arial" w:cs="Arial"/>
        </w:rPr>
      </w:pPr>
      <w:r w:rsidRPr="00AB0BD3">
        <w:rPr>
          <w:rFonts w:ascii="Arial" w:hAnsi="Arial" w:cs="Arial"/>
        </w:rPr>
        <w:t>Lawrence, A., (2024). Bacillus Calmette-Guérin (BCG) revaccination and protection against tuberculosis: a systematic review. </w:t>
      </w:r>
      <w:r w:rsidRPr="00AB0BD3">
        <w:rPr>
          <w:rFonts w:ascii="Arial" w:hAnsi="Arial" w:cs="Arial"/>
          <w:i/>
          <w:iCs/>
        </w:rPr>
        <w:t>Cureus</w:t>
      </w:r>
      <w:r w:rsidRPr="00AB0BD3">
        <w:rPr>
          <w:rFonts w:ascii="Arial" w:hAnsi="Arial" w:cs="Arial"/>
        </w:rPr>
        <w:t>, </w:t>
      </w:r>
      <w:r w:rsidRPr="00AB0BD3">
        <w:rPr>
          <w:rFonts w:ascii="Arial" w:hAnsi="Arial" w:cs="Arial"/>
          <w:i/>
          <w:iCs/>
        </w:rPr>
        <w:t>16</w:t>
      </w:r>
      <w:r w:rsidRPr="00AB0BD3">
        <w:rPr>
          <w:rFonts w:ascii="Arial" w:hAnsi="Arial" w:cs="Arial"/>
        </w:rPr>
        <w:t xml:space="preserve">(3). </w:t>
      </w:r>
      <w:hyperlink r:id="rId59" w:history="1">
        <w:r w:rsidRPr="00AB0BD3">
          <w:rPr>
            <w:rStyle w:val="Hyperlink"/>
            <w:rFonts w:ascii="Arial" w:hAnsi="Arial" w:cs="Arial"/>
          </w:rPr>
          <w:t>https://www.cureus.com/articles/239876-bacillus-calmette-gurin-bcg-revaccination-and-protection-against-tuberculosis-a-systematic-review.pdf</w:t>
        </w:r>
      </w:hyperlink>
    </w:p>
    <w:p w14:paraId="5BB653AE" w14:textId="32B07807" w:rsidR="00C75AEF" w:rsidRPr="00AB0BD3" w:rsidRDefault="00C75AEF" w:rsidP="0046084C">
      <w:pPr>
        <w:spacing w:before="240" w:line="360" w:lineRule="auto"/>
        <w:jc w:val="both"/>
        <w:rPr>
          <w:rFonts w:ascii="Arial" w:hAnsi="Arial" w:cs="Arial"/>
        </w:rPr>
      </w:pPr>
      <w:r w:rsidRPr="00AB0BD3">
        <w:rPr>
          <w:rFonts w:ascii="Arial" w:hAnsi="Arial" w:cs="Arial"/>
        </w:rPr>
        <w:t xml:space="preserve">Lancione, S., Alvarez, J.V., Alsdurf, H., Pai, M. and Zwerling, A.A., </w:t>
      </w:r>
      <w:r w:rsidR="00BD2E7B" w:rsidRPr="00AB0BD3">
        <w:rPr>
          <w:rFonts w:ascii="Arial" w:hAnsi="Arial" w:cs="Arial"/>
        </w:rPr>
        <w:t>(</w:t>
      </w:r>
      <w:r w:rsidRPr="00AB0BD3">
        <w:rPr>
          <w:rFonts w:ascii="Arial" w:hAnsi="Arial" w:cs="Arial"/>
        </w:rPr>
        <w:t>2022</w:t>
      </w:r>
      <w:r w:rsidR="00BD2E7B" w:rsidRPr="00AB0BD3">
        <w:rPr>
          <w:rFonts w:ascii="Arial" w:hAnsi="Arial" w:cs="Arial"/>
        </w:rPr>
        <w:t>)</w:t>
      </w:r>
      <w:r w:rsidRPr="00AB0BD3">
        <w:rPr>
          <w:rFonts w:ascii="Arial" w:hAnsi="Arial" w:cs="Arial"/>
        </w:rPr>
        <w:t>. Tracking changes in national BCG vaccination policies and practices using the BCG World Atlas. </w:t>
      </w:r>
      <w:r w:rsidRPr="00AB0BD3">
        <w:rPr>
          <w:rFonts w:ascii="Arial" w:hAnsi="Arial" w:cs="Arial"/>
          <w:i/>
          <w:iCs/>
        </w:rPr>
        <w:t>BMJ Global Health</w:t>
      </w:r>
      <w:r w:rsidRPr="00AB0BD3">
        <w:rPr>
          <w:rFonts w:ascii="Arial" w:hAnsi="Arial" w:cs="Arial"/>
        </w:rPr>
        <w:t>, </w:t>
      </w:r>
      <w:r w:rsidRPr="00AB0BD3">
        <w:rPr>
          <w:rFonts w:ascii="Arial" w:hAnsi="Arial" w:cs="Arial"/>
          <w:i/>
          <w:iCs/>
        </w:rPr>
        <w:t>7</w:t>
      </w:r>
      <w:r w:rsidRPr="00AB0BD3">
        <w:rPr>
          <w:rFonts w:ascii="Arial" w:hAnsi="Arial" w:cs="Arial"/>
        </w:rPr>
        <w:t xml:space="preserve">(1), p.e007462. </w:t>
      </w:r>
      <w:hyperlink r:id="rId60" w:history="1">
        <w:r w:rsidRPr="00AB0BD3">
          <w:rPr>
            <w:rStyle w:val="Hyperlink"/>
            <w:rFonts w:ascii="Arial" w:hAnsi="Arial" w:cs="Arial"/>
          </w:rPr>
          <w:t>https://gh.bmj.com/content/7/1/e007462.abstract</w:t>
        </w:r>
      </w:hyperlink>
    </w:p>
    <w:p w14:paraId="3E704598" w14:textId="1A9DBC5B" w:rsidR="00335536" w:rsidRPr="00AB0BD3" w:rsidRDefault="00335536" w:rsidP="0046084C">
      <w:pPr>
        <w:spacing w:before="240" w:line="360" w:lineRule="auto"/>
        <w:jc w:val="both"/>
        <w:rPr>
          <w:rFonts w:ascii="Arial" w:hAnsi="Arial" w:cs="Arial"/>
        </w:rPr>
      </w:pPr>
      <w:r w:rsidRPr="00AB0BD3">
        <w:rPr>
          <w:rFonts w:ascii="Arial" w:hAnsi="Arial" w:cs="Arial"/>
        </w:rPr>
        <w:lastRenderedPageBreak/>
        <w:t xml:space="preserve">Li, J., Lu, J., Wang, G., Zhao, A. and Xu, M., </w:t>
      </w:r>
      <w:r w:rsidR="00BD2E7B" w:rsidRPr="00AB0BD3">
        <w:rPr>
          <w:rFonts w:ascii="Arial" w:hAnsi="Arial" w:cs="Arial"/>
        </w:rPr>
        <w:t>(</w:t>
      </w:r>
      <w:r w:rsidRPr="00AB0BD3">
        <w:rPr>
          <w:rFonts w:ascii="Arial" w:hAnsi="Arial" w:cs="Arial"/>
        </w:rPr>
        <w:t>2022</w:t>
      </w:r>
      <w:r w:rsidR="00BD2E7B" w:rsidRPr="00AB0BD3">
        <w:rPr>
          <w:rFonts w:ascii="Arial" w:hAnsi="Arial" w:cs="Arial"/>
        </w:rPr>
        <w:t>)</w:t>
      </w:r>
      <w:r w:rsidRPr="00AB0BD3">
        <w:rPr>
          <w:rFonts w:ascii="Arial" w:hAnsi="Arial" w:cs="Arial"/>
        </w:rPr>
        <w:t>. Past, present and future of Bacillus Calmette-Guérin vaccine use in China. </w:t>
      </w:r>
      <w:r w:rsidRPr="00AB0BD3">
        <w:rPr>
          <w:rFonts w:ascii="Arial" w:hAnsi="Arial" w:cs="Arial"/>
          <w:i/>
          <w:iCs/>
        </w:rPr>
        <w:t>Vaccines</w:t>
      </w:r>
      <w:r w:rsidRPr="00AB0BD3">
        <w:rPr>
          <w:rFonts w:ascii="Arial" w:hAnsi="Arial" w:cs="Arial"/>
        </w:rPr>
        <w:t>, </w:t>
      </w:r>
      <w:r w:rsidRPr="00AB0BD3">
        <w:rPr>
          <w:rFonts w:ascii="Arial" w:hAnsi="Arial" w:cs="Arial"/>
          <w:i/>
          <w:iCs/>
        </w:rPr>
        <w:t>10</w:t>
      </w:r>
      <w:r w:rsidRPr="00AB0BD3">
        <w:rPr>
          <w:rFonts w:ascii="Arial" w:hAnsi="Arial" w:cs="Arial"/>
        </w:rPr>
        <w:t xml:space="preserve">(7), p.1157. </w:t>
      </w:r>
      <w:hyperlink r:id="rId61" w:history="1">
        <w:r w:rsidRPr="00AB0BD3">
          <w:rPr>
            <w:rStyle w:val="Hyperlink"/>
            <w:rFonts w:ascii="Arial" w:hAnsi="Arial" w:cs="Arial"/>
          </w:rPr>
          <w:t>https://www.mdpi.com/2076-393X/10/7/1157</w:t>
        </w:r>
      </w:hyperlink>
    </w:p>
    <w:p w14:paraId="71E8DC19" w14:textId="77777777" w:rsidR="003F75FD" w:rsidRPr="00AB0BD3" w:rsidRDefault="003F75FD" w:rsidP="003F75FD">
      <w:pPr>
        <w:spacing w:before="240" w:line="360" w:lineRule="auto"/>
        <w:jc w:val="both"/>
        <w:rPr>
          <w:rFonts w:ascii="Arial" w:hAnsi="Arial" w:cs="Arial"/>
        </w:rPr>
      </w:pPr>
      <w:r w:rsidRPr="00AB0BD3">
        <w:rPr>
          <w:rFonts w:ascii="Arial" w:hAnsi="Arial" w:cs="Arial"/>
        </w:rPr>
        <w:t>MacLure, K., Paudyal, V. and Stewart, D., (2016). Reviewing the literature, how systematic is systematic?. </w:t>
      </w:r>
      <w:r w:rsidRPr="00AB0BD3">
        <w:rPr>
          <w:rFonts w:ascii="Arial" w:hAnsi="Arial" w:cs="Arial"/>
          <w:i/>
          <w:iCs/>
        </w:rPr>
        <w:t>International journal of clinical pharmacy</w:t>
      </w:r>
      <w:r w:rsidRPr="00AB0BD3">
        <w:rPr>
          <w:rFonts w:ascii="Arial" w:hAnsi="Arial" w:cs="Arial"/>
        </w:rPr>
        <w:t>, </w:t>
      </w:r>
      <w:r w:rsidRPr="00AB0BD3">
        <w:rPr>
          <w:rFonts w:ascii="Arial" w:hAnsi="Arial" w:cs="Arial"/>
          <w:i/>
          <w:iCs/>
        </w:rPr>
        <w:t>38</w:t>
      </w:r>
      <w:r w:rsidRPr="00AB0BD3">
        <w:rPr>
          <w:rFonts w:ascii="Arial" w:hAnsi="Arial" w:cs="Arial"/>
        </w:rPr>
        <w:t xml:space="preserve">(3), pp.685-694. </w:t>
      </w:r>
      <w:hyperlink r:id="rId62" w:history="1">
        <w:r w:rsidRPr="00AB0BD3">
          <w:rPr>
            <w:rStyle w:val="Hyperlink"/>
            <w:rFonts w:ascii="Arial" w:hAnsi="Arial" w:cs="Arial"/>
          </w:rPr>
          <w:t>https://link.springer.com/article/10.1007/s11096-016-0288-3</w:t>
        </w:r>
      </w:hyperlink>
    </w:p>
    <w:p w14:paraId="7A7C6A83" w14:textId="3A9FA842" w:rsidR="00FB2514" w:rsidRDefault="00FB2514" w:rsidP="00FB2514">
      <w:pPr>
        <w:spacing w:line="360" w:lineRule="auto"/>
        <w:jc w:val="both"/>
        <w:rPr>
          <w:rFonts w:ascii="Arial" w:hAnsi="Arial" w:cs="Arial"/>
        </w:rPr>
      </w:pPr>
      <w:r w:rsidRPr="00104111">
        <w:rPr>
          <w:rFonts w:ascii="Arial" w:hAnsi="Arial" w:cs="Arial"/>
        </w:rPr>
        <w:t xml:space="preserve">Mark Vrabel, M.L.S., </w:t>
      </w:r>
      <w:r w:rsidR="00066F06">
        <w:rPr>
          <w:rFonts w:ascii="Arial" w:hAnsi="Arial" w:cs="Arial"/>
        </w:rPr>
        <w:t>(</w:t>
      </w:r>
      <w:r w:rsidRPr="00104111">
        <w:rPr>
          <w:rFonts w:ascii="Arial" w:hAnsi="Arial" w:cs="Arial"/>
        </w:rPr>
        <w:t>2015</w:t>
      </w:r>
      <w:r w:rsidR="00066F06">
        <w:rPr>
          <w:rFonts w:ascii="Arial" w:hAnsi="Arial" w:cs="Arial"/>
        </w:rPr>
        <w:t>)</w:t>
      </w:r>
      <w:r w:rsidRPr="00104111">
        <w:rPr>
          <w:rFonts w:ascii="Arial" w:hAnsi="Arial" w:cs="Arial"/>
        </w:rPr>
        <w:t>, September. Preferred reporting items for systematic reviews and meta-analyses. In </w:t>
      </w:r>
      <w:r w:rsidRPr="00104111">
        <w:rPr>
          <w:rFonts w:ascii="Arial" w:hAnsi="Arial" w:cs="Arial"/>
          <w:i/>
          <w:iCs/>
        </w:rPr>
        <w:t>Oncology nursing forum</w:t>
      </w:r>
      <w:r w:rsidRPr="00104111">
        <w:rPr>
          <w:rFonts w:ascii="Arial" w:hAnsi="Arial" w:cs="Arial"/>
        </w:rPr>
        <w:t> (Vol. 42, No. 5, p. 552). Oncology Nursing Society.</w:t>
      </w:r>
      <w:r w:rsidR="00345B07">
        <w:rPr>
          <w:rFonts w:ascii="Arial" w:hAnsi="Arial" w:cs="Arial"/>
        </w:rPr>
        <w:t xml:space="preserve"> </w:t>
      </w:r>
      <w:hyperlink r:id="rId63" w:history="1">
        <w:r w:rsidR="00345B07" w:rsidRPr="00B65757">
          <w:rPr>
            <w:rStyle w:val="Hyperlink"/>
            <w:rFonts w:ascii="Arial" w:hAnsi="Arial" w:cs="Arial"/>
          </w:rPr>
          <w:t>https://search.proquest.com/openview/ce3ca3a181347367c86b1eea43d396a9/1?pq-origsite=gscholar&amp;cbl=37213</w:t>
        </w:r>
      </w:hyperlink>
    </w:p>
    <w:p w14:paraId="0D50946F" w14:textId="3FC2AD55" w:rsidR="003F75FD" w:rsidRDefault="003F75FD" w:rsidP="003F75FD">
      <w:pPr>
        <w:spacing w:before="240" w:line="360" w:lineRule="auto"/>
        <w:jc w:val="both"/>
        <w:rPr>
          <w:rFonts w:ascii="Arial" w:hAnsi="Arial" w:cs="Arial"/>
        </w:rPr>
      </w:pPr>
      <w:r w:rsidRPr="00AB0BD3">
        <w:rPr>
          <w:rFonts w:ascii="Arial" w:hAnsi="Arial" w:cs="Arial"/>
        </w:rPr>
        <w:t>Mackenzie Hilton, B.A., (2024). J BI Critical appraisal checklist for systematic reviews and research syntheses. </w:t>
      </w:r>
      <w:r w:rsidRPr="00AB0BD3">
        <w:rPr>
          <w:rFonts w:ascii="Arial" w:hAnsi="Arial" w:cs="Arial"/>
          <w:i/>
          <w:iCs/>
        </w:rPr>
        <w:t>The Journal of the Canadian Health Libraries Association= Journal de l'Association des Bibliothèques de la Santé du Canada</w:t>
      </w:r>
      <w:r w:rsidRPr="00AB0BD3">
        <w:rPr>
          <w:rFonts w:ascii="Arial" w:hAnsi="Arial" w:cs="Arial"/>
        </w:rPr>
        <w:t>, </w:t>
      </w:r>
      <w:r w:rsidRPr="00AB0BD3">
        <w:rPr>
          <w:rFonts w:ascii="Arial" w:hAnsi="Arial" w:cs="Arial"/>
          <w:i/>
          <w:iCs/>
        </w:rPr>
        <w:t>45</w:t>
      </w:r>
      <w:r w:rsidRPr="00AB0BD3">
        <w:rPr>
          <w:rFonts w:ascii="Arial" w:hAnsi="Arial" w:cs="Arial"/>
        </w:rPr>
        <w:t>(3), pp.180-183.</w:t>
      </w:r>
      <w:r w:rsidR="00345B07">
        <w:rPr>
          <w:rFonts w:ascii="Arial" w:hAnsi="Arial" w:cs="Arial"/>
        </w:rPr>
        <w:t xml:space="preserve"> </w:t>
      </w:r>
      <w:hyperlink r:id="rId64" w:history="1">
        <w:r w:rsidR="00345B07" w:rsidRPr="00B65757">
          <w:rPr>
            <w:rStyle w:val="Hyperlink"/>
            <w:rFonts w:ascii="Arial" w:hAnsi="Arial" w:cs="Arial"/>
          </w:rPr>
          <w:t>https://search.proquest.com/openview/cb6a75050a977e917d2bde0d91237f3c/1?pq-origsite=gscholar&amp;cbl=2035580</w:t>
        </w:r>
      </w:hyperlink>
    </w:p>
    <w:p w14:paraId="6709276D" w14:textId="675B28C9" w:rsidR="007A0E41" w:rsidRPr="00AB0BD3" w:rsidRDefault="003F75FD" w:rsidP="003F75FD">
      <w:pPr>
        <w:spacing w:before="240" w:line="360" w:lineRule="auto"/>
        <w:jc w:val="both"/>
        <w:rPr>
          <w:rFonts w:ascii="Arial" w:hAnsi="Arial" w:cs="Arial"/>
        </w:rPr>
      </w:pPr>
      <w:r w:rsidRPr="00AB0BD3">
        <w:rPr>
          <w:rFonts w:ascii="Arial" w:hAnsi="Arial" w:cs="Arial"/>
        </w:rPr>
        <w:t>Mikalef, P., Pappas, I.O., Krogstie, J. and Giannakos, M., (2018). Big data analytics capabilities: a systematic literature review and research agenda. </w:t>
      </w:r>
      <w:r w:rsidRPr="00AB0BD3">
        <w:rPr>
          <w:rFonts w:ascii="Arial" w:hAnsi="Arial" w:cs="Arial"/>
          <w:i/>
          <w:iCs/>
        </w:rPr>
        <w:t>Information systems and e-business management</w:t>
      </w:r>
      <w:r w:rsidRPr="00AB0BD3">
        <w:rPr>
          <w:rFonts w:ascii="Arial" w:hAnsi="Arial" w:cs="Arial"/>
        </w:rPr>
        <w:t>, </w:t>
      </w:r>
      <w:r w:rsidRPr="00AB0BD3">
        <w:rPr>
          <w:rFonts w:ascii="Arial" w:hAnsi="Arial" w:cs="Arial"/>
          <w:i/>
          <w:iCs/>
        </w:rPr>
        <w:t>16</w:t>
      </w:r>
      <w:r w:rsidRPr="00AB0BD3">
        <w:rPr>
          <w:rFonts w:ascii="Arial" w:hAnsi="Arial" w:cs="Arial"/>
        </w:rPr>
        <w:t xml:space="preserve">(3), pp.547-578. </w:t>
      </w:r>
      <w:hyperlink r:id="rId65" w:history="1">
        <w:r w:rsidRPr="00AB0BD3">
          <w:rPr>
            <w:rStyle w:val="Hyperlink"/>
            <w:rFonts w:ascii="Arial" w:hAnsi="Arial" w:cs="Arial"/>
          </w:rPr>
          <w:t>https://link.springer.com/article/10.1007/s10257-017-0362-y</w:t>
        </w:r>
      </w:hyperlink>
      <w:r w:rsidR="007A0E41" w:rsidRPr="00AB0BD3">
        <w:rPr>
          <w:rFonts w:ascii="Arial" w:hAnsi="Arial" w:cs="Arial"/>
        </w:rPr>
        <w:t xml:space="preserve">Mandal, S., Toshniwal, M., Arinaminpathy, N., Rade, K., Dewan, P., Rao, R. and Singh, U.B., </w:t>
      </w:r>
      <w:r w:rsidR="00BD2E7B" w:rsidRPr="00AB0BD3">
        <w:rPr>
          <w:rFonts w:ascii="Arial" w:hAnsi="Arial" w:cs="Arial"/>
        </w:rPr>
        <w:t>(</w:t>
      </w:r>
      <w:r w:rsidR="007A0E41" w:rsidRPr="00AB0BD3">
        <w:rPr>
          <w:rFonts w:ascii="Arial" w:hAnsi="Arial" w:cs="Arial"/>
        </w:rPr>
        <w:t>2025</w:t>
      </w:r>
      <w:r w:rsidR="00BD2E7B" w:rsidRPr="00AB0BD3">
        <w:rPr>
          <w:rFonts w:ascii="Arial" w:hAnsi="Arial" w:cs="Arial"/>
        </w:rPr>
        <w:t>)</w:t>
      </w:r>
      <w:r w:rsidR="007A0E41" w:rsidRPr="00AB0BD3">
        <w:rPr>
          <w:rFonts w:ascii="Arial" w:hAnsi="Arial" w:cs="Arial"/>
        </w:rPr>
        <w:t>. The potential of community-based radiographic screening to end TB in India. </w:t>
      </w:r>
      <w:r w:rsidR="007A0E41" w:rsidRPr="00AB0BD3">
        <w:rPr>
          <w:rFonts w:ascii="Arial" w:hAnsi="Arial" w:cs="Arial"/>
          <w:i/>
          <w:iCs/>
        </w:rPr>
        <w:t>PLOS Global Public Health</w:t>
      </w:r>
      <w:r w:rsidR="007A0E41" w:rsidRPr="00AB0BD3">
        <w:rPr>
          <w:rFonts w:ascii="Arial" w:hAnsi="Arial" w:cs="Arial"/>
        </w:rPr>
        <w:t>, </w:t>
      </w:r>
      <w:r w:rsidR="007A0E41" w:rsidRPr="00AB0BD3">
        <w:rPr>
          <w:rFonts w:ascii="Arial" w:hAnsi="Arial" w:cs="Arial"/>
          <w:i/>
          <w:iCs/>
        </w:rPr>
        <w:t>5</w:t>
      </w:r>
      <w:r w:rsidR="007A0E41" w:rsidRPr="00AB0BD3">
        <w:rPr>
          <w:rFonts w:ascii="Arial" w:hAnsi="Arial" w:cs="Arial"/>
        </w:rPr>
        <w:t xml:space="preserve">(6), p.e0004716. </w:t>
      </w:r>
      <w:hyperlink r:id="rId66" w:history="1">
        <w:r w:rsidR="007A0E41" w:rsidRPr="00AB0BD3">
          <w:rPr>
            <w:rStyle w:val="Hyperlink"/>
            <w:rFonts w:ascii="Arial" w:hAnsi="Arial" w:cs="Arial"/>
          </w:rPr>
          <w:t>https://journals.plos.org/globalpublichealth/article?id=10.1371/journal.pgph.0004716</w:t>
        </w:r>
      </w:hyperlink>
    </w:p>
    <w:p w14:paraId="169E1586" w14:textId="2AA553FC" w:rsidR="007C0DE6" w:rsidRPr="00AB0BD3" w:rsidRDefault="007C0DE6" w:rsidP="0046084C">
      <w:pPr>
        <w:spacing w:before="240" w:line="360" w:lineRule="auto"/>
        <w:jc w:val="both"/>
        <w:rPr>
          <w:rFonts w:ascii="Arial" w:hAnsi="Arial" w:cs="Arial"/>
        </w:rPr>
      </w:pPr>
      <w:r w:rsidRPr="00AB0BD3">
        <w:rPr>
          <w:rFonts w:ascii="Arial" w:hAnsi="Arial" w:cs="Arial"/>
        </w:rPr>
        <w:t xml:space="preserve">Modrá, H., Ulmann, V., Caha, J., Hübelová, D., Konečný, O., Svobodová, J., Weston, R.T. and Pavlík, I., </w:t>
      </w:r>
      <w:r w:rsidR="00BD2E7B" w:rsidRPr="00AB0BD3">
        <w:rPr>
          <w:rFonts w:ascii="Arial" w:hAnsi="Arial" w:cs="Arial"/>
        </w:rPr>
        <w:t>(</w:t>
      </w:r>
      <w:r w:rsidRPr="00AB0BD3">
        <w:rPr>
          <w:rFonts w:ascii="Arial" w:hAnsi="Arial" w:cs="Arial"/>
        </w:rPr>
        <w:t>2019</w:t>
      </w:r>
      <w:r w:rsidR="00BD2E7B" w:rsidRPr="00AB0BD3">
        <w:rPr>
          <w:rFonts w:ascii="Arial" w:hAnsi="Arial" w:cs="Arial"/>
        </w:rPr>
        <w:t>)</w:t>
      </w:r>
      <w:r w:rsidRPr="00AB0BD3">
        <w:rPr>
          <w:rFonts w:ascii="Arial" w:hAnsi="Arial" w:cs="Arial"/>
        </w:rPr>
        <w:t>. Socio-economic and environmental factors related to spatial differences in human non-tuberculous mycobacterial diseases in the Czech Republic. </w:t>
      </w:r>
      <w:r w:rsidRPr="00AB0BD3">
        <w:rPr>
          <w:rFonts w:ascii="Arial" w:hAnsi="Arial" w:cs="Arial"/>
          <w:i/>
          <w:iCs/>
        </w:rPr>
        <w:t>International Journal of Environmental Research and Public Health</w:t>
      </w:r>
      <w:r w:rsidRPr="00AB0BD3">
        <w:rPr>
          <w:rFonts w:ascii="Arial" w:hAnsi="Arial" w:cs="Arial"/>
        </w:rPr>
        <w:t>, </w:t>
      </w:r>
      <w:r w:rsidRPr="00AB0BD3">
        <w:rPr>
          <w:rFonts w:ascii="Arial" w:hAnsi="Arial" w:cs="Arial"/>
          <w:i/>
          <w:iCs/>
        </w:rPr>
        <w:t>16</w:t>
      </w:r>
      <w:r w:rsidRPr="00AB0BD3">
        <w:rPr>
          <w:rFonts w:ascii="Arial" w:hAnsi="Arial" w:cs="Arial"/>
        </w:rPr>
        <w:t xml:space="preserve">(20), p.3969. </w:t>
      </w:r>
      <w:hyperlink r:id="rId67" w:history="1">
        <w:r w:rsidRPr="00AB0BD3">
          <w:rPr>
            <w:rStyle w:val="Hyperlink"/>
            <w:rFonts w:ascii="Arial" w:hAnsi="Arial" w:cs="Arial"/>
          </w:rPr>
          <w:t>https://www.mdpi.com/1660-4601/16/20/3969</w:t>
        </w:r>
      </w:hyperlink>
    </w:p>
    <w:p w14:paraId="416C811C" w14:textId="726CAEFA" w:rsidR="007A0E41" w:rsidRPr="00AB0BD3" w:rsidRDefault="007A0E41" w:rsidP="0046084C">
      <w:pPr>
        <w:spacing w:before="240" w:line="360" w:lineRule="auto"/>
        <w:jc w:val="both"/>
        <w:rPr>
          <w:rFonts w:ascii="Arial" w:hAnsi="Arial" w:cs="Arial"/>
        </w:rPr>
      </w:pPr>
      <w:r w:rsidRPr="00AB0BD3">
        <w:rPr>
          <w:rFonts w:ascii="Arial" w:hAnsi="Arial" w:cs="Arial"/>
        </w:rPr>
        <w:lastRenderedPageBreak/>
        <w:t xml:space="preserve">Moonan, P.K., Nair, S.A., Agarwal, R., Chadha, V.K., Dewan, P.K., Gupta, U.D., Ho, C.S., Holtz, T.H., Kumar, A.M., Kumar, N. and Kumar, P., </w:t>
      </w:r>
      <w:r w:rsidR="00BD2E7B" w:rsidRPr="00AB0BD3">
        <w:rPr>
          <w:rFonts w:ascii="Arial" w:hAnsi="Arial" w:cs="Arial"/>
        </w:rPr>
        <w:t>(</w:t>
      </w:r>
      <w:r w:rsidRPr="00AB0BD3">
        <w:rPr>
          <w:rFonts w:ascii="Arial" w:hAnsi="Arial" w:cs="Arial"/>
        </w:rPr>
        <w:t>2018</w:t>
      </w:r>
      <w:r w:rsidR="00BD2E7B" w:rsidRPr="00AB0BD3">
        <w:rPr>
          <w:rFonts w:ascii="Arial" w:hAnsi="Arial" w:cs="Arial"/>
        </w:rPr>
        <w:t>)</w:t>
      </w:r>
      <w:r w:rsidRPr="00AB0BD3">
        <w:rPr>
          <w:rFonts w:ascii="Arial" w:hAnsi="Arial" w:cs="Arial"/>
        </w:rPr>
        <w:t>. Tuberculosis preventive treatment: the next chapter of tuberculosis elimination in India. </w:t>
      </w:r>
      <w:r w:rsidRPr="00AB0BD3">
        <w:rPr>
          <w:rFonts w:ascii="Arial" w:hAnsi="Arial" w:cs="Arial"/>
          <w:i/>
          <w:iCs/>
        </w:rPr>
        <w:t>BMJ global health</w:t>
      </w:r>
      <w:r w:rsidRPr="00AB0BD3">
        <w:rPr>
          <w:rFonts w:ascii="Arial" w:hAnsi="Arial" w:cs="Arial"/>
        </w:rPr>
        <w:t>, </w:t>
      </w:r>
      <w:r w:rsidRPr="00AB0BD3">
        <w:rPr>
          <w:rFonts w:ascii="Arial" w:hAnsi="Arial" w:cs="Arial"/>
          <w:i/>
          <w:iCs/>
        </w:rPr>
        <w:t>3</w:t>
      </w:r>
      <w:r w:rsidRPr="00AB0BD3">
        <w:rPr>
          <w:rFonts w:ascii="Arial" w:hAnsi="Arial" w:cs="Arial"/>
        </w:rPr>
        <w:t xml:space="preserve">(5), p.e001135. </w:t>
      </w:r>
      <w:hyperlink r:id="rId68" w:history="1">
        <w:r w:rsidRPr="00AB0BD3">
          <w:rPr>
            <w:rStyle w:val="Hyperlink"/>
            <w:rFonts w:ascii="Arial" w:hAnsi="Arial" w:cs="Arial"/>
          </w:rPr>
          <w:t>https://gh.bmj.com/content/3/5/e001135.abstract</w:t>
        </w:r>
      </w:hyperlink>
    </w:p>
    <w:p w14:paraId="020DF637" w14:textId="53366ABA" w:rsidR="000C0736" w:rsidRDefault="000C0736" w:rsidP="0046084C">
      <w:pPr>
        <w:spacing w:before="240" w:line="360" w:lineRule="auto"/>
        <w:jc w:val="both"/>
        <w:rPr>
          <w:rFonts w:ascii="Arial" w:hAnsi="Arial" w:cs="Arial"/>
        </w:rPr>
      </w:pPr>
      <w:r w:rsidRPr="000C0736">
        <w:rPr>
          <w:rFonts w:ascii="Arial" w:hAnsi="Arial" w:cs="Arial"/>
        </w:rPr>
        <w:t xml:space="preserve">Neelakantan, V., </w:t>
      </w:r>
      <w:r w:rsidR="00066F06">
        <w:rPr>
          <w:rFonts w:ascii="Arial" w:hAnsi="Arial" w:cs="Arial"/>
        </w:rPr>
        <w:t>(</w:t>
      </w:r>
      <w:r w:rsidRPr="000C0736">
        <w:rPr>
          <w:rFonts w:ascii="Arial" w:hAnsi="Arial" w:cs="Arial"/>
        </w:rPr>
        <w:t>2018</w:t>
      </w:r>
      <w:r w:rsidR="00066F06">
        <w:rPr>
          <w:rFonts w:ascii="Arial" w:hAnsi="Arial" w:cs="Arial"/>
        </w:rPr>
        <w:t>)</w:t>
      </w:r>
      <w:r w:rsidRPr="000C0736">
        <w:rPr>
          <w:rFonts w:ascii="Arial" w:hAnsi="Arial" w:cs="Arial"/>
        </w:rPr>
        <w:t>. Tuberculosis control in postcolonial South India and Southeast Asia: Fractured sovereignties in international health, 1948-1960. </w:t>
      </w:r>
      <w:r w:rsidRPr="000C0736">
        <w:rPr>
          <w:rFonts w:ascii="Arial" w:hAnsi="Arial" w:cs="Arial"/>
          <w:i/>
          <w:iCs/>
        </w:rPr>
        <w:t>Wellcome Open Research</w:t>
      </w:r>
      <w:r w:rsidRPr="000C0736">
        <w:rPr>
          <w:rFonts w:ascii="Arial" w:hAnsi="Arial" w:cs="Arial"/>
        </w:rPr>
        <w:t>, </w:t>
      </w:r>
      <w:r w:rsidRPr="000C0736">
        <w:rPr>
          <w:rFonts w:ascii="Arial" w:hAnsi="Arial" w:cs="Arial"/>
          <w:i/>
          <w:iCs/>
        </w:rPr>
        <w:t>2</w:t>
      </w:r>
      <w:r w:rsidRPr="000C0736">
        <w:rPr>
          <w:rFonts w:ascii="Arial" w:hAnsi="Arial" w:cs="Arial"/>
        </w:rPr>
        <w:t>, p.4.</w:t>
      </w:r>
      <w:r>
        <w:rPr>
          <w:rFonts w:ascii="Arial" w:hAnsi="Arial" w:cs="Arial"/>
        </w:rPr>
        <w:t xml:space="preserve"> </w:t>
      </w:r>
      <w:hyperlink r:id="rId69" w:history="1">
        <w:r w:rsidRPr="001B69CC">
          <w:rPr>
            <w:rStyle w:val="Hyperlink"/>
            <w:rFonts w:ascii="Arial" w:hAnsi="Arial" w:cs="Arial"/>
          </w:rPr>
          <w:t>https://pmc.ncbi.nlm.nih.gov/articles/PMC5920540/</w:t>
        </w:r>
      </w:hyperlink>
    </w:p>
    <w:p w14:paraId="2738E780" w14:textId="64F765EC" w:rsidR="006A370E" w:rsidRPr="00AB0BD3" w:rsidRDefault="006A370E" w:rsidP="0046084C">
      <w:pPr>
        <w:spacing w:before="240" w:line="360" w:lineRule="auto"/>
        <w:jc w:val="both"/>
        <w:rPr>
          <w:rFonts w:ascii="Arial" w:hAnsi="Arial" w:cs="Arial"/>
        </w:rPr>
      </w:pPr>
      <w:r w:rsidRPr="00AB0BD3">
        <w:rPr>
          <w:rFonts w:ascii="Arial" w:hAnsi="Arial" w:cs="Arial"/>
        </w:rPr>
        <w:t xml:space="preserve">Ngandjon, J.K., Laengler, A. and Ostermann, T., </w:t>
      </w:r>
      <w:r w:rsidR="00BD2E7B" w:rsidRPr="00AB0BD3">
        <w:rPr>
          <w:rFonts w:ascii="Arial" w:hAnsi="Arial" w:cs="Arial"/>
        </w:rPr>
        <w:t>(</w:t>
      </w:r>
      <w:r w:rsidRPr="00AB0BD3">
        <w:rPr>
          <w:rFonts w:ascii="Arial" w:hAnsi="Arial" w:cs="Arial"/>
        </w:rPr>
        <w:t>2020</w:t>
      </w:r>
      <w:r w:rsidR="00BD2E7B" w:rsidRPr="00AB0BD3">
        <w:rPr>
          <w:rFonts w:ascii="Arial" w:hAnsi="Arial" w:cs="Arial"/>
        </w:rPr>
        <w:t>)</w:t>
      </w:r>
      <w:r w:rsidRPr="00AB0BD3">
        <w:rPr>
          <w:rFonts w:ascii="Arial" w:hAnsi="Arial" w:cs="Arial"/>
        </w:rPr>
        <w:t>. </w:t>
      </w:r>
      <w:r w:rsidRPr="00AB0BD3">
        <w:rPr>
          <w:rFonts w:ascii="Arial" w:hAnsi="Arial" w:cs="Arial"/>
          <w:i/>
          <w:iCs/>
        </w:rPr>
        <w:t>Community-based Programs for Childhood Immunization and Prevention of Childhood Diseases: Sustainable Support in Mothers’ Decision-Making—A Health Belief Model Approach</w:t>
      </w:r>
      <w:r w:rsidRPr="00AB0BD3">
        <w:rPr>
          <w:rFonts w:ascii="Arial" w:hAnsi="Arial" w:cs="Arial"/>
        </w:rPr>
        <w:t xml:space="preserve"> [online] </w:t>
      </w:r>
      <w:hyperlink r:id="rId70" w:history="1">
        <w:r w:rsidRPr="00AB0BD3">
          <w:rPr>
            <w:rStyle w:val="Hyperlink"/>
            <w:rFonts w:ascii="Arial" w:hAnsi="Arial" w:cs="Arial"/>
          </w:rPr>
          <w:t>https://pdfs.semanticscholar.org/5ae2/0df5a115861b0fa29a670a57909b2e7dd102.pdf</w:t>
        </w:r>
      </w:hyperlink>
    </w:p>
    <w:p w14:paraId="75BD3674" w14:textId="77777777" w:rsidR="003F75FD" w:rsidRPr="00AB0BD3" w:rsidRDefault="003F75FD" w:rsidP="003F75FD">
      <w:pPr>
        <w:spacing w:before="240" w:line="360" w:lineRule="auto"/>
        <w:jc w:val="both"/>
        <w:rPr>
          <w:rFonts w:ascii="Arial" w:hAnsi="Arial" w:cs="Arial"/>
        </w:rPr>
      </w:pPr>
      <w:r w:rsidRPr="00AB0BD3">
        <w:rPr>
          <w:rFonts w:ascii="Arial" w:hAnsi="Arial" w:cs="Arial"/>
        </w:rPr>
        <w:t>Niaz, S., Salam, T. and Nazir, S., (2023). Statistical methods in computer science: A comparative review of inductive and deductive approaches. </w:t>
      </w:r>
      <w:r w:rsidRPr="00AB0BD3">
        <w:rPr>
          <w:rFonts w:ascii="Arial" w:hAnsi="Arial" w:cs="Arial"/>
          <w:i/>
          <w:iCs/>
        </w:rPr>
        <w:t>VAWKUM Transactions on Computer Sciences</w:t>
      </w:r>
      <w:r w:rsidRPr="00AB0BD3">
        <w:rPr>
          <w:rFonts w:ascii="Arial" w:hAnsi="Arial" w:cs="Arial"/>
        </w:rPr>
        <w:t>, </w:t>
      </w:r>
      <w:r w:rsidRPr="00AB0BD3">
        <w:rPr>
          <w:rFonts w:ascii="Arial" w:hAnsi="Arial" w:cs="Arial"/>
          <w:i/>
          <w:iCs/>
        </w:rPr>
        <w:t>11</w:t>
      </w:r>
      <w:r w:rsidRPr="00AB0BD3">
        <w:rPr>
          <w:rFonts w:ascii="Arial" w:hAnsi="Arial" w:cs="Arial"/>
        </w:rPr>
        <w:t xml:space="preserve">(1), pp.204-216. </w:t>
      </w:r>
      <w:hyperlink r:id="rId71" w:history="1">
        <w:r w:rsidRPr="00AB0BD3">
          <w:rPr>
            <w:rStyle w:val="Hyperlink"/>
            <w:rFonts w:ascii="Arial" w:hAnsi="Arial" w:cs="Arial"/>
          </w:rPr>
          <w:t>https://www.vfast.org/journals/index.php/VTCS/article/view/1407</w:t>
        </w:r>
      </w:hyperlink>
    </w:p>
    <w:p w14:paraId="4A90C09D" w14:textId="2915B6CD" w:rsidR="001377BA" w:rsidRPr="00AB0BD3" w:rsidRDefault="001377BA" w:rsidP="0046084C">
      <w:pPr>
        <w:spacing w:before="240" w:line="360" w:lineRule="auto"/>
        <w:jc w:val="both"/>
        <w:rPr>
          <w:rFonts w:ascii="Arial" w:hAnsi="Arial" w:cs="Arial"/>
        </w:rPr>
      </w:pPr>
      <w:r w:rsidRPr="00AB0BD3">
        <w:rPr>
          <w:rFonts w:ascii="Arial" w:hAnsi="Arial" w:cs="Arial"/>
        </w:rPr>
        <w:t xml:space="preserve">Nordholm, A.C., Andersen, A.B., Wejse, C., Norman, A., Ekstrøm, C.T., Andersen, P.H., Lillebaek, T. and Koch, A., </w:t>
      </w:r>
      <w:r w:rsidR="00BD2E7B" w:rsidRPr="00AB0BD3">
        <w:rPr>
          <w:rFonts w:ascii="Arial" w:hAnsi="Arial" w:cs="Arial"/>
        </w:rPr>
        <w:t>(</w:t>
      </w:r>
      <w:r w:rsidRPr="00AB0BD3">
        <w:rPr>
          <w:rFonts w:ascii="Arial" w:hAnsi="Arial" w:cs="Arial"/>
        </w:rPr>
        <w:t>2023</w:t>
      </w:r>
      <w:r w:rsidR="00BD2E7B" w:rsidRPr="00AB0BD3">
        <w:rPr>
          <w:rFonts w:ascii="Arial" w:hAnsi="Arial" w:cs="Arial"/>
        </w:rPr>
        <w:t>)</w:t>
      </w:r>
      <w:r w:rsidRPr="00AB0BD3">
        <w:rPr>
          <w:rFonts w:ascii="Arial" w:hAnsi="Arial" w:cs="Arial"/>
        </w:rPr>
        <w:t>. Mortality, risk factors, and causes of death among people with tuberculosis in Denmark, 1990-2018. </w:t>
      </w:r>
      <w:r w:rsidRPr="00AB0BD3">
        <w:rPr>
          <w:rFonts w:ascii="Arial" w:hAnsi="Arial" w:cs="Arial"/>
          <w:i/>
          <w:iCs/>
        </w:rPr>
        <w:t>International Journal of Infectious Diseases</w:t>
      </w:r>
      <w:r w:rsidRPr="00AB0BD3">
        <w:rPr>
          <w:rFonts w:ascii="Arial" w:hAnsi="Arial" w:cs="Arial"/>
        </w:rPr>
        <w:t>, </w:t>
      </w:r>
      <w:r w:rsidRPr="00AB0BD3">
        <w:rPr>
          <w:rFonts w:ascii="Arial" w:hAnsi="Arial" w:cs="Arial"/>
          <w:i/>
          <w:iCs/>
        </w:rPr>
        <w:t>130</w:t>
      </w:r>
      <w:r w:rsidRPr="00AB0BD3">
        <w:rPr>
          <w:rFonts w:ascii="Arial" w:hAnsi="Arial" w:cs="Arial"/>
        </w:rPr>
        <w:t xml:space="preserve">, pp.76-82. </w:t>
      </w:r>
      <w:hyperlink r:id="rId72" w:history="1">
        <w:r w:rsidRPr="00AB0BD3">
          <w:rPr>
            <w:rStyle w:val="Hyperlink"/>
            <w:rFonts w:ascii="Arial" w:hAnsi="Arial" w:cs="Arial"/>
          </w:rPr>
          <w:t>https://www.sciencedirect.com/science/article/pii/S1201971223000735</w:t>
        </w:r>
      </w:hyperlink>
    </w:p>
    <w:p w14:paraId="261AB464" w14:textId="77777777" w:rsidR="002E018A" w:rsidRPr="00AB0BD3" w:rsidRDefault="002E018A" w:rsidP="002E018A">
      <w:pPr>
        <w:spacing w:before="240" w:line="360" w:lineRule="auto"/>
        <w:jc w:val="both"/>
        <w:rPr>
          <w:rFonts w:ascii="Arial" w:hAnsi="Arial" w:cs="Arial"/>
        </w:rPr>
      </w:pPr>
      <w:r w:rsidRPr="00AB0BD3">
        <w:rPr>
          <w:rFonts w:ascii="Arial" w:hAnsi="Arial" w:cs="Arial"/>
        </w:rPr>
        <w:t>Ong, C.W.M., Migliori, G.B., Raviglione, M., MacGregor-Skinner, G., Sotgiu, G., Alffenaar, J.W., Tiberi, S., Adlhoch, C., Alonzi, T., Archuleta, S. and Brusin, S., (2020). Epidemic and pandemic viral infections: impact on tuberculosis and the lung: A consensus by the World Association for Infectious Diseases and Immunological Disorders (WAidid), Global Tuberculosis Network (GTN), and members of the European Society of Clinical Microbiology and Infectious Diseases Study Group for Mycobacterial Infections (ESGMYC). </w:t>
      </w:r>
      <w:r w:rsidRPr="00AB0BD3">
        <w:rPr>
          <w:rFonts w:ascii="Arial" w:hAnsi="Arial" w:cs="Arial"/>
          <w:i/>
          <w:iCs/>
        </w:rPr>
        <w:t>European Respiratory Journal</w:t>
      </w:r>
      <w:r w:rsidRPr="00AB0BD3">
        <w:rPr>
          <w:rFonts w:ascii="Arial" w:hAnsi="Arial" w:cs="Arial"/>
        </w:rPr>
        <w:t>, </w:t>
      </w:r>
      <w:r w:rsidRPr="00AB0BD3">
        <w:rPr>
          <w:rFonts w:ascii="Arial" w:hAnsi="Arial" w:cs="Arial"/>
          <w:i/>
          <w:iCs/>
        </w:rPr>
        <w:t>56</w:t>
      </w:r>
      <w:r w:rsidRPr="00AB0BD3">
        <w:rPr>
          <w:rFonts w:ascii="Arial" w:hAnsi="Arial" w:cs="Arial"/>
        </w:rPr>
        <w:t xml:space="preserve">(4). </w:t>
      </w:r>
      <w:hyperlink r:id="rId73" w:history="1">
        <w:r w:rsidRPr="00AB0BD3">
          <w:rPr>
            <w:rStyle w:val="Hyperlink"/>
            <w:rFonts w:ascii="Arial" w:hAnsi="Arial" w:cs="Arial"/>
          </w:rPr>
          <w:t>https://publications.ersnet.org/content/erj/56/4/2001727.abstract</w:t>
        </w:r>
      </w:hyperlink>
    </w:p>
    <w:p w14:paraId="6ED8F93D" w14:textId="1FC8953F" w:rsidR="00DD5ADC" w:rsidRDefault="00DD5ADC" w:rsidP="00DD5ADC">
      <w:pPr>
        <w:spacing w:line="360" w:lineRule="auto"/>
        <w:jc w:val="both"/>
        <w:rPr>
          <w:rFonts w:ascii="Arial" w:hAnsi="Arial" w:cs="Arial"/>
        </w:rPr>
      </w:pPr>
      <w:r w:rsidRPr="001D37FF">
        <w:rPr>
          <w:rFonts w:ascii="Arial" w:hAnsi="Arial" w:cs="Arial"/>
        </w:rPr>
        <w:lastRenderedPageBreak/>
        <w:t xml:space="preserve">Osborne, A., Wongnaah, F.G., Bangura, C. and Ahinkorah, B.O., </w:t>
      </w:r>
      <w:r w:rsidR="00066F06">
        <w:rPr>
          <w:rFonts w:ascii="Arial" w:hAnsi="Arial" w:cs="Arial"/>
        </w:rPr>
        <w:t>(</w:t>
      </w:r>
      <w:r w:rsidRPr="001D37FF">
        <w:rPr>
          <w:rFonts w:ascii="Arial" w:hAnsi="Arial" w:cs="Arial"/>
        </w:rPr>
        <w:t>2024</w:t>
      </w:r>
      <w:r w:rsidR="00066F06">
        <w:rPr>
          <w:rFonts w:ascii="Arial" w:hAnsi="Arial" w:cs="Arial"/>
        </w:rPr>
        <w:t>)</w:t>
      </w:r>
      <w:r w:rsidRPr="001D37FF">
        <w:rPr>
          <w:rFonts w:ascii="Arial" w:hAnsi="Arial" w:cs="Arial"/>
        </w:rPr>
        <w:t>. Trends and inequalities in BCG immunisation coverage among one-year-olds in Sierra Leone, 2008–2019. </w:t>
      </w:r>
      <w:r w:rsidRPr="001D37FF">
        <w:rPr>
          <w:rFonts w:ascii="Arial" w:hAnsi="Arial" w:cs="Arial"/>
          <w:i/>
          <w:iCs/>
        </w:rPr>
        <w:t>BMC Public Health</w:t>
      </w:r>
      <w:r w:rsidRPr="001D37FF">
        <w:rPr>
          <w:rFonts w:ascii="Arial" w:hAnsi="Arial" w:cs="Arial"/>
        </w:rPr>
        <w:t>, </w:t>
      </w:r>
      <w:r w:rsidRPr="001D37FF">
        <w:rPr>
          <w:rFonts w:ascii="Arial" w:hAnsi="Arial" w:cs="Arial"/>
          <w:i/>
          <w:iCs/>
        </w:rPr>
        <w:t>24</w:t>
      </w:r>
      <w:r w:rsidRPr="001D37FF">
        <w:rPr>
          <w:rFonts w:ascii="Arial" w:hAnsi="Arial" w:cs="Arial"/>
        </w:rPr>
        <w:t>(1), p.3342.</w:t>
      </w:r>
      <w:r>
        <w:rPr>
          <w:rFonts w:ascii="Arial" w:hAnsi="Arial" w:cs="Arial"/>
        </w:rPr>
        <w:t xml:space="preserve"> </w:t>
      </w:r>
      <w:hyperlink r:id="rId74" w:history="1">
        <w:r w:rsidRPr="00B65757">
          <w:rPr>
            <w:rStyle w:val="Hyperlink"/>
            <w:rFonts w:ascii="Arial" w:hAnsi="Arial" w:cs="Arial"/>
          </w:rPr>
          <w:t>https://link.springer.com/article/10.1186/s12889-024-20560-3</w:t>
        </w:r>
      </w:hyperlink>
    </w:p>
    <w:p w14:paraId="69872064" w14:textId="77777777" w:rsidR="002E018A" w:rsidRPr="00AB0BD3" w:rsidRDefault="002E018A" w:rsidP="002E018A">
      <w:pPr>
        <w:spacing w:before="240" w:line="360" w:lineRule="auto"/>
        <w:jc w:val="both"/>
        <w:rPr>
          <w:rFonts w:ascii="Arial" w:hAnsi="Arial" w:cs="Arial"/>
        </w:rPr>
      </w:pPr>
      <w:r w:rsidRPr="00AB0BD3">
        <w:rPr>
          <w:rFonts w:ascii="Arial" w:hAnsi="Arial" w:cs="Arial"/>
        </w:rPr>
        <w:t>Padhi, A., Agarwal, A., Bhise, M., Chaudhary, A., Joshi, K. and Katoch, C.D.S., (2024). Progress and challenges in achieving tuberculosis elimination in India by 2025: A systematic review and meta-analysis. </w:t>
      </w:r>
      <w:r w:rsidRPr="00AB0BD3">
        <w:rPr>
          <w:rFonts w:ascii="Arial" w:hAnsi="Arial" w:cs="Arial"/>
          <w:i/>
          <w:iCs/>
        </w:rPr>
        <w:t>Plos one</w:t>
      </w:r>
      <w:r w:rsidRPr="00AB0BD3">
        <w:rPr>
          <w:rFonts w:ascii="Arial" w:hAnsi="Arial" w:cs="Arial"/>
        </w:rPr>
        <w:t>, </w:t>
      </w:r>
      <w:r w:rsidRPr="00AB0BD3">
        <w:rPr>
          <w:rFonts w:ascii="Arial" w:hAnsi="Arial" w:cs="Arial"/>
          <w:i/>
          <w:iCs/>
        </w:rPr>
        <w:t>19</w:t>
      </w:r>
      <w:r w:rsidRPr="00AB0BD3">
        <w:rPr>
          <w:rFonts w:ascii="Arial" w:hAnsi="Arial" w:cs="Arial"/>
        </w:rPr>
        <w:t xml:space="preserve">(3), p.e0301060. </w:t>
      </w:r>
      <w:hyperlink r:id="rId75" w:history="1">
        <w:r w:rsidRPr="00AB0BD3">
          <w:rPr>
            <w:rStyle w:val="Hyperlink"/>
            <w:rFonts w:ascii="Arial" w:hAnsi="Arial" w:cs="Arial"/>
          </w:rPr>
          <w:t>https://journals.plos.org/plosone/article?id=10.1371/journal.pone.0301060</w:t>
        </w:r>
      </w:hyperlink>
    </w:p>
    <w:p w14:paraId="7FF281C7" w14:textId="77777777" w:rsidR="002E018A" w:rsidRPr="00AB0BD3" w:rsidRDefault="002E018A" w:rsidP="002E018A">
      <w:pPr>
        <w:spacing w:before="240" w:line="360" w:lineRule="auto"/>
        <w:jc w:val="both"/>
        <w:rPr>
          <w:rFonts w:ascii="Arial" w:hAnsi="Arial" w:cs="Arial"/>
        </w:rPr>
      </w:pPr>
      <w:r w:rsidRPr="00AB0BD3">
        <w:rPr>
          <w:rFonts w:ascii="Arial" w:hAnsi="Arial" w:cs="Arial"/>
        </w:rPr>
        <w:t>Panda, S., (2023). Tuberculosis: National survey in India &amp; elimination challenges reflected through global learning. </w:t>
      </w:r>
      <w:r w:rsidRPr="00AB0BD3">
        <w:rPr>
          <w:rFonts w:ascii="Arial" w:hAnsi="Arial" w:cs="Arial"/>
          <w:i/>
          <w:iCs/>
        </w:rPr>
        <w:t>Indian Journal of Medical Research</w:t>
      </w:r>
      <w:r w:rsidRPr="00AB0BD3">
        <w:rPr>
          <w:rFonts w:ascii="Arial" w:hAnsi="Arial" w:cs="Arial"/>
        </w:rPr>
        <w:t>, </w:t>
      </w:r>
      <w:r w:rsidRPr="00AB0BD3">
        <w:rPr>
          <w:rFonts w:ascii="Arial" w:hAnsi="Arial" w:cs="Arial"/>
          <w:i/>
          <w:iCs/>
        </w:rPr>
        <w:t>157</w:t>
      </w:r>
      <w:r w:rsidRPr="00AB0BD3">
        <w:rPr>
          <w:rFonts w:ascii="Arial" w:hAnsi="Arial" w:cs="Arial"/>
        </w:rPr>
        <w:t xml:space="preserve">(2&amp;3), pp.111-113. </w:t>
      </w:r>
      <w:hyperlink r:id="rId76" w:history="1">
        <w:r w:rsidRPr="00AB0BD3">
          <w:rPr>
            <w:rStyle w:val="Hyperlink"/>
            <w:rFonts w:ascii="Arial" w:hAnsi="Arial" w:cs="Arial"/>
          </w:rPr>
          <w:t>https://journals.lww.com/ijmr/fulltext/2023/02000/tuberculosis__national_survey_in_india__.1.aspx</w:t>
        </w:r>
      </w:hyperlink>
    </w:p>
    <w:p w14:paraId="1B5AC4E4" w14:textId="03DAAC0F" w:rsidR="00834189" w:rsidRPr="00AB0BD3" w:rsidRDefault="00834189" w:rsidP="0046084C">
      <w:pPr>
        <w:spacing w:before="240" w:line="360" w:lineRule="auto"/>
        <w:jc w:val="both"/>
        <w:rPr>
          <w:rFonts w:ascii="Arial" w:hAnsi="Arial" w:cs="Arial"/>
        </w:rPr>
      </w:pPr>
      <w:r w:rsidRPr="00AB0BD3">
        <w:rPr>
          <w:rFonts w:ascii="Arial" w:hAnsi="Arial" w:cs="Arial"/>
        </w:rPr>
        <w:t xml:space="preserve">Pedrazzoli, D., Boccia, D., Dodd, P.J., Lönnroth, K., Dowdy, D.W., Siroka, A., Kimerling, M.E., White, R.G. and Houben, R.M.G.J., </w:t>
      </w:r>
      <w:r w:rsidR="00BD2E7B" w:rsidRPr="00AB0BD3">
        <w:rPr>
          <w:rFonts w:ascii="Arial" w:hAnsi="Arial" w:cs="Arial"/>
        </w:rPr>
        <w:t>(</w:t>
      </w:r>
      <w:r w:rsidRPr="00AB0BD3">
        <w:rPr>
          <w:rFonts w:ascii="Arial" w:hAnsi="Arial" w:cs="Arial"/>
        </w:rPr>
        <w:t>2017</w:t>
      </w:r>
      <w:r w:rsidR="00BD2E7B" w:rsidRPr="00AB0BD3">
        <w:rPr>
          <w:rFonts w:ascii="Arial" w:hAnsi="Arial" w:cs="Arial"/>
        </w:rPr>
        <w:t>)</w:t>
      </w:r>
      <w:r w:rsidRPr="00AB0BD3">
        <w:rPr>
          <w:rFonts w:ascii="Arial" w:hAnsi="Arial" w:cs="Arial"/>
        </w:rPr>
        <w:t>. Modelling the social and structural determinants of tuberculosis: opportunities and challenges. </w:t>
      </w:r>
      <w:r w:rsidRPr="00AB0BD3">
        <w:rPr>
          <w:rFonts w:ascii="Arial" w:hAnsi="Arial" w:cs="Arial"/>
          <w:i/>
          <w:iCs/>
        </w:rPr>
        <w:t>The international journal of tuberculosis and lung disease</w:t>
      </w:r>
      <w:r w:rsidRPr="00AB0BD3">
        <w:rPr>
          <w:rFonts w:ascii="Arial" w:hAnsi="Arial" w:cs="Arial"/>
        </w:rPr>
        <w:t>, </w:t>
      </w:r>
      <w:r w:rsidRPr="00AB0BD3">
        <w:rPr>
          <w:rFonts w:ascii="Arial" w:hAnsi="Arial" w:cs="Arial"/>
          <w:i/>
          <w:iCs/>
        </w:rPr>
        <w:t>21</w:t>
      </w:r>
      <w:r w:rsidRPr="00AB0BD3">
        <w:rPr>
          <w:rFonts w:ascii="Arial" w:hAnsi="Arial" w:cs="Arial"/>
        </w:rPr>
        <w:t xml:space="preserve">(9), pp.957-964. </w:t>
      </w:r>
      <w:hyperlink r:id="rId77" w:history="1">
        <w:r w:rsidRPr="00AB0BD3">
          <w:rPr>
            <w:rStyle w:val="Hyperlink"/>
            <w:rFonts w:ascii="Arial" w:hAnsi="Arial" w:cs="Arial"/>
          </w:rPr>
          <w:t>https://www.ingentaconnect.com/content/iuatld/ijtld/2017/00000021/00000009/art00005</w:t>
        </w:r>
      </w:hyperlink>
    </w:p>
    <w:p w14:paraId="2999BC1F" w14:textId="7384E846" w:rsidR="002202D1" w:rsidRPr="00AB0BD3" w:rsidRDefault="002202D1" w:rsidP="0046084C">
      <w:pPr>
        <w:spacing w:before="240" w:line="360" w:lineRule="auto"/>
        <w:jc w:val="both"/>
        <w:rPr>
          <w:rFonts w:ascii="Arial" w:hAnsi="Arial" w:cs="Arial"/>
        </w:rPr>
      </w:pPr>
      <w:r w:rsidRPr="00AB0BD3">
        <w:rPr>
          <w:rFonts w:ascii="Arial" w:hAnsi="Arial" w:cs="Arial"/>
        </w:rPr>
        <w:t xml:space="preserve">Pai, M., Behr, M.A., Divangahi, M., Menzies, D., Dowdy, D., Dheda, K., Boehme, C.C., Ginsberg, A., Swaminathan, S., Spigelman, M. and Getahun, H., </w:t>
      </w:r>
      <w:r w:rsidR="00BD2E7B" w:rsidRPr="00AB0BD3">
        <w:rPr>
          <w:rFonts w:ascii="Arial" w:hAnsi="Arial" w:cs="Arial"/>
        </w:rPr>
        <w:t>(</w:t>
      </w:r>
      <w:r w:rsidRPr="00AB0BD3">
        <w:rPr>
          <w:rFonts w:ascii="Arial" w:hAnsi="Arial" w:cs="Arial"/>
        </w:rPr>
        <w:t>2016</w:t>
      </w:r>
      <w:r w:rsidR="00BD2E7B" w:rsidRPr="00AB0BD3">
        <w:rPr>
          <w:rFonts w:ascii="Arial" w:hAnsi="Arial" w:cs="Arial"/>
        </w:rPr>
        <w:t>)</w:t>
      </w:r>
      <w:r w:rsidRPr="00AB0BD3">
        <w:rPr>
          <w:rFonts w:ascii="Arial" w:hAnsi="Arial" w:cs="Arial"/>
        </w:rPr>
        <w:t>. Tuberculosis. </w:t>
      </w:r>
      <w:r w:rsidRPr="00AB0BD3">
        <w:rPr>
          <w:rFonts w:ascii="Arial" w:hAnsi="Arial" w:cs="Arial"/>
          <w:i/>
          <w:iCs/>
        </w:rPr>
        <w:t>Nature reviews. Disease primers</w:t>
      </w:r>
      <w:r w:rsidRPr="00AB0BD3">
        <w:rPr>
          <w:rFonts w:ascii="Arial" w:hAnsi="Arial" w:cs="Arial"/>
        </w:rPr>
        <w:t>, </w:t>
      </w:r>
      <w:r w:rsidRPr="00AB0BD3">
        <w:rPr>
          <w:rFonts w:ascii="Arial" w:hAnsi="Arial" w:cs="Arial"/>
          <w:i/>
          <w:iCs/>
        </w:rPr>
        <w:t>2</w:t>
      </w:r>
      <w:r w:rsidRPr="00AB0BD3">
        <w:rPr>
          <w:rFonts w:ascii="Arial" w:hAnsi="Arial" w:cs="Arial"/>
        </w:rPr>
        <w:t xml:space="preserve">, pp.16076-16076. </w:t>
      </w:r>
      <w:hyperlink r:id="rId78" w:history="1">
        <w:r w:rsidRPr="00AB0BD3">
          <w:rPr>
            <w:rStyle w:val="Hyperlink"/>
            <w:rFonts w:ascii="Arial" w:hAnsi="Arial" w:cs="Arial"/>
          </w:rPr>
          <w:t>https://elibrary.ru/item.asp?id=28275212</w:t>
        </w:r>
      </w:hyperlink>
    </w:p>
    <w:p w14:paraId="4A7DC647" w14:textId="71A84AB2" w:rsidR="000C0736" w:rsidRDefault="000C0736" w:rsidP="0046084C">
      <w:pPr>
        <w:spacing w:before="240" w:line="360" w:lineRule="auto"/>
        <w:jc w:val="both"/>
        <w:rPr>
          <w:rFonts w:ascii="Arial" w:hAnsi="Arial" w:cs="Arial"/>
        </w:rPr>
      </w:pPr>
      <w:r w:rsidRPr="000C0736">
        <w:rPr>
          <w:rFonts w:ascii="Arial" w:hAnsi="Arial" w:cs="Arial"/>
        </w:rPr>
        <w:t xml:space="preserve">Patel, S. and Vyas, S., </w:t>
      </w:r>
      <w:r w:rsidR="00066F06">
        <w:rPr>
          <w:rFonts w:ascii="Arial" w:hAnsi="Arial" w:cs="Arial"/>
        </w:rPr>
        <w:t>(</w:t>
      </w:r>
      <w:r w:rsidRPr="000C0736">
        <w:rPr>
          <w:rFonts w:ascii="Arial" w:hAnsi="Arial" w:cs="Arial"/>
        </w:rPr>
        <w:t>2018</w:t>
      </w:r>
      <w:r w:rsidR="00066F06">
        <w:rPr>
          <w:rFonts w:ascii="Arial" w:hAnsi="Arial" w:cs="Arial"/>
        </w:rPr>
        <w:t>)</w:t>
      </w:r>
      <w:r w:rsidRPr="000C0736">
        <w:rPr>
          <w:rFonts w:ascii="Arial" w:hAnsi="Arial" w:cs="Arial"/>
        </w:rPr>
        <w:t>. Innovative methods to overcome barriers and improve immunization coverage: a comparative study in two wards of Ahmedabad city. </w:t>
      </w:r>
      <w:r w:rsidRPr="000C0736">
        <w:rPr>
          <w:rFonts w:ascii="Arial" w:hAnsi="Arial" w:cs="Arial"/>
          <w:i/>
          <w:iCs/>
        </w:rPr>
        <w:t>Healthline Journal</w:t>
      </w:r>
      <w:r w:rsidRPr="000C0736">
        <w:rPr>
          <w:rFonts w:ascii="Arial" w:hAnsi="Arial" w:cs="Arial"/>
        </w:rPr>
        <w:t>, </w:t>
      </w:r>
      <w:r w:rsidRPr="000C0736">
        <w:rPr>
          <w:rFonts w:ascii="Arial" w:hAnsi="Arial" w:cs="Arial"/>
          <w:i/>
          <w:iCs/>
        </w:rPr>
        <w:t>9</w:t>
      </w:r>
      <w:r w:rsidRPr="000C0736">
        <w:rPr>
          <w:rFonts w:ascii="Arial" w:hAnsi="Arial" w:cs="Arial"/>
        </w:rPr>
        <w:t>(2), pp.52-8.</w:t>
      </w:r>
      <w:r>
        <w:rPr>
          <w:rFonts w:ascii="Arial" w:hAnsi="Arial" w:cs="Arial"/>
        </w:rPr>
        <w:t xml:space="preserve"> </w:t>
      </w:r>
      <w:hyperlink r:id="rId79" w:history="1">
        <w:r w:rsidRPr="001B69CC">
          <w:rPr>
            <w:rStyle w:val="Hyperlink"/>
            <w:rFonts w:ascii="Arial" w:hAnsi="Arial" w:cs="Arial"/>
          </w:rPr>
          <w:t>https://www.healthlinejournal.org/index_pdf/269.pdf</w:t>
        </w:r>
      </w:hyperlink>
    </w:p>
    <w:p w14:paraId="747FFB1D" w14:textId="38595AD7" w:rsidR="000C0736" w:rsidRDefault="000C0736" w:rsidP="0046084C">
      <w:pPr>
        <w:spacing w:before="240" w:line="360" w:lineRule="auto"/>
        <w:jc w:val="both"/>
        <w:rPr>
          <w:rFonts w:ascii="Arial" w:hAnsi="Arial" w:cs="Arial"/>
        </w:rPr>
      </w:pPr>
      <w:r w:rsidRPr="000C0736">
        <w:rPr>
          <w:rFonts w:ascii="Arial" w:hAnsi="Arial" w:cs="Arial"/>
        </w:rPr>
        <w:t xml:space="preserve">Pelzer, P.T., Seeley, J., Sun, F.Y., Tameris, M., Tao, L., Yanlin, Z., Moosan, H., Weerasuriya, C., Asaria, M., Jayawardana, S. and White, R.G., </w:t>
      </w:r>
      <w:r w:rsidR="00C541FE">
        <w:rPr>
          <w:rFonts w:ascii="Arial" w:hAnsi="Arial" w:cs="Arial"/>
        </w:rPr>
        <w:t>(</w:t>
      </w:r>
      <w:r w:rsidRPr="000C0736">
        <w:rPr>
          <w:rFonts w:ascii="Arial" w:hAnsi="Arial" w:cs="Arial"/>
        </w:rPr>
        <w:t>2022</w:t>
      </w:r>
      <w:r w:rsidR="00C541FE">
        <w:rPr>
          <w:rFonts w:ascii="Arial" w:hAnsi="Arial" w:cs="Arial"/>
        </w:rPr>
        <w:t>)</w:t>
      </w:r>
      <w:r w:rsidRPr="000C0736">
        <w:rPr>
          <w:rFonts w:ascii="Arial" w:hAnsi="Arial" w:cs="Arial"/>
        </w:rPr>
        <w:t xml:space="preserve">. Potential implementation strategies, acceptability, and feasibility of new and repurposed TB </w:t>
      </w:r>
      <w:r w:rsidRPr="000C0736">
        <w:rPr>
          <w:rFonts w:ascii="Arial" w:hAnsi="Arial" w:cs="Arial"/>
        </w:rPr>
        <w:lastRenderedPageBreak/>
        <w:t>vaccines. </w:t>
      </w:r>
      <w:r w:rsidRPr="000C0736">
        <w:rPr>
          <w:rFonts w:ascii="Arial" w:hAnsi="Arial" w:cs="Arial"/>
          <w:i/>
          <w:iCs/>
        </w:rPr>
        <w:t>PLOS global public health</w:t>
      </w:r>
      <w:r w:rsidRPr="000C0736">
        <w:rPr>
          <w:rFonts w:ascii="Arial" w:hAnsi="Arial" w:cs="Arial"/>
        </w:rPr>
        <w:t>, </w:t>
      </w:r>
      <w:r w:rsidRPr="000C0736">
        <w:rPr>
          <w:rFonts w:ascii="Arial" w:hAnsi="Arial" w:cs="Arial"/>
          <w:i/>
          <w:iCs/>
        </w:rPr>
        <w:t>2</w:t>
      </w:r>
      <w:r w:rsidRPr="000C0736">
        <w:rPr>
          <w:rFonts w:ascii="Arial" w:hAnsi="Arial" w:cs="Arial"/>
        </w:rPr>
        <w:t>(5), p.e0000076.</w:t>
      </w:r>
      <w:r>
        <w:rPr>
          <w:rFonts w:ascii="Arial" w:hAnsi="Arial" w:cs="Arial"/>
        </w:rPr>
        <w:t xml:space="preserve"> </w:t>
      </w:r>
      <w:hyperlink r:id="rId80" w:history="1">
        <w:r w:rsidRPr="001B69CC">
          <w:rPr>
            <w:rStyle w:val="Hyperlink"/>
            <w:rFonts w:ascii="Arial" w:hAnsi="Arial" w:cs="Arial"/>
          </w:rPr>
          <w:t>https://journals.plos.org/globalpublichealth/article?id=10.1371/journal.pgph.0000076</w:t>
        </w:r>
      </w:hyperlink>
    </w:p>
    <w:p w14:paraId="17740B08" w14:textId="2B5B9C17" w:rsidR="00717B0F" w:rsidRPr="00AB0BD3" w:rsidRDefault="00717B0F" w:rsidP="0046084C">
      <w:pPr>
        <w:spacing w:before="240" w:line="360" w:lineRule="auto"/>
        <w:jc w:val="both"/>
        <w:rPr>
          <w:rFonts w:ascii="Arial" w:hAnsi="Arial" w:cs="Arial"/>
        </w:rPr>
      </w:pPr>
      <w:r w:rsidRPr="00AB0BD3">
        <w:rPr>
          <w:rFonts w:ascii="Arial" w:hAnsi="Arial" w:cs="Arial"/>
        </w:rPr>
        <w:t xml:space="preserve">Prakash, R., Kumar, P., Dehury, B., Thacker, D., Shoemaker, E., Manjappa, R.B., Isac, S., Anthony, J., Namasivayam, V., Blanchard, J. and Becker, M., </w:t>
      </w:r>
      <w:r w:rsidR="00BD2E7B" w:rsidRPr="00AB0BD3">
        <w:rPr>
          <w:rFonts w:ascii="Arial" w:hAnsi="Arial" w:cs="Arial"/>
        </w:rPr>
        <w:t>(</w:t>
      </w:r>
      <w:r w:rsidRPr="00AB0BD3">
        <w:rPr>
          <w:rFonts w:ascii="Arial" w:hAnsi="Arial" w:cs="Arial"/>
        </w:rPr>
        <w:t>2025</w:t>
      </w:r>
      <w:r w:rsidR="00BD2E7B" w:rsidRPr="00AB0BD3">
        <w:rPr>
          <w:rFonts w:ascii="Arial" w:hAnsi="Arial" w:cs="Arial"/>
        </w:rPr>
        <w:t>)</w:t>
      </w:r>
      <w:r w:rsidRPr="00AB0BD3">
        <w:rPr>
          <w:rFonts w:ascii="Arial" w:hAnsi="Arial" w:cs="Arial"/>
        </w:rPr>
        <w:t>. Preventing vaccine drop-outs: Geographic and system-level barriers to full immunization coverage among children in Uttar Pradesh, India. </w:t>
      </w:r>
      <w:r w:rsidRPr="00AB0BD3">
        <w:rPr>
          <w:rFonts w:ascii="Arial" w:hAnsi="Arial" w:cs="Arial"/>
          <w:i/>
          <w:iCs/>
        </w:rPr>
        <w:t>Vaccine: X</w:t>
      </w:r>
      <w:r w:rsidRPr="00AB0BD3">
        <w:rPr>
          <w:rFonts w:ascii="Arial" w:hAnsi="Arial" w:cs="Arial"/>
        </w:rPr>
        <w:t>, </w:t>
      </w:r>
      <w:r w:rsidRPr="00AB0BD3">
        <w:rPr>
          <w:rFonts w:ascii="Arial" w:hAnsi="Arial" w:cs="Arial"/>
          <w:i/>
          <w:iCs/>
        </w:rPr>
        <w:t>23</w:t>
      </w:r>
      <w:r w:rsidRPr="00AB0BD3">
        <w:rPr>
          <w:rFonts w:ascii="Arial" w:hAnsi="Arial" w:cs="Arial"/>
        </w:rPr>
        <w:t xml:space="preserve">, p.100613. </w:t>
      </w:r>
      <w:hyperlink r:id="rId81" w:history="1">
        <w:r w:rsidRPr="00AB0BD3">
          <w:rPr>
            <w:rStyle w:val="Hyperlink"/>
            <w:rFonts w:ascii="Arial" w:hAnsi="Arial" w:cs="Arial"/>
          </w:rPr>
          <w:t>https://www.sciencedirect.com/science/article/pii/S2590136225000075</w:t>
        </w:r>
      </w:hyperlink>
    </w:p>
    <w:p w14:paraId="5841A9A0" w14:textId="2E378EAA" w:rsidR="002E018A" w:rsidRPr="00AB0BD3" w:rsidRDefault="002E018A" w:rsidP="002E018A">
      <w:pPr>
        <w:spacing w:before="240" w:line="360" w:lineRule="auto"/>
        <w:jc w:val="both"/>
        <w:rPr>
          <w:rFonts w:ascii="Arial" w:hAnsi="Arial" w:cs="Arial"/>
        </w:rPr>
      </w:pPr>
      <w:r w:rsidRPr="00AB0BD3">
        <w:rPr>
          <w:rFonts w:ascii="Arial" w:hAnsi="Arial" w:cs="Arial"/>
        </w:rPr>
        <w:t xml:space="preserve">Ram, U. and Ram, F., </w:t>
      </w:r>
      <w:r w:rsidR="003B414A">
        <w:rPr>
          <w:rFonts w:ascii="Arial" w:hAnsi="Arial" w:cs="Arial"/>
        </w:rPr>
        <w:t>(</w:t>
      </w:r>
      <w:r w:rsidRPr="00AB0BD3">
        <w:rPr>
          <w:rFonts w:ascii="Arial" w:hAnsi="Arial" w:cs="Arial"/>
        </w:rPr>
        <w:t>2021</w:t>
      </w:r>
      <w:r w:rsidR="003B414A">
        <w:rPr>
          <w:rFonts w:ascii="Arial" w:hAnsi="Arial" w:cs="Arial"/>
        </w:rPr>
        <w:t>)</w:t>
      </w:r>
      <w:r w:rsidRPr="00AB0BD3">
        <w:rPr>
          <w:rFonts w:ascii="Arial" w:hAnsi="Arial" w:cs="Arial"/>
        </w:rPr>
        <w:t>. Demographic transition in India: insights into population growth, composition, and its major drivers. In </w:t>
      </w:r>
      <w:r w:rsidRPr="00AB0BD3">
        <w:rPr>
          <w:rFonts w:ascii="Arial" w:hAnsi="Arial" w:cs="Arial"/>
          <w:i/>
          <w:iCs/>
        </w:rPr>
        <w:t>Oxford Research Encyclopedia of Global Public Health</w:t>
      </w:r>
      <w:r w:rsidRPr="00AB0BD3">
        <w:rPr>
          <w:rFonts w:ascii="Arial" w:hAnsi="Arial" w:cs="Arial"/>
        </w:rPr>
        <w:t xml:space="preserve">. </w:t>
      </w:r>
      <w:hyperlink r:id="rId82" w:history="1">
        <w:r w:rsidRPr="00AB0BD3">
          <w:rPr>
            <w:rStyle w:val="Hyperlink"/>
            <w:rFonts w:ascii="Arial" w:hAnsi="Arial" w:cs="Arial"/>
          </w:rPr>
          <w:t>https://doi.org/10.1093/acrefore/9780190632366.013.223</w:t>
        </w:r>
      </w:hyperlink>
    </w:p>
    <w:p w14:paraId="524C06B0" w14:textId="2B257AFC" w:rsidR="00672C39" w:rsidRPr="00AB0BD3" w:rsidRDefault="00672C39" w:rsidP="0046084C">
      <w:pPr>
        <w:spacing w:before="240" w:line="360" w:lineRule="auto"/>
        <w:jc w:val="both"/>
        <w:rPr>
          <w:rFonts w:ascii="Arial" w:hAnsi="Arial" w:cs="Arial"/>
        </w:rPr>
      </w:pPr>
      <w:r w:rsidRPr="00AB0BD3">
        <w:rPr>
          <w:rFonts w:ascii="Arial" w:hAnsi="Arial" w:cs="Arial"/>
        </w:rPr>
        <w:t xml:space="preserve">Rao, V.G., Bhat, J., Yadav, R., Sharma, R.K. and Muniyandi, M., </w:t>
      </w:r>
      <w:r w:rsidR="00BD2E7B" w:rsidRPr="00AB0BD3">
        <w:rPr>
          <w:rFonts w:ascii="Arial" w:hAnsi="Arial" w:cs="Arial"/>
        </w:rPr>
        <w:t>(</w:t>
      </w:r>
      <w:r w:rsidRPr="00AB0BD3">
        <w:rPr>
          <w:rFonts w:ascii="Arial" w:hAnsi="Arial" w:cs="Arial"/>
        </w:rPr>
        <w:t>2018</w:t>
      </w:r>
      <w:r w:rsidR="00BD2E7B" w:rsidRPr="00AB0BD3">
        <w:rPr>
          <w:rFonts w:ascii="Arial" w:hAnsi="Arial" w:cs="Arial"/>
        </w:rPr>
        <w:t>)</w:t>
      </w:r>
      <w:r w:rsidRPr="00AB0BD3">
        <w:rPr>
          <w:rFonts w:ascii="Arial" w:hAnsi="Arial" w:cs="Arial"/>
        </w:rPr>
        <w:t>. A comparative study of the socio-economic risk factors for pulmonary tuberculosis in the Saharia tribe of Madhya Pradesh, India. </w:t>
      </w:r>
      <w:r w:rsidRPr="00AB0BD3">
        <w:rPr>
          <w:rFonts w:ascii="Arial" w:hAnsi="Arial" w:cs="Arial"/>
          <w:i/>
          <w:iCs/>
        </w:rPr>
        <w:t>Transactions of the Royal Society of tropical medicine and Hygiene</w:t>
      </w:r>
      <w:r w:rsidRPr="00AB0BD3">
        <w:rPr>
          <w:rFonts w:ascii="Arial" w:hAnsi="Arial" w:cs="Arial"/>
        </w:rPr>
        <w:t>, </w:t>
      </w:r>
      <w:r w:rsidRPr="00AB0BD3">
        <w:rPr>
          <w:rFonts w:ascii="Arial" w:hAnsi="Arial" w:cs="Arial"/>
          <w:i/>
          <w:iCs/>
        </w:rPr>
        <w:t>112</w:t>
      </w:r>
      <w:r w:rsidRPr="00AB0BD3">
        <w:rPr>
          <w:rFonts w:ascii="Arial" w:hAnsi="Arial" w:cs="Arial"/>
        </w:rPr>
        <w:t xml:space="preserve">(6), pp.272-278. </w:t>
      </w:r>
      <w:hyperlink r:id="rId83" w:history="1">
        <w:r w:rsidRPr="00AB0BD3">
          <w:rPr>
            <w:rStyle w:val="Hyperlink"/>
            <w:rFonts w:ascii="Arial" w:hAnsi="Arial" w:cs="Arial"/>
          </w:rPr>
          <w:t>https://academic.oup.com/trstmh/article-abstract/112/6/272/5040477</w:t>
        </w:r>
      </w:hyperlink>
    </w:p>
    <w:p w14:paraId="52956146" w14:textId="49EE320D" w:rsidR="00DD5ADC" w:rsidRDefault="00DD5ADC" w:rsidP="00DD5ADC">
      <w:pPr>
        <w:spacing w:line="360" w:lineRule="auto"/>
        <w:jc w:val="both"/>
        <w:rPr>
          <w:rFonts w:ascii="Arial" w:hAnsi="Arial" w:cs="Arial"/>
        </w:rPr>
      </w:pPr>
      <w:r w:rsidRPr="001D37FF">
        <w:rPr>
          <w:rFonts w:ascii="Arial" w:hAnsi="Arial" w:cs="Arial"/>
        </w:rPr>
        <w:t xml:space="preserve">Rasmussen, C.E.H., Vedel, J.O., Jensen, A.M., Borges, I.D.S., Furtado, O., Meyrowitsch, D.W. and Fisker, A.B., </w:t>
      </w:r>
      <w:r w:rsidR="007E2859">
        <w:rPr>
          <w:rFonts w:ascii="Arial" w:hAnsi="Arial" w:cs="Arial"/>
        </w:rPr>
        <w:t>(</w:t>
      </w:r>
      <w:r w:rsidRPr="001D37FF">
        <w:rPr>
          <w:rFonts w:ascii="Arial" w:hAnsi="Arial" w:cs="Arial"/>
        </w:rPr>
        <w:t>2024</w:t>
      </w:r>
      <w:r w:rsidR="007E2859">
        <w:rPr>
          <w:rFonts w:ascii="Arial" w:hAnsi="Arial" w:cs="Arial"/>
        </w:rPr>
        <w:t>)</w:t>
      </w:r>
      <w:r w:rsidRPr="001D37FF">
        <w:rPr>
          <w:rFonts w:ascii="Arial" w:hAnsi="Arial" w:cs="Arial"/>
        </w:rPr>
        <w:t>. Implementation of the vaccination program in Guinea-Bissau: Coverage and missed opportunities for BCG at birth. </w:t>
      </w:r>
      <w:r w:rsidRPr="001D37FF">
        <w:rPr>
          <w:rFonts w:ascii="Arial" w:hAnsi="Arial" w:cs="Arial"/>
          <w:i/>
          <w:iCs/>
        </w:rPr>
        <w:t>Vaccine</w:t>
      </w:r>
      <w:r w:rsidRPr="001D37FF">
        <w:rPr>
          <w:rFonts w:ascii="Arial" w:hAnsi="Arial" w:cs="Arial"/>
        </w:rPr>
        <w:t>, </w:t>
      </w:r>
      <w:r w:rsidRPr="001D37FF">
        <w:rPr>
          <w:rFonts w:ascii="Arial" w:hAnsi="Arial" w:cs="Arial"/>
          <w:i/>
          <w:iCs/>
        </w:rPr>
        <w:t>42</w:t>
      </w:r>
      <w:r w:rsidRPr="001D37FF">
        <w:rPr>
          <w:rFonts w:ascii="Arial" w:hAnsi="Arial" w:cs="Arial"/>
        </w:rPr>
        <w:t>(23), p.126056.</w:t>
      </w:r>
      <w:r>
        <w:rPr>
          <w:rFonts w:ascii="Arial" w:hAnsi="Arial" w:cs="Arial"/>
        </w:rPr>
        <w:t xml:space="preserve"> </w:t>
      </w:r>
      <w:hyperlink r:id="rId84" w:history="1">
        <w:r w:rsidRPr="00B65757">
          <w:rPr>
            <w:rStyle w:val="Hyperlink"/>
            <w:rFonts w:ascii="Arial" w:hAnsi="Arial" w:cs="Arial"/>
          </w:rPr>
          <w:t>https://www.sciencedirect.com/science/article/pii/S0264410X24006972</w:t>
        </w:r>
      </w:hyperlink>
    </w:p>
    <w:p w14:paraId="47C1A235" w14:textId="0CBFC260" w:rsidR="00DD5ADC" w:rsidRDefault="00DD5ADC" w:rsidP="00DD5ADC">
      <w:pPr>
        <w:spacing w:line="360" w:lineRule="auto"/>
        <w:jc w:val="both"/>
        <w:rPr>
          <w:rFonts w:ascii="Arial" w:hAnsi="Arial" w:cs="Arial"/>
        </w:rPr>
      </w:pPr>
      <w:r w:rsidRPr="001D37FF">
        <w:rPr>
          <w:rFonts w:ascii="Arial" w:hAnsi="Arial" w:cs="Arial"/>
        </w:rPr>
        <w:t xml:space="preserve">Rajaonarifara, E., Bonds, M.H., Miller, A.C., Ihantamalala, F.A., Cordier, L., Razafinjato, B., Rafenoarimalala, F.H., Finnegan, K.E., Rakotonanahary, R.J., Cowley, G. and Ratsimbazafy, B., </w:t>
      </w:r>
      <w:r w:rsidR="00925B53">
        <w:rPr>
          <w:rFonts w:ascii="Arial" w:hAnsi="Arial" w:cs="Arial"/>
        </w:rPr>
        <w:t>(</w:t>
      </w:r>
      <w:r w:rsidRPr="001D37FF">
        <w:rPr>
          <w:rFonts w:ascii="Arial" w:hAnsi="Arial" w:cs="Arial"/>
        </w:rPr>
        <w:t>2022</w:t>
      </w:r>
      <w:r w:rsidR="00925B53">
        <w:rPr>
          <w:rFonts w:ascii="Arial" w:hAnsi="Arial" w:cs="Arial"/>
        </w:rPr>
        <w:t>)</w:t>
      </w:r>
      <w:r w:rsidRPr="001D37FF">
        <w:rPr>
          <w:rFonts w:ascii="Arial" w:hAnsi="Arial" w:cs="Arial"/>
        </w:rPr>
        <w:t>. Impact of health system strengthening on delivery strategies to improve child immunisation coverage and inequalities in rural Madagascar. </w:t>
      </w:r>
      <w:r w:rsidRPr="001D37FF">
        <w:rPr>
          <w:rFonts w:ascii="Arial" w:hAnsi="Arial" w:cs="Arial"/>
          <w:i/>
          <w:iCs/>
        </w:rPr>
        <w:t>BMJ Global Health</w:t>
      </w:r>
      <w:r w:rsidRPr="001D37FF">
        <w:rPr>
          <w:rFonts w:ascii="Arial" w:hAnsi="Arial" w:cs="Arial"/>
        </w:rPr>
        <w:t>, </w:t>
      </w:r>
      <w:r w:rsidRPr="001D37FF">
        <w:rPr>
          <w:rFonts w:ascii="Arial" w:hAnsi="Arial" w:cs="Arial"/>
          <w:i/>
          <w:iCs/>
        </w:rPr>
        <w:t>7</w:t>
      </w:r>
      <w:r w:rsidRPr="001D37FF">
        <w:rPr>
          <w:rFonts w:ascii="Arial" w:hAnsi="Arial" w:cs="Arial"/>
        </w:rPr>
        <w:t>(1), p.e006824.</w:t>
      </w:r>
      <w:r>
        <w:rPr>
          <w:rFonts w:ascii="Arial" w:hAnsi="Arial" w:cs="Arial"/>
        </w:rPr>
        <w:t xml:space="preserve"> </w:t>
      </w:r>
      <w:hyperlink r:id="rId85" w:history="1">
        <w:r w:rsidRPr="00B65757">
          <w:rPr>
            <w:rStyle w:val="Hyperlink"/>
            <w:rFonts w:ascii="Arial" w:hAnsi="Arial" w:cs="Arial"/>
          </w:rPr>
          <w:t>https://gh.bmj.com/content/7/1/e006824</w:t>
        </w:r>
      </w:hyperlink>
    </w:p>
    <w:p w14:paraId="76914850" w14:textId="26451408" w:rsidR="00FB2514" w:rsidRDefault="00FB2514" w:rsidP="00FB2514">
      <w:pPr>
        <w:spacing w:line="360" w:lineRule="auto"/>
        <w:jc w:val="both"/>
        <w:rPr>
          <w:rFonts w:ascii="Arial" w:hAnsi="Arial" w:cs="Arial"/>
        </w:rPr>
      </w:pPr>
      <w:r w:rsidRPr="00F97928">
        <w:rPr>
          <w:rFonts w:ascii="Arial" w:hAnsi="Arial" w:cs="Arial"/>
        </w:rPr>
        <w:t xml:space="preserve">Rice, D.B., Kloda, L.A., Shrier, I. and Thombs, B.D., </w:t>
      </w:r>
      <w:r w:rsidR="00BE3DAC">
        <w:rPr>
          <w:rFonts w:ascii="Arial" w:hAnsi="Arial" w:cs="Arial"/>
        </w:rPr>
        <w:t>(</w:t>
      </w:r>
      <w:r w:rsidRPr="00F97928">
        <w:rPr>
          <w:rFonts w:ascii="Arial" w:hAnsi="Arial" w:cs="Arial"/>
        </w:rPr>
        <w:t>2016</w:t>
      </w:r>
      <w:r w:rsidR="00BE3DAC">
        <w:rPr>
          <w:rFonts w:ascii="Arial" w:hAnsi="Arial" w:cs="Arial"/>
        </w:rPr>
        <w:t>)</w:t>
      </w:r>
      <w:r w:rsidRPr="00F97928">
        <w:rPr>
          <w:rFonts w:ascii="Arial" w:hAnsi="Arial" w:cs="Arial"/>
        </w:rPr>
        <w:t>. Reporting completeness and transparency of meta-analyses of depression screening tool accuracy: a comparison of meta-analyses published before and after the PRISMA statement. </w:t>
      </w:r>
      <w:r w:rsidRPr="00F97928">
        <w:rPr>
          <w:rFonts w:ascii="Arial" w:hAnsi="Arial" w:cs="Arial"/>
          <w:i/>
          <w:iCs/>
        </w:rPr>
        <w:t>Journal of Psychosomatic Research</w:t>
      </w:r>
      <w:r w:rsidRPr="00F97928">
        <w:rPr>
          <w:rFonts w:ascii="Arial" w:hAnsi="Arial" w:cs="Arial"/>
        </w:rPr>
        <w:t>, </w:t>
      </w:r>
      <w:r w:rsidRPr="00F97928">
        <w:rPr>
          <w:rFonts w:ascii="Arial" w:hAnsi="Arial" w:cs="Arial"/>
          <w:i/>
          <w:iCs/>
        </w:rPr>
        <w:t>87</w:t>
      </w:r>
      <w:r w:rsidRPr="00F97928">
        <w:rPr>
          <w:rFonts w:ascii="Arial" w:hAnsi="Arial" w:cs="Arial"/>
        </w:rPr>
        <w:t>, pp.57-69.</w:t>
      </w:r>
      <w:r w:rsidR="00345B07">
        <w:rPr>
          <w:rFonts w:ascii="Arial" w:hAnsi="Arial" w:cs="Arial"/>
        </w:rPr>
        <w:t xml:space="preserve"> </w:t>
      </w:r>
      <w:hyperlink r:id="rId86" w:history="1">
        <w:r w:rsidR="00345B07" w:rsidRPr="00B65757">
          <w:rPr>
            <w:rStyle w:val="Hyperlink"/>
            <w:rFonts w:ascii="Arial" w:hAnsi="Arial" w:cs="Arial"/>
          </w:rPr>
          <w:t>https://www.sciencedirect.com/science/article/pii/S0022399916303294</w:t>
        </w:r>
      </w:hyperlink>
    </w:p>
    <w:p w14:paraId="079B8419" w14:textId="4E07573E" w:rsidR="00FC131E" w:rsidRPr="00AB0BD3" w:rsidRDefault="00FC131E" w:rsidP="0046084C">
      <w:pPr>
        <w:spacing w:before="240" w:line="360" w:lineRule="auto"/>
        <w:jc w:val="both"/>
        <w:rPr>
          <w:rFonts w:ascii="Arial" w:hAnsi="Arial" w:cs="Arial"/>
        </w:rPr>
      </w:pPr>
      <w:r w:rsidRPr="00AB0BD3">
        <w:rPr>
          <w:rFonts w:ascii="Arial" w:hAnsi="Arial" w:cs="Arial"/>
        </w:rPr>
        <w:lastRenderedPageBreak/>
        <w:t xml:space="preserve">Romanowski, K., Baumann, B., Basham, C.A., Khan, F.A., Fox, G.J. and Johnston, J.C., </w:t>
      </w:r>
      <w:r w:rsidR="00BD2E7B" w:rsidRPr="00AB0BD3">
        <w:rPr>
          <w:rFonts w:ascii="Arial" w:hAnsi="Arial" w:cs="Arial"/>
        </w:rPr>
        <w:t>(</w:t>
      </w:r>
      <w:r w:rsidRPr="00AB0BD3">
        <w:rPr>
          <w:rFonts w:ascii="Arial" w:hAnsi="Arial" w:cs="Arial"/>
        </w:rPr>
        <w:t>2019</w:t>
      </w:r>
      <w:r w:rsidR="00BD2E7B" w:rsidRPr="00AB0BD3">
        <w:rPr>
          <w:rFonts w:ascii="Arial" w:hAnsi="Arial" w:cs="Arial"/>
        </w:rPr>
        <w:t>)</w:t>
      </w:r>
      <w:r w:rsidRPr="00AB0BD3">
        <w:rPr>
          <w:rFonts w:ascii="Arial" w:hAnsi="Arial" w:cs="Arial"/>
        </w:rPr>
        <w:t>. Long-term all-cause mortality in people treated for tuberculosis: a systematic review and meta-analysis. </w:t>
      </w:r>
      <w:r w:rsidRPr="00AB0BD3">
        <w:rPr>
          <w:rFonts w:ascii="Arial" w:hAnsi="Arial" w:cs="Arial"/>
          <w:i/>
          <w:iCs/>
        </w:rPr>
        <w:t>The Lancet Infectious Diseases</w:t>
      </w:r>
      <w:r w:rsidRPr="00AB0BD3">
        <w:rPr>
          <w:rFonts w:ascii="Arial" w:hAnsi="Arial" w:cs="Arial"/>
        </w:rPr>
        <w:t>, </w:t>
      </w:r>
      <w:r w:rsidRPr="00AB0BD3">
        <w:rPr>
          <w:rFonts w:ascii="Arial" w:hAnsi="Arial" w:cs="Arial"/>
          <w:i/>
          <w:iCs/>
        </w:rPr>
        <w:t>19</w:t>
      </w:r>
      <w:r w:rsidRPr="00AB0BD3">
        <w:rPr>
          <w:rFonts w:ascii="Arial" w:hAnsi="Arial" w:cs="Arial"/>
        </w:rPr>
        <w:t xml:space="preserve">(10), pp.1129-1137. </w:t>
      </w:r>
      <w:hyperlink r:id="rId87" w:history="1">
        <w:r w:rsidRPr="00AB0BD3">
          <w:rPr>
            <w:rStyle w:val="Hyperlink"/>
            <w:rFonts w:ascii="Arial" w:hAnsi="Arial" w:cs="Arial"/>
          </w:rPr>
          <w:t>https://www.thelancet.com/journals/laninf/article/PIIS1473-3099(19)30309-3/abstract</w:t>
        </w:r>
      </w:hyperlink>
    </w:p>
    <w:p w14:paraId="67C1A9A5" w14:textId="77777777" w:rsidR="003F75FD" w:rsidRPr="00AB0BD3" w:rsidRDefault="003F75FD" w:rsidP="003F75FD">
      <w:pPr>
        <w:spacing w:before="240" w:line="360" w:lineRule="auto"/>
        <w:jc w:val="both"/>
        <w:rPr>
          <w:rFonts w:ascii="Arial" w:hAnsi="Arial" w:cs="Arial"/>
        </w:rPr>
      </w:pPr>
      <w:r w:rsidRPr="00AB0BD3">
        <w:rPr>
          <w:rFonts w:ascii="Arial" w:hAnsi="Arial" w:cs="Arial"/>
        </w:rPr>
        <w:t>Sarhan, S. and Manu, E., (2021). When does published literature constitute data for secondary research and how should the data be analysed?. In </w:t>
      </w:r>
      <w:r w:rsidRPr="00AB0BD3">
        <w:rPr>
          <w:rFonts w:ascii="Arial" w:hAnsi="Arial" w:cs="Arial"/>
          <w:i/>
          <w:iCs/>
        </w:rPr>
        <w:t>Secondary Research Methods in the Built Environment</w:t>
      </w:r>
      <w:r w:rsidRPr="00AB0BD3">
        <w:rPr>
          <w:rFonts w:ascii="Arial" w:hAnsi="Arial" w:cs="Arial"/>
        </w:rPr>
        <w:t xml:space="preserve"> (pp. 69-87). Routledge. </w:t>
      </w:r>
      <w:hyperlink r:id="rId88" w:history="1">
        <w:r w:rsidRPr="00AB0BD3">
          <w:rPr>
            <w:rStyle w:val="Hyperlink"/>
            <w:rFonts w:ascii="Arial" w:hAnsi="Arial" w:cs="Arial"/>
          </w:rPr>
          <w:t>https://www.taylorfrancis.com/chapters/edit/10.1201/9781003000532-6/published-literature-constitute-data-secondary-research-data-analysed-saad-sarhan-emmanuel-manu</w:t>
        </w:r>
      </w:hyperlink>
    </w:p>
    <w:p w14:paraId="7EF9FD26" w14:textId="032A8485" w:rsidR="006A370E" w:rsidRPr="00AB0BD3" w:rsidRDefault="006A370E" w:rsidP="0046084C">
      <w:pPr>
        <w:spacing w:before="240" w:line="360" w:lineRule="auto"/>
        <w:jc w:val="both"/>
        <w:rPr>
          <w:rFonts w:ascii="Arial" w:hAnsi="Arial" w:cs="Arial"/>
        </w:rPr>
      </w:pPr>
      <w:r w:rsidRPr="00AB0BD3">
        <w:rPr>
          <w:rFonts w:ascii="Arial" w:hAnsi="Arial" w:cs="Arial"/>
        </w:rPr>
        <w:t xml:space="preserve">Sazali, M.F., Rahim, S.S.S.A., Mohammad, A.H., Kadir, F., Payus, A.O., Avoi, R., Jeffree, M.S., Omar, A., Ibrahim, M.Y., Atil, A. and Tuah, N.M., </w:t>
      </w:r>
      <w:r w:rsidR="00BD2E7B" w:rsidRPr="00AB0BD3">
        <w:rPr>
          <w:rFonts w:ascii="Arial" w:hAnsi="Arial" w:cs="Arial"/>
        </w:rPr>
        <w:t>(</w:t>
      </w:r>
      <w:r w:rsidRPr="00AB0BD3">
        <w:rPr>
          <w:rFonts w:ascii="Arial" w:hAnsi="Arial" w:cs="Arial"/>
        </w:rPr>
        <w:t>2022</w:t>
      </w:r>
      <w:r w:rsidR="00BD2E7B" w:rsidRPr="00AB0BD3">
        <w:rPr>
          <w:rFonts w:ascii="Arial" w:hAnsi="Arial" w:cs="Arial"/>
        </w:rPr>
        <w:t>)</w:t>
      </w:r>
      <w:r w:rsidRPr="00AB0BD3">
        <w:rPr>
          <w:rFonts w:ascii="Arial" w:hAnsi="Arial" w:cs="Arial"/>
        </w:rPr>
        <w:t>. Improving tuberculosis medication adherence: the potential of integrating digital technology and health belief model. </w:t>
      </w:r>
      <w:r w:rsidRPr="00AB0BD3">
        <w:rPr>
          <w:rFonts w:ascii="Arial" w:hAnsi="Arial" w:cs="Arial"/>
          <w:i/>
          <w:iCs/>
        </w:rPr>
        <w:t>Tuberculosis and respiratory diseases</w:t>
      </w:r>
      <w:r w:rsidRPr="00AB0BD3">
        <w:rPr>
          <w:rFonts w:ascii="Arial" w:hAnsi="Arial" w:cs="Arial"/>
        </w:rPr>
        <w:t>, </w:t>
      </w:r>
      <w:r w:rsidRPr="00AB0BD3">
        <w:rPr>
          <w:rFonts w:ascii="Arial" w:hAnsi="Arial" w:cs="Arial"/>
          <w:i/>
          <w:iCs/>
        </w:rPr>
        <w:t>86</w:t>
      </w:r>
      <w:r w:rsidRPr="00AB0BD3">
        <w:rPr>
          <w:rFonts w:ascii="Arial" w:hAnsi="Arial" w:cs="Arial"/>
        </w:rPr>
        <w:t xml:space="preserve">(2), p.82. </w:t>
      </w:r>
      <w:hyperlink r:id="rId89" w:history="1">
        <w:r w:rsidRPr="00AB0BD3">
          <w:rPr>
            <w:rStyle w:val="Hyperlink"/>
            <w:rFonts w:ascii="Arial" w:hAnsi="Arial" w:cs="Arial"/>
          </w:rPr>
          <w:t>https://pmc.ncbi.nlm.nih.gov/articles/PMC10073608/</w:t>
        </w:r>
      </w:hyperlink>
    </w:p>
    <w:p w14:paraId="3BD21044" w14:textId="77777777" w:rsidR="002E018A" w:rsidRPr="00AB0BD3" w:rsidRDefault="002E018A" w:rsidP="002E018A">
      <w:pPr>
        <w:spacing w:before="240" w:line="360" w:lineRule="auto"/>
        <w:jc w:val="both"/>
        <w:rPr>
          <w:rFonts w:ascii="Arial" w:hAnsi="Arial" w:cs="Arial"/>
        </w:rPr>
      </w:pPr>
      <w:r w:rsidRPr="00AB0BD3">
        <w:rPr>
          <w:rFonts w:ascii="Arial" w:hAnsi="Arial" w:cs="Arial"/>
        </w:rPr>
        <w:t>Setiabudiawan, T.P., Reurink, R.K., Hill, P.C., Netea, M.G., van Crevel, R. and Koeken, V.A., (2022). Protection against tuberculosis by Bacillus Calmette-Guérin (BCG) vaccination: A historical perspective. </w:t>
      </w:r>
      <w:r w:rsidRPr="00AB0BD3">
        <w:rPr>
          <w:rFonts w:ascii="Arial" w:hAnsi="Arial" w:cs="Arial"/>
          <w:i/>
          <w:iCs/>
        </w:rPr>
        <w:t>Med</w:t>
      </w:r>
      <w:r w:rsidRPr="00AB0BD3">
        <w:rPr>
          <w:rFonts w:ascii="Arial" w:hAnsi="Arial" w:cs="Arial"/>
        </w:rPr>
        <w:t>, </w:t>
      </w:r>
      <w:r w:rsidRPr="00AB0BD3">
        <w:rPr>
          <w:rFonts w:ascii="Arial" w:hAnsi="Arial" w:cs="Arial"/>
          <w:i/>
          <w:iCs/>
        </w:rPr>
        <w:t>3</w:t>
      </w:r>
      <w:r w:rsidRPr="00AB0BD3">
        <w:rPr>
          <w:rFonts w:ascii="Arial" w:hAnsi="Arial" w:cs="Arial"/>
        </w:rPr>
        <w:t xml:space="preserve">(1), pp.6-24. </w:t>
      </w:r>
      <w:hyperlink r:id="rId90" w:history="1">
        <w:r w:rsidRPr="00AB0BD3">
          <w:rPr>
            <w:rStyle w:val="Hyperlink"/>
            <w:rFonts w:ascii="Arial" w:hAnsi="Arial" w:cs="Arial"/>
          </w:rPr>
          <w:t>https://www.cell.com/med/fulltext/S2666-6340(21)00380-9?twclid=25bu238e5vmdie2tieupfaktgl</w:t>
        </w:r>
      </w:hyperlink>
    </w:p>
    <w:p w14:paraId="04C6D8D3" w14:textId="77777777" w:rsidR="002E018A" w:rsidRPr="00AB0BD3" w:rsidRDefault="002E018A" w:rsidP="002E018A">
      <w:pPr>
        <w:spacing w:before="240" w:line="360" w:lineRule="auto"/>
        <w:jc w:val="both"/>
        <w:rPr>
          <w:rFonts w:ascii="Arial" w:hAnsi="Arial" w:cs="Arial"/>
        </w:rPr>
      </w:pPr>
      <w:r w:rsidRPr="00AB0BD3">
        <w:rPr>
          <w:rFonts w:ascii="Arial" w:hAnsi="Arial" w:cs="Arial"/>
        </w:rPr>
        <w:t>Sharma, N., Basu, S., Khanna, A., Sharma, P. and Chandra, S., (2022). The intention to receive tuberculosis preventive therapy in adult household contacts of pulmonary TB patients in Delhi, India. </w:t>
      </w:r>
      <w:r w:rsidRPr="00AB0BD3">
        <w:rPr>
          <w:rFonts w:ascii="Arial" w:hAnsi="Arial" w:cs="Arial"/>
          <w:i/>
          <w:iCs/>
        </w:rPr>
        <w:t>The Journal of Infection in Developing Countries</w:t>
      </w:r>
      <w:r w:rsidRPr="00AB0BD3">
        <w:rPr>
          <w:rFonts w:ascii="Arial" w:hAnsi="Arial" w:cs="Arial"/>
        </w:rPr>
        <w:t>, </w:t>
      </w:r>
      <w:r w:rsidRPr="00AB0BD3">
        <w:rPr>
          <w:rFonts w:ascii="Arial" w:hAnsi="Arial" w:cs="Arial"/>
          <w:i/>
          <w:iCs/>
        </w:rPr>
        <w:t>16</w:t>
      </w:r>
      <w:r w:rsidRPr="00AB0BD3">
        <w:rPr>
          <w:rFonts w:ascii="Arial" w:hAnsi="Arial" w:cs="Arial"/>
        </w:rPr>
        <w:t xml:space="preserve">(02), pp.298-304. </w:t>
      </w:r>
      <w:hyperlink r:id="rId91" w:history="1">
        <w:r w:rsidRPr="00AB0BD3">
          <w:rPr>
            <w:rStyle w:val="Hyperlink"/>
            <w:rFonts w:ascii="Arial" w:hAnsi="Arial" w:cs="Arial"/>
          </w:rPr>
          <w:t>https://jidc.org/index.php/journal/article/view/14910</w:t>
        </w:r>
      </w:hyperlink>
    </w:p>
    <w:p w14:paraId="047E5BD6" w14:textId="28A1EB5B" w:rsidR="00890189" w:rsidRPr="00AB0BD3" w:rsidRDefault="00890189" w:rsidP="0046084C">
      <w:pPr>
        <w:spacing w:before="240" w:line="360" w:lineRule="auto"/>
        <w:jc w:val="both"/>
        <w:rPr>
          <w:rFonts w:ascii="Arial" w:hAnsi="Arial" w:cs="Arial"/>
        </w:rPr>
      </w:pPr>
      <w:r w:rsidRPr="00AB0BD3">
        <w:rPr>
          <w:rFonts w:ascii="Arial" w:hAnsi="Arial" w:cs="Arial"/>
        </w:rPr>
        <w:t xml:space="preserve">Srinivasan, S., Easterling, L., Rimal, B., Niu, X.M., Conlan, A.J., Dudas, P. and Kapur, V., </w:t>
      </w:r>
      <w:r w:rsidR="00BD2E7B" w:rsidRPr="00AB0BD3">
        <w:rPr>
          <w:rFonts w:ascii="Arial" w:hAnsi="Arial" w:cs="Arial"/>
        </w:rPr>
        <w:t>(</w:t>
      </w:r>
      <w:r w:rsidRPr="00AB0BD3">
        <w:rPr>
          <w:rFonts w:ascii="Arial" w:hAnsi="Arial" w:cs="Arial"/>
        </w:rPr>
        <w:t>2018</w:t>
      </w:r>
      <w:r w:rsidR="00BD2E7B" w:rsidRPr="00AB0BD3">
        <w:rPr>
          <w:rFonts w:ascii="Arial" w:hAnsi="Arial" w:cs="Arial"/>
        </w:rPr>
        <w:t>)</w:t>
      </w:r>
      <w:r w:rsidRPr="00AB0BD3">
        <w:rPr>
          <w:rFonts w:ascii="Arial" w:hAnsi="Arial" w:cs="Arial"/>
        </w:rPr>
        <w:t>. Prevalence of bovine tuberculosis in India: a systematic review and meta</w:t>
      </w:r>
      <w:r w:rsidRPr="00AB0BD3">
        <w:rPr>
          <w:rFonts w:ascii="Cambria Math" w:hAnsi="Cambria Math" w:cs="Cambria Math"/>
        </w:rPr>
        <w:t>‐</w:t>
      </w:r>
      <w:r w:rsidRPr="00AB0BD3">
        <w:rPr>
          <w:rFonts w:ascii="Arial" w:hAnsi="Arial" w:cs="Arial"/>
        </w:rPr>
        <w:t>analysis. </w:t>
      </w:r>
      <w:r w:rsidRPr="00AB0BD3">
        <w:rPr>
          <w:rFonts w:ascii="Arial" w:hAnsi="Arial" w:cs="Arial"/>
          <w:i/>
          <w:iCs/>
        </w:rPr>
        <w:t>Transboundary and emerging diseases</w:t>
      </w:r>
      <w:r w:rsidRPr="00AB0BD3">
        <w:rPr>
          <w:rFonts w:ascii="Arial" w:hAnsi="Arial" w:cs="Arial"/>
        </w:rPr>
        <w:t>, </w:t>
      </w:r>
      <w:r w:rsidRPr="00AB0BD3">
        <w:rPr>
          <w:rFonts w:ascii="Arial" w:hAnsi="Arial" w:cs="Arial"/>
          <w:i/>
          <w:iCs/>
        </w:rPr>
        <w:t>65</w:t>
      </w:r>
      <w:r w:rsidRPr="00AB0BD3">
        <w:rPr>
          <w:rFonts w:ascii="Arial" w:hAnsi="Arial" w:cs="Arial"/>
        </w:rPr>
        <w:t xml:space="preserve">(6), pp.1627-1640. </w:t>
      </w:r>
      <w:hyperlink r:id="rId92" w:history="1">
        <w:r w:rsidRPr="00AB0BD3">
          <w:rPr>
            <w:rStyle w:val="Hyperlink"/>
            <w:rFonts w:ascii="Arial" w:hAnsi="Arial" w:cs="Arial"/>
          </w:rPr>
          <w:t>https://onlinelibrary.wiley.com/doi/abs/10.1111/tbed.12915</w:t>
        </w:r>
      </w:hyperlink>
    </w:p>
    <w:p w14:paraId="596A99E7" w14:textId="24FCE496" w:rsidR="002202D1" w:rsidRPr="00AB0BD3" w:rsidRDefault="002202D1" w:rsidP="0046084C">
      <w:pPr>
        <w:spacing w:before="240" w:line="360" w:lineRule="auto"/>
        <w:jc w:val="both"/>
        <w:rPr>
          <w:rFonts w:ascii="Arial" w:hAnsi="Arial" w:cs="Arial"/>
        </w:rPr>
      </w:pPr>
      <w:r w:rsidRPr="00AB0BD3">
        <w:rPr>
          <w:rFonts w:ascii="Arial" w:hAnsi="Arial" w:cs="Arial"/>
        </w:rPr>
        <w:lastRenderedPageBreak/>
        <w:t xml:space="preserve">Sharma, S.K., Mohan, A. and Kohli, M., </w:t>
      </w:r>
      <w:r w:rsidR="00BD2E7B" w:rsidRPr="00AB0BD3">
        <w:rPr>
          <w:rFonts w:ascii="Arial" w:hAnsi="Arial" w:cs="Arial"/>
        </w:rPr>
        <w:t>(</w:t>
      </w:r>
      <w:r w:rsidRPr="00AB0BD3">
        <w:rPr>
          <w:rFonts w:ascii="Arial" w:hAnsi="Arial" w:cs="Arial"/>
        </w:rPr>
        <w:t>2021</w:t>
      </w:r>
      <w:r w:rsidR="00BD2E7B" w:rsidRPr="00AB0BD3">
        <w:rPr>
          <w:rFonts w:ascii="Arial" w:hAnsi="Arial" w:cs="Arial"/>
        </w:rPr>
        <w:t>)</w:t>
      </w:r>
      <w:r w:rsidRPr="00AB0BD3">
        <w:rPr>
          <w:rFonts w:ascii="Arial" w:hAnsi="Arial" w:cs="Arial"/>
        </w:rPr>
        <w:t>. Extrapulmonary tuberculosis. </w:t>
      </w:r>
      <w:r w:rsidRPr="00AB0BD3">
        <w:rPr>
          <w:rFonts w:ascii="Arial" w:hAnsi="Arial" w:cs="Arial"/>
          <w:i/>
          <w:iCs/>
        </w:rPr>
        <w:t>Expert review of respiratory medicine</w:t>
      </w:r>
      <w:r w:rsidRPr="00AB0BD3">
        <w:rPr>
          <w:rFonts w:ascii="Arial" w:hAnsi="Arial" w:cs="Arial"/>
        </w:rPr>
        <w:t>, </w:t>
      </w:r>
      <w:r w:rsidRPr="00AB0BD3">
        <w:rPr>
          <w:rFonts w:ascii="Arial" w:hAnsi="Arial" w:cs="Arial"/>
          <w:i/>
          <w:iCs/>
        </w:rPr>
        <w:t>15</w:t>
      </w:r>
      <w:r w:rsidRPr="00AB0BD3">
        <w:rPr>
          <w:rFonts w:ascii="Arial" w:hAnsi="Arial" w:cs="Arial"/>
        </w:rPr>
        <w:t xml:space="preserve">(7), pp.931-948. </w:t>
      </w:r>
      <w:hyperlink r:id="rId93" w:history="1">
        <w:r w:rsidRPr="00AB0BD3">
          <w:rPr>
            <w:rStyle w:val="Hyperlink"/>
            <w:rFonts w:ascii="Arial" w:hAnsi="Arial" w:cs="Arial"/>
          </w:rPr>
          <w:t>https://www.tandfonline.com/doi/abs/10.1080/17476348.2021.1927718</w:t>
        </w:r>
      </w:hyperlink>
    </w:p>
    <w:p w14:paraId="1203FC49" w14:textId="0F55C18C" w:rsidR="00280F11" w:rsidRPr="00AB0BD3" w:rsidRDefault="00280F11" w:rsidP="0046084C">
      <w:pPr>
        <w:spacing w:before="240" w:line="360" w:lineRule="auto"/>
        <w:jc w:val="both"/>
        <w:rPr>
          <w:rFonts w:ascii="Arial" w:hAnsi="Arial" w:cs="Arial"/>
        </w:rPr>
      </w:pPr>
      <w:r w:rsidRPr="00AB0BD3">
        <w:rPr>
          <w:rFonts w:ascii="Arial" w:hAnsi="Arial" w:cs="Arial"/>
        </w:rPr>
        <w:t xml:space="preserve">Shah, H., Patel, J., Rai, S. and Sen, A., </w:t>
      </w:r>
      <w:r w:rsidR="00BD2E7B" w:rsidRPr="00AB0BD3">
        <w:rPr>
          <w:rFonts w:ascii="Arial" w:hAnsi="Arial" w:cs="Arial"/>
        </w:rPr>
        <w:t>(</w:t>
      </w:r>
      <w:r w:rsidRPr="00AB0BD3">
        <w:rPr>
          <w:rFonts w:ascii="Arial" w:hAnsi="Arial" w:cs="Arial"/>
        </w:rPr>
        <w:t>2025</w:t>
      </w:r>
      <w:r w:rsidR="00BD2E7B" w:rsidRPr="00AB0BD3">
        <w:rPr>
          <w:rFonts w:ascii="Arial" w:hAnsi="Arial" w:cs="Arial"/>
        </w:rPr>
        <w:t>)</w:t>
      </w:r>
      <w:r w:rsidRPr="00AB0BD3">
        <w:rPr>
          <w:rFonts w:ascii="Arial" w:hAnsi="Arial" w:cs="Arial"/>
        </w:rPr>
        <w:t>. Advancing tuberculosis elimination in India: a qualitative review of current strategies and areas for improvement in tuberculosis preventive treatment. </w:t>
      </w:r>
      <w:r w:rsidRPr="00AB0BD3">
        <w:rPr>
          <w:rFonts w:ascii="Arial" w:hAnsi="Arial" w:cs="Arial"/>
          <w:i/>
          <w:iCs/>
        </w:rPr>
        <w:t>IJID regions</w:t>
      </w:r>
      <w:r w:rsidRPr="00AB0BD3">
        <w:rPr>
          <w:rFonts w:ascii="Arial" w:hAnsi="Arial" w:cs="Arial"/>
        </w:rPr>
        <w:t>, </w:t>
      </w:r>
      <w:r w:rsidRPr="00AB0BD3">
        <w:rPr>
          <w:rFonts w:ascii="Arial" w:hAnsi="Arial" w:cs="Arial"/>
          <w:i/>
          <w:iCs/>
        </w:rPr>
        <w:t>14</w:t>
      </w:r>
      <w:r w:rsidRPr="00AB0BD3">
        <w:rPr>
          <w:rFonts w:ascii="Arial" w:hAnsi="Arial" w:cs="Arial"/>
        </w:rPr>
        <w:t xml:space="preserve">, p.100556. </w:t>
      </w:r>
      <w:hyperlink r:id="rId94" w:history="1">
        <w:r w:rsidRPr="00AB0BD3">
          <w:rPr>
            <w:rStyle w:val="Hyperlink"/>
            <w:rFonts w:ascii="Arial" w:hAnsi="Arial" w:cs="Arial"/>
          </w:rPr>
          <w:t>https://www.sciencedirect.com/science/article/pii/S277270762400225X</w:t>
        </w:r>
      </w:hyperlink>
    </w:p>
    <w:p w14:paraId="76084E82" w14:textId="250466AC" w:rsidR="00280F11" w:rsidRPr="00AB0BD3" w:rsidRDefault="00280F11" w:rsidP="0046084C">
      <w:pPr>
        <w:spacing w:before="240" w:line="360" w:lineRule="auto"/>
        <w:jc w:val="both"/>
        <w:rPr>
          <w:rFonts w:ascii="Arial" w:hAnsi="Arial" w:cs="Arial"/>
        </w:rPr>
      </w:pPr>
      <w:r w:rsidRPr="00AB0BD3">
        <w:rPr>
          <w:rFonts w:ascii="Arial" w:hAnsi="Arial" w:cs="Arial"/>
        </w:rPr>
        <w:t xml:space="preserve">Shewade, H.D., Nagaraja, S.B., Vanitha, B., Murthy, H.J.D., Bhargava, M., Singarajipura, A., Shastri, S.G., Patel, B.H., Davara, K., Reddy, R.C. and Kumar, A.M., </w:t>
      </w:r>
      <w:r w:rsidR="00F96501" w:rsidRPr="00AB0BD3">
        <w:rPr>
          <w:rFonts w:ascii="Arial" w:hAnsi="Arial" w:cs="Arial"/>
        </w:rPr>
        <w:t>(</w:t>
      </w:r>
      <w:r w:rsidRPr="00AB0BD3">
        <w:rPr>
          <w:rFonts w:ascii="Arial" w:hAnsi="Arial" w:cs="Arial"/>
        </w:rPr>
        <w:t>2022</w:t>
      </w:r>
      <w:r w:rsidR="00F96501" w:rsidRPr="00AB0BD3">
        <w:rPr>
          <w:rFonts w:ascii="Arial" w:hAnsi="Arial" w:cs="Arial"/>
        </w:rPr>
        <w:t>)</w:t>
      </w:r>
      <w:r w:rsidRPr="00AB0BD3">
        <w:rPr>
          <w:rFonts w:ascii="Arial" w:hAnsi="Arial" w:cs="Arial"/>
        </w:rPr>
        <w:t>. Screening for severe illness at diagnosis has the potential to prevent early TB deaths: programmatic experience from Karnataka, India. </w:t>
      </w:r>
      <w:r w:rsidRPr="00AB0BD3">
        <w:rPr>
          <w:rFonts w:ascii="Arial" w:hAnsi="Arial" w:cs="Arial"/>
          <w:i/>
          <w:iCs/>
        </w:rPr>
        <w:t>Global Health: Science and Practice</w:t>
      </w:r>
      <w:r w:rsidRPr="00AB0BD3">
        <w:rPr>
          <w:rFonts w:ascii="Arial" w:hAnsi="Arial" w:cs="Arial"/>
        </w:rPr>
        <w:t>, </w:t>
      </w:r>
      <w:r w:rsidRPr="00AB0BD3">
        <w:rPr>
          <w:rFonts w:ascii="Arial" w:hAnsi="Arial" w:cs="Arial"/>
          <w:i/>
          <w:iCs/>
        </w:rPr>
        <w:t>10</w:t>
      </w:r>
      <w:r w:rsidRPr="00AB0BD3">
        <w:rPr>
          <w:rFonts w:ascii="Arial" w:hAnsi="Arial" w:cs="Arial"/>
        </w:rPr>
        <w:t xml:space="preserve">(4). </w:t>
      </w:r>
      <w:hyperlink r:id="rId95" w:history="1">
        <w:r w:rsidRPr="00AB0BD3">
          <w:rPr>
            <w:rStyle w:val="Hyperlink"/>
            <w:rFonts w:ascii="Arial" w:hAnsi="Arial" w:cs="Arial"/>
          </w:rPr>
          <w:t>https://www.ghspjournal.org/content/10/4/e2100736.short</w:t>
        </w:r>
      </w:hyperlink>
    </w:p>
    <w:p w14:paraId="535A4992" w14:textId="17F7D923" w:rsidR="006166CC" w:rsidRPr="00AB0BD3" w:rsidRDefault="006166CC" w:rsidP="0046084C">
      <w:pPr>
        <w:spacing w:before="240" w:line="360" w:lineRule="auto"/>
        <w:jc w:val="both"/>
        <w:rPr>
          <w:rFonts w:ascii="Arial" w:hAnsi="Arial" w:cs="Arial"/>
        </w:rPr>
      </w:pPr>
      <w:r w:rsidRPr="00AB0BD3">
        <w:rPr>
          <w:rFonts w:ascii="Arial" w:hAnsi="Arial" w:cs="Arial"/>
        </w:rPr>
        <w:t xml:space="preserve">Shirvani, F., Karimi, A. and Rajabnejad, M., </w:t>
      </w:r>
      <w:r w:rsidR="00F96501" w:rsidRPr="00AB0BD3">
        <w:rPr>
          <w:rFonts w:ascii="Arial" w:hAnsi="Arial" w:cs="Arial"/>
        </w:rPr>
        <w:t>(</w:t>
      </w:r>
      <w:r w:rsidRPr="00AB0BD3">
        <w:rPr>
          <w:rFonts w:ascii="Arial" w:hAnsi="Arial" w:cs="Arial"/>
        </w:rPr>
        <w:t>2016</w:t>
      </w:r>
      <w:r w:rsidR="00F96501" w:rsidRPr="00AB0BD3">
        <w:rPr>
          <w:rFonts w:ascii="Arial" w:hAnsi="Arial" w:cs="Arial"/>
        </w:rPr>
        <w:t>)</w:t>
      </w:r>
      <w:r w:rsidRPr="00AB0BD3">
        <w:rPr>
          <w:rFonts w:ascii="Arial" w:hAnsi="Arial" w:cs="Arial"/>
        </w:rPr>
        <w:t>. BCG vaccination as a prevention strategy, threats and benefits. </w:t>
      </w:r>
      <w:r w:rsidRPr="00AB0BD3">
        <w:rPr>
          <w:rFonts w:ascii="Arial" w:hAnsi="Arial" w:cs="Arial"/>
          <w:i/>
          <w:iCs/>
        </w:rPr>
        <w:t>Arch Pediatr Infect Dis</w:t>
      </w:r>
      <w:r w:rsidRPr="00AB0BD3">
        <w:rPr>
          <w:rFonts w:ascii="Arial" w:hAnsi="Arial" w:cs="Arial"/>
        </w:rPr>
        <w:t>, </w:t>
      </w:r>
      <w:r w:rsidRPr="00AB0BD3">
        <w:rPr>
          <w:rFonts w:ascii="Arial" w:hAnsi="Arial" w:cs="Arial"/>
          <w:i/>
          <w:iCs/>
        </w:rPr>
        <w:t>4</w:t>
      </w:r>
      <w:r w:rsidRPr="00AB0BD3">
        <w:rPr>
          <w:rFonts w:ascii="Arial" w:hAnsi="Arial" w:cs="Arial"/>
        </w:rPr>
        <w:t xml:space="preserve">(2), p.e30180. </w:t>
      </w:r>
      <w:hyperlink r:id="rId96" w:history="1">
        <w:r w:rsidRPr="00AB0BD3">
          <w:rPr>
            <w:rStyle w:val="Hyperlink"/>
            <w:rFonts w:ascii="Arial" w:hAnsi="Arial" w:cs="Arial"/>
          </w:rPr>
          <w:t>https://www.academia.edu/download/94545713/20280-pdf.pdf</w:t>
        </w:r>
      </w:hyperlink>
    </w:p>
    <w:p w14:paraId="0128F6BA" w14:textId="4FAF44D3" w:rsidR="00253AFE" w:rsidRPr="00AB0BD3" w:rsidRDefault="00253AFE" w:rsidP="0046084C">
      <w:pPr>
        <w:spacing w:before="240" w:line="360" w:lineRule="auto"/>
        <w:jc w:val="both"/>
        <w:rPr>
          <w:rFonts w:ascii="Arial" w:hAnsi="Arial" w:cs="Arial"/>
        </w:rPr>
      </w:pPr>
      <w:r w:rsidRPr="00AB0BD3">
        <w:rPr>
          <w:rFonts w:ascii="Arial" w:hAnsi="Arial" w:cs="Arial"/>
        </w:rPr>
        <w:t xml:space="preserve">Singh, S., Sahu, D., Agrawal, A. and Vashi, M.D., </w:t>
      </w:r>
      <w:r w:rsidR="00F96501" w:rsidRPr="00AB0BD3">
        <w:rPr>
          <w:rFonts w:ascii="Arial" w:hAnsi="Arial" w:cs="Arial"/>
        </w:rPr>
        <w:t>(</w:t>
      </w:r>
      <w:r w:rsidRPr="00AB0BD3">
        <w:rPr>
          <w:rFonts w:ascii="Arial" w:hAnsi="Arial" w:cs="Arial"/>
        </w:rPr>
        <w:t>2019</w:t>
      </w:r>
      <w:r w:rsidR="00F96501" w:rsidRPr="00AB0BD3">
        <w:rPr>
          <w:rFonts w:ascii="Arial" w:hAnsi="Arial" w:cs="Arial"/>
        </w:rPr>
        <w:t>)</w:t>
      </w:r>
      <w:r w:rsidRPr="00AB0BD3">
        <w:rPr>
          <w:rFonts w:ascii="Arial" w:hAnsi="Arial" w:cs="Arial"/>
        </w:rPr>
        <w:t>. Barriers and opportunities for improving childhood immunization coverage in slums: A qualitative study. </w:t>
      </w:r>
      <w:r w:rsidRPr="00AB0BD3">
        <w:rPr>
          <w:rFonts w:ascii="Arial" w:hAnsi="Arial" w:cs="Arial"/>
          <w:i/>
          <w:iCs/>
        </w:rPr>
        <w:t>Preventive medicine reports</w:t>
      </w:r>
      <w:r w:rsidRPr="00AB0BD3">
        <w:rPr>
          <w:rFonts w:ascii="Arial" w:hAnsi="Arial" w:cs="Arial"/>
        </w:rPr>
        <w:t>, </w:t>
      </w:r>
      <w:r w:rsidRPr="00AB0BD3">
        <w:rPr>
          <w:rFonts w:ascii="Arial" w:hAnsi="Arial" w:cs="Arial"/>
          <w:i/>
          <w:iCs/>
        </w:rPr>
        <w:t>14</w:t>
      </w:r>
      <w:r w:rsidRPr="00AB0BD3">
        <w:rPr>
          <w:rFonts w:ascii="Arial" w:hAnsi="Arial" w:cs="Arial"/>
        </w:rPr>
        <w:t xml:space="preserve">, p.100858. </w:t>
      </w:r>
      <w:hyperlink r:id="rId97" w:history="1">
        <w:r w:rsidRPr="00AB0BD3">
          <w:rPr>
            <w:rStyle w:val="Hyperlink"/>
            <w:rFonts w:ascii="Arial" w:hAnsi="Arial" w:cs="Arial"/>
          </w:rPr>
          <w:t>https://www.sciencedirect.com/science/article/pii/S2211335519300439</w:t>
        </w:r>
      </w:hyperlink>
    </w:p>
    <w:p w14:paraId="07BC5654" w14:textId="45D95018" w:rsidR="001377BA" w:rsidRPr="00AB0BD3" w:rsidRDefault="001377BA" w:rsidP="0046084C">
      <w:pPr>
        <w:spacing w:before="240" w:line="360" w:lineRule="auto"/>
        <w:jc w:val="both"/>
        <w:rPr>
          <w:rFonts w:ascii="Arial" w:hAnsi="Arial" w:cs="Arial"/>
        </w:rPr>
      </w:pPr>
      <w:r w:rsidRPr="00AB0BD3">
        <w:rPr>
          <w:rFonts w:ascii="Arial" w:hAnsi="Arial" w:cs="Arial"/>
        </w:rPr>
        <w:t xml:space="preserve">Shimeles, E., Enquselassie, F., Aseffa, A., Tilahun, M., Mekonen, A., Wondimagegn, G. and Hailu, T., </w:t>
      </w:r>
      <w:r w:rsidR="00F96501" w:rsidRPr="00AB0BD3">
        <w:rPr>
          <w:rFonts w:ascii="Arial" w:hAnsi="Arial" w:cs="Arial"/>
        </w:rPr>
        <w:t>(</w:t>
      </w:r>
      <w:r w:rsidRPr="00AB0BD3">
        <w:rPr>
          <w:rFonts w:ascii="Arial" w:hAnsi="Arial" w:cs="Arial"/>
        </w:rPr>
        <w:t>2019</w:t>
      </w:r>
      <w:r w:rsidR="00F96501" w:rsidRPr="00AB0BD3">
        <w:rPr>
          <w:rFonts w:ascii="Arial" w:hAnsi="Arial" w:cs="Arial"/>
        </w:rPr>
        <w:t>)</w:t>
      </w:r>
      <w:r w:rsidRPr="00AB0BD3">
        <w:rPr>
          <w:rFonts w:ascii="Arial" w:hAnsi="Arial" w:cs="Arial"/>
        </w:rPr>
        <w:t>. Risk factors for tuberculosis: A case–control study in Addis Ababa, Ethiopia. </w:t>
      </w:r>
      <w:r w:rsidRPr="00AB0BD3">
        <w:rPr>
          <w:rFonts w:ascii="Arial" w:hAnsi="Arial" w:cs="Arial"/>
          <w:i/>
          <w:iCs/>
        </w:rPr>
        <w:t>PloS one</w:t>
      </w:r>
      <w:r w:rsidRPr="00AB0BD3">
        <w:rPr>
          <w:rFonts w:ascii="Arial" w:hAnsi="Arial" w:cs="Arial"/>
        </w:rPr>
        <w:t>, </w:t>
      </w:r>
      <w:r w:rsidRPr="00AB0BD3">
        <w:rPr>
          <w:rFonts w:ascii="Arial" w:hAnsi="Arial" w:cs="Arial"/>
          <w:i/>
          <w:iCs/>
        </w:rPr>
        <w:t>14</w:t>
      </w:r>
      <w:r w:rsidRPr="00AB0BD3">
        <w:rPr>
          <w:rFonts w:ascii="Arial" w:hAnsi="Arial" w:cs="Arial"/>
        </w:rPr>
        <w:t xml:space="preserve">(4), p.e0214235. </w:t>
      </w:r>
      <w:hyperlink r:id="rId98" w:history="1">
        <w:r w:rsidRPr="00AB0BD3">
          <w:rPr>
            <w:rStyle w:val="Hyperlink"/>
            <w:rFonts w:ascii="Arial" w:hAnsi="Arial" w:cs="Arial"/>
          </w:rPr>
          <w:t>https://journals.plos.org/plosone/article?id=10.1371/journal.pone.0214235</w:t>
        </w:r>
      </w:hyperlink>
    </w:p>
    <w:p w14:paraId="13CA96CA" w14:textId="55FCF90C" w:rsidR="00081D9E" w:rsidRPr="00AB0BD3" w:rsidRDefault="00081D9E" w:rsidP="0046084C">
      <w:pPr>
        <w:spacing w:before="240" w:line="360" w:lineRule="auto"/>
        <w:jc w:val="both"/>
        <w:rPr>
          <w:rFonts w:ascii="Arial" w:hAnsi="Arial" w:cs="Arial"/>
        </w:rPr>
      </w:pPr>
      <w:r w:rsidRPr="00AB0BD3">
        <w:rPr>
          <w:rFonts w:ascii="Arial" w:hAnsi="Arial" w:cs="Arial"/>
        </w:rPr>
        <w:t xml:space="preserve">Singh, S.K., Kashyap, G.C. and Puri, P., </w:t>
      </w:r>
      <w:r w:rsidR="00F96501" w:rsidRPr="00AB0BD3">
        <w:rPr>
          <w:rFonts w:ascii="Arial" w:hAnsi="Arial" w:cs="Arial"/>
        </w:rPr>
        <w:t>(</w:t>
      </w:r>
      <w:r w:rsidRPr="00AB0BD3">
        <w:rPr>
          <w:rFonts w:ascii="Arial" w:hAnsi="Arial" w:cs="Arial"/>
        </w:rPr>
        <w:t>2018</w:t>
      </w:r>
      <w:r w:rsidR="00F96501" w:rsidRPr="00AB0BD3">
        <w:rPr>
          <w:rFonts w:ascii="Arial" w:hAnsi="Arial" w:cs="Arial"/>
        </w:rPr>
        <w:t>)</w:t>
      </w:r>
      <w:r w:rsidRPr="00AB0BD3">
        <w:rPr>
          <w:rFonts w:ascii="Arial" w:hAnsi="Arial" w:cs="Arial"/>
        </w:rPr>
        <w:t>. Potential effect of household environment on prevalence of tuberculosis in India: evidence from the recent round of a cross-sectional survey. </w:t>
      </w:r>
      <w:r w:rsidRPr="00AB0BD3">
        <w:rPr>
          <w:rFonts w:ascii="Arial" w:hAnsi="Arial" w:cs="Arial"/>
          <w:i/>
          <w:iCs/>
        </w:rPr>
        <w:t>BMC pulmonary medicine</w:t>
      </w:r>
      <w:r w:rsidRPr="00AB0BD3">
        <w:rPr>
          <w:rFonts w:ascii="Arial" w:hAnsi="Arial" w:cs="Arial"/>
        </w:rPr>
        <w:t>, </w:t>
      </w:r>
      <w:r w:rsidRPr="00AB0BD3">
        <w:rPr>
          <w:rFonts w:ascii="Arial" w:hAnsi="Arial" w:cs="Arial"/>
          <w:i/>
          <w:iCs/>
        </w:rPr>
        <w:t>18</w:t>
      </w:r>
      <w:r w:rsidRPr="00AB0BD3">
        <w:rPr>
          <w:rFonts w:ascii="Arial" w:hAnsi="Arial" w:cs="Arial"/>
        </w:rPr>
        <w:t xml:space="preserve">(1), p.66. </w:t>
      </w:r>
      <w:hyperlink r:id="rId99" w:history="1">
        <w:r w:rsidRPr="00AB0BD3">
          <w:rPr>
            <w:rStyle w:val="Hyperlink"/>
            <w:rFonts w:ascii="Arial" w:hAnsi="Arial" w:cs="Arial"/>
          </w:rPr>
          <w:t>https://link.springer.com/article/10.1186/s12890-018-0627-3</w:t>
        </w:r>
      </w:hyperlink>
    </w:p>
    <w:p w14:paraId="372D0ADA" w14:textId="77777777" w:rsidR="002E018A" w:rsidRPr="00AB0BD3" w:rsidRDefault="002E018A" w:rsidP="002E018A">
      <w:pPr>
        <w:spacing w:before="240" w:line="360" w:lineRule="auto"/>
        <w:jc w:val="both"/>
        <w:rPr>
          <w:rFonts w:ascii="Arial" w:hAnsi="Arial" w:cs="Arial"/>
        </w:rPr>
      </w:pPr>
      <w:r w:rsidRPr="00AB0BD3">
        <w:rPr>
          <w:rFonts w:ascii="Arial" w:hAnsi="Arial" w:cs="Arial"/>
        </w:rPr>
        <w:t xml:space="preserve">Singh, U.B., Rade, K., Rao, R., Kumar, N., Mattoo, S.K., Nair, S., Zumla, A. and Sahu, S., (2025). Lessons and updates from India's National Tuberculosis Elimination </w:t>
      </w:r>
      <w:r w:rsidRPr="00AB0BD3">
        <w:rPr>
          <w:rFonts w:ascii="Arial" w:hAnsi="Arial" w:cs="Arial"/>
        </w:rPr>
        <w:lastRenderedPageBreak/>
        <w:t>Program–bold decisions and innovative ways of fast-tracking progress toward ending tuberculosis. </w:t>
      </w:r>
      <w:r w:rsidRPr="00AB0BD3">
        <w:rPr>
          <w:rFonts w:ascii="Arial" w:hAnsi="Arial" w:cs="Arial"/>
          <w:i/>
          <w:iCs/>
        </w:rPr>
        <w:t>IJID regions</w:t>
      </w:r>
      <w:r w:rsidRPr="00AB0BD3">
        <w:rPr>
          <w:rFonts w:ascii="Arial" w:hAnsi="Arial" w:cs="Arial"/>
        </w:rPr>
        <w:t>, </w:t>
      </w:r>
      <w:r w:rsidRPr="00AB0BD3">
        <w:rPr>
          <w:rFonts w:ascii="Arial" w:hAnsi="Arial" w:cs="Arial"/>
          <w:i/>
          <w:iCs/>
        </w:rPr>
        <w:t>14</w:t>
      </w:r>
      <w:r w:rsidRPr="00AB0BD3">
        <w:rPr>
          <w:rFonts w:ascii="Arial" w:hAnsi="Arial" w:cs="Arial"/>
        </w:rPr>
        <w:t xml:space="preserve">, p.100599. </w:t>
      </w:r>
      <w:hyperlink r:id="rId100" w:history="1">
        <w:r w:rsidRPr="00AB0BD3">
          <w:rPr>
            <w:rStyle w:val="Hyperlink"/>
            <w:rFonts w:ascii="Arial" w:hAnsi="Arial" w:cs="Arial"/>
          </w:rPr>
          <w:t>https://www.sciencedirect.com/science/article/pii/S2772707625000347</w:t>
        </w:r>
      </w:hyperlink>
    </w:p>
    <w:p w14:paraId="76CDF570" w14:textId="6659EE3B" w:rsidR="000C0736" w:rsidRDefault="000C0736" w:rsidP="002E018A">
      <w:pPr>
        <w:spacing w:before="240" w:line="360" w:lineRule="auto"/>
        <w:jc w:val="both"/>
        <w:rPr>
          <w:rFonts w:ascii="Arial" w:hAnsi="Arial" w:cs="Arial"/>
        </w:rPr>
      </w:pPr>
      <w:r w:rsidRPr="000C0736">
        <w:rPr>
          <w:rFonts w:ascii="Arial" w:hAnsi="Arial" w:cs="Arial"/>
        </w:rPr>
        <w:t xml:space="preserve">Singh, M., Dutta, M., Kodan, P. and Tripathy, S., </w:t>
      </w:r>
      <w:r w:rsidR="00AE04CF">
        <w:rPr>
          <w:rFonts w:ascii="Arial" w:hAnsi="Arial" w:cs="Arial"/>
        </w:rPr>
        <w:t>(</w:t>
      </w:r>
      <w:r w:rsidRPr="000C0736">
        <w:rPr>
          <w:rFonts w:ascii="Arial" w:hAnsi="Arial" w:cs="Arial"/>
        </w:rPr>
        <w:t>2020</w:t>
      </w:r>
      <w:r w:rsidR="00AE04CF">
        <w:rPr>
          <w:rFonts w:ascii="Arial" w:hAnsi="Arial" w:cs="Arial"/>
        </w:rPr>
        <w:t>)</w:t>
      </w:r>
      <w:r w:rsidRPr="000C0736">
        <w:rPr>
          <w:rFonts w:ascii="Arial" w:hAnsi="Arial" w:cs="Arial"/>
        </w:rPr>
        <w:t>. Vaccination against Tuberculosis: Beyond BCG. </w:t>
      </w:r>
      <w:r w:rsidRPr="000C0736">
        <w:rPr>
          <w:rFonts w:ascii="Arial" w:hAnsi="Arial" w:cs="Arial"/>
          <w:i/>
          <w:iCs/>
        </w:rPr>
        <w:t>J Respir Dis Med</w:t>
      </w:r>
      <w:r w:rsidRPr="000C0736">
        <w:rPr>
          <w:rFonts w:ascii="Arial" w:hAnsi="Arial" w:cs="Arial"/>
        </w:rPr>
        <w:t>, </w:t>
      </w:r>
      <w:r w:rsidRPr="000C0736">
        <w:rPr>
          <w:rFonts w:ascii="Arial" w:hAnsi="Arial" w:cs="Arial"/>
          <w:i/>
          <w:iCs/>
        </w:rPr>
        <w:t>2</w:t>
      </w:r>
      <w:r w:rsidRPr="000C0736">
        <w:rPr>
          <w:rFonts w:ascii="Arial" w:hAnsi="Arial" w:cs="Arial"/>
        </w:rPr>
        <w:t>, pp.1-6.</w:t>
      </w:r>
      <w:r>
        <w:rPr>
          <w:rFonts w:ascii="Arial" w:hAnsi="Arial" w:cs="Arial"/>
        </w:rPr>
        <w:t xml:space="preserve"> </w:t>
      </w:r>
      <w:hyperlink r:id="rId101" w:history="1">
        <w:r w:rsidRPr="001B69CC">
          <w:rPr>
            <w:rStyle w:val="Hyperlink"/>
            <w:rFonts w:ascii="Arial" w:hAnsi="Arial" w:cs="Arial"/>
          </w:rPr>
          <w:t>https://www.academia.edu/download/108822625/JRDM-2-117.pdf</w:t>
        </w:r>
      </w:hyperlink>
    </w:p>
    <w:p w14:paraId="56061919" w14:textId="54164E7D" w:rsidR="002E018A" w:rsidRPr="00AB0BD3" w:rsidRDefault="002E018A" w:rsidP="002E018A">
      <w:pPr>
        <w:spacing w:before="240" w:line="360" w:lineRule="auto"/>
        <w:jc w:val="both"/>
        <w:rPr>
          <w:rFonts w:ascii="Arial" w:hAnsi="Arial" w:cs="Arial"/>
        </w:rPr>
      </w:pPr>
      <w:r w:rsidRPr="00AB0BD3">
        <w:rPr>
          <w:rFonts w:ascii="Arial" w:hAnsi="Arial" w:cs="Arial"/>
        </w:rPr>
        <w:t>Sinha, S., Ajayababu, A., Thukral, H., Gupta, S., Guha, S.K., Basu, A., Gupta, G., Thakur, P., Lingaiah, R., Das, B.K. and Singh, U.B., (2022). Efficacy of Bacillus Calmette–Guérin (BCG) vaccination in reducing the incidence and severity of COVID-19 in high-risk population (BRIC): a phase III, multi-centre, quadruple-blind randomised control trial. </w:t>
      </w:r>
      <w:r w:rsidRPr="00AB0BD3">
        <w:rPr>
          <w:rFonts w:ascii="Arial" w:hAnsi="Arial" w:cs="Arial"/>
          <w:i/>
          <w:iCs/>
        </w:rPr>
        <w:t>Infectious Diseases and Therapy</w:t>
      </w:r>
      <w:r w:rsidRPr="00AB0BD3">
        <w:rPr>
          <w:rFonts w:ascii="Arial" w:hAnsi="Arial" w:cs="Arial"/>
        </w:rPr>
        <w:t>, </w:t>
      </w:r>
      <w:r w:rsidRPr="00AB0BD3">
        <w:rPr>
          <w:rFonts w:ascii="Arial" w:hAnsi="Arial" w:cs="Arial"/>
          <w:i/>
          <w:iCs/>
        </w:rPr>
        <w:t>11</w:t>
      </w:r>
      <w:r w:rsidRPr="00AB0BD3">
        <w:rPr>
          <w:rFonts w:ascii="Arial" w:hAnsi="Arial" w:cs="Arial"/>
        </w:rPr>
        <w:t xml:space="preserve">(6), pp.2205-2217. </w:t>
      </w:r>
      <w:hyperlink r:id="rId102" w:history="1">
        <w:r w:rsidRPr="00AB0BD3">
          <w:rPr>
            <w:rStyle w:val="Hyperlink"/>
            <w:rFonts w:ascii="Arial" w:hAnsi="Arial" w:cs="Arial"/>
          </w:rPr>
          <w:t>https://link.springer.com/article/10.1007/s40121-022-00703-y</w:t>
        </w:r>
      </w:hyperlink>
    </w:p>
    <w:p w14:paraId="42FDADFF" w14:textId="77777777" w:rsidR="002E018A" w:rsidRPr="00AB0BD3" w:rsidRDefault="002E018A" w:rsidP="002E018A">
      <w:pPr>
        <w:spacing w:before="240" w:line="360" w:lineRule="auto"/>
        <w:jc w:val="both"/>
        <w:rPr>
          <w:rFonts w:ascii="Arial" w:hAnsi="Arial" w:cs="Arial"/>
        </w:rPr>
      </w:pPr>
      <w:r w:rsidRPr="00AB0BD3">
        <w:rPr>
          <w:rFonts w:ascii="Arial" w:hAnsi="Arial" w:cs="Arial"/>
        </w:rPr>
        <w:t>Summan, A., Nandi, A., Deo, S. and Laxminarayan, R., (2021). Improving vaccination coverage and timeliness through periodic intensification of routine immunization: evidence from Mission Indradhanush. </w:t>
      </w:r>
      <w:r w:rsidRPr="00AB0BD3">
        <w:rPr>
          <w:rFonts w:ascii="Arial" w:hAnsi="Arial" w:cs="Arial"/>
          <w:i/>
          <w:iCs/>
        </w:rPr>
        <w:t>Annals of the New York Academy of Sciences</w:t>
      </w:r>
      <w:r w:rsidRPr="00AB0BD3">
        <w:rPr>
          <w:rFonts w:ascii="Arial" w:hAnsi="Arial" w:cs="Arial"/>
        </w:rPr>
        <w:t>, </w:t>
      </w:r>
      <w:r w:rsidRPr="00AB0BD3">
        <w:rPr>
          <w:rFonts w:ascii="Arial" w:hAnsi="Arial" w:cs="Arial"/>
          <w:i/>
          <w:iCs/>
        </w:rPr>
        <w:t>1502</w:t>
      </w:r>
      <w:r w:rsidRPr="00AB0BD3">
        <w:rPr>
          <w:rFonts w:ascii="Arial" w:hAnsi="Arial" w:cs="Arial"/>
        </w:rPr>
        <w:t xml:space="preserve">(1), pp.110-120. </w:t>
      </w:r>
      <w:hyperlink r:id="rId103" w:history="1">
        <w:r w:rsidRPr="00AB0BD3">
          <w:rPr>
            <w:rStyle w:val="Hyperlink"/>
            <w:rFonts w:ascii="Arial" w:hAnsi="Arial" w:cs="Arial"/>
          </w:rPr>
          <w:t>https://nyaspubs.onlinelibrary.wiley.com/doi/abs/10.1111/nyas.14657</w:t>
        </w:r>
      </w:hyperlink>
    </w:p>
    <w:p w14:paraId="55B76FD8" w14:textId="2B065F1F" w:rsidR="001377BA" w:rsidRPr="00AB0BD3" w:rsidRDefault="001377BA" w:rsidP="0046084C">
      <w:pPr>
        <w:spacing w:before="240" w:line="360" w:lineRule="auto"/>
        <w:jc w:val="both"/>
        <w:rPr>
          <w:rFonts w:ascii="Arial" w:hAnsi="Arial" w:cs="Arial"/>
        </w:rPr>
      </w:pPr>
      <w:r w:rsidRPr="00AB0BD3">
        <w:rPr>
          <w:rFonts w:ascii="Arial" w:hAnsi="Arial" w:cs="Arial"/>
        </w:rPr>
        <w:t xml:space="preserve">Silva, D.R., Muñoz-Torrico, M., Duarte, R., Galvão, T., Bonini, E.H., Arbex, F.F., Arbex, M.A., Augusto, V.M., Rabahi, M.F. and Mello, F.C.D.Q., </w:t>
      </w:r>
      <w:r w:rsidR="00F96501" w:rsidRPr="00AB0BD3">
        <w:rPr>
          <w:rFonts w:ascii="Arial" w:hAnsi="Arial" w:cs="Arial"/>
        </w:rPr>
        <w:t>(</w:t>
      </w:r>
      <w:r w:rsidRPr="00AB0BD3">
        <w:rPr>
          <w:rFonts w:ascii="Arial" w:hAnsi="Arial" w:cs="Arial"/>
        </w:rPr>
        <w:t>2018</w:t>
      </w:r>
      <w:r w:rsidR="00F96501" w:rsidRPr="00AB0BD3">
        <w:rPr>
          <w:rFonts w:ascii="Arial" w:hAnsi="Arial" w:cs="Arial"/>
        </w:rPr>
        <w:t>)</w:t>
      </w:r>
      <w:r w:rsidRPr="00AB0BD3">
        <w:rPr>
          <w:rFonts w:ascii="Arial" w:hAnsi="Arial" w:cs="Arial"/>
        </w:rPr>
        <w:t>. Risk factors for tuberculosis: diabetes, smoking, alcohol use, and the use of other drugs. </w:t>
      </w:r>
      <w:r w:rsidRPr="00AB0BD3">
        <w:rPr>
          <w:rFonts w:ascii="Arial" w:hAnsi="Arial" w:cs="Arial"/>
          <w:i/>
          <w:iCs/>
        </w:rPr>
        <w:t>Jornal Brasileiro de Pneumologia</w:t>
      </w:r>
      <w:r w:rsidRPr="00AB0BD3">
        <w:rPr>
          <w:rFonts w:ascii="Arial" w:hAnsi="Arial" w:cs="Arial"/>
        </w:rPr>
        <w:t>, </w:t>
      </w:r>
      <w:r w:rsidRPr="00AB0BD3">
        <w:rPr>
          <w:rFonts w:ascii="Arial" w:hAnsi="Arial" w:cs="Arial"/>
          <w:i/>
          <w:iCs/>
        </w:rPr>
        <w:t>44</w:t>
      </w:r>
      <w:r w:rsidRPr="00AB0BD3">
        <w:rPr>
          <w:rFonts w:ascii="Arial" w:hAnsi="Arial" w:cs="Arial"/>
        </w:rPr>
        <w:t xml:space="preserve">(02), pp.145-152. </w:t>
      </w:r>
      <w:hyperlink r:id="rId104" w:history="1">
        <w:r w:rsidRPr="00AB0BD3">
          <w:rPr>
            <w:rStyle w:val="Hyperlink"/>
            <w:rFonts w:ascii="Arial" w:hAnsi="Arial" w:cs="Arial"/>
          </w:rPr>
          <w:t>https://www.scielo.br/j/jbpneu/a/7YmvXDNKGPq39XHRnsRcf9b/?lang=en</w:t>
        </w:r>
      </w:hyperlink>
    </w:p>
    <w:p w14:paraId="0888CAC2" w14:textId="66105520" w:rsidR="00C75AEF" w:rsidRPr="00AB0BD3" w:rsidRDefault="00C75AEF" w:rsidP="0046084C">
      <w:pPr>
        <w:spacing w:before="240" w:line="360" w:lineRule="auto"/>
        <w:jc w:val="both"/>
        <w:rPr>
          <w:rFonts w:ascii="Arial" w:hAnsi="Arial" w:cs="Arial"/>
        </w:rPr>
      </w:pPr>
      <w:r w:rsidRPr="00AB0BD3">
        <w:rPr>
          <w:rFonts w:ascii="Arial" w:hAnsi="Arial" w:cs="Arial"/>
        </w:rPr>
        <w:t xml:space="preserve">Starshinova, A., Kudryavtsev, I.V., Rubinstein, A., Dovgalyuk, I., Kulpina, A., Churilov, L.P. and Kudlay, D., </w:t>
      </w:r>
      <w:r w:rsidR="00F96501" w:rsidRPr="00AB0BD3">
        <w:rPr>
          <w:rFonts w:ascii="Arial" w:hAnsi="Arial" w:cs="Arial"/>
        </w:rPr>
        <w:t>(</w:t>
      </w:r>
      <w:r w:rsidRPr="00AB0BD3">
        <w:rPr>
          <w:rFonts w:ascii="Arial" w:hAnsi="Arial" w:cs="Arial"/>
        </w:rPr>
        <w:t>2025</w:t>
      </w:r>
      <w:r w:rsidR="00F96501" w:rsidRPr="00AB0BD3">
        <w:rPr>
          <w:rFonts w:ascii="Arial" w:hAnsi="Arial" w:cs="Arial"/>
        </w:rPr>
        <w:t>)</w:t>
      </w:r>
      <w:r w:rsidRPr="00AB0BD3">
        <w:rPr>
          <w:rFonts w:ascii="Arial" w:hAnsi="Arial" w:cs="Arial"/>
        </w:rPr>
        <w:t>. BCG vaccination: historical role, modern applications, and future perspectives in tuberculosis and beyond. </w:t>
      </w:r>
      <w:r w:rsidRPr="00AB0BD3">
        <w:rPr>
          <w:rFonts w:ascii="Arial" w:hAnsi="Arial" w:cs="Arial"/>
          <w:i/>
          <w:iCs/>
        </w:rPr>
        <w:t>Frontiers in Pediatrics</w:t>
      </w:r>
      <w:r w:rsidRPr="00AB0BD3">
        <w:rPr>
          <w:rFonts w:ascii="Arial" w:hAnsi="Arial" w:cs="Arial"/>
        </w:rPr>
        <w:t>, </w:t>
      </w:r>
      <w:r w:rsidRPr="00AB0BD3">
        <w:rPr>
          <w:rFonts w:ascii="Arial" w:hAnsi="Arial" w:cs="Arial"/>
          <w:i/>
          <w:iCs/>
        </w:rPr>
        <w:t>13</w:t>
      </w:r>
      <w:r w:rsidRPr="00AB0BD3">
        <w:rPr>
          <w:rFonts w:ascii="Arial" w:hAnsi="Arial" w:cs="Arial"/>
        </w:rPr>
        <w:t xml:space="preserve">, p.1603732. </w:t>
      </w:r>
      <w:hyperlink r:id="rId105" w:history="1">
        <w:r w:rsidRPr="00AB0BD3">
          <w:rPr>
            <w:rStyle w:val="Hyperlink"/>
            <w:rFonts w:ascii="Arial" w:hAnsi="Arial" w:cs="Arial"/>
          </w:rPr>
          <w:t>https://www.frontiersin.org/journals/pediatrics/articles/10.3389/fped.2025.1603732/abstract</w:t>
        </w:r>
      </w:hyperlink>
    </w:p>
    <w:p w14:paraId="7417D07A" w14:textId="2D6DDFD3" w:rsidR="00963E45" w:rsidRPr="00AB0BD3" w:rsidRDefault="003E6686" w:rsidP="0046084C">
      <w:pPr>
        <w:spacing w:before="240" w:line="360" w:lineRule="auto"/>
        <w:jc w:val="both"/>
        <w:rPr>
          <w:rFonts w:ascii="Arial" w:hAnsi="Arial" w:cs="Arial"/>
        </w:rPr>
      </w:pPr>
      <w:r w:rsidRPr="00AB0BD3">
        <w:rPr>
          <w:rFonts w:ascii="Arial" w:hAnsi="Arial" w:cs="Arial"/>
        </w:rPr>
        <w:t xml:space="preserve">Swalehe, H.M. and Obeagu, E.I., </w:t>
      </w:r>
      <w:r w:rsidR="00F96501" w:rsidRPr="00AB0BD3">
        <w:rPr>
          <w:rFonts w:ascii="Arial" w:hAnsi="Arial" w:cs="Arial"/>
        </w:rPr>
        <w:t>(</w:t>
      </w:r>
      <w:r w:rsidRPr="00AB0BD3">
        <w:rPr>
          <w:rFonts w:ascii="Arial" w:hAnsi="Arial" w:cs="Arial"/>
        </w:rPr>
        <w:t>2024</w:t>
      </w:r>
      <w:r w:rsidR="00F96501" w:rsidRPr="00AB0BD3">
        <w:rPr>
          <w:rFonts w:ascii="Arial" w:hAnsi="Arial" w:cs="Arial"/>
        </w:rPr>
        <w:t>)</w:t>
      </w:r>
      <w:r w:rsidRPr="00AB0BD3">
        <w:rPr>
          <w:rFonts w:ascii="Arial" w:hAnsi="Arial" w:cs="Arial"/>
        </w:rPr>
        <w:t>. Tuberculosis: Current diagnosis and management. </w:t>
      </w:r>
      <w:r w:rsidRPr="00AB0BD3">
        <w:rPr>
          <w:rFonts w:ascii="Arial" w:hAnsi="Arial" w:cs="Arial"/>
          <w:i/>
          <w:iCs/>
        </w:rPr>
        <w:t>Elite Journal of Public Health</w:t>
      </w:r>
      <w:r w:rsidRPr="00AB0BD3">
        <w:rPr>
          <w:rFonts w:ascii="Arial" w:hAnsi="Arial" w:cs="Arial"/>
        </w:rPr>
        <w:t>, </w:t>
      </w:r>
      <w:r w:rsidRPr="00AB0BD3">
        <w:rPr>
          <w:rFonts w:ascii="Arial" w:hAnsi="Arial" w:cs="Arial"/>
          <w:i/>
          <w:iCs/>
        </w:rPr>
        <w:t>2</w:t>
      </w:r>
      <w:r w:rsidRPr="00AB0BD3">
        <w:rPr>
          <w:rFonts w:ascii="Arial" w:hAnsi="Arial" w:cs="Arial"/>
        </w:rPr>
        <w:t xml:space="preserve">(1), pp.23-33. </w:t>
      </w:r>
      <w:hyperlink r:id="rId106" w:history="1">
        <w:r w:rsidRPr="00AB0BD3">
          <w:rPr>
            <w:rStyle w:val="Hyperlink"/>
            <w:rFonts w:ascii="Arial" w:hAnsi="Arial" w:cs="Arial"/>
          </w:rPr>
          <w:t>https://www.academia.edu/download/111527042/Tuberculosis.pdf</w:t>
        </w:r>
      </w:hyperlink>
    </w:p>
    <w:p w14:paraId="78693A0F" w14:textId="7DAA58EF" w:rsidR="00DD5ADC" w:rsidRDefault="00DD5ADC" w:rsidP="00DD5ADC">
      <w:pPr>
        <w:spacing w:line="360" w:lineRule="auto"/>
        <w:jc w:val="both"/>
        <w:rPr>
          <w:rFonts w:ascii="Arial" w:hAnsi="Arial" w:cs="Arial"/>
        </w:rPr>
      </w:pPr>
      <w:r w:rsidRPr="001D37FF">
        <w:rPr>
          <w:rFonts w:ascii="Arial" w:hAnsi="Arial" w:cs="Arial"/>
        </w:rPr>
        <w:lastRenderedPageBreak/>
        <w:t xml:space="preserve">Sweeney, E., Dahly, D., Seddiq, N., Corcoran, G., Horgan, M. and Sadlier, C., </w:t>
      </w:r>
      <w:r w:rsidR="00AE04CF">
        <w:rPr>
          <w:rFonts w:ascii="Arial" w:hAnsi="Arial" w:cs="Arial"/>
        </w:rPr>
        <w:t>(</w:t>
      </w:r>
      <w:r w:rsidRPr="001D37FF">
        <w:rPr>
          <w:rFonts w:ascii="Arial" w:hAnsi="Arial" w:cs="Arial"/>
        </w:rPr>
        <w:t>2019</w:t>
      </w:r>
      <w:r w:rsidR="00AE04CF">
        <w:rPr>
          <w:rFonts w:ascii="Arial" w:hAnsi="Arial" w:cs="Arial"/>
        </w:rPr>
        <w:t>)</w:t>
      </w:r>
      <w:r w:rsidRPr="001D37FF">
        <w:rPr>
          <w:rFonts w:ascii="Arial" w:hAnsi="Arial" w:cs="Arial"/>
        </w:rPr>
        <w:t>. Impact of BCG vaccination on incidence of tuberculosis disease in southern Ireland. </w:t>
      </w:r>
      <w:r w:rsidRPr="001D37FF">
        <w:rPr>
          <w:rFonts w:ascii="Arial" w:hAnsi="Arial" w:cs="Arial"/>
          <w:i/>
          <w:iCs/>
        </w:rPr>
        <w:t>BMC Infectious Diseases</w:t>
      </w:r>
      <w:r w:rsidRPr="001D37FF">
        <w:rPr>
          <w:rFonts w:ascii="Arial" w:hAnsi="Arial" w:cs="Arial"/>
        </w:rPr>
        <w:t>, </w:t>
      </w:r>
      <w:r w:rsidRPr="001D37FF">
        <w:rPr>
          <w:rFonts w:ascii="Arial" w:hAnsi="Arial" w:cs="Arial"/>
          <w:i/>
          <w:iCs/>
        </w:rPr>
        <w:t>19</w:t>
      </w:r>
      <w:r w:rsidRPr="001D37FF">
        <w:rPr>
          <w:rFonts w:ascii="Arial" w:hAnsi="Arial" w:cs="Arial"/>
        </w:rPr>
        <w:t>(1), p.397.</w:t>
      </w:r>
      <w:r>
        <w:rPr>
          <w:rFonts w:ascii="Arial" w:hAnsi="Arial" w:cs="Arial"/>
        </w:rPr>
        <w:t xml:space="preserve"> </w:t>
      </w:r>
      <w:hyperlink r:id="rId107" w:history="1">
        <w:r w:rsidRPr="00B65757">
          <w:rPr>
            <w:rStyle w:val="Hyperlink"/>
            <w:rFonts w:ascii="Arial" w:hAnsi="Arial" w:cs="Arial"/>
          </w:rPr>
          <w:t>https://link.springer.com/article/10.1186/s12879-019-4026-z</w:t>
        </w:r>
      </w:hyperlink>
    </w:p>
    <w:p w14:paraId="3EB0F8BD" w14:textId="77777777" w:rsidR="003F75FD" w:rsidRPr="00AB0BD3" w:rsidRDefault="003F75FD" w:rsidP="003F75FD">
      <w:pPr>
        <w:spacing w:before="240" w:line="360" w:lineRule="auto"/>
        <w:jc w:val="both"/>
      </w:pPr>
      <w:r w:rsidRPr="00AB0BD3">
        <w:rPr>
          <w:rFonts w:ascii="Arial" w:hAnsi="Arial" w:cs="Arial"/>
        </w:rPr>
        <w:t>Taljaard, M., Hemming, K., Shah, L., Giraudeau, B., Grimshaw, J.M. and Weijer, C., (2017). Inadequacy of ethical conduct and reporting of stepped wedge cluster randomized trials: Results from a systematic review. </w:t>
      </w:r>
      <w:r w:rsidRPr="00AB0BD3">
        <w:rPr>
          <w:rFonts w:ascii="Arial" w:hAnsi="Arial" w:cs="Arial"/>
          <w:i/>
          <w:iCs/>
        </w:rPr>
        <w:t>Clinical Trials</w:t>
      </w:r>
      <w:r w:rsidRPr="00AB0BD3">
        <w:rPr>
          <w:rFonts w:ascii="Arial" w:hAnsi="Arial" w:cs="Arial"/>
        </w:rPr>
        <w:t>, </w:t>
      </w:r>
      <w:r w:rsidRPr="00AB0BD3">
        <w:rPr>
          <w:rFonts w:ascii="Arial" w:hAnsi="Arial" w:cs="Arial"/>
          <w:i/>
          <w:iCs/>
        </w:rPr>
        <w:t>14</w:t>
      </w:r>
      <w:r w:rsidRPr="00AB0BD3">
        <w:rPr>
          <w:rFonts w:ascii="Arial" w:hAnsi="Arial" w:cs="Arial"/>
        </w:rPr>
        <w:t xml:space="preserve">(4), pp.333-341. </w:t>
      </w:r>
      <w:hyperlink r:id="rId108" w:history="1">
        <w:r w:rsidRPr="00AB0BD3">
          <w:rPr>
            <w:rStyle w:val="Hyperlink"/>
            <w:rFonts w:ascii="Arial" w:hAnsi="Arial" w:cs="Arial"/>
          </w:rPr>
          <w:t>https://journals.sagepub.com/doi/abs/10.1177/1740774517703057</w:t>
        </w:r>
      </w:hyperlink>
    </w:p>
    <w:p w14:paraId="5F63106D" w14:textId="77777777" w:rsidR="002E018A" w:rsidRPr="00AB0BD3" w:rsidRDefault="002E018A" w:rsidP="002E018A">
      <w:pPr>
        <w:spacing w:line="360" w:lineRule="auto"/>
        <w:jc w:val="both"/>
        <w:rPr>
          <w:rFonts w:ascii="Arial" w:hAnsi="Arial" w:cs="Arial"/>
        </w:rPr>
      </w:pPr>
      <w:r w:rsidRPr="00AB0BD3">
        <w:rPr>
          <w:rFonts w:ascii="Arial" w:hAnsi="Arial" w:cs="Arial"/>
        </w:rPr>
        <w:t xml:space="preserve">Times of India (2025), </w:t>
      </w:r>
      <w:hyperlink r:id="rId109" w:history="1">
        <w:r w:rsidRPr="00AB0BD3">
          <w:rPr>
            <w:rStyle w:val="Hyperlink"/>
            <w:rFonts w:ascii="Arial" w:hAnsi="Arial" w:cs="Arial"/>
          </w:rPr>
          <w:t>https://timesofindia.indiatimes.com/city/delhi/tb-screening-finds-37-cases-in-urban-slums/articleshow/122455985.cms</w:t>
        </w:r>
      </w:hyperlink>
    </w:p>
    <w:p w14:paraId="38BE6B88" w14:textId="36415AC3" w:rsidR="00DD5ADC" w:rsidRDefault="00DD5ADC" w:rsidP="00DD5ADC">
      <w:pPr>
        <w:spacing w:line="360" w:lineRule="auto"/>
        <w:jc w:val="both"/>
        <w:rPr>
          <w:rFonts w:ascii="Arial" w:hAnsi="Arial" w:cs="Arial"/>
        </w:rPr>
      </w:pPr>
      <w:r w:rsidRPr="001D37FF">
        <w:rPr>
          <w:rFonts w:ascii="Arial" w:hAnsi="Arial" w:cs="Arial"/>
        </w:rPr>
        <w:t xml:space="preserve">Vedel, J.O., </w:t>
      </w:r>
      <w:r w:rsidR="004E39E2">
        <w:rPr>
          <w:rFonts w:ascii="Arial" w:hAnsi="Arial" w:cs="Arial"/>
        </w:rPr>
        <w:t>(</w:t>
      </w:r>
      <w:r w:rsidRPr="001D37FF">
        <w:rPr>
          <w:rFonts w:ascii="Arial" w:hAnsi="Arial" w:cs="Arial"/>
        </w:rPr>
        <w:t>2025</w:t>
      </w:r>
      <w:r w:rsidR="004E39E2">
        <w:rPr>
          <w:rFonts w:ascii="Arial" w:hAnsi="Arial" w:cs="Arial"/>
        </w:rPr>
        <w:t>)</w:t>
      </w:r>
      <w:r w:rsidRPr="001D37FF">
        <w:rPr>
          <w:rFonts w:ascii="Arial" w:hAnsi="Arial" w:cs="Arial"/>
        </w:rPr>
        <w:t>. The gap between the planned and real-life implementation of the vaccination programme: Timely and effective BCG vaccination in Guinea-Bissau.</w:t>
      </w:r>
      <w:r>
        <w:rPr>
          <w:rFonts w:ascii="Arial" w:hAnsi="Arial" w:cs="Arial"/>
        </w:rPr>
        <w:t xml:space="preserve"> </w:t>
      </w:r>
      <w:hyperlink r:id="rId110" w:history="1">
        <w:r w:rsidRPr="00B65757">
          <w:rPr>
            <w:rStyle w:val="Hyperlink"/>
            <w:rFonts w:ascii="Arial" w:hAnsi="Arial" w:cs="Arial"/>
          </w:rPr>
          <w:t>https://portal.findresearcher.sdu.dk/en/publications/the-gap-between-the-planned-and-real-life-implementation-of-the-v</w:t>
        </w:r>
      </w:hyperlink>
    </w:p>
    <w:p w14:paraId="1D8C2A5D" w14:textId="3AFEE4FA" w:rsidR="00556BBB" w:rsidRPr="00AB0BD3" w:rsidRDefault="00556BBB" w:rsidP="0046084C">
      <w:pPr>
        <w:spacing w:before="240" w:line="360" w:lineRule="auto"/>
        <w:jc w:val="both"/>
        <w:rPr>
          <w:rFonts w:ascii="Arial" w:hAnsi="Arial" w:cs="Arial"/>
        </w:rPr>
      </w:pPr>
      <w:r w:rsidRPr="00AB0BD3">
        <w:rPr>
          <w:rFonts w:ascii="Arial" w:hAnsi="Arial" w:cs="Arial"/>
        </w:rPr>
        <w:t xml:space="preserve">Verma, A., Singh, V., Singh Chouhan, A.P. and Dutt, P.K., </w:t>
      </w:r>
      <w:r w:rsidR="00F96501" w:rsidRPr="00AB0BD3">
        <w:rPr>
          <w:rFonts w:ascii="Arial" w:hAnsi="Arial" w:cs="Arial"/>
        </w:rPr>
        <w:t>(</w:t>
      </w:r>
      <w:r w:rsidRPr="00AB0BD3">
        <w:rPr>
          <w:rFonts w:ascii="Arial" w:hAnsi="Arial" w:cs="Arial"/>
        </w:rPr>
        <w:t>2024</w:t>
      </w:r>
      <w:r w:rsidR="00F96501" w:rsidRPr="00AB0BD3">
        <w:rPr>
          <w:rFonts w:ascii="Arial" w:hAnsi="Arial" w:cs="Arial"/>
        </w:rPr>
        <w:t>)</w:t>
      </w:r>
      <w:r w:rsidRPr="00AB0BD3">
        <w:rPr>
          <w:rFonts w:ascii="Arial" w:hAnsi="Arial" w:cs="Arial"/>
        </w:rPr>
        <w:t>. TUBERCULOSIS: SYMPTOMS, DIAGNOSIS AND THE FIGHT AGAINST DRUG RESISTANCE. </w:t>
      </w:r>
      <w:r w:rsidRPr="00AB0BD3">
        <w:rPr>
          <w:rFonts w:ascii="Arial" w:hAnsi="Arial" w:cs="Arial"/>
          <w:i/>
          <w:iCs/>
        </w:rPr>
        <w:t>Biochemical &amp; Cellular Archives</w:t>
      </w:r>
      <w:r w:rsidRPr="00AB0BD3">
        <w:rPr>
          <w:rFonts w:ascii="Arial" w:hAnsi="Arial" w:cs="Arial"/>
        </w:rPr>
        <w:t xml:space="preserve">. </w:t>
      </w:r>
      <w:hyperlink r:id="rId111" w:history="1">
        <w:r w:rsidRPr="00AB0BD3">
          <w:rPr>
            <w:rStyle w:val="Hyperlink"/>
            <w:rFonts w:ascii="Arial" w:hAnsi="Arial" w:cs="Arial"/>
          </w:rPr>
          <w:t>https://search.ebscohost.com/login.aspx?direct=true&amp;profile=ehost&amp;scope=site&amp;authtype=crawler&amp;jrnl=09725075&amp;AN=182333334&amp;h=Wy7q1KPKzriL0LTCYp%2BtQ0oI8KgQ0SUK52RLmx7DE9aE6rbmB%2BVssHzuQLpnelgMTnfC4Tr3UnXchYesG35%2Bxw%3D%3D&amp;crl=c</w:t>
        </w:r>
      </w:hyperlink>
    </w:p>
    <w:p w14:paraId="0FE9C4B2" w14:textId="0EDF4ECC" w:rsidR="00E5504D" w:rsidRPr="00AB0BD3" w:rsidRDefault="00E5504D" w:rsidP="0046084C">
      <w:pPr>
        <w:spacing w:before="240" w:line="360" w:lineRule="auto"/>
        <w:jc w:val="both"/>
      </w:pPr>
      <w:r w:rsidRPr="00AB0BD3">
        <w:rPr>
          <w:rFonts w:ascii="Arial" w:hAnsi="Arial" w:cs="Arial"/>
        </w:rPr>
        <w:t xml:space="preserve">Weerasuriya, C.K., Harris, R.C., McQuaid, C.F., Bozzani, F., Ruan, Y., Li, R., Li, T., Rade, K., Rao, R., Ginsberg, A.M. and Gomez, G.B., </w:t>
      </w:r>
      <w:r w:rsidR="00F96501" w:rsidRPr="00AB0BD3">
        <w:rPr>
          <w:rFonts w:ascii="Arial" w:hAnsi="Arial" w:cs="Arial"/>
        </w:rPr>
        <w:t>(</w:t>
      </w:r>
      <w:r w:rsidRPr="00AB0BD3">
        <w:rPr>
          <w:rFonts w:ascii="Arial" w:hAnsi="Arial" w:cs="Arial"/>
        </w:rPr>
        <w:t>2021</w:t>
      </w:r>
      <w:r w:rsidR="00F96501" w:rsidRPr="00AB0BD3">
        <w:rPr>
          <w:rFonts w:ascii="Arial" w:hAnsi="Arial" w:cs="Arial"/>
        </w:rPr>
        <w:t>)</w:t>
      </w:r>
      <w:r w:rsidRPr="00AB0BD3">
        <w:rPr>
          <w:rFonts w:ascii="Arial" w:hAnsi="Arial" w:cs="Arial"/>
        </w:rPr>
        <w:t>. The epidemiologic impact and cost-effectiveness of new tuberculosis vaccines on multidrug-resistant tuberculosis in India and China. </w:t>
      </w:r>
      <w:r w:rsidRPr="00AB0BD3">
        <w:rPr>
          <w:rFonts w:ascii="Arial" w:hAnsi="Arial" w:cs="Arial"/>
          <w:i/>
          <w:iCs/>
        </w:rPr>
        <w:t>BMC medicine</w:t>
      </w:r>
      <w:r w:rsidRPr="00AB0BD3">
        <w:rPr>
          <w:rFonts w:ascii="Arial" w:hAnsi="Arial" w:cs="Arial"/>
        </w:rPr>
        <w:t>, </w:t>
      </w:r>
      <w:r w:rsidRPr="00AB0BD3">
        <w:rPr>
          <w:rFonts w:ascii="Arial" w:hAnsi="Arial" w:cs="Arial"/>
          <w:i/>
          <w:iCs/>
        </w:rPr>
        <w:t>19</w:t>
      </w:r>
      <w:r w:rsidRPr="00AB0BD3">
        <w:rPr>
          <w:rFonts w:ascii="Arial" w:hAnsi="Arial" w:cs="Arial"/>
        </w:rPr>
        <w:t xml:space="preserve">(1), p.60. </w:t>
      </w:r>
      <w:hyperlink r:id="rId112" w:history="1">
        <w:r w:rsidRPr="00AB0BD3">
          <w:rPr>
            <w:rStyle w:val="Hyperlink"/>
            <w:rFonts w:ascii="Arial" w:hAnsi="Arial" w:cs="Arial"/>
          </w:rPr>
          <w:t>https://link.springer.com/article/10.1186/s12916-021-01932-7</w:t>
        </w:r>
      </w:hyperlink>
    </w:p>
    <w:p w14:paraId="74387953" w14:textId="77777777" w:rsidR="002E018A" w:rsidRPr="00AB0BD3" w:rsidRDefault="002E018A" w:rsidP="002E018A">
      <w:pPr>
        <w:spacing w:line="360" w:lineRule="auto"/>
        <w:jc w:val="both"/>
        <w:rPr>
          <w:rFonts w:ascii="Arial" w:hAnsi="Arial" w:cs="Arial"/>
        </w:rPr>
      </w:pPr>
      <w:r w:rsidRPr="00AB0BD3">
        <w:rPr>
          <w:rFonts w:ascii="Arial" w:hAnsi="Arial" w:cs="Arial"/>
        </w:rPr>
        <w:t xml:space="preserve">WHO (2024), Global Tuberculosis reports, </w:t>
      </w:r>
      <w:hyperlink r:id="rId113" w:history="1">
        <w:r w:rsidRPr="00AB0BD3">
          <w:rPr>
            <w:rStyle w:val="Hyperlink"/>
            <w:rFonts w:ascii="Arial" w:hAnsi="Arial" w:cs="Arial"/>
          </w:rPr>
          <w:t>https://www.who.int/teams/global-programme-on-tuberculosis-and-lung-health/tb-reports/global-tuberculosis-report-2024</w:t>
        </w:r>
      </w:hyperlink>
    </w:p>
    <w:p w14:paraId="19CC61BD" w14:textId="6AB64F4C" w:rsidR="00D93E9D" w:rsidRPr="00AB0BD3" w:rsidRDefault="00D93E9D" w:rsidP="0046084C">
      <w:pPr>
        <w:spacing w:before="240" w:line="360" w:lineRule="auto"/>
        <w:jc w:val="both"/>
        <w:rPr>
          <w:rFonts w:ascii="Arial" w:hAnsi="Arial" w:cs="Arial"/>
        </w:rPr>
      </w:pPr>
      <w:r w:rsidRPr="00AB0BD3">
        <w:rPr>
          <w:rFonts w:ascii="Arial" w:hAnsi="Arial" w:cs="Arial"/>
        </w:rPr>
        <w:lastRenderedPageBreak/>
        <w:t xml:space="preserve">WHO (2023), </w:t>
      </w:r>
      <w:hyperlink r:id="rId114" w:history="1">
        <w:r w:rsidRPr="00AB0BD3">
          <w:rPr>
            <w:rStyle w:val="Hyperlink"/>
            <w:rFonts w:ascii="Arial" w:hAnsi="Arial" w:cs="Arial"/>
          </w:rPr>
          <w:t>https://www.who.int/teams/global-programme-on-tuberculosis-and-lung-health/tb-reports/global-tuberculosis-report-2024/tb-disease-burden/1-1-tb-incidence</w:t>
        </w:r>
      </w:hyperlink>
    </w:p>
    <w:p w14:paraId="249575F7" w14:textId="223758D7" w:rsidR="000232B3" w:rsidRPr="00AB0BD3" w:rsidRDefault="008D7C98" w:rsidP="0046084C">
      <w:pPr>
        <w:spacing w:before="240" w:line="360" w:lineRule="auto"/>
        <w:jc w:val="both"/>
        <w:rPr>
          <w:rFonts w:ascii="Arial" w:hAnsi="Arial" w:cs="Arial"/>
        </w:rPr>
      </w:pPr>
      <w:r w:rsidRPr="00AB0BD3">
        <w:rPr>
          <w:rFonts w:ascii="Arial" w:hAnsi="Arial" w:cs="Arial"/>
        </w:rPr>
        <w:t xml:space="preserve">Yadav, K. and Prakash, S., </w:t>
      </w:r>
      <w:r w:rsidR="00F96501" w:rsidRPr="00AB0BD3">
        <w:rPr>
          <w:rFonts w:ascii="Arial" w:hAnsi="Arial" w:cs="Arial"/>
        </w:rPr>
        <w:t>(</w:t>
      </w:r>
      <w:r w:rsidRPr="00AB0BD3">
        <w:rPr>
          <w:rFonts w:ascii="Arial" w:hAnsi="Arial" w:cs="Arial"/>
        </w:rPr>
        <w:t>2017</w:t>
      </w:r>
      <w:r w:rsidR="00F96501" w:rsidRPr="00AB0BD3">
        <w:rPr>
          <w:rFonts w:ascii="Arial" w:hAnsi="Arial" w:cs="Arial"/>
        </w:rPr>
        <w:t>)</w:t>
      </w:r>
      <w:r w:rsidRPr="00AB0BD3">
        <w:rPr>
          <w:rFonts w:ascii="Arial" w:hAnsi="Arial" w:cs="Arial"/>
        </w:rPr>
        <w:t>. Tuberculosis: An airborne disease. </w:t>
      </w:r>
      <w:r w:rsidRPr="00AB0BD3">
        <w:rPr>
          <w:rFonts w:ascii="Arial" w:hAnsi="Arial" w:cs="Arial"/>
          <w:i/>
          <w:iCs/>
        </w:rPr>
        <w:t>Global journal of Microbiology research</w:t>
      </w:r>
      <w:r w:rsidRPr="00AB0BD3">
        <w:rPr>
          <w:rFonts w:ascii="Arial" w:hAnsi="Arial" w:cs="Arial"/>
        </w:rPr>
        <w:t>, </w:t>
      </w:r>
      <w:r w:rsidRPr="00AB0BD3">
        <w:rPr>
          <w:rFonts w:ascii="Arial" w:hAnsi="Arial" w:cs="Arial"/>
          <w:i/>
          <w:iCs/>
        </w:rPr>
        <w:t>5</w:t>
      </w:r>
      <w:r w:rsidRPr="00AB0BD3">
        <w:rPr>
          <w:rFonts w:ascii="Arial" w:hAnsi="Arial" w:cs="Arial"/>
        </w:rPr>
        <w:t xml:space="preserve">(5), pp.225-243. </w:t>
      </w:r>
      <w:hyperlink r:id="rId115" w:history="1">
        <w:r w:rsidRPr="00AB0BD3">
          <w:rPr>
            <w:rStyle w:val="Hyperlink"/>
            <w:rFonts w:ascii="Arial" w:hAnsi="Arial" w:cs="Arial"/>
          </w:rPr>
          <w:t>https://www.academia.edu/download/82339609/250920177240.pdf</w:t>
        </w:r>
      </w:hyperlink>
    </w:p>
    <w:p w14:paraId="222E7C47" w14:textId="0713192F" w:rsidR="006A370E" w:rsidRPr="00AB0BD3" w:rsidRDefault="006A370E" w:rsidP="0046084C">
      <w:pPr>
        <w:spacing w:before="240" w:line="360" w:lineRule="auto"/>
        <w:jc w:val="both"/>
        <w:rPr>
          <w:rFonts w:ascii="Arial" w:hAnsi="Arial" w:cs="Arial"/>
        </w:rPr>
      </w:pPr>
      <w:r w:rsidRPr="00AB0BD3">
        <w:rPr>
          <w:rFonts w:ascii="Arial" w:hAnsi="Arial" w:cs="Arial"/>
        </w:rPr>
        <w:t xml:space="preserve">Zein, R.A., Suhariadi, F. and Hendriani, W., </w:t>
      </w:r>
      <w:r w:rsidR="00F96501" w:rsidRPr="00AB0BD3">
        <w:rPr>
          <w:rFonts w:ascii="Arial" w:hAnsi="Arial" w:cs="Arial"/>
        </w:rPr>
        <w:t>(</w:t>
      </w:r>
      <w:r w:rsidRPr="00AB0BD3">
        <w:rPr>
          <w:rFonts w:ascii="Arial" w:hAnsi="Arial" w:cs="Arial"/>
        </w:rPr>
        <w:t>2017</w:t>
      </w:r>
      <w:r w:rsidR="00F96501" w:rsidRPr="00AB0BD3">
        <w:rPr>
          <w:rFonts w:ascii="Arial" w:hAnsi="Arial" w:cs="Arial"/>
        </w:rPr>
        <w:t>)</w:t>
      </w:r>
      <w:r w:rsidRPr="00AB0BD3">
        <w:rPr>
          <w:rFonts w:ascii="Arial" w:hAnsi="Arial" w:cs="Arial"/>
        </w:rPr>
        <w:t>. Estimating the effect of lay knowledge and prior contact with pulmonary TB patients, on health-belief model in a high-risk pulmonary TB transmission population. </w:t>
      </w:r>
      <w:r w:rsidRPr="00AB0BD3">
        <w:rPr>
          <w:rFonts w:ascii="Arial" w:hAnsi="Arial" w:cs="Arial"/>
          <w:i/>
          <w:iCs/>
        </w:rPr>
        <w:t>Psychology Research and Behavior Management</w:t>
      </w:r>
      <w:r w:rsidRPr="00AB0BD3">
        <w:rPr>
          <w:rFonts w:ascii="Arial" w:hAnsi="Arial" w:cs="Arial"/>
        </w:rPr>
        <w:t xml:space="preserve">, pp.187-194. </w:t>
      </w:r>
      <w:hyperlink r:id="rId116" w:history="1">
        <w:r w:rsidRPr="00AB0BD3">
          <w:rPr>
            <w:rStyle w:val="Hyperlink"/>
            <w:rFonts w:ascii="Arial" w:hAnsi="Arial" w:cs="Arial"/>
          </w:rPr>
          <w:t>https://www.tandfonline.com/doi/abs/10.2147/PRBM.S134034</w:t>
        </w:r>
      </w:hyperlink>
    </w:p>
    <w:p w14:paraId="66015A19" w14:textId="77777777" w:rsidR="003F75FD" w:rsidRPr="00AB0BD3" w:rsidRDefault="003F75FD" w:rsidP="003F75FD">
      <w:pPr>
        <w:spacing w:before="240" w:line="360" w:lineRule="auto"/>
        <w:jc w:val="both"/>
        <w:rPr>
          <w:rFonts w:ascii="Arial" w:hAnsi="Arial" w:cs="Arial"/>
        </w:rPr>
      </w:pPr>
      <w:r w:rsidRPr="00AB0BD3">
        <w:rPr>
          <w:rFonts w:ascii="Arial" w:hAnsi="Arial" w:cs="Arial"/>
        </w:rPr>
        <w:t>Zahle, J., (2021). Interpretivism and qualitative research. In </w:t>
      </w:r>
      <w:r w:rsidRPr="00AB0BD3">
        <w:rPr>
          <w:rFonts w:ascii="Arial" w:hAnsi="Arial" w:cs="Arial"/>
          <w:i/>
          <w:iCs/>
        </w:rPr>
        <w:t>Stephen Turner and the Philosophy of the Social</w:t>
      </w:r>
      <w:r w:rsidRPr="00AB0BD3">
        <w:rPr>
          <w:rFonts w:ascii="Arial" w:hAnsi="Arial" w:cs="Arial"/>
        </w:rPr>
        <w:t xml:space="preserve"> (pp. 202-220). Brill. </w:t>
      </w:r>
      <w:hyperlink r:id="rId117" w:anchor="page=212" w:history="1">
        <w:r w:rsidRPr="00AB0BD3">
          <w:rPr>
            <w:rStyle w:val="Hyperlink"/>
            <w:rFonts w:ascii="Arial" w:hAnsi="Arial" w:cs="Arial"/>
          </w:rPr>
          <w:t>https://brill.com/downloadpdf/edcollbook/title/59707.pdf#page=212</w:t>
        </w:r>
      </w:hyperlink>
    </w:p>
    <w:p w14:paraId="78C80A8A" w14:textId="2DD8DB30" w:rsidR="004F0516" w:rsidRDefault="004F0516" w:rsidP="0046084C">
      <w:pPr>
        <w:spacing w:before="240" w:line="360" w:lineRule="auto"/>
        <w:jc w:val="both"/>
        <w:rPr>
          <w:rFonts w:ascii="Arial" w:hAnsi="Arial" w:cs="Arial"/>
        </w:rPr>
      </w:pPr>
      <w:r w:rsidRPr="00AB0BD3">
        <w:rPr>
          <w:rFonts w:ascii="Arial" w:hAnsi="Arial" w:cs="Arial"/>
        </w:rPr>
        <w:t xml:space="preserve">Zimmermann, P., Finn, A. and Curtis, N., </w:t>
      </w:r>
      <w:r w:rsidR="00F96501" w:rsidRPr="00AB0BD3">
        <w:rPr>
          <w:rFonts w:ascii="Arial" w:hAnsi="Arial" w:cs="Arial"/>
        </w:rPr>
        <w:t>(</w:t>
      </w:r>
      <w:r w:rsidRPr="00AB0BD3">
        <w:rPr>
          <w:rFonts w:ascii="Arial" w:hAnsi="Arial" w:cs="Arial"/>
        </w:rPr>
        <w:t>2018</w:t>
      </w:r>
      <w:r w:rsidR="00F96501" w:rsidRPr="00AB0BD3">
        <w:rPr>
          <w:rFonts w:ascii="Arial" w:hAnsi="Arial" w:cs="Arial"/>
        </w:rPr>
        <w:t>)</w:t>
      </w:r>
      <w:r w:rsidRPr="00AB0BD3">
        <w:rPr>
          <w:rFonts w:ascii="Arial" w:hAnsi="Arial" w:cs="Arial"/>
        </w:rPr>
        <w:t>. Does BCG vaccination protect against nontuberculous mycobacterial infection? A systematic review and meta-analysis. </w:t>
      </w:r>
      <w:r w:rsidRPr="00AB0BD3">
        <w:rPr>
          <w:rFonts w:ascii="Arial" w:hAnsi="Arial" w:cs="Arial"/>
          <w:i/>
          <w:iCs/>
        </w:rPr>
        <w:t>The Journal of infectious diseases</w:t>
      </w:r>
      <w:r w:rsidRPr="00AB0BD3">
        <w:rPr>
          <w:rFonts w:ascii="Arial" w:hAnsi="Arial" w:cs="Arial"/>
        </w:rPr>
        <w:t>, </w:t>
      </w:r>
      <w:r w:rsidRPr="00AB0BD3">
        <w:rPr>
          <w:rFonts w:ascii="Arial" w:hAnsi="Arial" w:cs="Arial"/>
          <w:i/>
          <w:iCs/>
        </w:rPr>
        <w:t>218</w:t>
      </w:r>
      <w:r w:rsidRPr="00AB0BD3">
        <w:rPr>
          <w:rFonts w:ascii="Arial" w:hAnsi="Arial" w:cs="Arial"/>
        </w:rPr>
        <w:t xml:space="preserve">(5), pp.679-687. </w:t>
      </w:r>
      <w:hyperlink r:id="rId118" w:history="1">
        <w:r w:rsidRPr="00AB0BD3">
          <w:rPr>
            <w:rStyle w:val="Hyperlink"/>
            <w:rFonts w:ascii="Arial" w:hAnsi="Arial" w:cs="Arial"/>
          </w:rPr>
          <w:t>https://academic.oup.com/jid/article-abstract/218/5/679/4964710</w:t>
        </w:r>
      </w:hyperlink>
    </w:p>
    <w:p w14:paraId="6D653002" w14:textId="77777777" w:rsidR="004F0516" w:rsidRDefault="004F0516" w:rsidP="0046084C">
      <w:pPr>
        <w:spacing w:before="240" w:line="360" w:lineRule="auto"/>
        <w:jc w:val="both"/>
        <w:rPr>
          <w:rFonts w:ascii="Arial" w:hAnsi="Arial" w:cs="Arial"/>
        </w:rPr>
      </w:pPr>
    </w:p>
    <w:p w14:paraId="491E9F6B" w14:textId="77777777" w:rsidR="006A370E" w:rsidRDefault="006A370E" w:rsidP="0046084C">
      <w:pPr>
        <w:spacing w:before="240" w:line="360" w:lineRule="auto"/>
        <w:jc w:val="both"/>
        <w:rPr>
          <w:rFonts w:ascii="Arial" w:hAnsi="Arial" w:cs="Arial"/>
        </w:rPr>
      </w:pPr>
    </w:p>
    <w:p w14:paraId="192BE03E" w14:textId="77777777" w:rsidR="008D7C98" w:rsidRDefault="008D7C98" w:rsidP="0046084C">
      <w:pPr>
        <w:spacing w:before="240" w:line="360" w:lineRule="auto"/>
        <w:jc w:val="both"/>
        <w:rPr>
          <w:rFonts w:ascii="Arial" w:hAnsi="Arial" w:cs="Arial"/>
        </w:rPr>
      </w:pPr>
    </w:p>
    <w:p w14:paraId="1C0E9884" w14:textId="77777777" w:rsidR="008D7C98" w:rsidRPr="0046084C" w:rsidRDefault="008D7C98" w:rsidP="0046084C">
      <w:pPr>
        <w:spacing w:before="240" w:line="360" w:lineRule="auto"/>
        <w:jc w:val="both"/>
        <w:rPr>
          <w:rFonts w:ascii="Arial" w:hAnsi="Arial" w:cs="Arial"/>
        </w:rPr>
      </w:pPr>
    </w:p>
    <w:sectPr w:rsidR="008D7C98" w:rsidRPr="0046084C">
      <w:footerReference w:type="default" r:id="rId1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0F3C74" w14:textId="77777777" w:rsidR="00542FED" w:rsidRDefault="00542FED" w:rsidP="006C2D89">
      <w:pPr>
        <w:spacing w:after="0" w:line="240" w:lineRule="auto"/>
      </w:pPr>
      <w:r>
        <w:separator/>
      </w:r>
    </w:p>
  </w:endnote>
  <w:endnote w:type="continuationSeparator" w:id="0">
    <w:p w14:paraId="0750BEF6" w14:textId="77777777" w:rsidR="00542FED" w:rsidRDefault="00542FED" w:rsidP="006C2D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70916857"/>
      <w:docPartObj>
        <w:docPartGallery w:val="Page Numbers (Bottom of Page)"/>
        <w:docPartUnique/>
      </w:docPartObj>
    </w:sdtPr>
    <w:sdtContent>
      <w:p w14:paraId="1C767370" w14:textId="2564F826" w:rsidR="006C2D89" w:rsidRDefault="006C2D89">
        <w:pPr>
          <w:pStyle w:val="Footer"/>
          <w:jc w:val="right"/>
        </w:pPr>
        <w:r>
          <w:fldChar w:fldCharType="begin"/>
        </w:r>
        <w:r>
          <w:instrText>PAGE   \* MERGEFORMAT</w:instrText>
        </w:r>
        <w:r>
          <w:fldChar w:fldCharType="separate"/>
        </w:r>
        <w:r>
          <w:t>2</w:t>
        </w:r>
        <w:r>
          <w:fldChar w:fldCharType="end"/>
        </w:r>
      </w:p>
    </w:sdtContent>
  </w:sdt>
  <w:p w14:paraId="2BDB8164" w14:textId="4C4D8DA6" w:rsidR="006C2D89" w:rsidRDefault="006C2D89">
    <w:pPr>
      <w:pStyle w:val="Footer"/>
    </w:pPr>
    <w:r>
      <w:t>Kruti Borad</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093A16" w14:textId="77777777" w:rsidR="00542FED" w:rsidRDefault="00542FED" w:rsidP="006C2D89">
      <w:pPr>
        <w:spacing w:after="0" w:line="240" w:lineRule="auto"/>
      </w:pPr>
      <w:r>
        <w:separator/>
      </w:r>
    </w:p>
  </w:footnote>
  <w:footnote w:type="continuationSeparator" w:id="0">
    <w:p w14:paraId="573C0E26" w14:textId="77777777" w:rsidR="00542FED" w:rsidRDefault="00542FED" w:rsidP="006C2D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1B4F69"/>
    <w:multiLevelType w:val="hybridMultilevel"/>
    <w:tmpl w:val="65C00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7B5598"/>
    <w:multiLevelType w:val="multilevel"/>
    <w:tmpl w:val="DA36CD68"/>
    <w:lvl w:ilvl="0">
      <w:start w:val="1"/>
      <w:numFmt w:val="decimal"/>
      <w:lvlText w:val="%1."/>
      <w:lvlJc w:val="left"/>
      <w:pPr>
        <w:tabs>
          <w:tab w:val="num" w:pos="502"/>
        </w:tabs>
        <w:ind w:left="502" w:hanging="360"/>
      </w:pPr>
    </w:lvl>
    <w:lvl w:ilvl="1" w:tentative="1">
      <w:start w:val="1"/>
      <w:numFmt w:val="decimal"/>
      <w:lvlText w:val="%2."/>
      <w:lvlJc w:val="left"/>
      <w:pPr>
        <w:tabs>
          <w:tab w:val="num" w:pos="1222"/>
        </w:tabs>
        <w:ind w:left="1222" w:hanging="360"/>
      </w:pPr>
    </w:lvl>
    <w:lvl w:ilvl="2" w:tentative="1">
      <w:start w:val="1"/>
      <w:numFmt w:val="decimal"/>
      <w:lvlText w:val="%3."/>
      <w:lvlJc w:val="left"/>
      <w:pPr>
        <w:tabs>
          <w:tab w:val="num" w:pos="1942"/>
        </w:tabs>
        <w:ind w:left="1942" w:hanging="360"/>
      </w:pPr>
    </w:lvl>
    <w:lvl w:ilvl="3" w:tentative="1">
      <w:start w:val="1"/>
      <w:numFmt w:val="decimal"/>
      <w:lvlText w:val="%4."/>
      <w:lvlJc w:val="left"/>
      <w:pPr>
        <w:tabs>
          <w:tab w:val="num" w:pos="2662"/>
        </w:tabs>
        <w:ind w:left="2662" w:hanging="360"/>
      </w:pPr>
    </w:lvl>
    <w:lvl w:ilvl="4" w:tentative="1">
      <w:start w:val="1"/>
      <w:numFmt w:val="decimal"/>
      <w:lvlText w:val="%5."/>
      <w:lvlJc w:val="left"/>
      <w:pPr>
        <w:tabs>
          <w:tab w:val="num" w:pos="3382"/>
        </w:tabs>
        <w:ind w:left="3382" w:hanging="360"/>
      </w:pPr>
    </w:lvl>
    <w:lvl w:ilvl="5" w:tentative="1">
      <w:start w:val="1"/>
      <w:numFmt w:val="decimal"/>
      <w:lvlText w:val="%6."/>
      <w:lvlJc w:val="left"/>
      <w:pPr>
        <w:tabs>
          <w:tab w:val="num" w:pos="4102"/>
        </w:tabs>
        <w:ind w:left="4102" w:hanging="360"/>
      </w:pPr>
    </w:lvl>
    <w:lvl w:ilvl="6" w:tentative="1">
      <w:start w:val="1"/>
      <w:numFmt w:val="decimal"/>
      <w:lvlText w:val="%7."/>
      <w:lvlJc w:val="left"/>
      <w:pPr>
        <w:tabs>
          <w:tab w:val="num" w:pos="4822"/>
        </w:tabs>
        <w:ind w:left="4822" w:hanging="360"/>
      </w:pPr>
    </w:lvl>
    <w:lvl w:ilvl="7" w:tentative="1">
      <w:start w:val="1"/>
      <w:numFmt w:val="decimal"/>
      <w:lvlText w:val="%8."/>
      <w:lvlJc w:val="left"/>
      <w:pPr>
        <w:tabs>
          <w:tab w:val="num" w:pos="5542"/>
        </w:tabs>
        <w:ind w:left="5542" w:hanging="360"/>
      </w:pPr>
    </w:lvl>
    <w:lvl w:ilvl="8" w:tentative="1">
      <w:start w:val="1"/>
      <w:numFmt w:val="decimal"/>
      <w:lvlText w:val="%9."/>
      <w:lvlJc w:val="left"/>
      <w:pPr>
        <w:tabs>
          <w:tab w:val="num" w:pos="6262"/>
        </w:tabs>
        <w:ind w:left="6262" w:hanging="360"/>
      </w:pPr>
    </w:lvl>
  </w:abstractNum>
  <w:abstractNum w:abstractNumId="2" w15:restartNumberingAfterBreak="0">
    <w:nsid w:val="51237ADF"/>
    <w:multiLevelType w:val="hybridMultilevel"/>
    <w:tmpl w:val="21680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48069D"/>
    <w:multiLevelType w:val="multilevel"/>
    <w:tmpl w:val="C5969E1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16cid:durableId="1594850728">
    <w:abstractNumId w:val="1"/>
  </w:num>
  <w:num w:numId="2" w16cid:durableId="1635210310">
    <w:abstractNumId w:val="2"/>
  </w:num>
  <w:num w:numId="3" w16cid:durableId="684523666">
    <w:abstractNumId w:val="0"/>
  </w:num>
  <w:num w:numId="4" w16cid:durableId="186046147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3A2C"/>
    <w:rsid w:val="00013459"/>
    <w:rsid w:val="000232B3"/>
    <w:rsid w:val="00066F06"/>
    <w:rsid w:val="00081D9E"/>
    <w:rsid w:val="00084D07"/>
    <w:rsid w:val="000A64A5"/>
    <w:rsid w:val="000B613A"/>
    <w:rsid w:val="000C0736"/>
    <w:rsid w:val="000D09D7"/>
    <w:rsid w:val="001377BA"/>
    <w:rsid w:val="0015714A"/>
    <w:rsid w:val="00196C3A"/>
    <w:rsid w:val="001978D7"/>
    <w:rsid w:val="001B5D32"/>
    <w:rsid w:val="001C44DE"/>
    <w:rsid w:val="001C579F"/>
    <w:rsid w:val="001E0D7E"/>
    <w:rsid w:val="002069A9"/>
    <w:rsid w:val="00206CF7"/>
    <w:rsid w:val="002202D1"/>
    <w:rsid w:val="002366B0"/>
    <w:rsid w:val="00244237"/>
    <w:rsid w:val="00253AFE"/>
    <w:rsid w:val="00254A7E"/>
    <w:rsid w:val="00280F11"/>
    <w:rsid w:val="002849A1"/>
    <w:rsid w:val="00291941"/>
    <w:rsid w:val="002E018A"/>
    <w:rsid w:val="002F2E0D"/>
    <w:rsid w:val="00310980"/>
    <w:rsid w:val="00310E2A"/>
    <w:rsid w:val="00313518"/>
    <w:rsid w:val="00335536"/>
    <w:rsid w:val="00345B07"/>
    <w:rsid w:val="00361DEC"/>
    <w:rsid w:val="003A3A09"/>
    <w:rsid w:val="003B414A"/>
    <w:rsid w:val="003C4B90"/>
    <w:rsid w:val="003E6686"/>
    <w:rsid w:val="003F434E"/>
    <w:rsid w:val="003F75FD"/>
    <w:rsid w:val="00403C9B"/>
    <w:rsid w:val="0040603E"/>
    <w:rsid w:val="00412630"/>
    <w:rsid w:val="00417BB3"/>
    <w:rsid w:val="004474B4"/>
    <w:rsid w:val="0046054C"/>
    <w:rsid w:val="0046084C"/>
    <w:rsid w:val="00490080"/>
    <w:rsid w:val="0049404D"/>
    <w:rsid w:val="00495ECE"/>
    <w:rsid w:val="004A071E"/>
    <w:rsid w:val="004A1B7F"/>
    <w:rsid w:val="004A56F1"/>
    <w:rsid w:val="004C6B26"/>
    <w:rsid w:val="004E39E2"/>
    <w:rsid w:val="004F0516"/>
    <w:rsid w:val="004F2450"/>
    <w:rsid w:val="0052700B"/>
    <w:rsid w:val="00542FED"/>
    <w:rsid w:val="00556BBB"/>
    <w:rsid w:val="00570C95"/>
    <w:rsid w:val="00584C66"/>
    <w:rsid w:val="0058602F"/>
    <w:rsid w:val="005C0572"/>
    <w:rsid w:val="005D133E"/>
    <w:rsid w:val="005D7B99"/>
    <w:rsid w:val="006166CC"/>
    <w:rsid w:val="00636104"/>
    <w:rsid w:val="00641DE9"/>
    <w:rsid w:val="00666DA7"/>
    <w:rsid w:val="00672C39"/>
    <w:rsid w:val="006812D3"/>
    <w:rsid w:val="00690E36"/>
    <w:rsid w:val="006A30F2"/>
    <w:rsid w:val="006A370E"/>
    <w:rsid w:val="006C2D89"/>
    <w:rsid w:val="007147E2"/>
    <w:rsid w:val="00717B0F"/>
    <w:rsid w:val="00753BDC"/>
    <w:rsid w:val="00797A13"/>
    <w:rsid w:val="007A0E41"/>
    <w:rsid w:val="007A74B9"/>
    <w:rsid w:val="007C0DE6"/>
    <w:rsid w:val="007E2859"/>
    <w:rsid w:val="00806EE1"/>
    <w:rsid w:val="008155A7"/>
    <w:rsid w:val="0082584A"/>
    <w:rsid w:val="00833B86"/>
    <w:rsid w:val="00834189"/>
    <w:rsid w:val="00850D98"/>
    <w:rsid w:val="00890189"/>
    <w:rsid w:val="00890B0E"/>
    <w:rsid w:val="008A4B38"/>
    <w:rsid w:val="008C2480"/>
    <w:rsid w:val="008D47EB"/>
    <w:rsid w:val="008D7C98"/>
    <w:rsid w:val="008E5228"/>
    <w:rsid w:val="00903671"/>
    <w:rsid w:val="0091359B"/>
    <w:rsid w:val="00925B53"/>
    <w:rsid w:val="00930128"/>
    <w:rsid w:val="0093658E"/>
    <w:rsid w:val="00963E45"/>
    <w:rsid w:val="00983D64"/>
    <w:rsid w:val="009A0B1D"/>
    <w:rsid w:val="009C2C1D"/>
    <w:rsid w:val="009C3E8B"/>
    <w:rsid w:val="009C590D"/>
    <w:rsid w:val="009D6CCA"/>
    <w:rsid w:val="009F4010"/>
    <w:rsid w:val="00A20467"/>
    <w:rsid w:val="00A4764F"/>
    <w:rsid w:val="00A5046A"/>
    <w:rsid w:val="00A526C7"/>
    <w:rsid w:val="00A5514D"/>
    <w:rsid w:val="00A66B7A"/>
    <w:rsid w:val="00A71981"/>
    <w:rsid w:val="00A85B59"/>
    <w:rsid w:val="00AB0BD3"/>
    <w:rsid w:val="00AC2EEA"/>
    <w:rsid w:val="00AE04CF"/>
    <w:rsid w:val="00AE32D6"/>
    <w:rsid w:val="00AE442C"/>
    <w:rsid w:val="00B26D9B"/>
    <w:rsid w:val="00B57C90"/>
    <w:rsid w:val="00BA558D"/>
    <w:rsid w:val="00BA5B6D"/>
    <w:rsid w:val="00BC415B"/>
    <w:rsid w:val="00BD2E7B"/>
    <w:rsid w:val="00BE3DAC"/>
    <w:rsid w:val="00BF5295"/>
    <w:rsid w:val="00C43955"/>
    <w:rsid w:val="00C5375B"/>
    <w:rsid w:val="00C541FE"/>
    <w:rsid w:val="00C75AEF"/>
    <w:rsid w:val="00C82724"/>
    <w:rsid w:val="00C83658"/>
    <w:rsid w:val="00C87D15"/>
    <w:rsid w:val="00C976A1"/>
    <w:rsid w:val="00CC4D22"/>
    <w:rsid w:val="00CF25D2"/>
    <w:rsid w:val="00D533EF"/>
    <w:rsid w:val="00D55F49"/>
    <w:rsid w:val="00D93E9D"/>
    <w:rsid w:val="00DA133C"/>
    <w:rsid w:val="00DA26EF"/>
    <w:rsid w:val="00DA41EB"/>
    <w:rsid w:val="00DB3A2C"/>
    <w:rsid w:val="00DD5ADC"/>
    <w:rsid w:val="00E16670"/>
    <w:rsid w:val="00E34877"/>
    <w:rsid w:val="00E5504D"/>
    <w:rsid w:val="00E977C4"/>
    <w:rsid w:val="00ED7BE7"/>
    <w:rsid w:val="00EF4080"/>
    <w:rsid w:val="00EF60E3"/>
    <w:rsid w:val="00F0259C"/>
    <w:rsid w:val="00F26625"/>
    <w:rsid w:val="00F50BD3"/>
    <w:rsid w:val="00F522B9"/>
    <w:rsid w:val="00F67463"/>
    <w:rsid w:val="00F96501"/>
    <w:rsid w:val="00F965B2"/>
    <w:rsid w:val="00FB2514"/>
    <w:rsid w:val="00FB66E1"/>
    <w:rsid w:val="00FC131E"/>
    <w:rsid w:val="00FD417E"/>
    <w:rsid w:val="00FE27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5F9D0B6"/>
  <w15:chartTrackingRefBased/>
  <w15:docId w15:val="{1284F7E4-7F9F-45EB-A9A3-B51E549475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4F2450"/>
    <w:pPr>
      <w:keepNext/>
      <w:keepLines/>
      <w:spacing w:before="240" w:after="0" w:line="259" w:lineRule="auto"/>
      <w:outlineLvl w:val="0"/>
    </w:pPr>
    <w:rPr>
      <w:rFonts w:ascii="Arial" w:eastAsiaTheme="majorEastAsia" w:hAnsi="Arial" w:cstheme="majorBidi"/>
      <w:b/>
      <w:color w:val="000000" w:themeColor="text1"/>
      <w:kern w:val="0"/>
      <w:sz w:val="28"/>
      <w:szCs w:val="28"/>
      <w:lang w:eastAsia="en-GB"/>
      <w14:ligatures w14:val="none"/>
    </w:rPr>
  </w:style>
  <w:style w:type="paragraph" w:styleId="Heading2">
    <w:name w:val="heading 2"/>
    <w:next w:val="Normal"/>
    <w:link w:val="Heading2Char"/>
    <w:autoRedefine/>
    <w:uiPriority w:val="9"/>
    <w:unhideWhenUsed/>
    <w:qFormat/>
    <w:rsid w:val="009C2C1D"/>
    <w:pPr>
      <w:keepNext/>
      <w:keepLines/>
      <w:spacing w:after="152" w:line="265" w:lineRule="auto"/>
      <w:ind w:left="10" w:right="2" w:hanging="10"/>
      <w:outlineLvl w:val="1"/>
    </w:pPr>
    <w:rPr>
      <w:rFonts w:ascii="Arial" w:eastAsia="Times New Roman" w:hAnsi="Arial" w:cs="Times New Roman"/>
      <w:b/>
      <w:color w:val="000000"/>
    </w:rPr>
  </w:style>
  <w:style w:type="paragraph" w:styleId="Heading3">
    <w:name w:val="heading 3"/>
    <w:basedOn w:val="Normal"/>
    <w:next w:val="Normal"/>
    <w:link w:val="Heading3Char"/>
    <w:uiPriority w:val="9"/>
    <w:semiHidden/>
    <w:unhideWhenUsed/>
    <w:qFormat/>
    <w:rsid w:val="00DB3A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3A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3A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3A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3A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3A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3A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2450"/>
    <w:rPr>
      <w:rFonts w:ascii="Arial" w:eastAsiaTheme="majorEastAsia" w:hAnsi="Arial" w:cstheme="majorBidi"/>
      <w:b/>
      <w:color w:val="000000" w:themeColor="text1"/>
      <w:kern w:val="0"/>
      <w:sz w:val="28"/>
      <w:szCs w:val="28"/>
      <w:lang w:eastAsia="en-GB"/>
      <w14:ligatures w14:val="none"/>
    </w:rPr>
  </w:style>
  <w:style w:type="character" w:customStyle="1" w:styleId="Heading2Char">
    <w:name w:val="Heading 2 Char"/>
    <w:basedOn w:val="DefaultParagraphFont"/>
    <w:link w:val="Heading2"/>
    <w:uiPriority w:val="9"/>
    <w:rsid w:val="009C2C1D"/>
    <w:rPr>
      <w:rFonts w:ascii="Arial" w:eastAsia="Times New Roman" w:hAnsi="Arial" w:cs="Times New Roman"/>
      <w:b/>
      <w:color w:val="000000"/>
    </w:rPr>
  </w:style>
  <w:style w:type="character" w:customStyle="1" w:styleId="Heading3Char">
    <w:name w:val="Heading 3 Char"/>
    <w:basedOn w:val="DefaultParagraphFont"/>
    <w:link w:val="Heading3"/>
    <w:uiPriority w:val="9"/>
    <w:semiHidden/>
    <w:rsid w:val="00DB3A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3A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3A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3A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3A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3A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3A2C"/>
    <w:rPr>
      <w:rFonts w:eastAsiaTheme="majorEastAsia" w:cstheme="majorBidi"/>
      <w:color w:val="272727" w:themeColor="text1" w:themeTint="D8"/>
    </w:rPr>
  </w:style>
  <w:style w:type="paragraph" w:styleId="Title">
    <w:name w:val="Title"/>
    <w:basedOn w:val="Normal"/>
    <w:next w:val="Normal"/>
    <w:link w:val="TitleChar"/>
    <w:uiPriority w:val="10"/>
    <w:qFormat/>
    <w:rsid w:val="00DB3A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3A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3A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3A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3A2C"/>
    <w:pPr>
      <w:spacing w:before="160"/>
      <w:jc w:val="center"/>
    </w:pPr>
    <w:rPr>
      <w:i/>
      <w:iCs/>
      <w:color w:val="404040" w:themeColor="text1" w:themeTint="BF"/>
    </w:rPr>
  </w:style>
  <w:style w:type="character" w:customStyle="1" w:styleId="QuoteChar">
    <w:name w:val="Quote Char"/>
    <w:basedOn w:val="DefaultParagraphFont"/>
    <w:link w:val="Quote"/>
    <w:uiPriority w:val="29"/>
    <w:rsid w:val="00DB3A2C"/>
    <w:rPr>
      <w:i/>
      <w:iCs/>
      <w:color w:val="404040" w:themeColor="text1" w:themeTint="BF"/>
    </w:rPr>
  </w:style>
  <w:style w:type="paragraph" w:styleId="ListParagraph">
    <w:name w:val="List Paragraph"/>
    <w:basedOn w:val="Normal"/>
    <w:uiPriority w:val="34"/>
    <w:qFormat/>
    <w:rsid w:val="00DB3A2C"/>
    <w:pPr>
      <w:ind w:left="720"/>
      <w:contextualSpacing/>
    </w:pPr>
  </w:style>
  <w:style w:type="character" w:styleId="IntenseEmphasis">
    <w:name w:val="Intense Emphasis"/>
    <w:basedOn w:val="DefaultParagraphFont"/>
    <w:uiPriority w:val="21"/>
    <w:qFormat/>
    <w:rsid w:val="00DB3A2C"/>
    <w:rPr>
      <w:i/>
      <w:iCs/>
      <w:color w:val="0F4761" w:themeColor="accent1" w:themeShade="BF"/>
    </w:rPr>
  </w:style>
  <w:style w:type="paragraph" w:styleId="IntenseQuote">
    <w:name w:val="Intense Quote"/>
    <w:basedOn w:val="Normal"/>
    <w:next w:val="Normal"/>
    <w:link w:val="IntenseQuoteChar"/>
    <w:uiPriority w:val="30"/>
    <w:qFormat/>
    <w:rsid w:val="00DB3A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3A2C"/>
    <w:rPr>
      <w:i/>
      <w:iCs/>
      <w:color w:val="0F4761" w:themeColor="accent1" w:themeShade="BF"/>
    </w:rPr>
  </w:style>
  <w:style w:type="character" w:styleId="IntenseReference">
    <w:name w:val="Intense Reference"/>
    <w:basedOn w:val="DefaultParagraphFont"/>
    <w:uiPriority w:val="32"/>
    <w:qFormat/>
    <w:rsid w:val="00DB3A2C"/>
    <w:rPr>
      <w:b/>
      <w:bCs/>
      <w:smallCaps/>
      <w:color w:val="0F4761" w:themeColor="accent1" w:themeShade="BF"/>
      <w:spacing w:val="5"/>
    </w:rPr>
  </w:style>
  <w:style w:type="character" w:styleId="Hyperlink">
    <w:name w:val="Hyperlink"/>
    <w:basedOn w:val="DefaultParagraphFont"/>
    <w:uiPriority w:val="99"/>
    <w:unhideWhenUsed/>
    <w:rsid w:val="008D7C98"/>
    <w:rPr>
      <w:color w:val="467886" w:themeColor="hyperlink"/>
      <w:u w:val="single"/>
    </w:rPr>
  </w:style>
  <w:style w:type="character" w:styleId="UnresolvedMention">
    <w:name w:val="Unresolved Mention"/>
    <w:basedOn w:val="DefaultParagraphFont"/>
    <w:uiPriority w:val="99"/>
    <w:semiHidden/>
    <w:unhideWhenUsed/>
    <w:rsid w:val="008D7C98"/>
    <w:rPr>
      <w:color w:val="605E5C"/>
      <w:shd w:val="clear" w:color="auto" w:fill="E1DFDD"/>
    </w:rPr>
  </w:style>
  <w:style w:type="character" w:styleId="FollowedHyperlink">
    <w:name w:val="FollowedHyperlink"/>
    <w:basedOn w:val="DefaultParagraphFont"/>
    <w:uiPriority w:val="99"/>
    <w:semiHidden/>
    <w:unhideWhenUsed/>
    <w:rsid w:val="00D93E9D"/>
    <w:rPr>
      <w:color w:val="96607D" w:themeColor="followedHyperlink"/>
      <w:u w:val="single"/>
    </w:rPr>
  </w:style>
  <w:style w:type="table" w:styleId="TableGrid">
    <w:name w:val="Table Grid"/>
    <w:basedOn w:val="TableNormal"/>
    <w:uiPriority w:val="39"/>
    <w:rsid w:val="003F75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rsid w:val="00AB0BD3"/>
    <w:pPr>
      <w:widowControl w:val="0"/>
      <w:autoSpaceDE w:val="0"/>
      <w:autoSpaceDN w:val="0"/>
      <w:spacing w:before="100" w:beforeAutospacing="1" w:after="100" w:afterAutospacing="1" w:line="240" w:lineRule="auto"/>
      <w:ind w:left="108"/>
    </w:pPr>
    <w:rPr>
      <w:rFonts w:ascii="Arial" w:eastAsia="Times New Roman" w:hAnsi="Arial" w:cs="Arial"/>
      <w:kern w:val="0"/>
      <w:sz w:val="22"/>
      <w:szCs w:val="22"/>
      <w:lang w:eastAsia="en-GB" w:bidi="as-IN"/>
    </w:rPr>
  </w:style>
  <w:style w:type="paragraph" w:styleId="TOCHeading">
    <w:name w:val="TOC Heading"/>
    <w:basedOn w:val="Heading1"/>
    <w:next w:val="Normal"/>
    <w:uiPriority w:val="39"/>
    <w:unhideWhenUsed/>
    <w:qFormat/>
    <w:rsid w:val="00584C66"/>
    <w:pPr>
      <w:outlineLvl w:val="9"/>
    </w:pPr>
    <w:rPr>
      <w:rFonts w:asciiTheme="majorHAnsi" w:hAnsiTheme="majorHAnsi"/>
      <w:b w:val="0"/>
      <w:color w:val="0F4761" w:themeColor="accent1" w:themeShade="BF"/>
      <w:sz w:val="32"/>
    </w:rPr>
  </w:style>
  <w:style w:type="paragraph" w:styleId="TOC1">
    <w:name w:val="toc 1"/>
    <w:basedOn w:val="Normal"/>
    <w:next w:val="Normal"/>
    <w:autoRedefine/>
    <w:uiPriority w:val="39"/>
    <w:unhideWhenUsed/>
    <w:rsid w:val="00584C66"/>
    <w:pPr>
      <w:spacing w:after="100"/>
    </w:pPr>
  </w:style>
  <w:style w:type="paragraph" w:styleId="TOC2">
    <w:name w:val="toc 2"/>
    <w:basedOn w:val="Normal"/>
    <w:next w:val="Normal"/>
    <w:autoRedefine/>
    <w:uiPriority w:val="39"/>
    <w:unhideWhenUsed/>
    <w:rsid w:val="00584C66"/>
    <w:pPr>
      <w:spacing w:after="100"/>
      <w:ind w:left="240"/>
    </w:pPr>
  </w:style>
  <w:style w:type="paragraph" w:styleId="Header">
    <w:name w:val="header"/>
    <w:basedOn w:val="Normal"/>
    <w:link w:val="HeaderChar"/>
    <w:uiPriority w:val="99"/>
    <w:unhideWhenUsed/>
    <w:rsid w:val="006C2D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2D89"/>
  </w:style>
  <w:style w:type="paragraph" w:styleId="Footer">
    <w:name w:val="footer"/>
    <w:basedOn w:val="Normal"/>
    <w:link w:val="FooterChar"/>
    <w:uiPriority w:val="99"/>
    <w:unhideWhenUsed/>
    <w:rsid w:val="006C2D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2D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tandfonline.com/doi/abs/10.1080/21645515.2025.2521190" TargetMode="External"/><Relationship Id="rId117" Type="http://schemas.openxmlformats.org/officeDocument/2006/relationships/hyperlink" Target="https://brill.com/downloadpdf/edcollbook/title/59707.pdf" TargetMode="External"/><Relationship Id="rId21" Type="http://schemas.openxmlformats.org/officeDocument/2006/relationships/hyperlink" Target="https://journals.lww.com/ijmr/fulltext/2023/02000/The_potential_impact_of_vaccination_on.3.aspx" TargetMode="External"/><Relationship Id="rId42" Type="http://schemas.openxmlformats.org/officeDocument/2006/relationships/hyperlink" Target="https://www.thieme-connect.com/products/ejournals/html/10.1055/s-0038-1651492" TargetMode="External"/><Relationship Id="rId47" Type="http://schemas.openxmlformats.org/officeDocument/2006/relationships/hyperlink" Target="https://www.science.org/doi/abs/10.1126/scitranslmed.aax4607" TargetMode="External"/><Relationship Id="rId63" Type="http://schemas.openxmlformats.org/officeDocument/2006/relationships/hyperlink" Target="https://search.proquest.com/openview/ce3ca3a181347367c86b1eea43d396a9/1?pq-origsite=gscholar&amp;cbl=37213" TargetMode="External"/><Relationship Id="rId68" Type="http://schemas.openxmlformats.org/officeDocument/2006/relationships/hyperlink" Target="https://gh.bmj.com/content/3/5/e001135.abstract" TargetMode="External"/><Relationship Id="rId84" Type="http://schemas.openxmlformats.org/officeDocument/2006/relationships/hyperlink" Target="https://www.sciencedirect.com/science/article/pii/S0264410X24006972" TargetMode="External"/><Relationship Id="rId89" Type="http://schemas.openxmlformats.org/officeDocument/2006/relationships/hyperlink" Target="https://pmc.ncbi.nlm.nih.gov/articles/PMC10073608/" TargetMode="External"/><Relationship Id="rId112" Type="http://schemas.openxmlformats.org/officeDocument/2006/relationships/hyperlink" Target="https://link.springer.com/article/10.1186/s12916-021-01932-7" TargetMode="External"/><Relationship Id="rId16" Type="http://schemas.openxmlformats.org/officeDocument/2006/relationships/hyperlink" Target="https://www.sciencedirect.com/science/article/pii/S0264410X19308187" TargetMode="External"/><Relationship Id="rId107" Type="http://schemas.openxmlformats.org/officeDocument/2006/relationships/hyperlink" Target="https://link.springer.com/article/10.1186/s12879-019-4026-z" TargetMode="External"/><Relationship Id="rId11" Type="http://schemas.openxmlformats.org/officeDocument/2006/relationships/image" Target="media/image3.png"/><Relationship Id="rId32" Type="http://schemas.openxmlformats.org/officeDocument/2006/relationships/hyperlink" Target="https://link.springer.com/article/10.1186/s12916-023-02992-7" TargetMode="External"/><Relationship Id="rId37" Type="http://schemas.openxmlformats.org/officeDocument/2006/relationships/hyperlink" Target="https://www.thelancet.com/journals/lansea/article/PIIS2772-3682(23)00111-7/fulltext" TargetMode="External"/><Relationship Id="rId53" Type="http://schemas.openxmlformats.org/officeDocument/2006/relationships/hyperlink" Target="https://link.springer.com/article/10.1186/s12889-024-18586-8" TargetMode="External"/><Relationship Id="rId58" Type="http://schemas.openxmlformats.org/officeDocument/2006/relationships/hyperlink" Target="https://www.frontiersin.org/journals/medicine/articles/10.3389/fmed.2023.1160289/full" TargetMode="External"/><Relationship Id="rId74" Type="http://schemas.openxmlformats.org/officeDocument/2006/relationships/hyperlink" Target="https://link.springer.com/article/10.1186/s12889-024-20560-3" TargetMode="External"/><Relationship Id="rId79" Type="http://schemas.openxmlformats.org/officeDocument/2006/relationships/hyperlink" Target="https://www.healthlinejournal.org/index_pdf/269.pdf" TargetMode="External"/><Relationship Id="rId102" Type="http://schemas.openxmlformats.org/officeDocument/2006/relationships/hyperlink" Target="https://link.springer.com/article/10.1007/s40121-022-00703-y" TargetMode="External"/><Relationship Id="rId5" Type="http://schemas.openxmlformats.org/officeDocument/2006/relationships/footnotes" Target="footnotes.xml"/><Relationship Id="rId90" Type="http://schemas.openxmlformats.org/officeDocument/2006/relationships/hyperlink" Target="https://www.cell.com/med/fulltext/S2666-6340(21)00380-9?twclid=25bu238e5vmdie2tieupfaktgl" TargetMode="External"/><Relationship Id="rId95" Type="http://schemas.openxmlformats.org/officeDocument/2006/relationships/hyperlink" Target="https://www.ghspjournal.org/content/10/4/e2100736.short" TargetMode="External"/><Relationship Id="rId22" Type="http://schemas.openxmlformats.org/officeDocument/2006/relationships/hyperlink" Target="https://search.proquest.com/openview/21b8de9a65315a8d00d10bbe0a8b062d/1?pq-origsite=gscholar&amp;cbl=55152" TargetMode="External"/><Relationship Id="rId27" Type="http://schemas.openxmlformats.org/officeDocument/2006/relationships/hyperlink" Target="https://www.thelancet.com/journals/langlo/article/PIIS2214-109X(23)00045-1/fulltext" TargetMode="External"/><Relationship Id="rId43" Type="http://schemas.openxmlformats.org/officeDocument/2006/relationships/hyperlink" Target="https://journals.sagepub.com/doi/abs/10.1177/30502225251388151" TargetMode="External"/><Relationship Id="rId48" Type="http://schemas.openxmlformats.org/officeDocument/2006/relationships/hyperlink" Target="https://www.thelancet.com/journals/langlo/article/PIIS2214-109X(22)00325-4/fulltext" TargetMode="External"/><Relationship Id="rId64" Type="http://schemas.openxmlformats.org/officeDocument/2006/relationships/hyperlink" Target="https://search.proquest.com/openview/cb6a75050a977e917d2bde0d91237f3c/1?pq-origsite=gscholar&amp;cbl=2035580" TargetMode="External"/><Relationship Id="rId69" Type="http://schemas.openxmlformats.org/officeDocument/2006/relationships/hyperlink" Target="https://pmc.ncbi.nlm.nih.gov/articles/PMC5920540/" TargetMode="External"/><Relationship Id="rId113" Type="http://schemas.openxmlformats.org/officeDocument/2006/relationships/hyperlink" Target="https://www.who.int/teams/global-programme-on-tuberculosis-and-lung-health/tb-reports/global-tuberculosis-report-2024" TargetMode="External"/><Relationship Id="rId118" Type="http://schemas.openxmlformats.org/officeDocument/2006/relationships/hyperlink" Target="https://academic.oup.com/jid/article-abstract/218/5/679/4964710" TargetMode="External"/><Relationship Id="rId80" Type="http://schemas.openxmlformats.org/officeDocument/2006/relationships/hyperlink" Target="https://journals.plos.org/globalpublichealth/article?id=10.1371/journal.pgph.0000076" TargetMode="External"/><Relationship Id="rId85" Type="http://schemas.openxmlformats.org/officeDocument/2006/relationships/hyperlink" Target="https://gh.bmj.com/content/7/1/e006824" TargetMode="External"/><Relationship Id="rId12" Type="http://schemas.openxmlformats.org/officeDocument/2006/relationships/customXml" Target="ink/ink3.xml"/><Relationship Id="rId17" Type="http://schemas.openxmlformats.org/officeDocument/2006/relationships/hyperlink" Target="https://www.tandfonline.com/doi/full/10.1080/21645515.2023.2300158" TargetMode="External"/><Relationship Id="rId33" Type="http://schemas.openxmlformats.org/officeDocument/2006/relationships/hyperlink" Target="https://academic.oup.com/heapol/article-abstract/36/4/454/6177596" TargetMode="External"/><Relationship Id="rId38" Type="http://schemas.openxmlformats.org/officeDocument/2006/relationships/hyperlink" Target="https://journals.plos.org/plosone/article?id=10.1371/journal.pone.0253318" TargetMode="External"/><Relationship Id="rId59" Type="http://schemas.openxmlformats.org/officeDocument/2006/relationships/hyperlink" Target="https://www.cureus.com/articles/239876-bacillus-calmette-gurin-bcg-revaccination-and-protection-against-tuberculosis-a-systematic-review.pdf" TargetMode="External"/><Relationship Id="rId103" Type="http://schemas.openxmlformats.org/officeDocument/2006/relationships/hyperlink" Target="https://nyaspubs.onlinelibrary.wiley.com/doi/abs/10.1111/nyas.14657" TargetMode="External"/><Relationship Id="rId108" Type="http://schemas.openxmlformats.org/officeDocument/2006/relationships/hyperlink" Target="https://journals.sagepub.com/doi/abs/10.1177/1740774517703057" TargetMode="External"/><Relationship Id="rId54" Type="http://schemas.openxmlformats.org/officeDocument/2006/relationships/hyperlink" Target="https://academic.oup.com/jid/article-abstract/221/1/146/5556484" TargetMode="External"/><Relationship Id="rId70" Type="http://schemas.openxmlformats.org/officeDocument/2006/relationships/hyperlink" Target="https://pdfs.semanticscholar.org/5ae2/0df5a115861b0fa29a670a57909b2e7dd102.pdf" TargetMode="External"/><Relationship Id="rId75" Type="http://schemas.openxmlformats.org/officeDocument/2006/relationships/hyperlink" Target="https://journals.plos.org/plosone/article?id=10.1371/journal.pone.0301060" TargetMode="External"/><Relationship Id="rId91" Type="http://schemas.openxmlformats.org/officeDocument/2006/relationships/hyperlink" Target="https://jidc.org/index.php/journal/article/view/14910" TargetMode="External"/><Relationship Id="rId96" Type="http://schemas.openxmlformats.org/officeDocument/2006/relationships/hyperlink" Target="https://www.academia.edu/download/94545713/20280-pdf.pdf" TargetMode="External"/><Relationship Id="rId1" Type="http://schemas.openxmlformats.org/officeDocument/2006/relationships/numbering" Target="numbering.xml"/><Relationship Id="rId6" Type="http://schemas.openxmlformats.org/officeDocument/2006/relationships/endnotes" Target="endnotes.xml"/><Relationship Id="rId23" Type="http://schemas.openxmlformats.org/officeDocument/2006/relationships/hyperlink" Target="https://www.frontiersin.org/journals/immunology/articles/10.3389/fimmu.2024.1217098/full" TargetMode="External"/><Relationship Id="rId28" Type="http://schemas.openxmlformats.org/officeDocument/2006/relationships/hyperlink" Target="https://www.thelancet.com/journals/lansea/article/PIIS2772-3682(24)00074-X/fulltext" TargetMode="External"/><Relationship Id="rId49" Type="http://schemas.openxmlformats.org/officeDocument/2006/relationships/hyperlink" Target="https://academic.oup.com/cid/article-abstract/62/suppl_3/S262/2566592" TargetMode="External"/><Relationship Id="rId114" Type="http://schemas.openxmlformats.org/officeDocument/2006/relationships/hyperlink" Target="https://www.who.int/teams/global-programme-on-tuberculosis-and-lung-health/tb-reports/global-tuberculosis-report-2024/tb-disease-burden/1-1-tb-incidence" TargetMode="External"/><Relationship Id="rId119" Type="http://schemas.openxmlformats.org/officeDocument/2006/relationships/footer" Target="footer1.xml"/><Relationship Id="rId44" Type="http://schemas.openxmlformats.org/officeDocument/2006/relationships/hyperlink" Target="https://journals.sagepub.com/doi/abs/10.1177/08903344211058374" TargetMode="External"/><Relationship Id="rId60" Type="http://schemas.openxmlformats.org/officeDocument/2006/relationships/hyperlink" Target="https://gh.bmj.com/content/7/1/e007462.abstract" TargetMode="External"/><Relationship Id="rId65" Type="http://schemas.openxmlformats.org/officeDocument/2006/relationships/hyperlink" Target="https://link.springer.com/article/10.1007/s10257-017-0362-y" TargetMode="External"/><Relationship Id="rId81" Type="http://schemas.openxmlformats.org/officeDocument/2006/relationships/hyperlink" Target="https://www.sciencedirect.com/science/article/pii/S2590136225000075" TargetMode="External"/><Relationship Id="rId86" Type="http://schemas.openxmlformats.org/officeDocument/2006/relationships/hyperlink" Target="https://www.sciencedirect.com/science/article/pii/S0022399916303294" TargetMode="External"/><Relationship Id="rId4" Type="http://schemas.openxmlformats.org/officeDocument/2006/relationships/webSettings" Target="webSettings.xml"/><Relationship Id="rId9" Type="http://schemas.openxmlformats.org/officeDocument/2006/relationships/image" Target="media/image2.png"/><Relationship Id="rId13" Type="http://schemas.openxmlformats.org/officeDocument/2006/relationships/customXml" Target="ink/ink4.xml"/><Relationship Id="rId18" Type="http://schemas.openxmlformats.org/officeDocument/2006/relationships/hyperlink" Target="https://onlinelibrary.wiley.com/doi/abs/10.1111/imr.12968" TargetMode="External"/><Relationship Id="rId39" Type="http://schemas.openxmlformats.org/officeDocument/2006/relationships/hyperlink" Target="https://www.sciencedirect.com/science/article/pii/S0024320520303428" TargetMode="External"/><Relationship Id="rId109" Type="http://schemas.openxmlformats.org/officeDocument/2006/relationships/hyperlink" Target="https://timesofindia.indiatimes.com/city/delhi/tb-screening-finds-37-cases-in-urban-slums/articleshow/122455985.cms" TargetMode="External"/><Relationship Id="rId34" Type="http://schemas.openxmlformats.org/officeDocument/2006/relationships/hyperlink" Target="https://www.sciencedirect.com/science/article/pii/S1201971221001934" TargetMode="External"/><Relationship Id="rId50" Type="http://schemas.openxmlformats.org/officeDocument/2006/relationships/hyperlink" Target="https://www.bmj.com/content/355/bmj.i5170.short" TargetMode="External"/><Relationship Id="rId55" Type="http://schemas.openxmlformats.org/officeDocument/2006/relationships/hyperlink" Target="https://www.sciencedirect.com/science/article/pii/S0255085722002341" TargetMode="External"/><Relationship Id="rId76" Type="http://schemas.openxmlformats.org/officeDocument/2006/relationships/hyperlink" Target="https://journals.lww.com/ijmr/fulltext/2023/02000/tuberculosis__national_survey_in_india__.1.aspx" TargetMode="External"/><Relationship Id="rId97" Type="http://schemas.openxmlformats.org/officeDocument/2006/relationships/hyperlink" Target="https://www.sciencedirect.com/science/article/pii/S2211335519300439" TargetMode="External"/><Relationship Id="rId104" Type="http://schemas.openxmlformats.org/officeDocument/2006/relationships/hyperlink" Target="https://www.scielo.br/j/jbpneu/a/7YmvXDNKGPq39XHRnsRcf9b/?lang=en" TargetMode="External"/><Relationship Id="rId120" Type="http://schemas.openxmlformats.org/officeDocument/2006/relationships/fontTable" Target="fontTable.xml"/><Relationship Id="rId7" Type="http://schemas.openxmlformats.org/officeDocument/2006/relationships/image" Target="media/image1.png"/><Relationship Id="rId71" Type="http://schemas.openxmlformats.org/officeDocument/2006/relationships/hyperlink" Target="https://www.vfast.org/journals/index.php/VTCS/article/view/1407" TargetMode="External"/><Relationship Id="rId92" Type="http://schemas.openxmlformats.org/officeDocument/2006/relationships/hyperlink" Target="https://onlinelibrary.wiley.com/doi/abs/10.1111/tbed.12915" TargetMode="External"/><Relationship Id="rId2" Type="http://schemas.openxmlformats.org/officeDocument/2006/relationships/styles" Target="styles.xml"/><Relationship Id="rId29" Type="http://schemas.openxmlformats.org/officeDocument/2006/relationships/hyperlink" Target="https://www.sciencedirect.com/science/article/pii/S0264410X17317486" TargetMode="External"/><Relationship Id="rId24" Type="http://schemas.openxmlformats.org/officeDocument/2006/relationships/hyperlink" Target="https://www.tandfonline.com/doi/abs/10.1080/17476348.2021.1832469" TargetMode="External"/><Relationship Id="rId40" Type="http://schemas.openxmlformats.org/officeDocument/2006/relationships/hyperlink" Target="https://eric.ed.gov/?id=EJ1196755" TargetMode="External"/><Relationship Id="rId45" Type="http://schemas.openxmlformats.org/officeDocument/2006/relationships/hyperlink" Target="https://search.ebscohost.com/login.aspx?direct=true&amp;profile=ehost&amp;scope=site&amp;authtype=crawler&amp;jrnl=17086892&amp;asa=N&amp;AN=181687377&amp;h=qTN5mR8e4aMpcNz3JkGTvVE0377ZyOq2OX1NxIcNccQjEkYTSMQX%2F%2FdeKBBtex0i3Tkoz4ZgHM6mJDjBtwrWwg%3D%3D&amp;crl=c" TargetMode="External"/><Relationship Id="rId66" Type="http://schemas.openxmlformats.org/officeDocument/2006/relationships/hyperlink" Target="https://journals.plos.org/globalpublichealth/article?id=10.1371/journal.pgph.0004716" TargetMode="External"/><Relationship Id="rId87" Type="http://schemas.openxmlformats.org/officeDocument/2006/relationships/hyperlink" Target="https://www.thelancet.com/journals/laninf/article/PIIS1473-3099(19)30309-3/abstract" TargetMode="External"/><Relationship Id="rId110" Type="http://schemas.openxmlformats.org/officeDocument/2006/relationships/hyperlink" Target="https://portal.findresearcher.sdu.dk/en/publications/the-gap-between-the-planned-and-real-life-implementation-of-the-v" TargetMode="External"/><Relationship Id="rId115" Type="http://schemas.openxmlformats.org/officeDocument/2006/relationships/hyperlink" Target="https://www.academia.edu/download/82339609/250920177240.pdf" TargetMode="External"/><Relationship Id="rId61" Type="http://schemas.openxmlformats.org/officeDocument/2006/relationships/hyperlink" Target="https://www.mdpi.com/2076-393X/10/7/1157" TargetMode="External"/><Relationship Id="rId82" Type="http://schemas.openxmlformats.org/officeDocument/2006/relationships/hyperlink" Target="https://doi.org/10.1093/acrefore/9780190632366.013.223" TargetMode="External"/><Relationship Id="rId19" Type="http://schemas.openxmlformats.org/officeDocument/2006/relationships/hyperlink" Target="https://journals.lww.com/ijmr/fulltext/2023/02000/The_potential_impact_of_vaccination_on.3.aspx" TargetMode="External"/><Relationship Id="rId14" Type="http://schemas.openxmlformats.org/officeDocument/2006/relationships/image" Target="media/image2.jpeg"/><Relationship Id="rId30" Type="http://schemas.openxmlformats.org/officeDocument/2006/relationships/hyperlink" Target="https://onlinelibrary.wiley.com/doi/abs/10.1111/resp.13346" TargetMode="External"/><Relationship Id="rId35" Type="http://schemas.openxmlformats.org/officeDocument/2006/relationships/hyperlink" Target="https://www.thoracic.theclinics.com/article/S1547-4127(18)30137-3/abstract" TargetMode="External"/><Relationship Id="rId56" Type="http://schemas.openxmlformats.org/officeDocument/2006/relationships/hyperlink" Target="https://www.frontiersin.org/articles/10.3389/fimmu.2021.778028/full" TargetMode="External"/><Relationship Id="rId77" Type="http://schemas.openxmlformats.org/officeDocument/2006/relationships/hyperlink" Target="https://www.ingentaconnect.com/content/iuatld/ijtld/2017/00000021/00000009/art00005" TargetMode="External"/><Relationship Id="rId100" Type="http://schemas.openxmlformats.org/officeDocument/2006/relationships/hyperlink" Target="https://www.sciencedirect.com/science/article/pii/S2772707625000347" TargetMode="External"/><Relationship Id="rId105" Type="http://schemas.openxmlformats.org/officeDocument/2006/relationships/hyperlink" Target="https://www.frontiersin.org/journals/pediatrics/articles/10.3389/fped.2025.1603732/abstract" TargetMode="External"/><Relationship Id="rId8" Type="http://schemas.openxmlformats.org/officeDocument/2006/relationships/customXml" Target="ink/ink1.xml"/><Relationship Id="rId51" Type="http://schemas.openxmlformats.org/officeDocument/2006/relationships/hyperlink" Target="https://www.researchgate.net/profile/Maryam-Ikram/publication/366810045_Out_of_Touch_Comparing_and_Contrasting_Positivism_and_Interpretivism_in_Social_Science/links/63b30f54097c7832ca84ccd3/Out-of-Touch-Comparing-and-Contrasting-Positivism-and-Interpretivism-in-Social-Science.pdf" TargetMode="External"/><Relationship Id="rId72" Type="http://schemas.openxmlformats.org/officeDocument/2006/relationships/hyperlink" Target="https://www.sciencedirect.com/science/article/pii/S1201971223000735" TargetMode="External"/><Relationship Id="rId93" Type="http://schemas.openxmlformats.org/officeDocument/2006/relationships/hyperlink" Target="https://www.tandfonline.com/doi/abs/10.1080/17476348.2021.1927718" TargetMode="External"/><Relationship Id="rId98" Type="http://schemas.openxmlformats.org/officeDocument/2006/relationships/hyperlink" Target="https://journals.plos.org/plosone/article?id=10.1371/journal.pone.0214235" TargetMode="External"/><Relationship Id="rId121" Type="http://schemas.openxmlformats.org/officeDocument/2006/relationships/theme" Target="theme/theme1.xml"/><Relationship Id="rId3" Type="http://schemas.openxmlformats.org/officeDocument/2006/relationships/settings" Target="settings.xml"/><Relationship Id="rId25" Type="http://schemas.openxmlformats.org/officeDocument/2006/relationships/hyperlink" Target="https://www.ijcdas.com/abstractArticleContentBrowse?paginateValue=30095&amp;abstractArticle=abstractArticle&amp;jpdAbstractArticle=&amp;documentType=Article&amp;jCode=IJCDAS&amp;jid=84&amp;art_volume=62&amp;art_issue=&amp;art_page=&amp;numberResult=10&amp;id=30096&amp;sortType=" TargetMode="External"/><Relationship Id="rId46" Type="http://schemas.openxmlformats.org/officeDocument/2006/relationships/hyperlink" Target="https://mentalhealth.bmj.com/content/20/2/46.abstract" TargetMode="External"/><Relationship Id="rId67" Type="http://schemas.openxmlformats.org/officeDocument/2006/relationships/hyperlink" Target="https://www.mdpi.com/1660-4601/16/20/3969" TargetMode="External"/><Relationship Id="rId116" Type="http://schemas.openxmlformats.org/officeDocument/2006/relationships/hyperlink" Target="https://www.tandfonline.com/doi/abs/10.2147/PRBM.S134034" TargetMode="External"/><Relationship Id="rId20" Type="http://schemas.openxmlformats.org/officeDocument/2006/relationships/hyperlink" Target="https://synapse.koreamed.org/articles/1156645" TargetMode="External"/><Relationship Id="rId41" Type="http://schemas.openxmlformats.org/officeDocument/2006/relationships/hyperlink" Target="https://link.springer.com/article/10.1186/s12889-021-11881-8" TargetMode="External"/><Relationship Id="rId62" Type="http://schemas.openxmlformats.org/officeDocument/2006/relationships/hyperlink" Target="https://link.springer.com/article/10.1007/s11096-016-0288-3" TargetMode="External"/><Relationship Id="rId83" Type="http://schemas.openxmlformats.org/officeDocument/2006/relationships/hyperlink" Target="https://academic.oup.com/trstmh/article-abstract/112/6/272/5040477" TargetMode="External"/><Relationship Id="rId88" Type="http://schemas.openxmlformats.org/officeDocument/2006/relationships/hyperlink" Target="https://www.taylorfrancis.com/chapters/edit/10.1201/9781003000532-6/published-literature-constitute-data-secondary-research-data-analysed-saad-sarhan-emmanuel-manu" TargetMode="External"/><Relationship Id="rId111" Type="http://schemas.openxmlformats.org/officeDocument/2006/relationships/hyperlink" Target="https://search.ebscohost.com/login.aspx?direct=true&amp;profile=ehost&amp;scope=site&amp;authtype=crawler&amp;jrnl=09725075&amp;AN=182333334&amp;h=Wy7q1KPKzriL0LTCYp%2BtQ0oI8KgQ0SUK52RLmx7DE9aE6rbmB%2BVssHzuQLpnelgMTnfC4Tr3UnXchYesG35%2Bxw%3D%3D&amp;crl=c" TargetMode="External"/><Relationship Id="rId15" Type="http://schemas.openxmlformats.org/officeDocument/2006/relationships/hyperlink" Target="https://www.bmj.com/content/390/bmj-2025-084745.abstract" TargetMode="External"/><Relationship Id="rId36" Type="http://schemas.openxmlformats.org/officeDocument/2006/relationships/hyperlink" Target="https://bmjopen.bmj.com/content/6/8/e013015.short" TargetMode="External"/><Relationship Id="rId57" Type="http://schemas.openxmlformats.org/officeDocument/2006/relationships/hyperlink" Target="https://www.sciencedirect.com/science/article/pii/S0033350618300945" TargetMode="External"/><Relationship Id="rId106" Type="http://schemas.openxmlformats.org/officeDocument/2006/relationships/hyperlink" Target="https://www.academia.edu/download/111527042/Tuberculosis.pdf" TargetMode="External"/><Relationship Id="rId10" Type="http://schemas.openxmlformats.org/officeDocument/2006/relationships/customXml" Target="ink/ink2.xml"/><Relationship Id="rId31" Type="http://schemas.openxmlformats.org/officeDocument/2006/relationships/hyperlink" Target="https://academic.oup.com/jid/article-abstract/230/1/e139/7639736" TargetMode="External"/><Relationship Id="rId52" Type="http://schemas.openxmlformats.org/officeDocument/2006/relationships/hyperlink" Target="https://journals.lww.com/jfmpc/fulltext/2020/09080/Barriers_to_childhood_vaccination_as_perceived_by.53.aspx" TargetMode="External"/><Relationship Id="rId73" Type="http://schemas.openxmlformats.org/officeDocument/2006/relationships/hyperlink" Target="https://publications.ersnet.org/content/erj/56/4/2001727.abstract" TargetMode="External"/><Relationship Id="rId78" Type="http://schemas.openxmlformats.org/officeDocument/2006/relationships/hyperlink" Target="https://elibrary.ru/item.asp?id=28275212" TargetMode="External"/><Relationship Id="rId94" Type="http://schemas.openxmlformats.org/officeDocument/2006/relationships/hyperlink" Target="https://www.sciencedirect.com/science/article/pii/S277270762400225X" TargetMode="External"/><Relationship Id="rId99" Type="http://schemas.openxmlformats.org/officeDocument/2006/relationships/hyperlink" Target="https://link.springer.com/article/10.1186/s12890-018-0627-3" TargetMode="External"/><Relationship Id="rId101" Type="http://schemas.openxmlformats.org/officeDocument/2006/relationships/hyperlink" Target="https://www.academia.edu/download/108822625/JRDM-2-117.pdf"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716"/>
    </inkml:context>
    <inkml:brush xml:id="br0">
      <inkml:brushProperty name="width" value="0.05" units="cm"/>
      <inkml:brushProperty name="height" value="0.05" units="cm"/>
    </inkml:brush>
  </inkml:definitions>
  <inkml:trace contextRef="#ctx0" brushRef="#br0">0 0 24575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332"/>
    </inkml:context>
    <inkml:brush xml:id="br0">
      <inkml:brushProperty name="width" value="0.05" units="cm"/>
      <inkml:brushProperty name="height" value="0.05" units="cm"/>
    </inkml:brush>
  </inkml:definitions>
  <inkml:trace contextRef="#ctx0" brushRef="#br0">0 65 24575,'0'-65'0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6.916"/>
    </inkml:context>
    <inkml:brush xml:id="br0">
      <inkml:brushProperty name="width" value="0.05" units="cm"/>
      <inkml:brushProperty name="height" value="0.05" units="cm"/>
    </inkml:brush>
  </inkml:definitions>
  <inkml:trace contextRef="#ctx0" brushRef="#br0">0 0 24575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8:55.710"/>
    </inkml:context>
    <inkml:brush xml:id="br0">
      <inkml:brushProperty name="width" value="0.05" units="cm"/>
      <inkml:brushProperty name="height" value="0.05" units="cm"/>
    </inkml:brush>
  </inkml:definitions>
  <inkml:trace contextRef="#ctx0" brushRef="#br0">0 0 24575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247</TotalTime>
  <Pages>70</Pages>
  <Words>23302</Words>
  <Characters>132824</Characters>
  <Application>Microsoft Office Word</Application>
  <DocSecurity>0</DocSecurity>
  <Lines>1106</Lines>
  <Paragraphs>311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GAZALA SHAHJADA</dc:creator>
  <cp:keywords/>
  <dc:description/>
  <cp:lastModifiedBy>GAZALA SHAHJADA</cp:lastModifiedBy>
  <cp:revision>145</cp:revision>
  <dcterms:created xsi:type="dcterms:W3CDTF">2025-11-19T11:03:00Z</dcterms:created>
  <dcterms:modified xsi:type="dcterms:W3CDTF">2026-01-04T11:39:00Z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ca9e3242-5e1f-4c1b-bf04-049f3b82e4c7</vt:lpwstr>
  </property>
</Properties>
</file>