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956703703"/>
        <w:docPartObj>
          <w:docPartGallery w:val="Cover Pages"/>
          <w:docPartUnique/>
        </w:docPartObj>
      </w:sdtPr>
      <w:sdtEndPr>
        <w:rPr>
          <w:rFonts w:ascii="Arial Black" w:hAnsi="Arial Black" w:cs="Arial"/>
        </w:rPr>
      </w:sdtEndPr>
      <w:sdtContent>
        <w:p w14:paraId="30204C03" w14:textId="11CB7764" w:rsidR="00C43B06" w:rsidRDefault="00C43B06"/>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C43B06" w14:paraId="3974F5CB" w14:textId="77777777">
            <w:tc>
              <w:tcPr>
                <w:tcW w:w="7672" w:type="dxa"/>
                <w:tcMar>
                  <w:top w:w="216" w:type="dxa"/>
                  <w:left w:w="115" w:type="dxa"/>
                  <w:bottom w:w="216" w:type="dxa"/>
                  <w:right w:w="115" w:type="dxa"/>
                </w:tcMar>
              </w:tcPr>
              <w:p w14:paraId="6210CC28" w14:textId="7C15C070" w:rsidR="00C43B06" w:rsidRDefault="00C43B06">
                <w:pPr>
                  <w:pStyle w:val="NoSpacing"/>
                  <w:rPr>
                    <w:color w:val="0F4761" w:themeColor="accent1" w:themeShade="BF"/>
                    <w:sz w:val="24"/>
                  </w:rPr>
                </w:pPr>
              </w:p>
            </w:tc>
          </w:tr>
          <w:tr w:rsidR="00C43B06" w14:paraId="282D6A63" w14:textId="77777777">
            <w:tc>
              <w:tcPr>
                <w:tcW w:w="7672" w:type="dxa"/>
              </w:tcPr>
              <w:sdt>
                <w:sdtPr>
                  <w:rPr>
                    <w:rFonts w:ascii="Arial Black" w:eastAsiaTheme="majorEastAsia" w:hAnsi="Arial Black" w:cstheme="majorBidi"/>
                    <w:color w:val="156082" w:themeColor="accent1"/>
                    <w:sz w:val="40"/>
                    <w:szCs w:val="40"/>
                  </w:rPr>
                  <w:alias w:val="Title"/>
                  <w:id w:val="13406919"/>
                  <w:placeholder>
                    <w:docPart w:val="0F9D40D7587840F3AB70D6CC3403A7E7"/>
                  </w:placeholder>
                  <w:dataBinding w:prefixMappings="xmlns:ns0='http://schemas.openxmlformats.org/package/2006/metadata/core-properties' xmlns:ns1='http://purl.org/dc/elements/1.1/'" w:xpath="/ns0:coreProperties[1]/ns1:title[1]" w:storeItemID="{6C3C8BC8-F283-45AE-878A-BAB7291924A1}"/>
                  <w:text/>
                </w:sdtPr>
                <w:sdtContent>
                  <w:p w14:paraId="57064FBA" w14:textId="2FA06A76" w:rsidR="00C43B06" w:rsidRPr="00C43B06" w:rsidRDefault="00C43B06">
                    <w:pPr>
                      <w:pStyle w:val="NoSpacing"/>
                      <w:spacing w:line="216" w:lineRule="auto"/>
                      <w:rPr>
                        <w:rFonts w:ascii="Arial Black" w:eastAsiaTheme="majorEastAsia" w:hAnsi="Arial Black" w:cstheme="majorBidi"/>
                        <w:color w:val="156082" w:themeColor="accent1"/>
                        <w:sz w:val="40"/>
                        <w:szCs w:val="40"/>
                      </w:rPr>
                    </w:pPr>
                    <w:r w:rsidRPr="00C43B06">
                      <w:rPr>
                        <w:rFonts w:ascii="Arial Black" w:eastAsiaTheme="majorEastAsia" w:hAnsi="Arial Black" w:cstheme="majorBidi"/>
                        <w:color w:val="156082" w:themeColor="accent1"/>
                        <w:sz w:val="40"/>
                        <w:szCs w:val="40"/>
                      </w:rPr>
                      <w:t>Community Development in Swansea: Approaches to Growth and Sustainability</w:t>
                    </w:r>
                  </w:p>
                </w:sdtContent>
              </w:sdt>
            </w:tc>
          </w:tr>
          <w:tr w:rsidR="00C43B06" w14:paraId="38720545" w14:textId="77777777">
            <w:tc>
              <w:tcPr>
                <w:tcW w:w="7672" w:type="dxa"/>
                <w:tcMar>
                  <w:top w:w="216" w:type="dxa"/>
                  <w:left w:w="115" w:type="dxa"/>
                  <w:bottom w:w="216" w:type="dxa"/>
                  <w:right w:w="115" w:type="dxa"/>
                </w:tcMar>
              </w:tcPr>
              <w:p w14:paraId="71572D4E" w14:textId="4C832C07" w:rsidR="00C43B06" w:rsidRDefault="00C43B06">
                <w:pPr>
                  <w:pStyle w:val="NoSpacing"/>
                  <w:rPr>
                    <w:color w:val="0F4761"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C43B06" w14:paraId="0A4D4ABD" w14:textId="77777777">
            <w:tc>
              <w:tcPr>
                <w:tcW w:w="7221" w:type="dxa"/>
                <w:tcMar>
                  <w:top w:w="216" w:type="dxa"/>
                  <w:left w:w="115" w:type="dxa"/>
                  <w:bottom w:w="216" w:type="dxa"/>
                  <w:right w:w="115" w:type="dxa"/>
                </w:tcMar>
              </w:tcPr>
              <w:sdt>
                <w:sdtPr>
                  <w:rPr>
                    <w:rFonts w:ascii="Arial Black" w:hAnsi="Arial Black"/>
                    <w:color w:val="156082" w:themeColor="accent1"/>
                    <w:sz w:val="28"/>
                    <w:szCs w:val="28"/>
                  </w:rPr>
                  <w:alias w:val="Author"/>
                  <w:id w:val="13406928"/>
                  <w:placeholder>
                    <w:docPart w:val="DE452CAF7F094D0497157633CE636FB1"/>
                  </w:placeholder>
                  <w:dataBinding w:prefixMappings="xmlns:ns0='http://schemas.openxmlformats.org/package/2006/metadata/core-properties' xmlns:ns1='http://purl.org/dc/elements/1.1/'" w:xpath="/ns0:coreProperties[1]/ns1:creator[1]" w:storeItemID="{6C3C8BC8-F283-45AE-878A-BAB7291924A1}"/>
                  <w:text/>
                </w:sdtPr>
                <w:sdtContent>
                  <w:p w14:paraId="0940EC54" w14:textId="71942D89" w:rsidR="00C43B06" w:rsidRPr="00C43B06" w:rsidRDefault="00C43B06">
                    <w:pPr>
                      <w:pStyle w:val="NoSpacing"/>
                      <w:rPr>
                        <w:rFonts w:ascii="Arial Black" w:hAnsi="Arial Black"/>
                        <w:color w:val="156082" w:themeColor="accent1"/>
                        <w:sz w:val="28"/>
                        <w:szCs w:val="28"/>
                      </w:rPr>
                    </w:pPr>
                    <w:r w:rsidRPr="00C43B06">
                      <w:rPr>
                        <w:rFonts w:ascii="Arial Black" w:hAnsi="Arial Black"/>
                        <w:color w:val="156082" w:themeColor="accent1"/>
                        <w:sz w:val="28"/>
                        <w:szCs w:val="28"/>
                      </w:rPr>
                      <w:t>Valentina Andreea Filip (2318059)</w:t>
                    </w:r>
                  </w:p>
                </w:sdtContent>
              </w:sdt>
              <w:sdt>
                <w:sdtPr>
                  <w:rPr>
                    <w:rFonts w:ascii="Arial Black" w:hAnsi="Arial Black"/>
                    <w:color w:val="156082" w:themeColor="accent1"/>
                    <w:sz w:val="28"/>
                    <w:szCs w:val="28"/>
                  </w:rPr>
                  <w:alias w:val="Date"/>
                  <w:tag w:val="Date"/>
                  <w:id w:val="13406932"/>
                  <w:placeholder>
                    <w:docPart w:val="5119E52554524854853D979BFFA018B3"/>
                  </w:placeholder>
                  <w:dataBinding w:prefixMappings="xmlns:ns0='http://schemas.microsoft.com/office/2006/coverPageProps'" w:xpath="/ns0:CoverPageProperties[1]/ns0:PublishDate[1]" w:storeItemID="{55AF091B-3C7A-41E3-B477-F2FDAA23CFDA}"/>
                  <w:date w:fullDate="2024-11-20T00:00:00Z">
                    <w:dateFormat w:val="M-d-yyyy"/>
                    <w:lid w:val="en-US"/>
                    <w:storeMappedDataAs w:val="dateTime"/>
                    <w:calendar w:val="gregorian"/>
                  </w:date>
                </w:sdtPr>
                <w:sdtContent>
                  <w:p w14:paraId="1AB71834" w14:textId="570B5CDC" w:rsidR="00C43B06" w:rsidRPr="00C43B06" w:rsidRDefault="00C43B06">
                    <w:pPr>
                      <w:pStyle w:val="NoSpacing"/>
                      <w:rPr>
                        <w:rFonts w:ascii="Arial Black" w:hAnsi="Arial Black"/>
                        <w:color w:val="156082" w:themeColor="accent1"/>
                        <w:sz w:val="28"/>
                        <w:szCs w:val="28"/>
                      </w:rPr>
                    </w:pPr>
                    <w:r w:rsidRPr="00C43B06">
                      <w:rPr>
                        <w:rFonts w:ascii="Arial Black" w:hAnsi="Arial Black"/>
                        <w:color w:val="156082" w:themeColor="accent1"/>
                        <w:sz w:val="28"/>
                        <w:szCs w:val="28"/>
                      </w:rPr>
                      <w:t>11-20-2024</w:t>
                    </w:r>
                  </w:p>
                </w:sdtContent>
              </w:sdt>
              <w:p w14:paraId="7D283384" w14:textId="77777777" w:rsidR="00C43B06" w:rsidRDefault="00C43B06">
                <w:pPr>
                  <w:pStyle w:val="NoSpacing"/>
                  <w:rPr>
                    <w:color w:val="156082" w:themeColor="accent1"/>
                  </w:rPr>
                </w:pPr>
              </w:p>
            </w:tc>
          </w:tr>
        </w:tbl>
        <w:p w14:paraId="4BCA6F65" w14:textId="5344CF24" w:rsidR="00C43B06" w:rsidRDefault="00C43B06">
          <w:pPr>
            <w:rPr>
              <w:rFonts w:ascii="Arial Black" w:hAnsi="Arial Black" w:cs="Arial"/>
            </w:rPr>
          </w:pPr>
          <w:r>
            <w:rPr>
              <w:rFonts w:ascii="Arial Black" w:hAnsi="Arial Black" w:cs="Arial"/>
            </w:rPr>
            <w:br w:type="page"/>
          </w:r>
        </w:p>
      </w:sdtContent>
    </w:sdt>
    <w:p w14:paraId="19A7F6DC" w14:textId="4F8210C7" w:rsidR="00BB3A67" w:rsidRPr="00BB3A67" w:rsidRDefault="00BB3A67" w:rsidP="00BB3A67">
      <w:pPr>
        <w:spacing w:line="480" w:lineRule="auto"/>
        <w:jc w:val="both"/>
        <w:rPr>
          <w:rFonts w:ascii="Arial Black" w:hAnsi="Arial Black" w:cs="Arial"/>
        </w:rPr>
      </w:pPr>
      <w:r w:rsidRPr="00BB3A67">
        <w:rPr>
          <w:rFonts w:ascii="Arial Black" w:hAnsi="Arial Black" w:cs="Arial"/>
        </w:rPr>
        <w:lastRenderedPageBreak/>
        <w:t>Introduction</w:t>
      </w:r>
    </w:p>
    <w:p w14:paraId="71D29CE1" w14:textId="71EE2A01" w:rsidR="00BB3A67" w:rsidRPr="00BB3A67" w:rsidRDefault="00BB3A67" w:rsidP="00BB3A67">
      <w:pPr>
        <w:spacing w:line="480" w:lineRule="auto"/>
        <w:jc w:val="both"/>
        <w:rPr>
          <w:rFonts w:ascii="Arial" w:hAnsi="Arial" w:cs="Arial"/>
        </w:rPr>
      </w:pPr>
      <w:r w:rsidRPr="00BB3A67">
        <w:rPr>
          <w:rFonts w:ascii="Arial" w:hAnsi="Arial" w:cs="Arial"/>
        </w:rPr>
        <w:t xml:space="preserve">Groups that are fluid and comprise a variety of factors, including ethnicity, race, class, age, and culture, define communities. Individuals often belong to numerous communities simultaneously, each with specific binding features that influence their engagement and participation. Determining the driving forces behind activity in these societies requires an understanding of these traits. The Swansea Waterfront community, a unique local community undergoing major change </w:t>
      </w:r>
      <w:r w:rsidRPr="00BB3A67">
        <w:rPr>
          <w:rFonts w:ascii="Arial" w:hAnsi="Arial" w:cs="Arial"/>
        </w:rPr>
        <w:t>because of</w:t>
      </w:r>
      <w:r w:rsidRPr="00BB3A67">
        <w:rPr>
          <w:rFonts w:ascii="Arial" w:hAnsi="Arial" w:cs="Arial"/>
        </w:rPr>
        <w:t xml:space="preserve"> urban regeneration programs, is the subject of this research. Examining the employment of imagery, cultural, societal, economic, political, and environmental effects, as well as the customisation of messages to fit the community's context, the examination looks at the strategies used to promote growth and development within this community. In addition, the report explores important ideas used in behavioural modification tactics, the difficulties </w:t>
      </w:r>
      <w:r w:rsidRPr="00BB3A67">
        <w:rPr>
          <w:rFonts w:ascii="Arial" w:hAnsi="Arial" w:cs="Arial"/>
        </w:rPr>
        <w:t>encountered and</w:t>
      </w:r>
      <w:r w:rsidRPr="00BB3A67">
        <w:rPr>
          <w:rFonts w:ascii="Arial" w:hAnsi="Arial" w:cs="Arial"/>
        </w:rPr>
        <w:t xml:space="preserve"> assesses community development procedures for long-lasting enhancements.</w:t>
      </w:r>
    </w:p>
    <w:p w14:paraId="27B3FF21" w14:textId="3956D565" w:rsidR="00BB3A67" w:rsidRPr="00BB3A67" w:rsidRDefault="00BB3A67" w:rsidP="00BB3A67">
      <w:pPr>
        <w:spacing w:line="480" w:lineRule="auto"/>
        <w:jc w:val="both"/>
        <w:rPr>
          <w:rFonts w:ascii="Arial Black" w:hAnsi="Arial Black" w:cs="Arial"/>
        </w:rPr>
      </w:pPr>
      <w:r w:rsidRPr="00BB3A67">
        <w:rPr>
          <w:rFonts w:ascii="Arial Black" w:hAnsi="Arial Black" w:cs="Arial"/>
        </w:rPr>
        <w:t>Swansea Waterfront Community</w:t>
      </w:r>
    </w:p>
    <w:p w14:paraId="7176AD65" w14:textId="77777777" w:rsidR="00BB3A67" w:rsidRDefault="00BB3A67" w:rsidP="00BB3A67">
      <w:pPr>
        <w:spacing w:line="480" w:lineRule="auto"/>
        <w:jc w:val="both"/>
        <w:rPr>
          <w:rFonts w:ascii="Arial" w:hAnsi="Arial" w:cs="Arial"/>
        </w:rPr>
      </w:pPr>
      <w:r w:rsidRPr="00BB3A67">
        <w:rPr>
          <w:rFonts w:ascii="Arial" w:hAnsi="Arial" w:cs="Arial"/>
        </w:rPr>
        <w:t>An important part of Swansea, the Waterfront community is marked by continuous urban renewal initiatives meant to revive the area's social and economic fabric. Residents, nearby companies, and other interested parties are all part of this community, which is dedicated to making the waterfront a thriving, sustainable centre. In line with more general goals for sustainable community development, the revitalisation project aims to promote social cohesiveness, economic expansion, and environmental sustainability in addition to improving the physical infrastructure (Winston, 2021).</w:t>
      </w:r>
    </w:p>
    <w:p w14:paraId="59CF61B4" w14:textId="77777777" w:rsidR="00BB3A67" w:rsidRDefault="00BB3A67" w:rsidP="00BB3A67">
      <w:pPr>
        <w:spacing w:line="480" w:lineRule="auto"/>
        <w:jc w:val="both"/>
        <w:rPr>
          <w:rFonts w:ascii="Arial" w:hAnsi="Arial" w:cs="Arial"/>
        </w:rPr>
      </w:pPr>
      <w:r w:rsidRPr="00BB3A67">
        <w:rPr>
          <w:rFonts w:ascii="Arial" w:hAnsi="Arial" w:cs="Arial"/>
        </w:rPr>
        <w:lastRenderedPageBreak/>
        <w:t>The Swansea Waterfront was once an industrial centre, but it has since changed to focus on tourist and service-oriented businesses, requiring extensive reconstruction plans. Long-term residents, young professionals, students, and visitors are all part of the diversified community. Because of this diversity, community development strategies must be comprehensive and cover a range of needs and goals.</w:t>
      </w:r>
    </w:p>
    <w:p w14:paraId="456FCE18" w14:textId="684929A4" w:rsidR="00BB3A67" w:rsidRPr="00BB3A67" w:rsidRDefault="00BB3A67" w:rsidP="00BB3A67">
      <w:pPr>
        <w:spacing w:line="480" w:lineRule="auto"/>
        <w:jc w:val="both"/>
        <w:rPr>
          <w:rFonts w:ascii="Arial Black" w:hAnsi="Arial Black" w:cs="Arial"/>
        </w:rPr>
      </w:pPr>
      <w:r w:rsidRPr="00BB3A67">
        <w:rPr>
          <w:rFonts w:ascii="Arial Black" w:hAnsi="Arial Black" w:cs="Arial"/>
        </w:rPr>
        <w:t>Methods for Promoting Development and Growth</w:t>
      </w:r>
    </w:p>
    <w:p w14:paraId="2339C3DF" w14:textId="4BCDD494" w:rsidR="00BB3A67" w:rsidRPr="00BB3A67" w:rsidRDefault="00BB3A67" w:rsidP="00BB3A67">
      <w:pPr>
        <w:pStyle w:val="ListParagraph"/>
        <w:numPr>
          <w:ilvl w:val="0"/>
          <w:numId w:val="1"/>
        </w:numPr>
        <w:spacing w:line="480" w:lineRule="auto"/>
        <w:jc w:val="both"/>
        <w:rPr>
          <w:rFonts w:ascii="Arial" w:hAnsi="Arial" w:cs="Arial"/>
          <w:b/>
          <w:bCs/>
        </w:rPr>
      </w:pPr>
      <w:r w:rsidRPr="00BB3A67">
        <w:rPr>
          <w:rFonts w:ascii="Arial" w:hAnsi="Arial" w:cs="Arial"/>
          <w:b/>
          <w:bCs/>
        </w:rPr>
        <w:t>Making Use of Images</w:t>
      </w:r>
    </w:p>
    <w:p w14:paraId="62490BE7" w14:textId="77777777" w:rsidR="00BB3A67" w:rsidRDefault="00BB3A67" w:rsidP="00BB3A67">
      <w:pPr>
        <w:spacing w:line="480" w:lineRule="auto"/>
        <w:jc w:val="both"/>
        <w:rPr>
          <w:rFonts w:ascii="Arial" w:hAnsi="Arial" w:cs="Arial"/>
        </w:rPr>
      </w:pPr>
      <w:r w:rsidRPr="00BB3A67">
        <w:rPr>
          <w:rFonts w:ascii="Arial" w:hAnsi="Arial" w:cs="Arial"/>
        </w:rPr>
        <w:t>The Swansea Waterfront community's identity and perception are greatly influenced by imagery. A captivating story that draws in investors, tourists, and new inhabitants is produced by visual depictions of the area's transformation, such as before-and-after photos, artist drawings of upcoming projects, and promotional materials. While inviting outside stakeholders to take part in the community's development, effective imagery encourages pride and a sense of ownership among current residents (Winston, 2021).</w:t>
      </w:r>
    </w:p>
    <w:p w14:paraId="0EA44B03" w14:textId="77777777" w:rsidR="00BB3A67" w:rsidRDefault="00BB3A67" w:rsidP="00BB3A67">
      <w:pPr>
        <w:spacing w:line="480" w:lineRule="auto"/>
        <w:jc w:val="both"/>
        <w:rPr>
          <w:rFonts w:ascii="Arial" w:hAnsi="Arial" w:cs="Arial"/>
        </w:rPr>
      </w:pPr>
      <w:r w:rsidRPr="00BB3A67">
        <w:rPr>
          <w:rFonts w:ascii="Arial" w:hAnsi="Arial" w:cs="Arial"/>
        </w:rPr>
        <w:t xml:space="preserve">High-quality images that highlight the fusion of contemporary architecture and historic sites are used in marketing campaigns by the Swansea Waterfront Authority. A transparent and inclusive planning process is made possible by interactive digital platforms that let locals and possible investors see planned modifications. Furthermore, murals and public art works improve the waterfront's aesthetic appeal while establishing recognisable landmarks that add to the </w:t>
      </w:r>
      <w:r w:rsidRPr="00BB3A67">
        <w:rPr>
          <w:rFonts w:ascii="Arial" w:hAnsi="Arial" w:cs="Arial"/>
        </w:rPr>
        <w:t>neighbourhood’s</w:t>
      </w:r>
      <w:r w:rsidRPr="00BB3A67">
        <w:rPr>
          <w:rFonts w:ascii="Arial" w:hAnsi="Arial" w:cs="Arial"/>
        </w:rPr>
        <w:t xml:space="preserve"> distinct character.</w:t>
      </w:r>
    </w:p>
    <w:p w14:paraId="430F7BF6" w14:textId="32FBDF1A" w:rsidR="00BB3A67" w:rsidRPr="00BB3A67" w:rsidRDefault="00BB3A67" w:rsidP="00BB3A67">
      <w:pPr>
        <w:pStyle w:val="ListParagraph"/>
        <w:numPr>
          <w:ilvl w:val="0"/>
          <w:numId w:val="1"/>
        </w:numPr>
        <w:spacing w:line="480" w:lineRule="auto"/>
        <w:jc w:val="both"/>
        <w:rPr>
          <w:rFonts w:ascii="Arial" w:hAnsi="Arial" w:cs="Arial"/>
          <w:b/>
          <w:bCs/>
        </w:rPr>
      </w:pPr>
      <w:r w:rsidRPr="00BB3A67">
        <w:rPr>
          <w:rFonts w:ascii="Arial" w:hAnsi="Arial" w:cs="Arial"/>
          <w:b/>
          <w:bCs/>
        </w:rPr>
        <w:t>Cultural Influence</w:t>
      </w:r>
    </w:p>
    <w:p w14:paraId="446107C5" w14:textId="77777777" w:rsidR="00BB3A67" w:rsidRDefault="00BB3A67" w:rsidP="00BB3A67">
      <w:pPr>
        <w:spacing w:line="480" w:lineRule="auto"/>
        <w:jc w:val="both"/>
        <w:rPr>
          <w:rFonts w:ascii="Arial" w:hAnsi="Arial" w:cs="Arial"/>
        </w:rPr>
      </w:pPr>
      <w:r w:rsidRPr="00BB3A67">
        <w:rPr>
          <w:rFonts w:ascii="Arial" w:hAnsi="Arial" w:cs="Arial"/>
        </w:rPr>
        <w:t xml:space="preserve">The development tactics used in Swansea Waterfront are heavily influenced by cultural factors. The community's cultural identity is preserved and strengthened </w:t>
      </w:r>
      <w:r w:rsidRPr="00BB3A67">
        <w:rPr>
          <w:rFonts w:ascii="Arial" w:hAnsi="Arial" w:cs="Arial"/>
        </w:rPr>
        <w:lastRenderedPageBreak/>
        <w:t>through cultural events, public art, and celebration of local heritage. These programs foster inclusivity and multiculturalism in the community by fortifying social ties and increasing the area's appeal to a variety of demographics (Vallance, Perkins, &amp; Dixon, 2011).</w:t>
      </w:r>
    </w:p>
    <w:p w14:paraId="4E381F5A" w14:textId="5C264CE6" w:rsidR="00BB3A67" w:rsidRPr="00BB3A67" w:rsidRDefault="00BB3A67" w:rsidP="00BB3A67">
      <w:pPr>
        <w:spacing w:line="480" w:lineRule="auto"/>
        <w:jc w:val="both"/>
        <w:rPr>
          <w:rFonts w:ascii="Arial" w:hAnsi="Arial" w:cs="Arial"/>
        </w:rPr>
      </w:pPr>
      <w:r w:rsidRPr="00BB3A67">
        <w:rPr>
          <w:rFonts w:ascii="Arial" w:hAnsi="Arial" w:cs="Arial"/>
        </w:rPr>
        <w:t>Restoring historic structures and including cultural hubs that hold performances, exhibitions, and community workshops are two aspects of the Swansea Waterfront revitalisation project. Residents' sense of cultural pride and belonging is fostered by the frequent organisation of festivals honouring regional customs and multicultural events. Development projects are guaranteed to be culturally sensitive and representative of the community's varied heritage when local artists and cultural organisations collaborate with them.</w:t>
      </w:r>
    </w:p>
    <w:p w14:paraId="59EAC617" w14:textId="6741E30A" w:rsidR="00BB3A67" w:rsidRPr="00BB3A67" w:rsidRDefault="00BB3A67" w:rsidP="00BB3A67">
      <w:pPr>
        <w:pStyle w:val="ListParagraph"/>
        <w:numPr>
          <w:ilvl w:val="0"/>
          <w:numId w:val="1"/>
        </w:numPr>
        <w:spacing w:line="480" w:lineRule="auto"/>
        <w:jc w:val="both"/>
        <w:rPr>
          <w:rFonts w:ascii="Arial" w:hAnsi="Arial" w:cs="Arial"/>
          <w:b/>
          <w:bCs/>
        </w:rPr>
      </w:pPr>
      <w:r w:rsidRPr="00BB3A67">
        <w:rPr>
          <w:rFonts w:ascii="Arial" w:hAnsi="Arial" w:cs="Arial"/>
          <w:b/>
          <w:bCs/>
        </w:rPr>
        <w:t>Impact on Society</w:t>
      </w:r>
    </w:p>
    <w:p w14:paraId="26B54922" w14:textId="77777777" w:rsidR="00BB3A67" w:rsidRDefault="00BB3A67" w:rsidP="00BB3A67">
      <w:pPr>
        <w:spacing w:line="480" w:lineRule="auto"/>
        <w:jc w:val="both"/>
        <w:rPr>
          <w:rFonts w:ascii="Arial" w:hAnsi="Arial" w:cs="Arial"/>
        </w:rPr>
      </w:pPr>
      <w:r w:rsidRPr="00BB3A67">
        <w:rPr>
          <w:rFonts w:ascii="Arial" w:hAnsi="Arial" w:cs="Arial"/>
        </w:rPr>
        <w:t>The Swansea Waterfront reconstruction has had a positive social impact by improving public areas, community centres, and recreational facilities, among other social infrastructure. These advancements offer venues for civic engagement, promote community spirit, and ease social connections. The regeneration initiative seeks to lessen social inequalities and improve the general standard of living for locals by attending to social needs and encouraging fair access to resources (Turcu, 2009).</w:t>
      </w:r>
    </w:p>
    <w:p w14:paraId="69B937CA" w14:textId="77777777" w:rsidR="00BB3A67" w:rsidRDefault="00BB3A67" w:rsidP="00BB3A67">
      <w:pPr>
        <w:spacing w:line="480" w:lineRule="auto"/>
        <w:jc w:val="both"/>
        <w:rPr>
          <w:rFonts w:ascii="Arial" w:hAnsi="Arial" w:cs="Arial"/>
        </w:rPr>
      </w:pPr>
      <w:r w:rsidRPr="00BB3A67">
        <w:rPr>
          <w:rFonts w:ascii="Arial" w:hAnsi="Arial" w:cs="Arial"/>
        </w:rPr>
        <w:t xml:space="preserve">The construction of new parks, playgrounds, and sports facilities gives locals places to relax and engage in physical activity, which enhances their health and wellbeing. </w:t>
      </w:r>
      <w:r w:rsidRPr="00BB3A67">
        <w:rPr>
          <w:rFonts w:ascii="Arial" w:hAnsi="Arial" w:cs="Arial"/>
        </w:rPr>
        <w:t>To</w:t>
      </w:r>
      <w:r w:rsidRPr="00BB3A67">
        <w:rPr>
          <w:rFonts w:ascii="Arial" w:hAnsi="Arial" w:cs="Arial"/>
        </w:rPr>
        <w:t xml:space="preserve"> meet the many requirements of the populace, community centres provide areas for social services, education, and career training. Initiatives like community-led safety campaigns and neighbourhood watch programs also improve social cohesiveness and provide a safe environment for all locals.</w:t>
      </w:r>
    </w:p>
    <w:p w14:paraId="36DBCCBA" w14:textId="54644BCD" w:rsidR="00BB3A67" w:rsidRPr="00BB3A67" w:rsidRDefault="00BB3A67" w:rsidP="00BB3A67">
      <w:pPr>
        <w:pStyle w:val="ListParagraph"/>
        <w:numPr>
          <w:ilvl w:val="0"/>
          <w:numId w:val="1"/>
        </w:numPr>
        <w:spacing w:line="480" w:lineRule="auto"/>
        <w:jc w:val="both"/>
        <w:rPr>
          <w:rFonts w:ascii="Arial" w:hAnsi="Arial" w:cs="Arial"/>
          <w:b/>
          <w:bCs/>
        </w:rPr>
      </w:pPr>
      <w:r w:rsidRPr="00BB3A67">
        <w:rPr>
          <w:rFonts w:ascii="Arial" w:hAnsi="Arial" w:cs="Arial"/>
          <w:b/>
          <w:bCs/>
        </w:rPr>
        <w:lastRenderedPageBreak/>
        <w:t>Impact on the Economy</w:t>
      </w:r>
    </w:p>
    <w:p w14:paraId="64920928" w14:textId="77777777" w:rsidR="00BB3A67" w:rsidRDefault="00BB3A67" w:rsidP="00BB3A67">
      <w:pPr>
        <w:spacing w:line="480" w:lineRule="auto"/>
        <w:jc w:val="both"/>
        <w:rPr>
          <w:rFonts w:ascii="Arial" w:hAnsi="Arial" w:cs="Arial"/>
        </w:rPr>
      </w:pPr>
      <w:r w:rsidRPr="00BB3A67">
        <w:rPr>
          <w:rFonts w:ascii="Arial" w:hAnsi="Arial" w:cs="Arial"/>
        </w:rPr>
        <w:t xml:space="preserve">One of the main goals of the Swansea Waterfront regeneration is economic growth. The project's objectives are to draw in companies, provide employment, and boost regional economic activity. To diversify the local economy and lessen dependency on conventional sectors, investments are being made in retail establishments, commercial spaces, and tourism-related services. </w:t>
      </w:r>
      <w:r w:rsidRPr="00BB3A67">
        <w:rPr>
          <w:rFonts w:ascii="Arial" w:hAnsi="Arial" w:cs="Arial"/>
        </w:rPr>
        <w:t>To</w:t>
      </w:r>
      <w:r w:rsidRPr="00BB3A67">
        <w:rPr>
          <w:rFonts w:ascii="Arial" w:hAnsi="Arial" w:cs="Arial"/>
        </w:rPr>
        <w:t xml:space="preserve"> create a robust and dynamic economic environment, support for entrepreneurship and small enterprises is recommended (UN, 2015).</w:t>
      </w:r>
    </w:p>
    <w:p w14:paraId="579C9182" w14:textId="631CD7DC" w:rsidR="00BB3A67" w:rsidRPr="00BB3A67" w:rsidRDefault="00BB3A67" w:rsidP="00BB3A67">
      <w:pPr>
        <w:spacing w:line="480" w:lineRule="auto"/>
        <w:jc w:val="both"/>
        <w:rPr>
          <w:rFonts w:ascii="Arial" w:hAnsi="Arial" w:cs="Arial"/>
        </w:rPr>
      </w:pPr>
      <w:r w:rsidRPr="00BB3A67">
        <w:rPr>
          <w:rFonts w:ascii="Arial" w:hAnsi="Arial" w:cs="Arial"/>
        </w:rPr>
        <w:t>Establishing co-working spaces and business incubators helps entrepreneurs and startups while promoting economic diversification and innovation. Collaborations with academic institutions enable workforce development initiatives, giving locals the skills they need to succeed in new industries. Tourism-related projects, such waterfront promenades, museums, and entertainment centres, draw tourists and make money, which boosts the local economy. Additionally, the revitalisation project promotes eco-friendly and green firms by highlighting sustainable economic practices.</w:t>
      </w:r>
    </w:p>
    <w:p w14:paraId="52F3F183" w14:textId="03B7E7C0" w:rsidR="00BB3A67" w:rsidRPr="00BB3A67" w:rsidRDefault="00BB3A67" w:rsidP="00BB3A67">
      <w:pPr>
        <w:pStyle w:val="ListParagraph"/>
        <w:numPr>
          <w:ilvl w:val="0"/>
          <w:numId w:val="1"/>
        </w:numPr>
        <w:spacing w:line="480" w:lineRule="auto"/>
        <w:jc w:val="both"/>
        <w:rPr>
          <w:rFonts w:ascii="Arial" w:hAnsi="Arial" w:cs="Arial"/>
          <w:b/>
          <w:bCs/>
        </w:rPr>
      </w:pPr>
      <w:r w:rsidRPr="00BB3A67">
        <w:rPr>
          <w:rFonts w:ascii="Arial" w:hAnsi="Arial" w:cs="Arial"/>
          <w:b/>
          <w:bCs/>
        </w:rPr>
        <w:t>Influence on Politics</w:t>
      </w:r>
    </w:p>
    <w:p w14:paraId="7C85A340" w14:textId="77777777" w:rsidR="00BB3A67" w:rsidRDefault="00BB3A67" w:rsidP="00BB3A67">
      <w:pPr>
        <w:spacing w:line="480" w:lineRule="auto"/>
        <w:jc w:val="both"/>
        <w:rPr>
          <w:rFonts w:ascii="Arial" w:hAnsi="Arial" w:cs="Arial"/>
        </w:rPr>
      </w:pPr>
      <w:r w:rsidRPr="00BB3A67">
        <w:rPr>
          <w:rFonts w:ascii="Arial" w:hAnsi="Arial" w:cs="Arial"/>
        </w:rPr>
        <w:t>Effective governance and political backing are essential for community development projects to succeed. Community organisations, commercial sector partners, and the local government work together to revitalise Swansea Waterfront. Development is guaranteed to be in line with community needs and sustainable development objectives through transparent decision-making procedures, stakeholder participation, and policy alignment (</w:t>
      </w:r>
      <w:proofErr w:type="spellStart"/>
      <w:r w:rsidRPr="00BB3A67">
        <w:rPr>
          <w:rFonts w:ascii="Arial" w:hAnsi="Arial" w:cs="Arial"/>
        </w:rPr>
        <w:t>Wallimann</w:t>
      </w:r>
      <w:proofErr w:type="spellEnd"/>
      <w:r w:rsidRPr="00BB3A67">
        <w:rPr>
          <w:rFonts w:ascii="Arial" w:hAnsi="Arial" w:cs="Arial"/>
        </w:rPr>
        <w:t>, 2013).</w:t>
      </w:r>
    </w:p>
    <w:p w14:paraId="50010907" w14:textId="103280D8" w:rsidR="00BB3A67" w:rsidRPr="00BB3A67" w:rsidRDefault="00BB3A67" w:rsidP="00BB3A67">
      <w:pPr>
        <w:spacing w:line="480" w:lineRule="auto"/>
        <w:jc w:val="both"/>
        <w:rPr>
          <w:rFonts w:ascii="Arial" w:hAnsi="Arial" w:cs="Arial"/>
        </w:rPr>
      </w:pPr>
      <w:r w:rsidRPr="00BB3A67">
        <w:rPr>
          <w:rFonts w:ascii="Arial" w:hAnsi="Arial" w:cs="Arial"/>
        </w:rPr>
        <w:t xml:space="preserve">The creation of a specific Waterfront Development Committee guarantees that different parties work together in concert. Frequent town hall meetings and public </w:t>
      </w:r>
      <w:r w:rsidRPr="00BB3A67">
        <w:rPr>
          <w:rFonts w:ascii="Arial" w:hAnsi="Arial" w:cs="Arial"/>
        </w:rPr>
        <w:lastRenderedPageBreak/>
        <w:t>consultations encourage candid discussion and community involvement, which improves accountability and transparency. Redevelopment initiatives are guided by policy frameworks that promote social justice, affordable housing, and sustainable development, making sure that governmental goals and community desires coincide.</w:t>
      </w:r>
    </w:p>
    <w:p w14:paraId="4D73013C" w14:textId="57C19365" w:rsidR="00BB3A67" w:rsidRPr="00BB3A67" w:rsidRDefault="00BB3A67" w:rsidP="00BB3A67">
      <w:pPr>
        <w:pStyle w:val="ListParagraph"/>
        <w:numPr>
          <w:ilvl w:val="0"/>
          <w:numId w:val="1"/>
        </w:numPr>
        <w:spacing w:line="480" w:lineRule="auto"/>
        <w:jc w:val="both"/>
        <w:rPr>
          <w:rFonts w:ascii="Arial" w:hAnsi="Arial" w:cs="Arial"/>
          <w:b/>
          <w:bCs/>
        </w:rPr>
      </w:pPr>
      <w:r w:rsidRPr="00BB3A67">
        <w:rPr>
          <w:rFonts w:ascii="Arial" w:hAnsi="Arial" w:cs="Arial"/>
          <w:b/>
          <w:bCs/>
        </w:rPr>
        <w:t>Effects on the Environment</w:t>
      </w:r>
    </w:p>
    <w:p w14:paraId="78FCBFBB" w14:textId="77777777" w:rsidR="00BB3A67" w:rsidRDefault="00BB3A67" w:rsidP="00BB3A67">
      <w:pPr>
        <w:spacing w:line="480" w:lineRule="auto"/>
        <w:jc w:val="both"/>
        <w:rPr>
          <w:rFonts w:ascii="Arial" w:hAnsi="Arial" w:cs="Arial"/>
        </w:rPr>
      </w:pPr>
      <w:r w:rsidRPr="00BB3A67">
        <w:rPr>
          <w:rFonts w:ascii="Arial" w:hAnsi="Arial" w:cs="Arial"/>
        </w:rPr>
        <w:t>One of the main tenets driving the Swansea Waterfront revitalisation is sustainability. Green space integration, sustainable building techniques, and the encouragement of renewable energy sources are examples of environmental factors. To make sure that development doesn't jeopardise the waterfront's biological integrity, efforts are prioritised to reduce environmental footprints and increase biodiversity (Winston, 2021).</w:t>
      </w:r>
    </w:p>
    <w:p w14:paraId="3F190FA8" w14:textId="77777777" w:rsidR="002503A4" w:rsidRDefault="00BB3A67" w:rsidP="00BB3A67">
      <w:pPr>
        <w:spacing w:line="480" w:lineRule="auto"/>
        <w:jc w:val="both"/>
        <w:rPr>
          <w:rFonts w:ascii="Arial" w:hAnsi="Arial" w:cs="Arial"/>
        </w:rPr>
      </w:pPr>
      <w:r w:rsidRPr="00BB3A67">
        <w:rPr>
          <w:rFonts w:ascii="Arial" w:hAnsi="Arial" w:cs="Arial"/>
        </w:rPr>
        <w:t>To control stormwater and lessen urban heat islands, the project uses green infrastructure, such as rain gardens, green roofs, and permeable pavements. Installations of renewable energy, such as wind turbines and solar panels, promote energy efficiency and lower carbon emissions. Urban green space development and habitat conservation increase biodiversity and give locals access to the outdoors. All significant projects undergo environmental impact assessments to make sure ecological issues are taken care of and sustainability requirements are fulfilled.</w:t>
      </w:r>
    </w:p>
    <w:p w14:paraId="6F1D17FD" w14:textId="226CB2EE" w:rsidR="00BB3A67" w:rsidRPr="002503A4" w:rsidRDefault="00BB3A67" w:rsidP="00BB3A67">
      <w:pPr>
        <w:spacing w:line="480" w:lineRule="auto"/>
        <w:jc w:val="both"/>
        <w:rPr>
          <w:rFonts w:ascii="Arial Black" w:hAnsi="Arial Black" w:cs="Arial"/>
        </w:rPr>
      </w:pPr>
      <w:r w:rsidRPr="002503A4">
        <w:rPr>
          <w:rFonts w:ascii="Arial Black" w:hAnsi="Arial Black" w:cs="Arial"/>
        </w:rPr>
        <w:t>Adapting Messages to the Community Situation</w:t>
      </w:r>
    </w:p>
    <w:p w14:paraId="3CC2B620" w14:textId="77777777" w:rsidR="002503A4" w:rsidRDefault="00BB3A67" w:rsidP="00BB3A67">
      <w:pPr>
        <w:spacing w:line="480" w:lineRule="auto"/>
        <w:jc w:val="both"/>
        <w:rPr>
          <w:rFonts w:ascii="Arial" w:hAnsi="Arial" w:cs="Arial"/>
        </w:rPr>
      </w:pPr>
      <w:r w:rsidRPr="00BB3A67">
        <w:rPr>
          <w:rFonts w:ascii="Arial" w:hAnsi="Arial" w:cs="Arial"/>
        </w:rPr>
        <w:t xml:space="preserve">Successful communication techniques are designed to appeal to the wide range of Swansea Waterfront residents. Information is made accessible and pertinent by tailoring messaging to the unique needs and goals of various demographic groups. Making use of a variety of platforms, such as social media, neighbourhood gatherings, </w:t>
      </w:r>
      <w:r w:rsidRPr="00BB3A67">
        <w:rPr>
          <w:rFonts w:ascii="Arial" w:hAnsi="Arial" w:cs="Arial"/>
        </w:rPr>
        <w:lastRenderedPageBreak/>
        <w:t>and local media, promotes inclusive involvement and helps spread information broadly (Smith, 2011).</w:t>
      </w:r>
    </w:p>
    <w:p w14:paraId="7679E48C" w14:textId="7182AA0D" w:rsidR="00BB3A67" w:rsidRPr="00BB3A67" w:rsidRDefault="00BB3A67" w:rsidP="00BB3A67">
      <w:pPr>
        <w:spacing w:line="480" w:lineRule="auto"/>
        <w:jc w:val="both"/>
        <w:rPr>
          <w:rFonts w:ascii="Arial" w:hAnsi="Arial" w:cs="Arial"/>
        </w:rPr>
      </w:pPr>
      <w:r w:rsidRPr="00BB3A67">
        <w:rPr>
          <w:rFonts w:ascii="Arial" w:hAnsi="Arial" w:cs="Arial"/>
        </w:rPr>
        <w:t>Campaigns for targeted communication reach out to many community sectors, including young people, senior citizens, entrepreneurs, and members of under-represented groups. Accessibility and inclusivity are guaranteed by multilingual resources and culturally aware messaging. Social media and specialised websites are examples of digital platforms that offer real-time updates and interactive feedback forums. Digital initiatives are complemented by traditional media, such as radio and local newspapers, which guarantee thorough coverage and outreach.</w:t>
      </w:r>
    </w:p>
    <w:p w14:paraId="1F445AE9" w14:textId="14D1B7C7" w:rsidR="00BB3A67" w:rsidRPr="002503A4" w:rsidRDefault="00BB3A67" w:rsidP="00BB3A67">
      <w:pPr>
        <w:spacing w:line="480" w:lineRule="auto"/>
        <w:jc w:val="both"/>
        <w:rPr>
          <w:rFonts w:ascii="Arial Black" w:hAnsi="Arial Black" w:cs="Arial"/>
        </w:rPr>
      </w:pPr>
      <w:r w:rsidRPr="002503A4">
        <w:rPr>
          <w:rFonts w:ascii="Arial Black" w:hAnsi="Arial Black" w:cs="Arial"/>
        </w:rPr>
        <w:t>Behavioural Change Techniques</w:t>
      </w:r>
    </w:p>
    <w:p w14:paraId="398EFD29" w14:textId="77777777" w:rsidR="00BB3A67" w:rsidRPr="00BB3A67" w:rsidRDefault="00BB3A67" w:rsidP="00BB3A67">
      <w:pPr>
        <w:spacing w:line="480" w:lineRule="auto"/>
        <w:jc w:val="both"/>
        <w:rPr>
          <w:rFonts w:ascii="Arial" w:hAnsi="Arial" w:cs="Arial"/>
        </w:rPr>
      </w:pPr>
      <w:r w:rsidRPr="00BB3A67">
        <w:rPr>
          <w:rFonts w:ascii="Arial" w:hAnsi="Arial" w:cs="Arial"/>
        </w:rPr>
        <w:t>Several fundamental ideas motivate behavioural change in the Swansea Waterfront community:</w:t>
      </w:r>
    </w:p>
    <w:p w14:paraId="497D35B3" w14:textId="6C3AE4AA" w:rsidR="00BB3A67" w:rsidRPr="002503A4" w:rsidRDefault="00BB3A67" w:rsidP="002503A4">
      <w:pPr>
        <w:pStyle w:val="ListParagraph"/>
        <w:numPr>
          <w:ilvl w:val="0"/>
          <w:numId w:val="2"/>
        </w:numPr>
        <w:spacing w:line="480" w:lineRule="auto"/>
        <w:jc w:val="both"/>
        <w:rPr>
          <w:rFonts w:ascii="Arial" w:hAnsi="Arial" w:cs="Arial"/>
          <w:b/>
          <w:bCs/>
        </w:rPr>
      </w:pPr>
      <w:r w:rsidRPr="002503A4">
        <w:rPr>
          <w:rFonts w:ascii="Arial" w:hAnsi="Arial" w:cs="Arial"/>
          <w:b/>
          <w:bCs/>
        </w:rPr>
        <w:t>Sustainability in Society</w:t>
      </w:r>
    </w:p>
    <w:p w14:paraId="1F7D82F8" w14:textId="77777777" w:rsidR="002503A4" w:rsidRDefault="00BB3A67" w:rsidP="00BB3A67">
      <w:pPr>
        <w:spacing w:line="480" w:lineRule="auto"/>
        <w:jc w:val="both"/>
        <w:rPr>
          <w:rFonts w:ascii="Arial" w:hAnsi="Arial" w:cs="Arial"/>
        </w:rPr>
      </w:pPr>
      <w:r w:rsidRPr="00BB3A67">
        <w:rPr>
          <w:rFonts w:ascii="Arial" w:hAnsi="Arial" w:cs="Arial"/>
        </w:rPr>
        <w:t>Maintaining and enhancing social quality—which includes elements like equity, diversity, and social cohesion—is the core goal of social sustainability. Long-term social sustainability in the Swansea Waterfront setting is facilitated by programs that improve social networks, promote inclusion, and guarantee fair access to resources (Vallance et al., 2011).</w:t>
      </w:r>
    </w:p>
    <w:p w14:paraId="4160BD48" w14:textId="77777777" w:rsidR="002503A4" w:rsidRDefault="00BB3A67" w:rsidP="00BB3A67">
      <w:pPr>
        <w:spacing w:line="480" w:lineRule="auto"/>
        <w:jc w:val="both"/>
        <w:rPr>
          <w:rFonts w:ascii="Arial" w:hAnsi="Arial" w:cs="Arial"/>
        </w:rPr>
      </w:pPr>
      <w:r w:rsidRPr="00BB3A67">
        <w:rPr>
          <w:rFonts w:ascii="Arial" w:hAnsi="Arial" w:cs="Arial"/>
        </w:rPr>
        <w:t xml:space="preserve">Mutual support and a sense of belonging are fostered by social inclusion initiatives including community-led projects and inclusive public areas. All community members gain from development when social injustices are addressed, such as through equitable access to services and affordable housing. Residents' ongoing </w:t>
      </w:r>
      <w:r w:rsidRPr="00BB3A67">
        <w:rPr>
          <w:rFonts w:ascii="Arial" w:hAnsi="Arial" w:cs="Arial"/>
        </w:rPr>
        <w:lastRenderedPageBreak/>
        <w:t>empowerment and involvement, which allows them to actively participate in community shaping, further strengthens social sustainability.</w:t>
      </w:r>
    </w:p>
    <w:p w14:paraId="669FD95E" w14:textId="4B4A6BA4" w:rsidR="00BB3A67" w:rsidRPr="002503A4" w:rsidRDefault="00BB3A67" w:rsidP="002503A4">
      <w:pPr>
        <w:pStyle w:val="ListParagraph"/>
        <w:numPr>
          <w:ilvl w:val="0"/>
          <w:numId w:val="2"/>
        </w:numPr>
        <w:spacing w:line="480" w:lineRule="auto"/>
        <w:jc w:val="both"/>
        <w:rPr>
          <w:rFonts w:ascii="Arial" w:hAnsi="Arial" w:cs="Arial"/>
          <w:b/>
          <w:bCs/>
        </w:rPr>
      </w:pPr>
      <w:r w:rsidRPr="002503A4">
        <w:rPr>
          <w:rFonts w:ascii="Arial" w:hAnsi="Arial" w:cs="Arial"/>
          <w:b/>
          <w:bCs/>
        </w:rPr>
        <w:t>All-purpose Design</w:t>
      </w:r>
    </w:p>
    <w:p w14:paraId="75731E4E" w14:textId="77777777" w:rsidR="00BB3A67" w:rsidRPr="00BB3A67" w:rsidRDefault="00BB3A67" w:rsidP="00BB3A67">
      <w:pPr>
        <w:spacing w:line="480" w:lineRule="auto"/>
        <w:jc w:val="both"/>
        <w:rPr>
          <w:rFonts w:ascii="Arial" w:hAnsi="Arial" w:cs="Arial"/>
        </w:rPr>
      </w:pPr>
      <w:r w:rsidRPr="00BB3A67">
        <w:rPr>
          <w:rFonts w:ascii="Arial" w:hAnsi="Arial" w:cs="Arial"/>
        </w:rPr>
        <w:t xml:space="preserve">Using universal design principles guarantees that everyone, regardless of age, aptitude, or background, may use the community's infrastructure. This strategy lowers barriers to participation, encourages social inclusion, and improves usability (Vavik &amp; </w:t>
      </w:r>
      <w:proofErr w:type="spellStart"/>
      <w:r w:rsidRPr="00BB3A67">
        <w:rPr>
          <w:rFonts w:ascii="Arial" w:hAnsi="Arial" w:cs="Arial"/>
        </w:rPr>
        <w:t>Keitsch</w:t>
      </w:r>
      <w:proofErr w:type="spellEnd"/>
      <w:r w:rsidRPr="00BB3A67">
        <w:rPr>
          <w:rFonts w:ascii="Arial" w:hAnsi="Arial" w:cs="Arial"/>
        </w:rPr>
        <w:t>, 2010).</w:t>
      </w:r>
    </w:p>
    <w:p w14:paraId="341B19F2" w14:textId="77777777" w:rsidR="00BB3A67" w:rsidRPr="00BB3A67" w:rsidRDefault="00BB3A67" w:rsidP="00BB3A67">
      <w:pPr>
        <w:spacing w:line="480" w:lineRule="auto"/>
        <w:jc w:val="both"/>
        <w:rPr>
          <w:rFonts w:ascii="Arial" w:hAnsi="Arial" w:cs="Arial"/>
        </w:rPr>
      </w:pPr>
      <w:r w:rsidRPr="00BB3A67">
        <w:rPr>
          <w:rFonts w:ascii="Arial" w:hAnsi="Arial" w:cs="Arial"/>
        </w:rPr>
        <w:t>Ramps, tactile paving, and accessible amenities are all part of the Swansea Waterfront's inclusively built buildings and public areas. People with impairments can move around the waterfront with ease thanks to transport systems that have facilities to accommodate them. Digital platforms also benefit from universal design, as accessible websites and communication tools meet the demands of a wide range of users.</w:t>
      </w:r>
    </w:p>
    <w:p w14:paraId="582A865D" w14:textId="47A445AB" w:rsidR="00BB3A67" w:rsidRPr="002503A4" w:rsidRDefault="00BB3A67" w:rsidP="002503A4">
      <w:pPr>
        <w:pStyle w:val="ListParagraph"/>
        <w:numPr>
          <w:ilvl w:val="0"/>
          <w:numId w:val="2"/>
        </w:numPr>
        <w:spacing w:line="480" w:lineRule="auto"/>
        <w:jc w:val="both"/>
        <w:rPr>
          <w:rFonts w:ascii="Arial" w:hAnsi="Arial" w:cs="Arial"/>
          <w:b/>
          <w:bCs/>
        </w:rPr>
      </w:pPr>
      <w:r w:rsidRPr="002503A4">
        <w:rPr>
          <w:rFonts w:ascii="Arial" w:hAnsi="Arial" w:cs="Arial"/>
          <w:b/>
          <w:bCs/>
        </w:rPr>
        <w:t>Involved Planning</w:t>
      </w:r>
    </w:p>
    <w:p w14:paraId="04EA739B" w14:textId="77777777" w:rsidR="00BB3A67" w:rsidRPr="00BB3A67" w:rsidRDefault="00BB3A67" w:rsidP="00BB3A67">
      <w:pPr>
        <w:spacing w:line="480" w:lineRule="auto"/>
        <w:jc w:val="both"/>
        <w:rPr>
          <w:rFonts w:ascii="Arial" w:hAnsi="Arial" w:cs="Arial"/>
        </w:rPr>
      </w:pPr>
      <w:r w:rsidRPr="00BB3A67">
        <w:rPr>
          <w:rFonts w:ascii="Arial" w:hAnsi="Arial" w:cs="Arial"/>
        </w:rPr>
        <w:t>Involving the community in the planning and decision-making procedures promotes accountability and a sense of ownership. By enabling locals to share their thoughts and preferences, participatory planning makes sure that development projects represent the needs and values of the community (Winston, 2021).</w:t>
      </w:r>
    </w:p>
    <w:p w14:paraId="6F05DB4B" w14:textId="77777777" w:rsidR="002503A4" w:rsidRDefault="00BB3A67" w:rsidP="00BB3A67">
      <w:pPr>
        <w:spacing w:line="480" w:lineRule="auto"/>
        <w:jc w:val="both"/>
        <w:rPr>
          <w:rFonts w:ascii="Arial" w:hAnsi="Arial" w:cs="Arial"/>
        </w:rPr>
      </w:pPr>
      <w:r w:rsidRPr="00BB3A67">
        <w:rPr>
          <w:rFonts w:ascii="Arial" w:hAnsi="Arial" w:cs="Arial"/>
        </w:rPr>
        <w:t xml:space="preserve">In-depth community consultations, workshops, and focus groups are all part of the Swansea Waterfront revitalisation project. Residents are welcome to offer suggestions for implementation plans, policy frameworks, and design concepts. Discussions amongst stakeholders are facilitated via collaborative planning meetings, which encourage agreement and shared accountability. By bringing development activities </w:t>
      </w:r>
      <w:r w:rsidRPr="00BB3A67">
        <w:rPr>
          <w:rFonts w:ascii="Arial" w:hAnsi="Arial" w:cs="Arial"/>
        </w:rPr>
        <w:lastRenderedPageBreak/>
        <w:t>into line with the goals of the community, this inclusive approach increases their relevance and efficacy.</w:t>
      </w:r>
    </w:p>
    <w:p w14:paraId="16C1A499" w14:textId="66ED9BFD" w:rsidR="00BB3A67" w:rsidRPr="002503A4" w:rsidRDefault="00BB3A67" w:rsidP="002503A4">
      <w:pPr>
        <w:pStyle w:val="ListParagraph"/>
        <w:numPr>
          <w:ilvl w:val="0"/>
          <w:numId w:val="2"/>
        </w:numPr>
        <w:spacing w:line="480" w:lineRule="auto"/>
        <w:jc w:val="both"/>
        <w:rPr>
          <w:rFonts w:ascii="Arial" w:hAnsi="Arial" w:cs="Arial"/>
          <w:b/>
          <w:bCs/>
        </w:rPr>
      </w:pPr>
      <w:r w:rsidRPr="002503A4">
        <w:rPr>
          <w:rFonts w:ascii="Arial" w:hAnsi="Arial" w:cs="Arial"/>
          <w:b/>
          <w:bCs/>
        </w:rPr>
        <w:t>Building Resilience</w:t>
      </w:r>
    </w:p>
    <w:p w14:paraId="0FEAA6FC" w14:textId="77777777" w:rsidR="002503A4" w:rsidRDefault="00BB3A67" w:rsidP="00BB3A67">
      <w:pPr>
        <w:spacing w:line="480" w:lineRule="auto"/>
        <w:jc w:val="both"/>
        <w:rPr>
          <w:rFonts w:ascii="Arial" w:hAnsi="Arial" w:cs="Arial"/>
        </w:rPr>
      </w:pPr>
      <w:r w:rsidRPr="00BB3A67">
        <w:rPr>
          <w:rFonts w:ascii="Arial" w:hAnsi="Arial" w:cs="Arial"/>
        </w:rPr>
        <w:t>Increasing the community's ability to adjust to changes and bounce back from unfavourable occurrences is a key component of resilience building. Diversified economic strategies, strong infrastructure, and extensive emergency preparedness plans are some of the ways Swansea Waterfront addresses resilience (Smith, 2011).</w:t>
      </w:r>
    </w:p>
    <w:p w14:paraId="5189CD74" w14:textId="347F3A41" w:rsidR="00BB3A67" w:rsidRDefault="00BB3A67" w:rsidP="00BB3A67">
      <w:pPr>
        <w:spacing w:line="480" w:lineRule="auto"/>
        <w:jc w:val="both"/>
        <w:rPr>
          <w:rFonts w:ascii="Arial" w:hAnsi="Arial" w:cs="Arial"/>
        </w:rPr>
      </w:pPr>
      <w:r w:rsidRPr="00BB3A67">
        <w:rPr>
          <w:rFonts w:ascii="Arial" w:hAnsi="Arial" w:cs="Arial"/>
        </w:rPr>
        <w:t>By supporting small firms and diversifying industries, economic resilience can be attained while lowering reliance on any one industry. Buildings that can withstand earthquakes, floods, and sustainable transportation systems are examples of resilient infrastructure. Initiatives for emergency preparedness, like community support networks and disaster response training, guarantee that the community can react to and recover from unanticipated difficulties.</w:t>
      </w:r>
    </w:p>
    <w:p w14:paraId="39712B79" w14:textId="77777777" w:rsidR="00BB3A67" w:rsidRPr="002503A4" w:rsidRDefault="00BB3A67" w:rsidP="00BB3A67">
      <w:pPr>
        <w:spacing w:line="480" w:lineRule="auto"/>
        <w:jc w:val="both"/>
        <w:rPr>
          <w:rFonts w:ascii="Arial Black" w:hAnsi="Arial Black" w:cs="Arial"/>
        </w:rPr>
      </w:pPr>
      <w:r w:rsidRPr="002503A4">
        <w:rPr>
          <w:rFonts w:ascii="Arial Black" w:hAnsi="Arial Black" w:cs="Arial"/>
        </w:rPr>
        <w:t>Challenges in Community Development</w:t>
      </w:r>
    </w:p>
    <w:p w14:paraId="4734B937" w14:textId="5F0B9CCE" w:rsidR="00BB3A67" w:rsidRPr="002503A4" w:rsidRDefault="00BB3A67" w:rsidP="002503A4">
      <w:pPr>
        <w:pStyle w:val="ListParagraph"/>
        <w:numPr>
          <w:ilvl w:val="0"/>
          <w:numId w:val="3"/>
        </w:numPr>
        <w:spacing w:line="480" w:lineRule="auto"/>
        <w:jc w:val="both"/>
        <w:rPr>
          <w:rFonts w:ascii="Arial" w:hAnsi="Arial" w:cs="Arial"/>
          <w:b/>
          <w:bCs/>
        </w:rPr>
      </w:pPr>
      <w:r w:rsidRPr="002503A4">
        <w:rPr>
          <w:rFonts w:ascii="Arial" w:hAnsi="Arial" w:cs="Arial"/>
          <w:b/>
          <w:bCs/>
        </w:rPr>
        <w:t>Resource Constraints</w:t>
      </w:r>
    </w:p>
    <w:p w14:paraId="4CB25D01" w14:textId="74E8BBB4" w:rsidR="00BB3A67" w:rsidRPr="002503A4" w:rsidRDefault="00BB3A67" w:rsidP="002503A4">
      <w:pPr>
        <w:pStyle w:val="ListParagraph"/>
        <w:numPr>
          <w:ilvl w:val="0"/>
          <w:numId w:val="4"/>
        </w:numPr>
        <w:spacing w:line="480" w:lineRule="auto"/>
        <w:jc w:val="both"/>
        <w:rPr>
          <w:rFonts w:ascii="Arial" w:hAnsi="Arial" w:cs="Arial"/>
        </w:rPr>
      </w:pPr>
      <w:r w:rsidRPr="002503A4">
        <w:rPr>
          <w:rFonts w:ascii="Arial" w:hAnsi="Arial" w:cs="Arial"/>
        </w:rPr>
        <w:t>Limited financial and human resources can hinder development initiatives.</w:t>
      </w:r>
    </w:p>
    <w:p w14:paraId="71A6CA06" w14:textId="735F7729" w:rsidR="00BB3A67" w:rsidRPr="002503A4" w:rsidRDefault="00BB3A67" w:rsidP="002503A4">
      <w:pPr>
        <w:pStyle w:val="ListParagraph"/>
        <w:numPr>
          <w:ilvl w:val="0"/>
          <w:numId w:val="4"/>
        </w:numPr>
        <w:spacing w:line="480" w:lineRule="auto"/>
        <w:jc w:val="both"/>
        <w:rPr>
          <w:rFonts w:ascii="Arial" w:hAnsi="Arial" w:cs="Arial"/>
        </w:rPr>
      </w:pPr>
      <w:r w:rsidRPr="002503A4">
        <w:rPr>
          <w:rFonts w:ascii="Arial" w:hAnsi="Arial" w:cs="Arial"/>
        </w:rPr>
        <w:t>Strategic planning and collaboration are required for efficient resource allocation.</w:t>
      </w:r>
    </w:p>
    <w:p w14:paraId="6E19A87A" w14:textId="77777777" w:rsidR="002503A4" w:rsidRDefault="00BB3A67" w:rsidP="00BB3A67">
      <w:pPr>
        <w:pStyle w:val="ListParagraph"/>
        <w:numPr>
          <w:ilvl w:val="0"/>
          <w:numId w:val="4"/>
        </w:numPr>
        <w:spacing w:line="480" w:lineRule="auto"/>
        <w:jc w:val="both"/>
        <w:rPr>
          <w:rFonts w:ascii="Arial" w:hAnsi="Arial" w:cs="Arial"/>
        </w:rPr>
      </w:pPr>
      <w:r w:rsidRPr="002503A4">
        <w:rPr>
          <w:rFonts w:ascii="Arial" w:hAnsi="Arial" w:cs="Arial"/>
        </w:rPr>
        <w:t>Fluctuations in economic conditions and funding availability can disrupt project timelines.</w:t>
      </w:r>
    </w:p>
    <w:p w14:paraId="13267794" w14:textId="50FBFCAF" w:rsidR="00BB3A67" w:rsidRPr="002503A4" w:rsidRDefault="00BB3A67" w:rsidP="00BB3A67">
      <w:pPr>
        <w:pStyle w:val="ListParagraph"/>
        <w:numPr>
          <w:ilvl w:val="0"/>
          <w:numId w:val="4"/>
        </w:numPr>
        <w:spacing w:line="480" w:lineRule="auto"/>
        <w:jc w:val="both"/>
        <w:rPr>
          <w:rFonts w:ascii="Arial" w:hAnsi="Arial" w:cs="Arial"/>
        </w:rPr>
      </w:pPr>
      <w:r w:rsidRPr="002503A4">
        <w:rPr>
          <w:rFonts w:ascii="Arial" w:hAnsi="Arial" w:cs="Arial"/>
        </w:rPr>
        <w:t>Attracting and retaining skilled professionals and volunteers is essential.</w:t>
      </w:r>
    </w:p>
    <w:p w14:paraId="45C61BB8" w14:textId="77777777" w:rsidR="00BB3A67" w:rsidRPr="00BB3A67" w:rsidRDefault="00BB3A67" w:rsidP="00BB3A67">
      <w:pPr>
        <w:spacing w:line="480" w:lineRule="auto"/>
        <w:jc w:val="both"/>
        <w:rPr>
          <w:rFonts w:ascii="Arial" w:hAnsi="Arial" w:cs="Arial"/>
        </w:rPr>
      </w:pPr>
    </w:p>
    <w:p w14:paraId="540205F2" w14:textId="77777777" w:rsidR="002503A4" w:rsidRDefault="002503A4" w:rsidP="00BB3A67">
      <w:pPr>
        <w:spacing w:line="480" w:lineRule="auto"/>
        <w:jc w:val="both"/>
        <w:rPr>
          <w:rFonts w:ascii="Arial" w:hAnsi="Arial" w:cs="Arial"/>
        </w:rPr>
      </w:pPr>
    </w:p>
    <w:p w14:paraId="5C222919" w14:textId="3B5E439A" w:rsidR="00BB3A67" w:rsidRPr="002503A4" w:rsidRDefault="00BB3A67" w:rsidP="002503A4">
      <w:pPr>
        <w:pStyle w:val="ListParagraph"/>
        <w:numPr>
          <w:ilvl w:val="0"/>
          <w:numId w:val="3"/>
        </w:numPr>
        <w:spacing w:line="480" w:lineRule="auto"/>
        <w:jc w:val="both"/>
        <w:rPr>
          <w:rFonts w:ascii="Arial" w:hAnsi="Arial" w:cs="Arial"/>
          <w:b/>
          <w:bCs/>
        </w:rPr>
      </w:pPr>
      <w:r w:rsidRPr="002503A4">
        <w:rPr>
          <w:rFonts w:ascii="Arial" w:hAnsi="Arial" w:cs="Arial"/>
          <w:b/>
          <w:bCs/>
        </w:rPr>
        <w:lastRenderedPageBreak/>
        <w:t>Stakeholder Coordination</w:t>
      </w:r>
    </w:p>
    <w:p w14:paraId="258F9A52" w14:textId="4A9A7933" w:rsidR="00BB3A67" w:rsidRPr="002503A4" w:rsidRDefault="00BB3A67" w:rsidP="002503A4">
      <w:pPr>
        <w:pStyle w:val="ListParagraph"/>
        <w:numPr>
          <w:ilvl w:val="0"/>
          <w:numId w:val="8"/>
        </w:numPr>
        <w:spacing w:line="480" w:lineRule="auto"/>
        <w:jc w:val="both"/>
        <w:rPr>
          <w:rFonts w:ascii="Arial" w:hAnsi="Arial" w:cs="Arial"/>
        </w:rPr>
      </w:pPr>
      <w:r w:rsidRPr="002503A4">
        <w:rPr>
          <w:rFonts w:ascii="Arial" w:hAnsi="Arial" w:cs="Arial"/>
        </w:rPr>
        <w:t>Coordinating among various stakeholders can be complex.</w:t>
      </w:r>
    </w:p>
    <w:p w14:paraId="11200765" w14:textId="5A51AF97" w:rsidR="00BB3A67" w:rsidRPr="002503A4" w:rsidRDefault="00BB3A67" w:rsidP="002503A4">
      <w:pPr>
        <w:pStyle w:val="ListParagraph"/>
        <w:numPr>
          <w:ilvl w:val="0"/>
          <w:numId w:val="8"/>
        </w:numPr>
        <w:spacing w:line="480" w:lineRule="auto"/>
        <w:jc w:val="both"/>
        <w:rPr>
          <w:rFonts w:ascii="Arial" w:hAnsi="Arial" w:cs="Arial"/>
        </w:rPr>
      </w:pPr>
      <w:r w:rsidRPr="002503A4">
        <w:rPr>
          <w:rFonts w:ascii="Arial" w:hAnsi="Arial" w:cs="Arial"/>
        </w:rPr>
        <w:t>Effective stakeholder management requires clear communication, defined roles, and conflict resolution mechanisms.</w:t>
      </w:r>
    </w:p>
    <w:p w14:paraId="14C86BBC" w14:textId="014BF584" w:rsidR="00BB3A67" w:rsidRPr="002503A4" w:rsidRDefault="00BB3A67" w:rsidP="002503A4">
      <w:pPr>
        <w:pStyle w:val="ListParagraph"/>
        <w:numPr>
          <w:ilvl w:val="0"/>
          <w:numId w:val="8"/>
        </w:numPr>
        <w:spacing w:line="480" w:lineRule="auto"/>
        <w:jc w:val="both"/>
        <w:rPr>
          <w:rFonts w:ascii="Arial" w:hAnsi="Arial" w:cs="Arial"/>
        </w:rPr>
      </w:pPr>
      <w:r w:rsidRPr="002503A4">
        <w:rPr>
          <w:rFonts w:ascii="Arial" w:hAnsi="Arial" w:cs="Arial"/>
        </w:rPr>
        <w:t>Building trust and fostering collaborative relationships are critical for overcoming coordination challenges.</w:t>
      </w:r>
    </w:p>
    <w:p w14:paraId="29C2E939" w14:textId="16DC3CF3" w:rsidR="00BB3A67" w:rsidRPr="002503A4" w:rsidRDefault="00BB3A67" w:rsidP="002503A4">
      <w:pPr>
        <w:pStyle w:val="ListParagraph"/>
        <w:numPr>
          <w:ilvl w:val="0"/>
          <w:numId w:val="3"/>
        </w:numPr>
        <w:spacing w:line="480" w:lineRule="auto"/>
        <w:jc w:val="both"/>
        <w:rPr>
          <w:rFonts w:ascii="Arial" w:hAnsi="Arial" w:cs="Arial"/>
          <w:b/>
          <w:bCs/>
        </w:rPr>
      </w:pPr>
      <w:r w:rsidRPr="002503A4">
        <w:rPr>
          <w:rFonts w:ascii="Arial" w:hAnsi="Arial" w:cs="Arial"/>
          <w:b/>
          <w:bCs/>
        </w:rPr>
        <w:t>Maintaining Social Cohesion</w:t>
      </w:r>
    </w:p>
    <w:p w14:paraId="3579E608" w14:textId="17A0C84A" w:rsidR="00BB3A67" w:rsidRPr="002503A4" w:rsidRDefault="00BB3A67" w:rsidP="002503A4">
      <w:pPr>
        <w:pStyle w:val="ListParagraph"/>
        <w:numPr>
          <w:ilvl w:val="0"/>
          <w:numId w:val="9"/>
        </w:numPr>
        <w:spacing w:line="480" w:lineRule="auto"/>
        <w:jc w:val="both"/>
        <w:rPr>
          <w:rFonts w:ascii="Arial" w:hAnsi="Arial" w:cs="Arial"/>
        </w:rPr>
      </w:pPr>
      <w:r w:rsidRPr="002503A4">
        <w:rPr>
          <w:rFonts w:ascii="Arial" w:hAnsi="Arial" w:cs="Arial"/>
        </w:rPr>
        <w:t>Rapid development can lead to social displacement and disruption of existing social networks.</w:t>
      </w:r>
    </w:p>
    <w:p w14:paraId="207A8ED5" w14:textId="70ABA646" w:rsidR="00BB3A67" w:rsidRPr="002503A4" w:rsidRDefault="00BB3A67" w:rsidP="002503A4">
      <w:pPr>
        <w:pStyle w:val="ListParagraph"/>
        <w:numPr>
          <w:ilvl w:val="0"/>
          <w:numId w:val="9"/>
        </w:numPr>
        <w:spacing w:line="480" w:lineRule="auto"/>
        <w:jc w:val="both"/>
        <w:rPr>
          <w:rFonts w:ascii="Arial" w:hAnsi="Arial" w:cs="Arial"/>
        </w:rPr>
      </w:pPr>
      <w:r w:rsidRPr="002503A4">
        <w:rPr>
          <w:rFonts w:ascii="Arial" w:hAnsi="Arial" w:cs="Arial"/>
        </w:rPr>
        <w:t>Strategies to mitigate these impacts include affordable housing initiatives, community land trusts, and policies that prioritize resident retention.</w:t>
      </w:r>
    </w:p>
    <w:p w14:paraId="0C1C4B3A" w14:textId="1960072C" w:rsidR="00BB3A67" w:rsidRPr="002503A4" w:rsidRDefault="00BB3A67" w:rsidP="002503A4">
      <w:pPr>
        <w:pStyle w:val="ListParagraph"/>
        <w:numPr>
          <w:ilvl w:val="0"/>
          <w:numId w:val="3"/>
        </w:numPr>
        <w:spacing w:line="480" w:lineRule="auto"/>
        <w:jc w:val="both"/>
        <w:rPr>
          <w:rFonts w:ascii="Arial" w:hAnsi="Arial" w:cs="Arial"/>
          <w:b/>
          <w:bCs/>
        </w:rPr>
      </w:pPr>
      <w:r w:rsidRPr="002503A4">
        <w:rPr>
          <w:rFonts w:ascii="Arial" w:hAnsi="Arial" w:cs="Arial"/>
          <w:b/>
          <w:bCs/>
        </w:rPr>
        <w:t>Environmental Sustainability</w:t>
      </w:r>
    </w:p>
    <w:p w14:paraId="347EA917" w14:textId="63975DC6" w:rsidR="00BB3A67" w:rsidRPr="002503A4" w:rsidRDefault="00BB3A67" w:rsidP="002503A4">
      <w:pPr>
        <w:pStyle w:val="ListParagraph"/>
        <w:numPr>
          <w:ilvl w:val="0"/>
          <w:numId w:val="11"/>
        </w:numPr>
        <w:spacing w:line="480" w:lineRule="auto"/>
        <w:jc w:val="both"/>
        <w:rPr>
          <w:rFonts w:ascii="Arial" w:hAnsi="Arial" w:cs="Arial"/>
        </w:rPr>
      </w:pPr>
      <w:r w:rsidRPr="002503A4">
        <w:rPr>
          <w:rFonts w:ascii="Arial" w:hAnsi="Arial" w:cs="Arial"/>
        </w:rPr>
        <w:t>Balancing development with environmental sustainability is critical.</w:t>
      </w:r>
    </w:p>
    <w:p w14:paraId="7A29B9F5" w14:textId="70A7AEDB" w:rsidR="00BB3A67" w:rsidRPr="002503A4" w:rsidRDefault="00BB3A67" w:rsidP="002503A4">
      <w:pPr>
        <w:pStyle w:val="ListParagraph"/>
        <w:numPr>
          <w:ilvl w:val="0"/>
          <w:numId w:val="11"/>
        </w:numPr>
        <w:spacing w:line="480" w:lineRule="auto"/>
        <w:jc w:val="both"/>
        <w:rPr>
          <w:rFonts w:ascii="Arial" w:hAnsi="Arial" w:cs="Arial"/>
        </w:rPr>
      </w:pPr>
      <w:r w:rsidRPr="002503A4">
        <w:rPr>
          <w:rFonts w:ascii="Arial" w:hAnsi="Arial" w:cs="Arial"/>
        </w:rPr>
        <w:t>Development activities must align with environmental regulations and sustainability standards.</w:t>
      </w:r>
    </w:p>
    <w:p w14:paraId="2DCFEDB5" w14:textId="23D7552F" w:rsidR="00BB3A67" w:rsidRPr="002503A4" w:rsidRDefault="00BB3A67" w:rsidP="002503A4">
      <w:pPr>
        <w:pStyle w:val="ListParagraph"/>
        <w:numPr>
          <w:ilvl w:val="0"/>
          <w:numId w:val="11"/>
        </w:numPr>
        <w:spacing w:line="480" w:lineRule="auto"/>
        <w:jc w:val="both"/>
        <w:rPr>
          <w:rFonts w:ascii="Arial" w:hAnsi="Arial" w:cs="Arial"/>
        </w:rPr>
      </w:pPr>
      <w:r w:rsidRPr="002503A4">
        <w:rPr>
          <w:rFonts w:ascii="Arial" w:hAnsi="Arial" w:cs="Arial"/>
        </w:rPr>
        <w:t>Engaging environmental experts and stakeholders in the planning process ensures sustainability considerations are integrated into all aspects of development.</w:t>
      </w:r>
    </w:p>
    <w:p w14:paraId="3186492C" w14:textId="34D29B6A" w:rsidR="00BB3A67" w:rsidRPr="002503A4" w:rsidRDefault="00BB3A67" w:rsidP="002503A4">
      <w:pPr>
        <w:pStyle w:val="ListParagraph"/>
        <w:numPr>
          <w:ilvl w:val="0"/>
          <w:numId w:val="3"/>
        </w:numPr>
        <w:spacing w:line="480" w:lineRule="auto"/>
        <w:jc w:val="both"/>
        <w:rPr>
          <w:rFonts w:ascii="Arial" w:hAnsi="Arial" w:cs="Arial"/>
          <w:b/>
          <w:bCs/>
        </w:rPr>
      </w:pPr>
      <w:r w:rsidRPr="002503A4">
        <w:rPr>
          <w:rFonts w:ascii="Arial" w:hAnsi="Arial" w:cs="Arial"/>
          <w:b/>
          <w:bCs/>
        </w:rPr>
        <w:t>Community Engagement</w:t>
      </w:r>
    </w:p>
    <w:p w14:paraId="07B1EE96" w14:textId="6D171464" w:rsidR="00BB3A67" w:rsidRPr="002503A4" w:rsidRDefault="00BB3A67" w:rsidP="002503A4">
      <w:pPr>
        <w:pStyle w:val="ListParagraph"/>
        <w:numPr>
          <w:ilvl w:val="0"/>
          <w:numId w:val="13"/>
        </w:numPr>
        <w:spacing w:line="480" w:lineRule="auto"/>
        <w:jc w:val="both"/>
        <w:rPr>
          <w:rFonts w:ascii="Arial" w:hAnsi="Arial" w:cs="Arial"/>
        </w:rPr>
      </w:pPr>
      <w:r w:rsidRPr="002503A4">
        <w:rPr>
          <w:rFonts w:ascii="Arial" w:hAnsi="Arial" w:cs="Arial"/>
        </w:rPr>
        <w:t>Maintaining high levels of community engagement over the long term is challenging.</w:t>
      </w:r>
    </w:p>
    <w:p w14:paraId="501A9C8D" w14:textId="4A992163" w:rsidR="00BB3A67" w:rsidRPr="002503A4" w:rsidRDefault="00BB3A67" w:rsidP="002503A4">
      <w:pPr>
        <w:pStyle w:val="ListParagraph"/>
        <w:numPr>
          <w:ilvl w:val="0"/>
          <w:numId w:val="13"/>
        </w:numPr>
        <w:spacing w:line="480" w:lineRule="auto"/>
        <w:jc w:val="both"/>
        <w:rPr>
          <w:rFonts w:ascii="Arial" w:hAnsi="Arial" w:cs="Arial"/>
        </w:rPr>
      </w:pPr>
      <w:r w:rsidRPr="002503A4">
        <w:rPr>
          <w:rFonts w:ascii="Arial" w:hAnsi="Arial" w:cs="Arial"/>
        </w:rPr>
        <w:t>Implementing diverse engagement strategies helps maintain resident involvement.</w:t>
      </w:r>
    </w:p>
    <w:p w14:paraId="27F49F92" w14:textId="77777777" w:rsidR="00BB3A67" w:rsidRPr="00BB3A67" w:rsidRDefault="00BB3A67" w:rsidP="00BB3A67">
      <w:pPr>
        <w:spacing w:line="480" w:lineRule="auto"/>
        <w:jc w:val="both"/>
        <w:rPr>
          <w:rFonts w:ascii="Arial" w:hAnsi="Arial" w:cs="Arial"/>
        </w:rPr>
      </w:pPr>
    </w:p>
    <w:p w14:paraId="1EE7814D" w14:textId="77777777" w:rsidR="002503A4" w:rsidRDefault="002503A4" w:rsidP="00BB3A67">
      <w:pPr>
        <w:spacing w:line="480" w:lineRule="auto"/>
        <w:jc w:val="both"/>
        <w:rPr>
          <w:rFonts w:ascii="Arial" w:hAnsi="Arial" w:cs="Arial"/>
        </w:rPr>
      </w:pPr>
    </w:p>
    <w:p w14:paraId="6E9A6F6A" w14:textId="4A50F583" w:rsidR="00BB3A67" w:rsidRPr="002503A4" w:rsidRDefault="00BB3A67" w:rsidP="00BB3A67">
      <w:pPr>
        <w:spacing w:line="480" w:lineRule="auto"/>
        <w:jc w:val="both"/>
        <w:rPr>
          <w:rFonts w:ascii="Arial Black" w:hAnsi="Arial Black" w:cs="Arial"/>
        </w:rPr>
      </w:pPr>
      <w:r w:rsidRPr="002503A4">
        <w:rPr>
          <w:rFonts w:ascii="Arial Black" w:hAnsi="Arial Black" w:cs="Arial"/>
        </w:rPr>
        <w:lastRenderedPageBreak/>
        <w:t>Evaluation of Community Development Processes for Sustainable Improvements</w:t>
      </w:r>
    </w:p>
    <w:p w14:paraId="35B12B5F" w14:textId="7258A85E" w:rsidR="00BB3A67" w:rsidRPr="002503A4" w:rsidRDefault="00BB3A67" w:rsidP="002503A4">
      <w:pPr>
        <w:pStyle w:val="ListParagraph"/>
        <w:numPr>
          <w:ilvl w:val="1"/>
          <w:numId w:val="15"/>
        </w:numPr>
        <w:spacing w:line="480" w:lineRule="auto"/>
        <w:jc w:val="both"/>
        <w:rPr>
          <w:rFonts w:ascii="Arial" w:hAnsi="Arial" w:cs="Arial"/>
        </w:rPr>
      </w:pPr>
      <w:r w:rsidRPr="002503A4">
        <w:rPr>
          <w:rFonts w:ascii="Arial" w:hAnsi="Arial" w:cs="Arial"/>
        </w:rPr>
        <w:t>The Swansea Waterfront regeneration project adopts an integrated planning approach that combines economic, social, and environmental objectives.</w:t>
      </w:r>
    </w:p>
    <w:p w14:paraId="68D9AAB5" w14:textId="059EBADE" w:rsidR="00BB3A67" w:rsidRPr="002503A4" w:rsidRDefault="00BB3A67" w:rsidP="002503A4">
      <w:pPr>
        <w:pStyle w:val="ListParagraph"/>
        <w:numPr>
          <w:ilvl w:val="1"/>
          <w:numId w:val="15"/>
        </w:numPr>
        <w:spacing w:line="480" w:lineRule="auto"/>
        <w:jc w:val="both"/>
        <w:rPr>
          <w:rFonts w:ascii="Arial" w:hAnsi="Arial" w:cs="Arial"/>
        </w:rPr>
      </w:pPr>
      <w:r w:rsidRPr="002503A4">
        <w:rPr>
          <w:rFonts w:ascii="Arial" w:hAnsi="Arial" w:cs="Arial"/>
        </w:rPr>
        <w:t>Regular stakeholder meetings, advisory panels, and participatory forums facilitate continuous dialogue and input from all relevant parties.</w:t>
      </w:r>
    </w:p>
    <w:p w14:paraId="0176E1BC" w14:textId="553E52C8" w:rsidR="00BB3A67" w:rsidRPr="002503A4" w:rsidRDefault="00BB3A67" w:rsidP="002503A4">
      <w:pPr>
        <w:pStyle w:val="ListParagraph"/>
        <w:numPr>
          <w:ilvl w:val="1"/>
          <w:numId w:val="15"/>
        </w:numPr>
        <w:spacing w:line="480" w:lineRule="auto"/>
        <w:jc w:val="both"/>
        <w:rPr>
          <w:rFonts w:ascii="Arial" w:hAnsi="Arial" w:cs="Arial"/>
        </w:rPr>
      </w:pPr>
      <w:r w:rsidRPr="002503A4">
        <w:rPr>
          <w:rFonts w:ascii="Arial" w:hAnsi="Arial" w:cs="Arial"/>
        </w:rPr>
        <w:t>Investments in sustainable infrastructure contribute to long-term environmental sustainability and reduce the community’s carbon footprint.</w:t>
      </w:r>
    </w:p>
    <w:p w14:paraId="54F59991" w14:textId="77777777" w:rsidR="00BB3A67" w:rsidRPr="008F2418" w:rsidRDefault="00BB3A67" w:rsidP="00BB3A67">
      <w:pPr>
        <w:spacing w:line="480" w:lineRule="auto"/>
        <w:jc w:val="both"/>
        <w:rPr>
          <w:rFonts w:ascii="Arial Black" w:hAnsi="Arial Black" w:cs="Arial"/>
        </w:rPr>
      </w:pPr>
      <w:r w:rsidRPr="008F2418">
        <w:rPr>
          <w:rFonts w:ascii="Arial Black" w:hAnsi="Arial Black" w:cs="Arial"/>
        </w:rPr>
        <w:t>Swansea Waterfront Regeneration Project: Capacity Building, Monitoring, and Adaptability</w:t>
      </w:r>
    </w:p>
    <w:p w14:paraId="4641A0D3" w14:textId="19496A64" w:rsidR="00BB3A67" w:rsidRPr="008F2418" w:rsidRDefault="00BB3A67" w:rsidP="008F2418">
      <w:pPr>
        <w:pStyle w:val="ListParagraph"/>
        <w:numPr>
          <w:ilvl w:val="0"/>
          <w:numId w:val="16"/>
        </w:numPr>
        <w:spacing w:line="480" w:lineRule="auto"/>
        <w:jc w:val="both"/>
        <w:rPr>
          <w:rFonts w:ascii="Arial" w:hAnsi="Arial" w:cs="Arial"/>
          <w:b/>
          <w:bCs/>
        </w:rPr>
      </w:pPr>
      <w:r w:rsidRPr="008F2418">
        <w:rPr>
          <w:rFonts w:ascii="Arial" w:hAnsi="Arial" w:cs="Arial"/>
          <w:b/>
          <w:bCs/>
        </w:rPr>
        <w:t>Capacity Building</w:t>
      </w:r>
    </w:p>
    <w:p w14:paraId="5EC39172" w14:textId="66118288" w:rsidR="00BB3A67" w:rsidRPr="008F2418" w:rsidRDefault="00BB3A67" w:rsidP="008F2418">
      <w:pPr>
        <w:pStyle w:val="ListParagraph"/>
        <w:numPr>
          <w:ilvl w:val="1"/>
          <w:numId w:val="17"/>
        </w:numPr>
        <w:spacing w:line="480" w:lineRule="auto"/>
        <w:jc w:val="both"/>
        <w:rPr>
          <w:rFonts w:ascii="Arial" w:hAnsi="Arial" w:cs="Arial"/>
        </w:rPr>
      </w:pPr>
      <w:r w:rsidRPr="008F2418">
        <w:rPr>
          <w:rFonts w:ascii="Arial" w:hAnsi="Arial" w:cs="Arial"/>
        </w:rPr>
        <w:t>Enhances the capacity of community organizations and local institutions for effective management and sustainability of development initiatives.</w:t>
      </w:r>
    </w:p>
    <w:p w14:paraId="0FAFB79B" w14:textId="6A7BD7F9" w:rsidR="00BB3A67" w:rsidRPr="008F2418" w:rsidRDefault="00BB3A67" w:rsidP="008F2418">
      <w:pPr>
        <w:pStyle w:val="ListParagraph"/>
        <w:numPr>
          <w:ilvl w:val="1"/>
          <w:numId w:val="17"/>
        </w:numPr>
        <w:spacing w:line="480" w:lineRule="auto"/>
        <w:jc w:val="both"/>
        <w:rPr>
          <w:rFonts w:ascii="Arial" w:hAnsi="Arial" w:cs="Arial"/>
        </w:rPr>
      </w:pPr>
      <w:r w:rsidRPr="008F2418">
        <w:rPr>
          <w:rFonts w:ascii="Arial" w:hAnsi="Arial" w:cs="Arial"/>
        </w:rPr>
        <w:t>Training programs, resource allocation, and institutional support are critical components of capacity building.</w:t>
      </w:r>
    </w:p>
    <w:p w14:paraId="63236C14" w14:textId="62369A43" w:rsidR="00BB3A67" w:rsidRPr="008F2418" w:rsidRDefault="00BB3A67" w:rsidP="008F2418">
      <w:pPr>
        <w:pStyle w:val="ListParagraph"/>
        <w:numPr>
          <w:ilvl w:val="1"/>
          <w:numId w:val="17"/>
        </w:numPr>
        <w:spacing w:line="480" w:lineRule="auto"/>
        <w:jc w:val="both"/>
        <w:rPr>
          <w:rFonts w:ascii="Arial" w:hAnsi="Arial" w:cs="Arial"/>
        </w:rPr>
      </w:pPr>
      <w:r w:rsidRPr="008F2418">
        <w:rPr>
          <w:rFonts w:ascii="Arial" w:hAnsi="Arial" w:cs="Arial"/>
        </w:rPr>
        <w:t>The Swansea Waterfront Authority provides training and resources to local community groups for active project implementation and management.</w:t>
      </w:r>
    </w:p>
    <w:p w14:paraId="600F6AE1" w14:textId="681EAA84" w:rsidR="00BB3A67" w:rsidRPr="008F2418" w:rsidRDefault="00BB3A67" w:rsidP="008F2418">
      <w:pPr>
        <w:pStyle w:val="ListParagraph"/>
        <w:numPr>
          <w:ilvl w:val="0"/>
          <w:numId w:val="16"/>
        </w:numPr>
        <w:spacing w:line="480" w:lineRule="auto"/>
        <w:jc w:val="both"/>
        <w:rPr>
          <w:rFonts w:ascii="Arial" w:hAnsi="Arial" w:cs="Arial"/>
          <w:b/>
          <w:bCs/>
        </w:rPr>
      </w:pPr>
      <w:r w:rsidRPr="008F2418">
        <w:rPr>
          <w:rFonts w:ascii="Arial" w:hAnsi="Arial" w:cs="Arial"/>
          <w:b/>
          <w:bCs/>
        </w:rPr>
        <w:t>Monitoring and Evaluation</w:t>
      </w:r>
    </w:p>
    <w:p w14:paraId="4A841873" w14:textId="3339DCB7" w:rsidR="00BB3A67" w:rsidRPr="008F2418" w:rsidRDefault="00BB3A67" w:rsidP="008F2418">
      <w:pPr>
        <w:pStyle w:val="ListParagraph"/>
        <w:numPr>
          <w:ilvl w:val="1"/>
          <w:numId w:val="18"/>
        </w:numPr>
        <w:spacing w:line="480" w:lineRule="auto"/>
        <w:jc w:val="both"/>
        <w:rPr>
          <w:rFonts w:ascii="Arial" w:hAnsi="Arial" w:cs="Arial"/>
        </w:rPr>
      </w:pPr>
      <w:r w:rsidRPr="008F2418">
        <w:rPr>
          <w:rFonts w:ascii="Arial" w:hAnsi="Arial" w:cs="Arial"/>
        </w:rPr>
        <w:t>Continuous monitoring and evaluation of development projects identify successes and areas for improvement.</w:t>
      </w:r>
    </w:p>
    <w:p w14:paraId="48AABE08" w14:textId="0A1A59D3" w:rsidR="00BB3A67" w:rsidRPr="008F2418" w:rsidRDefault="00BB3A67" w:rsidP="008F2418">
      <w:pPr>
        <w:pStyle w:val="ListParagraph"/>
        <w:numPr>
          <w:ilvl w:val="1"/>
          <w:numId w:val="18"/>
        </w:numPr>
        <w:spacing w:line="480" w:lineRule="auto"/>
        <w:jc w:val="both"/>
        <w:rPr>
          <w:rFonts w:ascii="Arial" w:hAnsi="Arial" w:cs="Arial"/>
        </w:rPr>
      </w:pPr>
      <w:r w:rsidRPr="008F2418">
        <w:rPr>
          <w:rFonts w:ascii="Arial" w:hAnsi="Arial" w:cs="Arial"/>
        </w:rPr>
        <w:lastRenderedPageBreak/>
        <w:t>The Swansea Waterfront regeneration project uses a robust monitoring framework, including KPIs and regular progress reports.</w:t>
      </w:r>
    </w:p>
    <w:p w14:paraId="594912F8" w14:textId="09CCD819" w:rsidR="00BB3A67" w:rsidRPr="008F2418" w:rsidRDefault="00BB3A67" w:rsidP="008F2418">
      <w:pPr>
        <w:pStyle w:val="ListParagraph"/>
        <w:numPr>
          <w:ilvl w:val="1"/>
          <w:numId w:val="18"/>
        </w:numPr>
        <w:spacing w:line="480" w:lineRule="auto"/>
        <w:jc w:val="both"/>
        <w:rPr>
          <w:rFonts w:ascii="Arial" w:hAnsi="Arial" w:cs="Arial"/>
        </w:rPr>
      </w:pPr>
      <w:r w:rsidRPr="008F2418">
        <w:rPr>
          <w:rFonts w:ascii="Arial" w:hAnsi="Arial" w:cs="Arial"/>
        </w:rPr>
        <w:t xml:space="preserve">Feedback from residents and stakeholders is collected and </w:t>
      </w:r>
      <w:r w:rsidR="008F2418" w:rsidRPr="008F2418">
        <w:rPr>
          <w:rFonts w:ascii="Arial" w:hAnsi="Arial" w:cs="Arial"/>
        </w:rPr>
        <w:t>analysed</w:t>
      </w:r>
      <w:r w:rsidRPr="008F2418">
        <w:rPr>
          <w:rFonts w:ascii="Arial" w:hAnsi="Arial" w:cs="Arial"/>
        </w:rPr>
        <w:t xml:space="preserve"> to inform adjustments to strategies.</w:t>
      </w:r>
    </w:p>
    <w:p w14:paraId="655F8582" w14:textId="4A79D086" w:rsidR="00BB3A67" w:rsidRPr="008F2418" w:rsidRDefault="00BB3A67" w:rsidP="008F2418">
      <w:pPr>
        <w:pStyle w:val="ListParagraph"/>
        <w:numPr>
          <w:ilvl w:val="0"/>
          <w:numId w:val="16"/>
        </w:numPr>
        <w:spacing w:line="480" w:lineRule="auto"/>
        <w:jc w:val="both"/>
        <w:rPr>
          <w:rFonts w:ascii="Arial" w:hAnsi="Arial" w:cs="Arial"/>
          <w:b/>
          <w:bCs/>
        </w:rPr>
      </w:pPr>
      <w:r w:rsidRPr="008F2418">
        <w:rPr>
          <w:rFonts w:ascii="Arial" w:hAnsi="Arial" w:cs="Arial"/>
          <w:b/>
          <w:bCs/>
        </w:rPr>
        <w:t>Innovation and Adaptability</w:t>
      </w:r>
    </w:p>
    <w:p w14:paraId="1C91C1F1" w14:textId="79964382" w:rsidR="00BB3A67" w:rsidRPr="008F2418" w:rsidRDefault="00BB3A67" w:rsidP="008F2418">
      <w:pPr>
        <w:pStyle w:val="ListParagraph"/>
        <w:numPr>
          <w:ilvl w:val="1"/>
          <w:numId w:val="19"/>
        </w:numPr>
        <w:spacing w:line="480" w:lineRule="auto"/>
        <w:jc w:val="both"/>
        <w:rPr>
          <w:rFonts w:ascii="Arial" w:hAnsi="Arial" w:cs="Arial"/>
        </w:rPr>
      </w:pPr>
      <w:r w:rsidRPr="008F2418">
        <w:rPr>
          <w:rFonts w:ascii="Arial" w:hAnsi="Arial" w:cs="Arial"/>
        </w:rPr>
        <w:t>The Swansea Waterfront regeneration project incorporates innovative solutions and maintains adaptability to new developments and changing circumstances.</w:t>
      </w:r>
    </w:p>
    <w:p w14:paraId="1EC9FBBE" w14:textId="3489CA26" w:rsidR="00BB3A67" w:rsidRPr="008F2418" w:rsidRDefault="00BB3A67" w:rsidP="008F2418">
      <w:pPr>
        <w:pStyle w:val="ListParagraph"/>
        <w:numPr>
          <w:ilvl w:val="1"/>
          <w:numId w:val="19"/>
        </w:numPr>
        <w:spacing w:line="480" w:lineRule="auto"/>
        <w:jc w:val="both"/>
        <w:rPr>
          <w:rFonts w:ascii="Arial" w:hAnsi="Arial" w:cs="Arial"/>
        </w:rPr>
      </w:pPr>
      <w:r w:rsidRPr="008F2418">
        <w:rPr>
          <w:rFonts w:ascii="Arial" w:hAnsi="Arial" w:cs="Arial"/>
        </w:rPr>
        <w:t>Technological advancements like smart city initiatives and data-driven decision-making enhance the efficiency and effectiveness of development projects.</w:t>
      </w:r>
    </w:p>
    <w:p w14:paraId="25AA4D5D" w14:textId="429F193B" w:rsidR="00BB3A67" w:rsidRPr="008F2418" w:rsidRDefault="00BB3A67" w:rsidP="008F2418">
      <w:pPr>
        <w:pStyle w:val="ListParagraph"/>
        <w:numPr>
          <w:ilvl w:val="0"/>
          <w:numId w:val="16"/>
        </w:numPr>
        <w:spacing w:line="480" w:lineRule="auto"/>
        <w:jc w:val="both"/>
        <w:rPr>
          <w:rFonts w:ascii="Arial" w:hAnsi="Arial" w:cs="Arial"/>
          <w:b/>
          <w:bCs/>
        </w:rPr>
      </w:pPr>
      <w:r w:rsidRPr="008F2418">
        <w:rPr>
          <w:rFonts w:ascii="Arial" w:hAnsi="Arial" w:cs="Arial"/>
          <w:b/>
          <w:bCs/>
        </w:rPr>
        <w:t>Case Studies and Best Practices</w:t>
      </w:r>
    </w:p>
    <w:p w14:paraId="1166AED9" w14:textId="2B7ADE92" w:rsidR="00BB3A67" w:rsidRPr="008F2418" w:rsidRDefault="00BB3A67" w:rsidP="008F2418">
      <w:pPr>
        <w:pStyle w:val="ListParagraph"/>
        <w:numPr>
          <w:ilvl w:val="1"/>
          <w:numId w:val="20"/>
        </w:numPr>
        <w:spacing w:line="480" w:lineRule="auto"/>
        <w:jc w:val="both"/>
        <w:rPr>
          <w:rFonts w:ascii="Arial" w:hAnsi="Arial" w:cs="Arial"/>
        </w:rPr>
      </w:pPr>
      <w:r w:rsidRPr="008F2418">
        <w:rPr>
          <w:rFonts w:ascii="Arial" w:hAnsi="Arial" w:cs="Arial"/>
        </w:rPr>
        <w:t>The Marina Regeneration Project: Transformed derelict docks into a vibrant marina, promoting social interaction and environmental sustainability.</w:t>
      </w:r>
    </w:p>
    <w:p w14:paraId="2B4E67F1" w14:textId="75E5598C" w:rsidR="00BB3A67" w:rsidRPr="008F2418" w:rsidRDefault="00BB3A67" w:rsidP="008F2418">
      <w:pPr>
        <w:pStyle w:val="ListParagraph"/>
        <w:numPr>
          <w:ilvl w:val="1"/>
          <w:numId w:val="20"/>
        </w:numPr>
        <w:spacing w:line="480" w:lineRule="auto"/>
        <w:jc w:val="both"/>
        <w:rPr>
          <w:rFonts w:ascii="Arial" w:hAnsi="Arial" w:cs="Arial"/>
        </w:rPr>
      </w:pPr>
      <w:r w:rsidRPr="008F2418">
        <w:rPr>
          <w:rFonts w:ascii="Arial" w:hAnsi="Arial" w:cs="Arial"/>
        </w:rPr>
        <w:t xml:space="preserve">The Waterfront Arts </w:t>
      </w:r>
      <w:r w:rsidR="008F2418" w:rsidRPr="008F2418">
        <w:rPr>
          <w:rFonts w:ascii="Arial" w:hAnsi="Arial" w:cs="Arial"/>
        </w:rPr>
        <w:t>Centre</w:t>
      </w:r>
      <w:r w:rsidRPr="008F2418">
        <w:rPr>
          <w:rFonts w:ascii="Arial" w:hAnsi="Arial" w:cs="Arial"/>
        </w:rPr>
        <w:t>: Contributed to the cultural and social vitality of the community, enhancing cultural identity and promoting social cohesion.</w:t>
      </w:r>
    </w:p>
    <w:p w14:paraId="79F6495C" w14:textId="04CFC2A9" w:rsidR="00BB3A67" w:rsidRPr="008F2418" w:rsidRDefault="00BB3A67" w:rsidP="008F2418">
      <w:pPr>
        <w:pStyle w:val="ListParagraph"/>
        <w:numPr>
          <w:ilvl w:val="1"/>
          <w:numId w:val="20"/>
        </w:numPr>
        <w:spacing w:line="480" w:lineRule="auto"/>
        <w:jc w:val="both"/>
        <w:rPr>
          <w:rFonts w:ascii="Arial" w:hAnsi="Arial" w:cs="Arial"/>
        </w:rPr>
      </w:pPr>
      <w:r w:rsidRPr="008F2418">
        <w:rPr>
          <w:rFonts w:ascii="Arial" w:hAnsi="Arial" w:cs="Arial"/>
        </w:rPr>
        <w:t>Sustainable Housing Initiatives: Developed affordable and environmentally friendly housing units, reducing environmental impacts and providing cost-effective living options.</w:t>
      </w:r>
    </w:p>
    <w:p w14:paraId="78695331" w14:textId="0F2E21B8" w:rsidR="00BB3A67" w:rsidRPr="008F2418" w:rsidRDefault="00BB3A67" w:rsidP="008F2418">
      <w:pPr>
        <w:pStyle w:val="ListParagraph"/>
        <w:numPr>
          <w:ilvl w:val="1"/>
          <w:numId w:val="20"/>
        </w:numPr>
        <w:spacing w:line="480" w:lineRule="auto"/>
        <w:jc w:val="both"/>
        <w:rPr>
          <w:rFonts w:ascii="Arial" w:hAnsi="Arial" w:cs="Arial"/>
        </w:rPr>
      </w:pPr>
      <w:r w:rsidRPr="008F2418">
        <w:rPr>
          <w:rFonts w:ascii="Arial" w:hAnsi="Arial" w:cs="Arial"/>
        </w:rPr>
        <w:t>Green Infrastructure Projects: Created urban parks and restored natural habitats, improving air quality, supporting biodiversity, and offering recreational opportunities.</w:t>
      </w:r>
    </w:p>
    <w:p w14:paraId="496B7ACE" w14:textId="77777777" w:rsidR="008F2418" w:rsidRDefault="008F2418" w:rsidP="00BB3A67">
      <w:pPr>
        <w:spacing w:line="480" w:lineRule="auto"/>
        <w:jc w:val="both"/>
        <w:rPr>
          <w:rFonts w:ascii="Arial" w:hAnsi="Arial" w:cs="Arial"/>
        </w:rPr>
      </w:pPr>
    </w:p>
    <w:p w14:paraId="2FB6A3E8" w14:textId="2773BDB4" w:rsidR="00BB3A67" w:rsidRPr="008F2418" w:rsidRDefault="00BB3A67" w:rsidP="008F2418">
      <w:pPr>
        <w:pStyle w:val="ListParagraph"/>
        <w:numPr>
          <w:ilvl w:val="0"/>
          <w:numId w:val="16"/>
        </w:numPr>
        <w:spacing w:line="480" w:lineRule="auto"/>
        <w:jc w:val="both"/>
        <w:rPr>
          <w:rFonts w:ascii="Arial" w:hAnsi="Arial" w:cs="Arial"/>
          <w:b/>
          <w:bCs/>
        </w:rPr>
      </w:pPr>
      <w:r w:rsidRPr="008F2418">
        <w:rPr>
          <w:rFonts w:ascii="Arial" w:hAnsi="Arial" w:cs="Arial"/>
          <w:b/>
          <w:bCs/>
        </w:rPr>
        <w:lastRenderedPageBreak/>
        <w:t>Lessons Learned and Recommendations</w:t>
      </w:r>
    </w:p>
    <w:p w14:paraId="0CBAC10B" w14:textId="56F671FF" w:rsidR="00BB3A67" w:rsidRPr="008F2418" w:rsidRDefault="00BB3A67" w:rsidP="008F2418">
      <w:pPr>
        <w:pStyle w:val="ListParagraph"/>
        <w:numPr>
          <w:ilvl w:val="1"/>
          <w:numId w:val="21"/>
        </w:numPr>
        <w:spacing w:line="480" w:lineRule="auto"/>
        <w:jc w:val="both"/>
        <w:rPr>
          <w:rFonts w:ascii="Arial" w:hAnsi="Arial" w:cs="Arial"/>
        </w:rPr>
      </w:pPr>
      <w:r w:rsidRPr="008F2418">
        <w:rPr>
          <w:rFonts w:ascii="Arial" w:hAnsi="Arial" w:cs="Arial"/>
        </w:rPr>
        <w:t>Inclusive Planning: Ensures all community members are included in the planning process.</w:t>
      </w:r>
    </w:p>
    <w:p w14:paraId="738C7A97" w14:textId="61A8FC98" w:rsidR="00BB3A67" w:rsidRPr="008F2418" w:rsidRDefault="00BB3A67" w:rsidP="008F2418">
      <w:pPr>
        <w:pStyle w:val="ListParagraph"/>
        <w:numPr>
          <w:ilvl w:val="1"/>
          <w:numId w:val="21"/>
        </w:numPr>
        <w:spacing w:line="480" w:lineRule="auto"/>
        <w:jc w:val="both"/>
        <w:rPr>
          <w:rFonts w:ascii="Arial" w:hAnsi="Arial" w:cs="Arial"/>
        </w:rPr>
      </w:pPr>
      <w:r w:rsidRPr="008F2418">
        <w:rPr>
          <w:rFonts w:ascii="Arial" w:hAnsi="Arial" w:cs="Arial"/>
        </w:rPr>
        <w:t>Sustainable Funding Models: Leverages public-private partnerships, grants, and community fundraising efforts.</w:t>
      </w:r>
    </w:p>
    <w:p w14:paraId="6F47EA83" w14:textId="5D652EA4" w:rsidR="00BB3A67" w:rsidRPr="008F2418" w:rsidRDefault="00BB3A67" w:rsidP="008F2418">
      <w:pPr>
        <w:pStyle w:val="ListParagraph"/>
        <w:numPr>
          <w:ilvl w:val="1"/>
          <w:numId w:val="21"/>
        </w:numPr>
        <w:spacing w:line="480" w:lineRule="auto"/>
        <w:jc w:val="both"/>
        <w:rPr>
          <w:rFonts w:ascii="Arial" w:hAnsi="Arial" w:cs="Arial"/>
        </w:rPr>
      </w:pPr>
      <w:r w:rsidRPr="008F2418">
        <w:rPr>
          <w:rFonts w:ascii="Arial" w:hAnsi="Arial" w:cs="Arial"/>
        </w:rPr>
        <w:t>Continuous Community Engagement: Implements diverse engagement strategies and identifies barriers to participation.</w:t>
      </w:r>
    </w:p>
    <w:p w14:paraId="7D1C07A2" w14:textId="49917905" w:rsidR="00BB3A67" w:rsidRPr="008F2418" w:rsidRDefault="00BB3A67" w:rsidP="008F2418">
      <w:pPr>
        <w:pStyle w:val="ListParagraph"/>
        <w:numPr>
          <w:ilvl w:val="1"/>
          <w:numId w:val="21"/>
        </w:numPr>
        <w:spacing w:line="480" w:lineRule="auto"/>
        <w:jc w:val="both"/>
        <w:rPr>
          <w:rFonts w:ascii="Arial" w:hAnsi="Arial" w:cs="Arial"/>
        </w:rPr>
      </w:pPr>
      <w:r w:rsidRPr="008F2418">
        <w:rPr>
          <w:rFonts w:ascii="Arial" w:hAnsi="Arial" w:cs="Arial"/>
        </w:rPr>
        <w:t>Adaptive Management: Adopts adaptive management practices for flexibility and responsiveness to changing circumstances.</w:t>
      </w:r>
    </w:p>
    <w:p w14:paraId="3823458A" w14:textId="559BA6DF" w:rsidR="00BB3A67" w:rsidRPr="008F2418" w:rsidRDefault="00BB3A67" w:rsidP="00BB3A67">
      <w:pPr>
        <w:spacing w:line="480" w:lineRule="auto"/>
        <w:jc w:val="both"/>
        <w:rPr>
          <w:rFonts w:ascii="Arial Black" w:hAnsi="Arial Black" w:cs="Arial"/>
        </w:rPr>
      </w:pPr>
      <w:r w:rsidRPr="008F2418">
        <w:rPr>
          <w:rFonts w:ascii="Arial Black" w:hAnsi="Arial Black" w:cs="Arial"/>
        </w:rPr>
        <w:t xml:space="preserve">Conclusion </w:t>
      </w:r>
    </w:p>
    <w:p w14:paraId="54FCB9AD" w14:textId="2F3D0DAF" w:rsidR="00BB3A67" w:rsidRDefault="00BB3A67" w:rsidP="00BB3A67">
      <w:pPr>
        <w:spacing w:line="480" w:lineRule="auto"/>
        <w:jc w:val="both"/>
        <w:rPr>
          <w:rFonts w:ascii="Arial" w:hAnsi="Arial" w:cs="Arial"/>
        </w:rPr>
      </w:pPr>
      <w:r w:rsidRPr="00BB3A67">
        <w:rPr>
          <w:rFonts w:ascii="Arial" w:hAnsi="Arial" w:cs="Arial"/>
        </w:rPr>
        <w:t>The Swansea Waterfront community showcases a comprehensive approach to community development, integrating cultural, societal, economic, political, and environmental aspects. Through strategic planning and stakeholder engagement, the regeneration project promotes sustainability and resilience, despite facing various challenges. The ongoing commitment to inclusive practices and adaptive management positions Swansea Waterfront as a model for successful urban regeneration, emphasizing the significance of holistic planning and continuous community involvement in achieving sustainable improvements.</w:t>
      </w:r>
    </w:p>
    <w:p w14:paraId="35778548" w14:textId="77777777" w:rsidR="008F2418" w:rsidRDefault="008F2418" w:rsidP="00BB3A67">
      <w:pPr>
        <w:spacing w:line="480" w:lineRule="auto"/>
        <w:jc w:val="both"/>
        <w:rPr>
          <w:rFonts w:ascii="Arial" w:hAnsi="Arial" w:cs="Arial"/>
        </w:rPr>
      </w:pPr>
    </w:p>
    <w:p w14:paraId="65B946B0" w14:textId="77777777" w:rsidR="008F2418" w:rsidRDefault="008F2418" w:rsidP="00BB3A67">
      <w:pPr>
        <w:spacing w:line="480" w:lineRule="auto"/>
        <w:jc w:val="both"/>
        <w:rPr>
          <w:rFonts w:ascii="Arial" w:hAnsi="Arial" w:cs="Arial"/>
        </w:rPr>
      </w:pPr>
    </w:p>
    <w:p w14:paraId="31365338" w14:textId="77777777" w:rsidR="008F2418" w:rsidRDefault="008F2418" w:rsidP="00BB3A67">
      <w:pPr>
        <w:spacing w:line="480" w:lineRule="auto"/>
        <w:jc w:val="both"/>
        <w:rPr>
          <w:rFonts w:ascii="Arial" w:hAnsi="Arial" w:cs="Arial"/>
        </w:rPr>
      </w:pPr>
    </w:p>
    <w:p w14:paraId="413EB82A" w14:textId="77777777" w:rsidR="008F2418" w:rsidRDefault="008F2418" w:rsidP="00BB3A67">
      <w:pPr>
        <w:spacing w:line="480" w:lineRule="auto"/>
        <w:jc w:val="both"/>
        <w:rPr>
          <w:rFonts w:ascii="Arial" w:hAnsi="Arial" w:cs="Arial"/>
        </w:rPr>
      </w:pPr>
    </w:p>
    <w:p w14:paraId="19E12B03" w14:textId="77777777" w:rsidR="008F2418" w:rsidRDefault="008F2418" w:rsidP="00BB3A67">
      <w:pPr>
        <w:spacing w:line="480" w:lineRule="auto"/>
        <w:jc w:val="both"/>
        <w:rPr>
          <w:rFonts w:ascii="Arial" w:hAnsi="Arial" w:cs="Arial"/>
        </w:rPr>
      </w:pPr>
    </w:p>
    <w:p w14:paraId="0A5B6C35" w14:textId="5684DCFB" w:rsidR="008F2418" w:rsidRPr="008F2418" w:rsidRDefault="008F2418" w:rsidP="00BB3A67">
      <w:pPr>
        <w:spacing w:line="480" w:lineRule="auto"/>
        <w:jc w:val="both"/>
        <w:rPr>
          <w:rFonts w:ascii="Arial Black" w:hAnsi="Arial Black" w:cs="Arial"/>
        </w:rPr>
      </w:pPr>
      <w:r w:rsidRPr="008F2418">
        <w:rPr>
          <w:rFonts w:ascii="Arial Black" w:hAnsi="Arial Black" w:cs="Arial"/>
        </w:rPr>
        <w:lastRenderedPageBreak/>
        <w:t xml:space="preserve">References </w:t>
      </w:r>
    </w:p>
    <w:p w14:paraId="035FFABA" w14:textId="77777777" w:rsidR="008F2418" w:rsidRDefault="008F2418" w:rsidP="008F2418">
      <w:pPr>
        <w:spacing w:line="480" w:lineRule="auto"/>
        <w:jc w:val="both"/>
        <w:rPr>
          <w:rFonts w:ascii="Arial" w:hAnsi="Arial" w:cs="Arial"/>
        </w:rPr>
      </w:pPr>
      <w:r w:rsidRPr="008F2418">
        <w:rPr>
          <w:rFonts w:ascii="Arial" w:hAnsi="Arial" w:cs="Arial"/>
        </w:rPr>
        <w:t xml:space="preserve">Barton, H. (Ed.). (2000). </w:t>
      </w:r>
      <w:r w:rsidRPr="008F2418">
        <w:rPr>
          <w:rFonts w:ascii="Arial" w:hAnsi="Arial" w:cs="Arial"/>
          <w:i/>
          <w:iCs/>
        </w:rPr>
        <w:t>Sustainable communities: The potential for eco-neighbourhoods</w:t>
      </w:r>
      <w:r w:rsidRPr="008F2418">
        <w:rPr>
          <w:rFonts w:ascii="Arial" w:hAnsi="Arial" w:cs="Arial"/>
        </w:rPr>
        <w:t xml:space="preserve"> (2nd ed.). Earthscan.</w:t>
      </w:r>
    </w:p>
    <w:p w14:paraId="7E16C89B" w14:textId="77777777" w:rsidR="008F2418" w:rsidRDefault="008F2418" w:rsidP="008F2418">
      <w:pPr>
        <w:spacing w:line="480" w:lineRule="auto"/>
        <w:jc w:val="both"/>
        <w:rPr>
          <w:rFonts w:ascii="Arial" w:hAnsi="Arial" w:cs="Arial"/>
        </w:rPr>
      </w:pPr>
      <w:r w:rsidRPr="008F2418">
        <w:rPr>
          <w:rFonts w:ascii="Arial" w:hAnsi="Arial" w:cs="Arial"/>
        </w:rPr>
        <w:t xml:space="preserve">Smith, A. (2011). </w:t>
      </w:r>
      <w:r w:rsidRPr="008F2418">
        <w:rPr>
          <w:rFonts w:ascii="Arial" w:hAnsi="Arial" w:cs="Arial"/>
          <w:i/>
          <w:iCs/>
        </w:rPr>
        <w:t xml:space="preserve">Community led urban transitions and resilience: Performing transition towns in cities. </w:t>
      </w:r>
      <w:r w:rsidRPr="008F2418">
        <w:rPr>
          <w:rFonts w:ascii="Arial" w:hAnsi="Arial" w:cs="Arial"/>
        </w:rPr>
        <w:t>In H. Bulkeley, V. Castan Broto, M. Hodson, &amp; M. Marvin (Eds.), Cities and low carbon transitions (pp. 159–177). Routledge.</w:t>
      </w:r>
    </w:p>
    <w:p w14:paraId="6DBB94D9" w14:textId="0668D096" w:rsidR="008F2418" w:rsidRPr="008F2418" w:rsidRDefault="008F2418" w:rsidP="008F2418">
      <w:pPr>
        <w:spacing w:line="480" w:lineRule="auto"/>
        <w:jc w:val="both"/>
        <w:rPr>
          <w:rFonts w:ascii="Arial" w:hAnsi="Arial" w:cs="Arial"/>
        </w:rPr>
      </w:pPr>
      <w:r w:rsidRPr="008F2418">
        <w:rPr>
          <w:rFonts w:ascii="Arial" w:hAnsi="Arial" w:cs="Arial"/>
        </w:rPr>
        <w:t xml:space="preserve">Turcu, C. (2009). In the quest of sustainable communities: A theoretical framework to assess the impact of urban regeneration. In S. </w:t>
      </w:r>
      <w:proofErr w:type="spellStart"/>
      <w:r w:rsidRPr="008F2418">
        <w:rPr>
          <w:rFonts w:ascii="Arial" w:hAnsi="Arial" w:cs="Arial"/>
        </w:rPr>
        <w:t>Tsenkova</w:t>
      </w:r>
      <w:proofErr w:type="spellEnd"/>
      <w:r w:rsidRPr="008F2418">
        <w:rPr>
          <w:rFonts w:ascii="Arial" w:hAnsi="Arial" w:cs="Arial"/>
        </w:rPr>
        <w:t xml:space="preserve"> (Ed.), </w:t>
      </w:r>
      <w:r w:rsidRPr="008F2418">
        <w:rPr>
          <w:rFonts w:ascii="Arial" w:hAnsi="Arial" w:cs="Arial"/>
          <w:i/>
          <w:iCs/>
        </w:rPr>
        <w:t>Planning sustainable communities: Diversity of approaches and implementation challenges</w:t>
      </w:r>
      <w:r w:rsidRPr="008F2418">
        <w:rPr>
          <w:rFonts w:ascii="Arial" w:hAnsi="Arial" w:cs="Arial"/>
        </w:rPr>
        <w:t xml:space="preserve"> (pp. 37–66). University of Calgary.</w:t>
      </w:r>
    </w:p>
    <w:p w14:paraId="6CB7C0BA" w14:textId="1A23D8B7" w:rsidR="008F2418" w:rsidRDefault="008F2418" w:rsidP="008F2418">
      <w:pPr>
        <w:spacing w:line="480" w:lineRule="auto"/>
        <w:jc w:val="both"/>
        <w:rPr>
          <w:rFonts w:ascii="Arial" w:hAnsi="Arial" w:cs="Arial"/>
        </w:rPr>
      </w:pPr>
      <w:r w:rsidRPr="008F2418">
        <w:rPr>
          <w:rFonts w:ascii="Arial" w:hAnsi="Arial" w:cs="Arial"/>
        </w:rPr>
        <w:t xml:space="preserve">United Nations. (2015). The sustainable development agenda. </w:t>
      </w:r>
      <w:hyperlink r:id="rId8" w:history="1">
        <w:r w:rsidRPr="008006A0">
          <w:rPr>
            <w:rStyle w:val="Hyperlink"/>
            <w:rFonts w:ascii="Arial" w:hAnsi="Arial" w:cs="Arial"/>
          </w:rPr>
          <w:t>https://www.un.org/sustainabledevelopment/development-agenda/</w:t>
        </w:r>
      </w:hyperlink>
    </w:p>
    <w:p w14:paraId="4F7DDC2A" w14:textId="7B8220DA" w:rsidR="008F2418" w:rsidRDefault="008F2418" w:rsidP="008F2418">
      <w:pPr>
        <w:spacing w:line="480" w:lineRule="auto"/>
        <w:jc w:val="both"/>
        <w:rPr>
          <w:rFonts w:ascii="Arial" w:hAnsi="Arial" w:cs="Arial"/>
        </w:rPr>
      </w:pPr>
      <w:r w:rsidRPr="008F2418">
        <w:rPr>
          <w:rFonts w:ascii="Arial" w:hAnsi="Arial" w:cs="Arial"/>
        </w:rPr>
        <w:t xml:space="preserve">Vallance, S., Perkins, H., &amp; Dixon, J. (2011). What is social sustainability? A clarification of concepts. </w:t>
      </w:r>
      <w:proofErr w:type="spellStart"/>
      <w:r w:rsidRPr="008F2418">
        <w:rPr>
          <w:rFonts w:ascii="Arial" w:hAnsi="Arial" w:cs="Arial"/>
          <w:i/>
          <w:iCs/>
        </w:rPr>
        <w:t>Geoforum</w:t>
      </w:r>
      <w:proofErr w:type="spellEnd"/>
      <w:r w:rsidRPr="008F2418">
        <w:rPr>
          <w:rFonts w:ascii="Arial" w:hAnsi="Arial" w:cs="Arial"/>
          <w:i/>
          <w:iCs/>
        </w:rPr>
        <w:t>, 42</w:t>
      </w:r>
      <w:r w:rsidRPr="008F2418">
        <w:rPr>
          <w:rFonts w:ascii="Arial" w:hAnsi="Arial" w:cs="Arial"/>
        </w:rPr>
        <w:t xml:space="preserve">(3), 342–348. </w:t>
      </w:r>
      <w:hyperlink r:id="rId9" w:history="1">
        <w:r w:rsidRPr="008006A0">
          <w:rPr>
            <w:rStyle w:val="Hyperlink"/>
            <w:rFonts w:ascii="Arial" w:hAnsi="Arial" w:cs="Arial"/>
          </w:rPr>
          <w:t>https://doi.org/10.1016/j.geoforum.2011.01.003</w:t>
        </w:r>
      </w:hyperlink>
    </w:p>
    <w:p w14:paraId="605020FF" w14:textId="563DDFCC" w:rsidR="008F2418" w:rsidRDefault="008F2418" w:rsidP="008F2418">
      <w:pPr>
        <w:spacing w:line="480" w:lineRule="auto"/>
        <w:jc w:val="both"/>
        <w:rPr>
          <w:rFonts w:ascii="Arial" w:hAnsi="Arial" w:cs="Arial"/>
        </w:rPr>
      </w:pPr>
      <w:r w:rsidRPr="008F2418">
        <w:rPr>
          <w:rFonts w:ascii="Arial" w:hAnsi="Arial" w:cs="Arial"/>
        </w:rPr>
        <w:t xml:space="preserve">Vavik, T., &amp; </w:t>
      </w:r>
      <w:proofErr w:type="spellStart"/>
      <w:r w:rsidRPr="008F2418">
        <w:rPr>
          <w:rFonts w:ascii="Arial" w:hAnsi="Arial" w:cs="Arial"/>
        </w:rPr>
        <w:t>Keitsch</w:t>
      </w:r>
      <w:proofErr w:type="spellEnd"/>
      <w:r w:rsidRPr="008F2418">
        <w:rPr>
          <w:rFonts w:ascii="Arial" w:hAnsi="Arial" w:cs="Arial"/>
        </w:rPr>
        <w:t xml:space="preserve">, M. (2010). Exploring relationships between universal design and social sustainable development: Some methodological aspects to the debate on the sciences of sustainability. </w:t>
      </w:r>
      <w:r w:rsidRPr="008F2418">
        <w:rPr>
          <w:rFonts w:ascii="Arial" w:hAnsi="Arial" w:cs="Arial"/>
          <w:i/>
          <w:iCs/>
        </w:rPr>
        <w:t>Sustainable Development, 18</w:t>
      </w:r>
      <w:r w:rsidRPr="008F2418">
        <w:rPr>
          <w:rFonts w:ascii="Arial" w:hAnsi="Arial" w:cs="Arial"/>
        </w:rPr>
        <w:t xml:space="preserve">(5), 295–305. </w:t>
      </w:r>
      <w:hyperlink r:id="rId10" w:history="1">
        <w:r w:rsidRPr="008006A0">
          <w:rPr>
            <w:rStyle w:val="Hyperlink"/>
            <w:rFonts w:ascii="Arial" w:hAnsi="Arial" w:cs="Arial"/>
          </w:rPr>
          <w:t>https://doi.org/10.1002/sd.373</w:t>
        </w:r>
      </w:hyperlink>
    </w:p>
    <w:p w14:paraId="21056146" w14:textId="7ECB823C" w:rsidR="008F2418" w:rsidRPr="008F2418" w:rsidRDefault="008F2418" w:rsidP="008F2418">
      <w:pPr>
        <w:spacing w:line="480" w:lineRule="auto"/>
        <w:jc w:val="both"/>
        <w:rPr>
          <w:rFonts w:ascii="Arial" w:hAnsi="Arial" w:cs="Arial"/>
        </w:rPr>
      </w:pPr>
      <w:proofErr w:type="spellStart"/>
      <w:r w:rsidRPr="008F2418">
        <w:rPr>
          <w:rFonts w:ascii="Arial" w:hAnsi="Arial" w:cs="Arial"/>
        </w:rPr>
        <w:t>Wallimann</w:t>
      </w:r>
      <w:proofErr w:type="spellEnd"/>
      <w:r w:rsidRPr="008F2418">
        <w:rPr>
          <w:rFonts w:ascii="Arial" w:hAnsi="Arial" w:cs="Arial"/>
        </w:rPr>
        <w:t>, I. (2013</w:t>
      </w:r>
      <w:r w:rsidRPr="008F2418">
        <w:rPr>
          <w:rFonts w:ascii="Arial" w:hAnsi="Arial" w:cs="Arial"/>
          <w:i/>
          <w:iCs/>
        </w:rPr>
        <w:t>). Environmental policy is social policy – Social policy is environmental policy.</w:t>
      </w:r>
      <w:r w:rsidRPr="008F2418">
        <w:rPr>
          <w:rFonts w:ascii="Arial" w:hAnsi="Arial" w:cs="Arial"/>
        </w:rPr>
        <w:t xml:space="preserve"> In I. </w:t>
      </w:r>
      <w:proofErr w:type="spellStart"/>
      <w:r w:rsidRPr="008F2418">
        <w:rPr>
          <w:rFonts w:ascii="Arial" w:hAnsi="Arial" w:cs="Arial"/>
        </w:rPr>
        <w:t>Walliman</w:t>
      </w:r>
      <w:proofErr w:type="spellEnd"/>
      <w:r w:rsidRPr="008F2418">
        <w:rPr>
          <w:rFonts w:ascii="Arial" w:hAnsi="Arial" w:cs="Arial"/>
        </w:rPr>
        <w:t xml:space="preserve"> (Ed.), Environmental policy is social policy – Social policy is environmental policy: Toward sustainability policy. Springer.</w:t>
      </w:r>
    </w:p>
    <w:p w14:paraId="667182E2" w14:textId="77777777" w:rsidR="008F2418" w:rsidRPr="008F2418" w:rsidRDefault="008F2418" w:rsidP="008F2418">
      <w:pPr>
        <w:spacing w:line="480" w:lineRule="auto"/>
        <w:jc w:val="both"/>
        <w:rPr>
          <w:rFonts w:ascii="Arial" w:hAnsi="Arial" w:cs="Arial"/>
        </w:rPr>
      </w:pPr>
    </w:p>
    <w:p w14:paraId="4C08BADC" w14:textId="02345DFC" w:rsidR="008F2418" w:rsidRDefault="008F2418" w:rsidP="008F2418">
      <w:pPr>
        <w:spacing w:line="480" w:lineRule="auto"/>
        <w:jc w:val="both"/>
        <w:rPr>
          <w:rFonts w:ascii="Arial" w:hAnsi="Arial" w:cs="Arial"/>
        </w:rPr>
      </w:pPr>
      <w:r w:rsidRPr="008F2418">
        <w:rPr>
          <w:rFonts w:ascii="Arial" w:hAnsi="Arial" w:cs="Arial"/>
        </w:rPr>
        <w:lastRenderedPageBreak/>
        <w:t xml:space="preserve">Winston, N. (2021). Sustainable community development: Integrating social and environmental sustainability for sustainable housing and communities. </w:t>
      </w:r>
      <w:r w:rsidRPr="00C43B06">
        <w:rPr>
          <w:rFonts w:ascii="Arial" w:hAnsi="Arial" w:cs="Arial"/>
          <w:i/>
          <w:iCs/>
        </w:rPr>
        <w:t>Sustainable Development, 29</w:t>
      </w:r>
      <w:r w:rsidRPr="008F2418">
        <w:rPr>
          <w:rFonts w:ascii="Arial" w:hAnsi="Arial" w:cs="Arial"/>
        </w:rPr>
        <w:t xml:space="preserve">(4), 1–12. </w:t>
      </w:r>
      <w:hyperlink r:id="rId11" w:history="1">
        <w:r w:rsidRPr="008006A0">
          <w:rPr>
            <w:rStyle w:val="Hyperlink"/>
            <w:rFonts w:ascii="Arial" w:hAnsi="Arial" w:cs="Arial"/>
          </w:rPr>
          <w:t>https://doi.org/10.1002/sd.223812</w:t>
        </w:r>
      </w:hyperlink>
    </w:p>
    <w:p w14:paraId="3A4803D8" w14:textId="1303A18E" w:rsidR="00C43B06" w:rsidRDefault="008F2418" w:rsidP="008F2418">
      <w:pPr>
        <w:spacing w:line="480" w:lineRule="auto"/>
        <w:jc w:val="both"/>
        <w:rPr>
          <w:rFonts w:ascii="Arial" w:hAnsi="Arial" w:cs="Arial"/>
        </w:rPr>
      </w:pPr>
      <w:r w:rsidRPr="008F2418">
        <w:rPr>
          <w:rFonts w:ascii="Arial" w:hAnsi="Arial" w:cs="Arial"/>
        </w:rPr>
        <w:t xml:space="preserve">Winston. (n.d.). Community development handbook. Retrieved from </w:t>
      </w:r>
      <w:hyperlink r:id="rId12" w:history="1">
        <w:r w:rsidR="00C43B06" w:rsidRPr="008006A0">
          <w:rPr>
            <w:rStyle w:val="Hyperlink"/>
            <w:rFonts w:ascii="Arial" w:hAnsi="Arial" w:cs="Arial"/>
          </w:rPr>
          <w:t>https://www.gov.uk/government/publications/community-development-handbook/community-development-handbook</w:t>
        </w:r>
      </w:hyperlink>
    </w:p>
    <w:p w14:paraId="233F898D" w14:textId="5D705A60" w:rsidR="008F2418" w:rsidRDefault="008F2418" w:rsidP="008F2418">
      <w:pPr>
        <w:spacing w:line="480" w:lineRule="auto"/>
        <w:jc w:val="both"/>
        <w:rPr>
          <w:rFonts w:ascii="Arial" w:hAnsi="Arial" w:cs="Arial"/>
        </w:rPr>
      </w:pPr>
      <w:r w:rsidRPr="008F2418">
        <w:rPr>
          <w:rFonts w:ascii="Arial" w:hAnsi="Arial" w:cs="Arial"/>
        </w:rPr>
        <w:t>Warburton, D. (n.d.). Participation in the future.</w:t>
      </w:r>
    </w:p>
    <w:p w14:paraId="73A859FE" w14:textId="3DB98D7E" w:rsidR="00C43B06" w:rsidRDefault="00C43B06" w:rsidP="008F2418">
      <w:pPr>
        <w:spacing w:line="480" w:lineRule="auto"/>
        <w:jc w:val="both"/>
        <w:rPr>
          <w:rFonts w:ascii="Arial" w:hAnsi="Arial" w:cs="Arial"/>
        </w:rPr>
      </w:pPr>
      <w:hyperlink r:id="rId13" w:history="1">
        <w:r w:rsidRPr="008006A0">
          <w:rPr>
            <w:rStyle w:val="Hyperlink"/>
            <w:rFonts w:ascii="Arial" w:hAnsi="Arial" w:cs="Arial"/>
          </w:rPr>
          <w:t>https://www.gov.uk/government/publications/community-development-handbook/community-development-handbook</w:t>
        </w:r>
      </w:hyperlink>
    </w:p>
    <w:p w14:paraId="3B588F01" w14:textId="238BC21E" w:rsidR="00C43B06" w:rsidRDefault="00C43B06" w:rsidP="008F2418">
      <w:pPr>
        <w:spacing w:line="480" w:lineRule="auto"/>
        <w:jc w:val="both"/>
        <w:rPr>
          <w:rFonts w:ascii="Arial" w:hAnsi="Arial" w:cs="Arial"/>
        </w:rPr>
      </w:pPr>
      <w:hyperlink r:id="rId14" w:history="1">
        <w:r w:rsidRPr="008006A0">
          <w:rPr>
            <w:rStyle w:val="Hyperlink"/>
            <w:rFonts w:ascii="Arial" w:hAnsi="Arial" w:cs="Arial"/>
          </w:rPr>
          <w:t>https://localgiving.org/charity/swanseacvs</w:t>
        </w:r>
      </w:hyperlink>
    </w:p>
    <w:p w14:paraId="1166399F" w14:textId="77777777" w:rsidR="00C43B06" w:rsidRPr="00BB3A67" w:rsidRDefault="00C43B06" w:rsidP="008F2418">
      <w:pPr>
        <w:spacing w:line="480" w:lineRule="auto"/>
        <w:jc w:val="both"/>
        <w:rPr>
          <w:rFonts w:ascii="Arial" w:hAnsi="Arial" w:cs="Arial"/>
        </w:rPr>
      </w:pPr>
    </w:p>
    <w:sectPr w:rsidR="00C43B06" w:rsidRPr="00BB3A67" w:rsidSect="00C43B06">
      <w:head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F63E68" w14:textId="77777777" w:rsidR="007429F8" w:rsidRDefault="007429F8" w:rsidP="00C43B06">
      <w:pPr>
        <w:spacing w:after="0" w:line="240" w:lineRule="auto"/>
      </w:pPr>
      <w:r>
        <w:separator/>
      </w:r>
    </w:p>
  </w:endnote>
  <w:endnote w:type="continuationSeparator" w:id="0">
    <w:p w14:paraId="3D69F2FF" w14:textId="77777777" w:rsidR="007429F8" w:rsidRDefault="007429F8" w:rsidP="00C43B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A8039A" w14:textId="77777777" w:rsidR="007429F8" w:rsidRDefault="007429F8" w:rsidP="00C43B06">
      <w:pPr>
        <w:spacing w:after="0" w:line="240" w:lineRule="auto"/>
      </w:pPr>
      <w:r>
        <w:separator/>
      </w:r>
    </w:p>
  </w:footnote>
  <w:footnote w:type="continuationSeparator" w:id="0">
    <w:p w14:paraId="5875CE72" w14:textId="77777777" w:rsidR="007429F8" w:rsidRDefault="007429F8" w:rsidP="00C43B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99109356"/>
      <w:docPartObj>
        <w:docPartGallery w:val="Page Numbers (Top of Page)"/>
        <w:docPartUnique/>
      </w:docPartObj>
    </w:sdtPr>
    <w:sdtEndPr>
      <w:rPr>
        <w:noProof/>
      </w:rPr>
    </w:sdtEndPr>
    <w:sdtContent>
      <w:p w14:paraId="0F0A06D0" w14:textId="78FA4E66" w:rsidR="00C43B06" w:rsidRDefault="00C43B06">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237CF80" w14:textId="77777777" w:rsidR="00C43B06" w:rsidRDefault="00C43B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A5622D"/>
    <w:multiLevelType w:val="hybridMultilevel"/>
    <w:tmpl w:val="5B4CE1A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742C06"/>
    <w:multiLevelType w:val="hybridMultilevel"/>
    <w:tmpl w:val="3C74947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F31F50"/>
    <w:multiLevelType w:val="hybridMultilevel"/>
    <w:tmpl w:val="88DAAD6C"/>
    <w:lvl w:ilvl="0" w:tplc="08090003">
      <w:start w:val="1"/>
      <w:numFmt w:val="bullet"/>
      <w:lvlText w:val="o"/>
      <w:lvlJc w:val="left"/>
      <w:pPr>
        <w:ind w:left="720" w:hanging="360"/>
      </w:pPr>
      <w:rPr>
        <w:rFonts w:ascii="Courier New" w:hAnsi="Courier New" w:cs="Courier New" w:hint="default"/>
      </w:rPr>
    </w:lvl>
    <w:lvl w:ilvl="1" w:tplc="B74C50FE">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C50885"/>
    <w:multiLevelType w:val="hybridMultilevel"/>
    <w:tmpl w:val="083C2816"/>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E54B29"/>
    <w:multiLevelType w:val="hybridMultilevel"/>
    <w:tmpl w:val="6066C5D4"/>
    <w:lvl w:ilvl="0" w:tplc="41082D6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A03704"/>
    <w:multiLevelType w:val="hybridMultilevel"/>
    <w:tmpl w:val="94B099A0"/>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51410A"/>
    <w:multiLevelType w:val="hybridMultilevel"/>
    <w:tmpl w:val="B30EADA8"/>
    <w:lvl w:ilvl="0" w:tplc="41082D6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6050F2"/>
    <w:multiLevelType w:val="hybridMultilevel"/>
    <w:tmpl w:val="D1CC34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EA76067"/>
    <w:multiLevelType w:val="hybridMultilevel"/>
    <w:tmpl w:val="89B6953C"/>
    <w:lvl w:ilvl="0" w:tplc="41082D6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393F2A"/>
    <w:multiLevelType w:val="hybridMultilevel"/>
    <w:tmpl w:val="029EA4BA"/>
    <w:lvl w:ilvl="0" w:tplc="41082D6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E119B"/>
    <w:multiLevelType w:val="hybridMultilevel"/>
    <w:tmpl w:val="B8B8F3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2170F73"/>
    <w:multiLevelType w:val="hybridMultilevel"/>
    <w:tmpl w:val="88800380"/>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52CC3052"/>
    <w:multiLevelType w:val="hybridMultilevel"/>
    <w:tmpl w:val="F49E0144"/>
    <w:lvl w:ilvl="0" w:tplc="41082D6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3C3EE7"/>
    <w:multiLevelType w:val="hybridMultilevel"/>
    <w:tmpl w:val="C660EEFC"/>
    <w:lvl w:ilvl="0" w:tplc="41082D6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7B11DF"/>
    <w:multiLevelType w:val="hybridMultilevel"/>
    <w:tmpl w:val="807EEF5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C56A81"/>
    <w:multiLevelType w:val="hybridMultilevel"/>
    <w:tmpl w:val="651E9BB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7D3E82"/>
    <w:multiLevelType w:val="hybridMultilevel"/>
    <w:tmpl w:val="9502F3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A6B57EE"/>
    <w:multiLevelType w:val="hybridMultilevel"/>
    <w:tmpl w:val="24146B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CE5174"/>
    <w:multiLevelType w:val="hybridMultilevel"/>
    <w:tmpl w:val="E52EBE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92E2C62"/>
    <w:multiLevelType w:val="hybridMultilevel"/>
    <w:tmpl w:val="CB1479E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3E6B16"/>
    <w:multiLevelType w:val="hybridMultilevel"/>
    <w:tmpl w:val="F06E3090"/>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9560660">
    <w:abstractNumId w:val="7"/>
  </w:num>
  <w:num w:numId="2" w16cid:durableId="1660767189">
    <w:abstractNumId w:val="10"/>
  </w:num>
  <w:num w:numId="3" w16cid:durableId="1172378674">
    <w:abstractNumId w:val="18"/>
  </w:num>
  <w:num w:numId="4" w16cid:durableId="1467116581">
    <w:abstractNumId w:val="0"/>
  </w:num>
  <w:num w:numId="5" w16cid:durableId="523716833">
    <w:abstractNumId w:val="4"/>
  </w:num>
  <w:num w:numId="6" w16cid:durableId="427696834">
    <w:abstractNumId w:val="6"/>
  </w:num>
  <w:num w:numId="7" w16cid:durableId="745539730">
    <w:abstractNumId w:val="9"/>
  </w:num>
  <w:num w:numId="8" w16cid:durableId="1563634325">
    <w:abstractNumId w:val="11"/>
  </w:num>
  <w:num w:numId="9" w16cid:durableId="1465393239">
    <w:abstractNumId w:val="17"/>
  </w:num>
  <w:num w:numId="10" w16cid:durableId="19092940">
    <w:abstractNumId w:val="8"/>
  </w:num>
  <w:num w:numId="11" w16cid:durableId="734352208">
    <w:abstractNumId w:val="14"/>
  </w:num>
  <w:num w:numId="12" w16cid:durableId="2144422251">
    <w:abstractNumId w:val="13"/>
  </w:num>
  <w:num w:numId="13" w16cid:durableId="510604041">
    <w:abstractNumId w:val="2"/>
  </w:num>
  <w:num w:numId="14" w16cid:durableId="153763706">
    <w:abstractNumId w:val="12"/>
  </w:num>
  <w:num w:numId="15" w16cid:durableId="826626051">
    <w:abstractNumId w:val="15"/>
  </w:num>
  <w:num w:numId="16" w16cid:durableId="422801116">
    <w:abstractNumId w:val="16"/>
  </w:num>
  <w:num w:numId="17" w16cid:durableId="2048918160">
    <w:abstractNumId w:val="19"/>
  </w:num>
  <w:num w:numId="18" w16cid:durableId="1459372619">
    <w:abstractNumId w:val="20"/>
  </w:num>
  <w:num w:numId="19" w16cid:durableId="923757081">
    <w:abstractNumId w:val="1"/>
  </w:num>
  <w:num w:numId="20" w16cid:durableId="1889417190">
    <w:abstractNumId w:val="5"/>
  </w:num>
  <w:num w:numId="21" w16cid:durableId="14143544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A67"/>
    <w:rsid w:val="002503A4"/>
    <w:rsid w:val="007429F8"/>
    <w:rsid w:val="008F2418"/>
    <w:rsid w:val="00930CF1"/>
    <w:rsid w:val="00BB3A67"/>
    <w:rsid w:val="00C43B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B212A"/>
  <w15:chartTrackingRefBased/>
  <w15:docId w15:val="{078AEFE7-990C-4B34-AA9A-870434D69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3A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3A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3A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3A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3A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3A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3A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3A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3A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3A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3A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3A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3A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3A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3A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3A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3A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3A67"/>
    <w:rPr>
      <w:rFonts w:eastAsiaTheme="majorEastAsia" w:cstheme="majorBidi"/>
      <w:color w:val="272727" w:themeColor="text1" w:themeTint="D8"/>
    </w:rPr>
  </w:style>
  <w:style w:type="paragraph" w:styleId="Title">
    <w:name w:val="Title"/>
    <w:basedOn w:val="Normal"/>
    <w:next w:val="Normal"/>
    <w:link w:val="TitleChar"/>
    <w:uiPriority w:val="10"/>
    <w:qFormat/>
    <w:rsid w:val="00BB3A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3A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3A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3A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3A67"/>
    <w:pPr>
      <w:spacing w:before="160"/>
      <w:jc w:val="center"/>
    </w:pPr>
    <w:rPr>
      <w:i/>
      <w:iCs/>
      <w:color w:val="404040" w:themeColor="text1" w:themeTint="BF"/>
    </w:rPr>
  </w:style>
  <w:style w:type="character" w:customStyle="1" w:styleId="QuoteChar">
    <w:name w:val="Quote Char"/>
    <w:basedOn w:val="DefaultParagraphFont"/>
    <w:link w:val="Quote"/>
    <w:uiPriority w:val="29"/>
    <w:rsid w:val="00BB3A67"/>
    <w:rPr>
      <w:i/>
      <w:iCs/>
      <w:color w:val="404040" w:themeColor="text1" w:themeTint="BF"/>
    </w:rPr>
  </w:style>
  <w:style w:type="paragraph" w:styleId="ListParagraph">
    <w:name w:val="List Paragraph"/>
    <w:basedOn w:val="Normal"/>
    <w:uiPriority w:val="34"/>
    <w:qFormat/>
    <w:rsid w:val="00BB3A67"/>
    <w:pPr>
      <w:ind w:left="720"/>
      <w:contextualSpacing/>
    </w:pPr>
  </w:style>
  <w:style w:type="character" w:styleId="IntenseEmphasis">
    <w:name w:val="Intense Emphasis"/>
    <w:basedOn w:val="DefaultParagraphFont"/>
    <w:uiPriority w:val="21"/>
    <w:qFormat/>
    <w:rsid w:val="00BB3A67"/>
    <w:rPr>
      <w:i/>
      <w:iCs/>
      <w:color w:val="0F4761" w:themeColor="accent1" w:themeShade="BF"/>
    </w:rPr>
  </w:style>
  <w:style w:type="paragraph" w:styleId="IntenseQuote">
    <w:name w:val="Intense Quote"/>
    <w:basedOn w:val="Normal"/>
    <w:next w:val="Normal"/>
    <w:link w:val="IntenseQuoteChar"/>
    <w:uiPriority w:val="30"/>
    <w:qFormat/>
    <w:rsid w:val="00BB3A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3A67"/>
    <w:rPr>
      <w:i/>
      <w:iCs/>
      <w:color w:val="0F4761" w:themeColor="accent1" w:themeShade="BF"/>
    </w:rPr>
  </w:style>
  <w:style w:type="character" w:styleId="IntenseReference">
    <w:name w:val="Intense Reference"/>
    <w:basedOn w:val="DefaultParagraphFont"/>
    <w:uiPriority w:val="32"/>
    <w:qFormat/>
    <w:rsid w:val="00BB3A67"/>
    <w:rPr>
      <w:b/>
      <w:bCs/>
      <w:smallCaps/>
      <w:color w:val="0F4761" w:themeColor="accent1" w:themeShade="BF"/>
      <w:spacing w:val="5"/>
    </w:rPr>
  </w:style>
  <w:style w:type="character" w:styleId="Hyperlink">
    <w:name w:val="Hyperlink"/>
    <w:basedOn w:val="DefaultParagraphFont"/>
    <w:uiPriority w:val="99"/>
    <w:unhideWhenUsed/>
    <w:rsid w:val="008F2418"/>
    <w:rPr>
      <w:color w:val="467886" w:themeColor="hyperlink"/>
      <w:u w:val="single"/>
    </w:rPr>
  </w:style>
  <w:style w:type="character" w:styleId="UnresolvedMention">
    <w:name w:val="Unresolved Mention"/>
    <w:basedOn w:val="DefaultParagraphFont"/>
    <w:uiPriority w:val="99"/>
    <w:semiHidden/>
    <w:unhideWhenUsed/>
    <w:rsid w:val="008F2418"/>
    <w:rPr>
      <w:color w:val="605E5C"/>
      <w:shd w:val="clear" w:color="auto" w:fill="E1DFDD"/>
    </w:rPr>
  </w:style>
  <w:style w:type="paragraph" w:styleId="Header">
    <w:name w:val="header"/>
    <w:basedOn w:val="Normal"/>
    <w:link w:val="HeaderChar"/>
    <w:uiPriority w:val="99"/>
    <w:unhideWhenUsed/>
    <w:rsid w:val="00C43B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3B06"/>
  </w:style>
  <w:style w:type="paragraph" w:styleId="Footer">
    <w:name w:val="footer"/>
    <w:basedOn w:val="Normal"/>
    <w:link w:val="FooterChar"/>
    <w:uiPriority w:val="99"/>
    <w:unhideWhenUsed/>
    <w:rsid w:val="00C43B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3B06"/>
  </w:style>
  <w:style w:type="paragraph" w:styleId="NoSpacing">
    <w:name w:val="No Spacing"/>
    <w:link w:val="NoSpacingChar"/>
    <w:uiPriority w:val="1"/>
    <w:qFormat/>
    <w:rsid w:val="00C43B06"/>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43B06"/>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org/sustainabledevelopment/development-agenda/" TargetMode="External"/><Relationship Id="rId13" Type="http://schemas.openxmlformats.org/officeDocument/2006/relationships/hyperlink" Target="https://www.gov.uk/government/publications/community-development-handbook/community-development-handboo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community-development-handbook/community-development-handbook"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2/sd.223812"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doi.org/10.1002/sd.373" TargetMode="External"/><Relationship Id="rId4" Type="http://schemas.openxmlformats.org/officeDocument/2006/relationships/settings" Target="settings.xml"/><Relationship Id="rId9" Type="http://schemas.openxmlformats.org/officeDocument/2006/relationships/hyperlink" Target="https://doi.org/10.1016/j.geoforum.2011.01.003" TargetMode="External"/><Relationship Id="rId14" Type="http://schemas.openxmlformats.org/officeDocument/2006/relationships/hyperlink" Target="https://localgiving.org/charity/swanseacv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0F9D40D7587840F3AB70D6CC3403A7E7"/>
        <w:category>
          <w:name w:val="General"/>
          <w:gallery w:val="placeholder"/>
        </w:category>
        <w:types>
          <w:type w:val="bbPlcHdr"/>
        </w:types>
        <w:behaviors>
          <w:behavior w:val="content"/>
        </w:behaviors>
        <w:guid w:val="{D3179A88-1542-426D-BA57-C0344512E7DA}"/>
      </w:docPartPr>
      <w:docPartBody>
        <w:p w:rsidR="00000000" w:rsidRDefault="00636995" w:rsidP="00636995">
          <w:pPr>
            <w:pStyle w:val="0F9D40D7587840F3AB70D6CC3403A7E7"/>
          </w:pPr>
          <w:r>
            <w:rPr>
              <w:rFonts w:asciiTheme="majorHAnsi" w:eastAsiaTheme="majorEastAsia" w:hAnsiTheme="majorHAnsi" w:cstheme="majorBidi"/>
              <w:color w:val="156082" w:themeColor="accent1"/>
              <w:sz w:val="88"/>
              <w:szCs w:val="88"/>
            </w:rPr>
            <w:t>[Document title]</w:t>
          </w:r>
        </w:p>
      </w:docPartBody>
    </w:docPart>
    <w:docPart>
      <w:docPartPr>
        <w:name w:val="DE452CAF7F094D0497157633CE636FB1"/>
        <w:category>
          <w:name w:val="General"/>
          <w:gallery w:val="placeholder"/>
        </w:category>
        <w:types>
          <w:type w:val="bbPlcHdr"/>
        </w:types>
        <w:behaviors>
          <w:behavior w:val="content"/>
        </w:behaviors>
        <w:guid w:val="{ABE12DDD-D2A7-4E87-9CBA-44C9F44CB182}"/>
      </w:docPartPr>
      <w:docPartBody>
        <w:p w:rsidR="00000000" w:rsidRDefault="00636995" w:rsidP="00636995">
          <w:pPr>
            <w:pStyle w:val="DE452CAF7F094D0497157633CE636FB1"/>
          </w:pPr>
          <w:r>
            <w:rPr>
              <w:color w:val="156082" w:themeColor="accent1"/>
              <w:sz w:val="28"/>
              <w:szCs w:val="28"/>
            </w:rPr>
            <w:t>[Author name]</w:t>
          </w:r>
        </w:p>
      </w:docPartBody>
    </w:docPart>
    <w:docPart>
      <w:docPartPr>
        <w:name w:val="5119E52554524854853D979BFFA018B3"/>
        <w:category>
          <w:name w:val="General"/>
          <w:gallery w:val="placeholder"/>
        </w:category>
        <w:types>
          <w:type w:val="bbPlcHdr"/>
        </w:types>
        <w:behaviors>
          <w:behavior w:val="content"/>
        </w:behaviors>
        <w:guid w:val="{AF4C0076-662A-4964-A263-BF925B080C29}"/>
      </w:docPartPr>
      <w:docPartBody>
        <w:p w:rsidR="00000000" w:rsidRDefault="00636995" w:rsidP="00636995">
          <w:pPr>
            <w:pStyle w:val="5119E52554524854853D979BFFA018B3"/>
          </w:pPr>
          <w:r>
            <w:rPr>
              <w:color w:val="156082"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995"/>
    <w:rsid w:val="00636995"/>
    <w:rsid w:val="007D5061"/>
    <w:rsid w:val="00930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FD703F73C03466C900FC517C102ED12">
    <w:name w:val="FFD703F73C03466C900FC517C102ED12"/>
    <w:rsid w:val="00636995"/>
  </w:style>
  <w:style w:type="paragraph" w:customStyle="1" w:styleId="0F9D40D7587840F3AB70D6CC3403A7E7">
    <w:name w:val="0F9D40D7587840F3AB70D6CC3403A7E7"/>
    <w:rsid w:val="00636995"/>
  </w:style>
  <w:style w:type="paragraph" w:customStyle="1" w:styleId="2861B309363444E6B68C2470C50392AB">
    <w:name w:val="2861B309363444E6B68C2470C50392AB"/>
    <w:rsid w:val="00636995"/>
  </w:style>
  <w:style w:type="paragraph" w:customStyle="1" w:styleId="DE452CAF7F094D0497157633CE636FB1">
    <w:name w:val="DE452CAF7F094D0497157633CE636FB1"/>
    <w:rsid w:val="00636995"/>
  </w:style>
  <w:style w:type="paragraph" w:customStyle="1" w:styleId="5119E52554524854853D979BFFA018B3">
    <w:name w:val="5119E52554524854853D979BFFA018B3"/>
    <w:rsid w:val="0063699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2024-11-20T00:00:00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15</Pages>
  <Words>3000</Words>
  <Characters>17100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Development in Swansea: Approaches to Growth and Sustainability</dc:title>
  <dc:subject/>
  <dc:creator>Valentina Andreea Filip (2318059)</dc:creator>
  <cp:keywords/>
  <dc:description/>
  <cp:lastModifiedBy>Mirabela Voican (1907947)</cp:lastModifiedBy>
  <cp:revision>1</cp:revision>
  <dcterms:created xsi:type="dcterms:W3CDTF">2024-11-13T19:13:00Z</dcterms:created>
  <dcterms:modified xsi:type="dcterms:W3CDTF">2024-11-13T19:52:00Z</dcterms:modified>
</cp:coreProperties>
</file>