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6302AC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F7E0D">
              <w:rPr>
                <w:rFonts w:ascii="Times New Roman" w:hAnsi="Times New Roman" w:cs="Times New Roman"/>
                <w:b/>
                <w:color w:val="auto"/>
                <w:sz w:val="48"/>
              </w:rPr>
              <w:t xml:space="preserve">Benjamin Joe David Perkins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14982A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F7E0D">
              <w:rPr>
                <w:rFonts w:ascii="Times New Roman" w:hAnsi="Times New Roman" w:cs="Times New Roman"/>
                <w:b/>
                <w:color w:val="auto"/>
                <w:sz w:val="48"/>
              </w:rPr>
              <w:t xml:space="preserve"> benperkinscare@gmail.com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BED7F0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A09E3">
              <w:rPr>
                <w:rFonts w:ascii="Times New Roman" w:hAnsi="Times New Roman" w:cs="Times New Roman"/>
                <w:b/>
                <w:sz w:val="48"/>
              </w:rPr>
              <w:t xml:space="preserve"> </w:t>
            </w:r>
            <w:r w:rsidR="00DA09E3">
              <w:rPr>
                <w:rFonts w:ascii="Times New Roman" w:hAnsi="Times New Roman" w:cs="Times New Roman"/>
                <w:b/>
                <w:sz w:val="48"/>
              </w:rPr>
              <w:t>2421189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24CE05DE" w14:textId="77777777" w:rsidR="00954115"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0A9704D0" w14:textId="77777777" w:rsidR="00954115" w:rsidRDefault="00954115" w:rsidP="00FF7EBB">
            <w:pPr>
              <w:jc w:val="both"/>
              <w:rPr>
                <w:sz w:val="24"/>
                <w:szCs w:val="24"/>
              </w:rPr>
            </w:pPr>
          </w:p>
          <w:p w14:paraId="5EA06612" w14:textId="77777777" w:rsidR="00954115" w:rsidRDefault="00BB7FD2" w:rsidP="00954115">
            <w:pPr>
              <w:jc w:val="both"/>
              <w:rPr>
                <w:sz w:val="24"/>
                <w:szCs w:val="24"/>
              </w:rPr>
            </w:pPr>
            <w:r>
              <w:rPr>
                <w:sz w:val="24"/>
                <w:szCs w:val="24"/>
              </w:rPr>
              <w:t xml:space="preserve"> </w:t>
            </w:r>
            <w:r w:rsidR="00954115" w:rsidRPr="006108C9">
              <w:rPr>
                <w:i/>
                <w:sz w:val="24"/>
                <w:szCs w:val="24"/>
              </w:rPr>
              <w:t>500 words</w:t>
            </w:r>
            <w:r w:rsidR="00954115" w:rsidRPr="006108C9">
              <w:rPr>
                <w:sz w:val="24"/>
                <w:szCs w:val="24"/>
              </w:rPr>
              <w:t xml:space="preserve"> (+/- 10%: include your actual word count at the end of each section)</w:t>
            </w:r>
            <w:r w:rsidR="00954115">
              <w:rPr>
                <w:sz w:val="24"/>
                <w:szCs w:val="24"/>
              </w:rPr>
              <w:t>.</w:t>
            </w:r>
          </w:p>
          <w:p w14:paraId="17A49383" w14:textId="4A789775" w:rsidR="008B28E7" w:rsidRDefault="008B28E7" w:rsidP="00FF7EBB">
            <w:pPr>
              <w:jc w:val="both"/>
              <w:rPr>
                <w:sz w:val="24"/>
                <w:szCs w:val="24"/>
              </w:rPr>
            </w:pPr>
          </w:p>
          <w:p w14:paraId="634DA412" w14:textId="723F0108" w:rsidR="00393FAD" w:rsidRPr="00393FAD" w:rsidRDefault="00393FAD" w:rsidP="00393FAD">
            <w:pPr>
              <w:pStyle w:val="NormalWeb"/>
              <w:rPr>
                <w:rFonts w:ascii="Arial" w:hAnsi="Arial" w:cs="Arial"/>
              </w:rPr>
            </w:pPr>
            <w:r w:rsidRPr="00393FAD">
              <w:rPr>
                <w:rFonts w:ascii="Arial" w:hAnsi="Arial" w:cs="Arial"/>
              </w:rPr>
              <w:t>My normal area of practice is within adult services</w:t>
            </w:r>
            <w:r w:rsidR="00AC1512">
              <w:rPr>
                <w:rFonts w:ascii="Arial" w:hAnsi="Arial" w:cs="Arial"/>
              </w:rPr>
              <w:t>,</w:t>
            </w:r>
            <w:r w:rsidRPr="00393FAD">
              <w:rPr>
                <w:rFonts w:ascii="Arial" w:hAnsi="Arial" w:cs="Arial"/>
              </w:rPr>
              <w:t xml:space="preserve"> however, as part of transitions, I work with individuals from the age of fourteen. While my role is within adult services, it is also essential to understand children’s safeguarding in Wales. Safeguarding concerns do not always relate directly to the young person I am supporting. For example, I have previously completed a </w:t>
            </w:r>
            <w:r w:rsidR="00A7454C" w:rsidRPr="00393FAD">
              <w:rPr>
                <w:rFonts w:ascii="Arial" w:hAnsi="Arial" w:cs="Arial"/>
              </w:rPr>
              <w:t>Multi</w:t>
            </w:r>
            <w:r w:rsidR="00A7454C">
              <w:rPr>
                <w:rFonts w:ascii="Arial" w:hAnsi="Arial" w:cs="Arial"/>
              </w:rPr>
              <w:t xml:space="preserve"> </w:t>
            </w:r>
            <w:r w:rsidR="00A7454C" w:rsidRPr="00393FAD">
              <w:rPr>
                <w:rFonts w:ascii="Arial" w:hAnsi="Arial" w:cs="Arial"/>
              </w:rPr>
              <w:t>Agency</w:t>
            </w:r>
            <w:r w:rsidRPr="00393FAD">
              <w:rPr>
                <w:rFonts w:ascii="Arial" w:hAnsi="Arial" w:cs="Arial"/>
              </w:rPr>
              <w:t xml:space="preserve"> Referral Form (MARF) for a younger sibling living in the same household. This demonstrates that safeguarding children is not an isolated task but a central and fundamental element of social work practice in Wales.</w:t>
            </w:r>
          </w:p>
          <w:p w14:paraId="349C3549" w14:textId="0DB5B4AC" w:rsidR="00393FAD" w:rsidRPr="00393FAD" w:rsidRDefault="00393FAD" w:rsidP="00393FAD">
            <w:pPr>
              <w:pStyle w:val="NormalWeb"/>
              <w:rPr>
                <w:rFonts w:ascii="Arial" w:hAnsi="Arial" w:cs="Arial"/>
              </w:rPr>
            </w:pPr>
            <w:r w:rsidRPr="00393FAD">
              <w:rPr>
                <w:rFonts w:ascii="Arial" w:hAnsi="Arial" w:cs="Arial"/>
              </w:rPr>
              <w:t xml:space="preserve">In Wales, safeguarding children falls under the same overarching framework as adult safeguarding, the Social Services and Well-being (Wales) Act 2014 (SSWBA, 2014). This Act is the statutory framework for social work practitioners to protect children from neglect, abuse, harm, coercion, or exploitation. It also highlights the importance of early intervention, showing that safeguarding is not only about crisis but also about proactive protection. Winnicott (1965) argued that </w:t>
            </w:r>
            <w:r w:rsidR="00AC32F1" w:rsidRPr="00C022A0">
              <w:rPr>
                <w:rFonts w:ascii="Arial" w:hAnsi="Arial" w:cs="Arial"/>
                <w:i/>
                <w:iCs/>
              </w:rPr>
              <w:t>“</w:t>
            </w:r>
            <w:r w:rsidRPr="00C022A0">
              <w:rPr>
                <w:rFonts w:ascii="Arial" w:hAnsi="Arial" w:cs="Arial"/>
                <w:i/>
                <w:iCs/>
              </w:rPr>
              <w:t>a child’s emotional and psychological safety is as important as physical safety, and without a secure, responsive caregiving environment, development is at risk</w:t>
            </w:r>
            <w:r w:rsidR="00C022A0" w:rsidRPr="00C022A0">
              <w:rPr>
                <w:rFonts w:ascii="Arial" w:hAnsi="Arial" w:cs="Arial"/>
                <w:i/>
                <w:iCs/>
              </w:rPr>
              <w:t>”.</w:t>
            </w:r>
          </w:p>
          <w:p w14:paraId="67B4F6D3" w14:textId="47312D68" w:rsidR="00393FAD" w:rsidRPr="00393FAD" w:rsidRDefault="00393FAD" w:rsidP="00393FAD">
            <w:pPr>
              <w:pStyle w:val="NormalWeb"/>
              <w:rPr>
                <w:rFonts w:ascii="Arial" w:hAnsi="Arial" w:cs="Arial"/>
              </w:rPr>
            </w:pPr>
            <w:r w:rsidRPr="00393FAD">
              <w:rPr>
                <w:rFonts w:ascii="Arial" w:hAnsi="Arial" w:cs="Arial"/>
              </w:rPr>
              <w:t xml:space="preserve">Part 7 of the SSWBA (2014) places a clear “duty to report” on social workers and local authorities. Section 130 outlines the mandatory reporting duty, requiring professionals to report any concerns that a child may be at </w:t>
            </w:r>
            <w:r w:rsidR="00C022A0">
              <w:rPr>
                <w:rFonts w:ascii="Arial" w:hAnsi="Arial" w:cs="Arial"/>
              </w:rPr>
              <w:t xml:space="preserve">potential </w:t>
            </w:r>
            <w:r w:rsidRPr="00393FAD">
              <w:rPr>
                <w:rFonts w:ascii="Arial" w:hAnsi="Arial" w:cs="Arial"/>
              </w:rPr>
              <w:t xml:space="preserve">risk of harm. This ensures safeguarding is a shared responsibility. The Children Act </w:t>
            </w:r>
            <w:r w:rsidR="00C022A0">
              <w:rPr>
                <w:rFonts w:ascii="Arial" w:hAnsi="Arial" w:cs="Arial"/>
              </w:rPr>
              <w:t>(</w:t>
            </w:r>
            <w:r w:rsidR="003816F8">
              <w:rPr>
                <w:rFonts w:ascii="Arial" w:hAnsi="Arial" w:cs="Arial"/>
              </w:rPr>
              <w:t>1</w:t>
            </w:r>
            <w:r w:rsidRPr="00393FAD">
              <w:rPr>
                <w:rFonts w:ascii="Arial" w:hAnsi="Arial" w:cs="Arial"/>
              </w:rPr>
              <w:t>989</w:t>
            </w:r>
            <w:r w:rsidR="00C022A0">
              <w:rPr>
                <w:rFonts w:ascii="Arial" w:hAnsi="Arial" w:cs="Arial"/>
              </w:rPr>
              <w:t>)</w:t>
            </w:r>
            <w:r w:rsidRPr="00393FAD">
              <w:rPr>
                <w:rFonts w:ascii="Arial" w:hAnsi="Arial" w:cs="Arial"/>
              </w:rPr>
              <w:t xml:space="preserve"> also remains a key piece of legislation in Wales and the UK, widely regarded as the cornerstone of safeguarding law, ensuring children are protected consistently across local authority areas.</w:t>
            </w:r>
          </w:p>
          <w:p w14:paraId="246DFD88" w14:textId="760139A5" w:rsidR="00393FAD" w:rsidRPr="00393FAD" w:rsidRDefault="00393FAD" w:rsidP="00393FAD">
            <w:pPr>
              <w:pStyle w:val="NormalWeb"/>
              <w:rPr>
                <w:rFonts w:ascii="Arial" w:hAnsi="Arial" w:cs="Arial"/>
              </w:rPr>
            </w:pPr>
            <w:r w:rsidRPr="00393FAD">
              <w:rPr>
                <w:rFonts w:ascii="Arial" w:hAnsi="Arial" w:cs="Arial"/>
              </w:rPr>
              <w:t xml:space="preserve">The safeguarding framework in Wales is shaped by international obligations. The United Nations Convention on the Rights of the Child (UNCRC) is legally embedded in Welsh law and underpins Section 7 of the SSWBA (2014). The UNCRC sets out 41 rights to protect </w:t>
            </w:r>
            <w:r w:rsidRPr="00393FAD">
              <w:rPr>
                <w:rFonts w:ascii="Arial" w:hAnsi="Arial" w:cs="Arial"/>
              </w:rPr>
              <w:lastRenderedPageBreak/>
              <w:t>children’s civil, political, economic, social, and cultural well</w:t>
            </w:r>
            <w:r w:rsidR="003816F8">
              <w:rPr>
                <w:rFonts w:ascii="Arial" w:hAnsi="Arial" w:cs="Arial"/>
              </w:rPr>
              <w:t xml:space="preserve"> </w:t>
            </w:r>
            <w:r w:rsidRPr="00393FAD">
              <w:rPr>
                <w:rFonts w:ascii="Arial" w:hAnsi="Arial" w:cs="Arial"/>
              </w:rPr>
              <w:t xml:space="preserve">being </w:t>
            </w:r>
            <w:r w:rsidR="003816F8">
              <w:rPr>
                <w:rFonts w:ascii="Arial" w:hAnsi="Arial" w:cs="Arial"/>
              </w:rPr>
              <w:t>(</w:t>
            </w:r>
            <w:r w:rsidRPr="00393FAD">
              <w:rPr>
                <w:rFonts w:ascii="Arial" w:hAnsi="Arial" w:cs="Arial"/>
              </w:rPr>
              <w:t>UNCRC</w:t>
            </w:r>
            <w:r w:rsidR="003816F8">
              <w:rPr>
                <w:rFonts w:ascii="Arial" w:hAnsi="Arial" w:cs="Arial"/>
              </w:rPr>
              <w:t>)</w:t>
            </w:r>
            <w:r w:rsidRPr="00393FAD">
              <w:rPr>
                <w:rFonts w:ascii="Arial" w:hAnsi="Arial" w:cs="Arial"/>
              </w:rPr>
              <w:t>. By embedding these rights into legislation, Wales ensures safeguarding practice is child centred, with children’s voices central to professional decision making.</w:t>
            </w:r>
          </w:p>
          <w:p w14:paraId="2AA40E11" w14:textId="28DF6BBB" w:rsidR="00393FAD" w:rsidRPr="00393FAD" w:rsidRDefault="00393FAD" w:rsidP="00393FAD">
            <w:pPr>
              <w:pStyle w:val="NormalWeb"/>
              <w:rPr>
                <w:rFonts w:ascii="Arial" w:hAnsi="Arial" w:cs="Arial"/>
              </w:rPr>
            </w:pPr>
            <w:r w:rsidRPr="00393FAD">
              <w:rPr>
                <w:rFonts w:ascii="Arial" w:hAnsi="Arial" w:cs="Arial"/>
              </w:rPr>
              <w:t xml:space="preserve">A significant element of the Children Act </w:t>
            </w:r>
            <w:r w:rsidR="003816F8">
              <w:rPr>
                <w:rFonts w:ascii="Arial" w:hAnsi="Arial" w:cs="Arial"/>
              </w:rPr>
              <w:t>(</w:t>
            </w:r>
            <w:r w:rsidRPr="00393FAD">
              <w:rPr>
                <w:rFonts w:ascii="Arial" w:hAnsi="Arial" w:cs="Arial"/>
              </w:rPr>
              <w:t>1989</w:t>
            </w:r>
            <w:r w:rsidR="003816F8">
              <w:rPr>
                <w:rFonts w:ascii="Arial" w:hAnsi="Arial" w:cs="Arial"/>
              </w:rPr>
              <w:t>)</w:t>
            </w:r>
            <w:r w:rsidRPr="00393FAD">
              <w:rPr>
                <w:rFonts w:ascii="Arial" w:hAnsi="Arial" w:cs="Arial"/>
              </w:rPr>
              <w:t xml:space="preserve"> is Section 47, which requires local authorities to investigate when there is reasonable cause to suspect a child is suffering or likely to suffer significant harm, such as physical, emotional, sexual abuse, or neglect. Section 47 enquiries inform the child protection process and ensure timely intervention. If risk remains, a child protection conference is convened, leading to a more formal plan.</w:t>
            </w:r>
          </w:p>
          <w:p w14:paraId="72BC7CD6" w14:textId="1A3960BE" w:rsidR="00393FAD" w:rsidRPr="00393FAD" w:rsidRDefault="00393FAD" w:rsidP="00393FAD">
            <w:pPr>
              <w:pStyle w:val="NormalWeb"/>
              <w:rPr>
                <w:rFonts w:ascii="Arial" w:hAnsi="Arial" w:cs="Arial"/>
              </w:rPr>
            </w:pPr>
            <w:r w:rsidRPr="00393FAD">
              <w:rPr>
                <w:rFonts w:ascii="Arial" w:hAnsi="Arial" w:cs="Arial"/>
              </w:rPr>
              <w:t xml:space="preserve">Theoretical perspectives also inform safeguarding. Bronfenbrenner’s (1979) Ecological Systems Theory emphasises that </w:t>
            </w:r>
            <w:r w:rsidR="003816F8">
              <w:rPr>
                <w:rFonts w:ascii="Arial" w:hAnsi="Arial" w:cs="Arial"/>
              </w:rPr>
              <w:t>“</w:t>
            </w:r>
            <w:r w:rsidRPr="003816F8">
              <w:rPr>
                <w:rFonts w:ascii="Arial" w:hAnsi="Arial" w:cs="Arial"/>
                <w:i/>
                <w:iCs/>
              </w:rPr>
              <w:t>children’s well-being is influenced by multiple environmental layers</w:t>
            </w:r>
            <w:r w:rsidR="003816F8" w:rsidRPr="003816F8">
              <w:rPr>
                <w:rFonts w:ascii="Arial" w:hAnsi="Arial" w:cs="Arial"/>
                <w:i/>
                <w:iCs/>
              </w:rPr>
              <w:t xml:space="preserve">, </w:t>
            </w:r>
            <w:r w:rsidRPr="003816F8">
              <w:rPr>
                <w:rFonts w:ascii="Arial" w:hAnsi="Arial" w:cs="Arial"/>
                <w:i/>
                <w:iCs/>
              </w:rPr>
              <w:t>family, community, and wider society</w:t>
            </w:r>
            <w:r w:rsidR="003816F8">
              <w:rPr>
                <w:rFonts w:ascii="Arial" w:hAnsi="Arial" w:cs="Arial"/>
              </w:rPr>
              <w:t>”</w:t>
            </w:r>
            <w:r w:rsidRPr="00393FAD">
              <w:rPr>
                <w:rFonts w:ascii="Arial" w:hAnsi="Arial" w:cs="Arial"/>
              </w:rPr>
              <w:t>. This supports protective interventions and meaningful prompt safeguarding.</w:t>
            </w:r>
          </w:p>
          <w:p w14:paraId="440E15B4" w14:textId="77777777" w:rsidR="00393FAD" w:rsidRPr="00393FAD" w:rsidRDefault="00393FAD" w:rsidP="00393FAD">
            <w:pPr>
              <w:pStyle w:val="NormalWeb"/>
              <w:rPr>
                <w:rFonts w:ascii="Arial" w:hAnsi="Arial" w:cs="Arial"/>
              </w:rPr>
            </w:pPr>
            <w:r w:rsidRPr="00393FAD">
              <w:rPr>
                <w:rFonts w:ascii="Arial" w:hAnsi="Arial" w:cs="Arial"/>
              </w:rPr>
              <w:t>Finally, the Wales Safeguarding Procedures, introduced in November 2019, provide a standardised framework across the country. Available via a mobile app, they are designed for statutory, voluntary, third sector, and private agencies, ensuring consistent responses and effective multi-agency working, in line with guidance from local Safeguarding Boards (Wales Safeguarding Procedures, 2019).</w:t>
            </w:r>
          </w:p>
          <w:p w14:paraId="6B636CE2" w14:textId="3E09120B" w:rsidR="00393FAD" w:rsidRPr="00393FAD" w:rsidRDefault="00393FAD" w:rsidP="00393FAD">
            <w:pPr>
              <w:pStyle w:val="NormalWeb"/>
              <w:rPr>
                <w:rFonts w:ascii="Arial" w:hAnsi="Arial" w:cs="Arial"/>
              </w:rPr>
            </w:pPr>
            <w:r w:rsidRPr="00393FAD">
              <w:rPr>
                <w:rFonts w:ascii="Arial" w:hAnsi="Arial" w:cs="Arial"/>
              </w:rPr>
              <w:t>In conclusion, safeguarding children in Wales requires social workers to maintain a clear understanding of their duties and the legislative framework underpinning practice. Guided by statutory duties, supported by procedures, and underpinned by child</w:t>
            </w:r>
            <w:r w:rsidR="00990DC9">
              <w:rPr>
                <w:rFonts w:ascii="Arial" w:hAnsi="Arial" w:cs="Arial"/>
              </w:rPr>
              <w:t xml:space="preserve"> </w:t>
            </w:r>
            <w:r w:rsidRPr="00393FAD">
              <w:rPr>
                <w:rFonts w:ascii="Arial" w:hAnsi="Arial" w:cs="Arial"/>
              </w:rPr>
              <w:t>centred approaches, safeguarding becomes embedded in professional practice, ensuring that children’s welfare is prioritised.</w:t>
            </w:r>
          </w:p>
          <w:p w14:paraId="1FBBCFA0" w14:textId="77777777" w:rsidR="006108C9" w:rsidRDefault="006108C9" w:rsidP="00FF7EBB">
            <w:pPr>
              <w:jc w:val="both"/>
              <w:rPr>
                <w:sz w:val="24"/>
                <w:szCs w:val="24"/>
              </w:rPr>
            </w:pPr>
          </w:p>
          <w:p w14:paraId="5B34C7E3" w14:textId="77777777" w:rsidR="00B01E40" w:rsidRDefault="00B01E40" w:rsidP="00B01E40">
            <w:pPr>
              <w:overflowPunct/>
              <w:autoSpaceDE/>
              <w:autoSpaceDN/>
              <w:adjustRightInd/>
              <w:spacing w:before="100" w:beforeAutospacing="1" w:after="100" w:afterAutospacing="1"/>
              <w:jc w:val="center"/>
              <w:textAlignment w:val="auto"/>
              <w:rPr>
                <w:b/>
                <w:bCs/>
                <w:color w:val="auto"/>
                <w:sz w:val="24"/>
                <w:szCs w:val="24"/>
                <w:u w:val="single"/>
              </w:rPr>
            </w:pPr>
            <w:r>
              <w:rPr>
                <w:b/>
                <w:bCs/>
                <w:color w:val="auto"/>
                <w:sz w:val="24"/>
                <w:szCs w:val="24"/>
                <w:u w:val="single"/>
              </w:rPr>
              <w:t>Word Count</w:t>
            </w:r>
          </w:p>
          <w:p w14:paraId="12E5233D" w14:textId="3C9D5C1B" w:rsidR="00B01E40" w:rsidRPr="009D1A48" w:rsidRDefault="009D1A48" w:rsidP="00B01E40">
            <w:pPr>
              <w:overflowPunct/>
              <w:autoSpaceDE/>
              <w:autoSpaceDN/>
              <w:adjustRightInd/>
              <w:spacing w:before="100" w:beforeAutospacing="1" w:after="100" w:afterAutospacing="1"/>
              <w:jc w:val="center"/>
              <w:textAlignment w:val="auto"/>
              <w:rPr>
                <w:color w:val="auto"/>
                <w:sz w:val="24"/>
                <w:szCs w:val="24"/>
              </w:rPr>
            </w:pPr>
            <w:r w:rsidRPr="009D1A48">
              <w:rPr>
                <w:color w:val="auto"/>
                <w:sz w:val="24"/>
                <w:szCs w:val="24"/>
              </w:rPr>
              <w:t>543</w:t>
            </w:r>
          </w:p>
          <w:p w14:paraId="03BD6D93" w14:textId="56AD433A" w:rsidR="007A628F" w:rsidRPr="008B28E7" w:rsidRDefault="007A628F" w:rsidP="00543F05">
            <w:pPr>
              <w:overflowPunct/>
              <w:autoSpaceDE/>
              <w:autoSpaceDN/>
              <w:adjustRightInd/>
              <w:spacing w:before="100" w:beforeAutospacing="1" w:after="100" w:afterAutospacing="1"/>
              <w:textAlignment w:val="auto"/>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117BF835" w14:textId="77777777" w:rsidR="00785D4E" w:rsidRDefault="00785D4E" w:rsidP="00FC0334">
            <w:pPr>
              <w:jc w:val="both"/>
              <w:rPr>
                <w:sz w:val="24"/>
                <w:szCs w:val="24"/>
              </w:rPr>
            </w:pPr>
          </w:p>
          <w:p w14:paraId="668D3113" w14:textId="77777777" w:rsidR="00785D4E" w:rsidRDefault="00785D4E" w:rsidP="00785D4E">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30176D1A" w14:textId="77777777" w:rsidR="00CA0EB8" w:rsidRDefault="00CA0EB8" w:rsidP="00785D4E">
            <w:pPr>
              <w:jc w:val="both"/>
              <w:rPr>
                <w:i/>
                <w:sz w:val="24"/>
                <w:szCs w:val="24"/>
              </w:rPr>
            </w:pPr>
          </w:p>
          <w:p w14:paraId="27FF21B6" w14:textId="510D649F" w:rsidR="00CA0EB8" w:rsidRPr="00CA0EB8" w:rsidRDefault="00CA0EB8" w:rsidP="00CA0EB8">
            <w:pPr>
              <w:pStyle w:val="NormalWeb"/>
              <w:rPr>
                <w:rFonts w:ascii="Arial" w:hAnsi="Arial" w:cs="Arial"/>
              </w:rPr>
            </w:pPr>
            <w:r w:rsidRPr="00CA0EB8">
              <w:rPr>
                <w:rFonts w:ascii="Arial" w:hAnsi="Arial" w:cs="Arial"/>
              </w:rPr>
              <w:t xml:space="preserve">Reflecting on my first year of practice as a transition social worker, I have worked closely with families, children, and young people. This experience has highlighted the difference in safeguarding practice between adults and children, reflecting the balance between autonomy and </w:t>
            </w:r>
            <w:r w:rsidR="000806D2" w:rsidRPr="00CA0EB8">
              <w:rPr>
                <w:rFonts w:ascii="Arial" w:hAnsi="Arial" w:cs="Arial"/>
              </w:rPr>
              <w:t>protection</w:t>
            </w:r>
            <w:r w:rsidR="000806D2">
              <w:rPr>
                <w:rFonts w:ascii="Arial" w:hAnsi="Arial" w:cs="Arial"/>
              </w:rPr>
              <w:t>, and</w:t>
            </w:r>
            <w:r w:rsidRPr="00CA0EB8">
              <w:rPr>
                <w:rFonts w:ascii="Arial" w:hAnsi="Arial" w:cs="Arial"/>
              </w:rPr>
              <w:t xml:space="preserve"> safety of the child is paramount.</w:t>
            </w:r>
          </w:p>
          <w:p w14:paraId="01BD1817" w14:textId="6A6DCA42" w:rsidR="00CA0EB8" w:rsidRPr="00CA0EB8" w:rsidRDefault="00CA0EB8" w:rsidP="00CA0EB8">
            <w:pPr>
              <w:pStyle w:val="NormalWeb"/>
              <w:rPr>
                <w:rFonts w:ascii="Arial" w:hAnsi="Arial" w:cs="Arial"/>
              </w:rPr>
            </w:pPr>
            <w:r w:rsidRPr="00CA0EB8">
              <w:rPr>
                <w:rFonts w:ascii="Arial" w:hAnsi="Arial" w:cs="Arial"/>
              </w:rPr>
              <w:t xml:space="preserve">When working with adults, safeguarding is often framed in relation to the Human Rights Act 1998 </w:t>
            </w:r>
            <w:r w:rsidR="00CD6A8C">
              <w:rPr>
                <w:rFonts w:ascii="Arial" w:hAnsi="Arial" w:cs="Arial"/>
              </w:rPr>
              <w:t>(</w:t>
            </w:r>
            <w:r w:rsidRPr="00CA0EB8">
              <w:rPr>
                <w:rFonts w:ascii="Arial" w:hAnsi="Arial" w:cs="Arial"/>
              </w:rPr>
              <w:t>HRA</w:t>
            </w:r>
            <w:r w:rsidR="00CD6A8C">
              <w:rPr>
                <w:rFonts w:ascii="Arial" w:hAnsi="Arial" w:cs="Arial"/>
              </w:rPr>
              <w:t xml:space="preserve">, </w:t>
            </w:r>
            <w:r w:rsidRPr="00CA0EB8">
              <w:rPr>
                <w:rFonts w:ascii="Arial" w:hAnsi="Arial" w:cs="Arial"/>
              </w:rPr>
              <w:t xml:space="preserve">1998), with an emphasis on empowering individuals and upholding autonomy. </w:t>
            </w:r>
            <w:r w:rsidRPr="00CA0EB8">
              <w:rPr>
                <w:rFonts w:ascii="Arial" w:hAnsi="Arial" w:cs="Arial"/>
              </w:rPr>
              <w:lastRenderedPageBreak/>
              <w:t>Adult safeguarding focuses on promoting independence while considering mental capacity, legally recognised from age sixteen under the Mental Capacity Act 2005 (MCA, 2005). By contrast, safeguarding children prioritises protection due to their greater vulnerability, with interventions often proceeding without a child’s consent.</w:t>
            </w:r>
          </w:p>
          <w:p w14:paraId="4E51DD15" w14:textId="4C295188" w:rsidR="00CA0EB8" w:rsidRPr="00CA0EB8" w:rsidRDefault="00CA0EB8" w:rsidP="00CA0EB8">
            <w:pPr>
              <w:pStyle w:val="NormalWeb"/>
              <w:rPr>
                <w:rFonts w:ascii="Arial" w:hAnsi="Arial" w:cs="Arial"/>
              </w:rPr>
            </w:pPr>
            <w:r w:rsidRPr="00CA0EB8">
              <w:rPr>
                <w:rFonts w:ascii="Arial" w:hAnsi="Arial" w:cs="Arial"/>
              </w:rPr>
              <w:t>Legally, the Social Services and Well</w:t>
            </w:r>
            <w:r w:rsidR="00CD6A8C">
              <w:rPr>
                <w:rFonts w:ascii="Arial" w:hAnsi="Arial" w:cs="Arial"/>
              </w:rPr>
              <w:t xml:space="preserve"> </w:t>
            </w:r>
            <w:r w:rsidRPr="00CA0EB8">
              <w:rPr>
                <w:rFonts w:ascii="Arial" w:hAnsi="Arial" w:cs="Arial"/>
              </w:rPr>
              <w:t xml:space="preserve">being (Wales) Act 2014 (SSWBA, 2014) recognises safeguarding duties for both adults and children, outlined in Part 7 and Section 130. However, the approach differs. The MCA (2005) requires </w:t>
            </w:r>
            <w:r w:rsidR="00C05856">
              <w:rPr>
                <w:rFonts w:ascii="Arial" w:hAnsi="Arial" w:cs="Arial"/>
              </w:rPr>
              <w:t>practitioners</w:t>
            </w:r>
            <w:r w:rsidRPr="00CA0EB8">
              <w:rPr>
                <w:rFonts w:ascii="Arial" w:hAnsi="Arial" w:cs="Arial"/>
              </w:rPr>
              <w:t xml:space="preserve"> to assess whether an adult has capacity to make decisions </w:t>
            </w:r>
            <w:r w:rsidR="00C05856">
              <w:rPr>
                <w:rFonts w:ascii="Arial" w:hAnsi="Arial" w:cs="Arial"/>
              </w:rPr>
              <w:t>around their</w:t>
            </w:r>
            <w:r w:rsidRPr="00CA0EB8">
              <w:rPr>
                <w:rFonts w:ascii="Arial" w:hAnsi="Arial" w:cs="Arial"/>
              </w:rPr>
              <w:t xml:space="preserve"> safety. Principle 1 of the MCA </w:t>
            </w:r>
            <w:r w:rsidR="00CD6A8C">
              <w:rPr>
                <w:rFonts w:ascii="Arial" w:hAnsi="Arial" w:cs="Arial"/>
              </w:rPr>
              <w:t xml:space="preserve">(2005) </w:t>
            </w:r>
            <w:r w:rsidRPr="00CA0EB8">
              <w:rPr>
                <w:rFonts w:ascii="Arial" w:hAnsi="Arial" w:cs="Arial"/>
              </w:rPr>
              <w:t xml:space="preserve">presumes capacity, yet where doubt </w:t>
            </w:r>
            <w:r w:rsidR="00C05856" w:rsidRPr="00CA0EB8">
              <w:rPr>
                <w:rFonts w:ascii="Arial" w:hAnsi="Arial" w:cs="Arial"/>
              </w:rPr>
              <w:t>exists particularly</w:t>
            </w:r>
            <w:r w:rsidRPr="00CA0EB8">
              <w:rPr>
                <w:rFonts w:ascii="Arial" w:hAnsi="Arial" w:cs="Arial"/>
              </w:rPr>
              <w:t xml:space="preserve"> if there is evidence of risk to self or others, coercion, or serious </w:t>
            </w:r>
            <w:r w:rsidR="00C05856" w:rsidRPr="00CA0EB8">
              <w:rPr>
                <w:rFonts w:ascii="Arial" w:hAnsi="Arial" w:cs="Arial"/>
              </w:rPr>
              <w:t>harm</w:t>
            </w:r>
            <w:r w:rsidRPr="00CA0EB8">
              <w:rPr>
                <w:rFonts w:ascii="Arial" w:hAnsi="Arial" w:cs="Arial"/>
              </w:rPr>
              <w:t xml:space="preserve"> formal assessment is required. This ensures the adult understands the risk while balancing autonomy with the duty to protect.</w:t>
            </w:r>
          </w:p>
          <w:p w14:paraId="359B4759" w14:textId="59143C76" w:rsidR="00CA0EB8" w:rsidRPr="00CA0EB8" w:rsidRDefault="00CA0EB8" w:rsidP="00CA0EB8">
            <w:pPr>
              <w:pStyle w:val="NormalWeb"/>
              <w:rPr>
                <w:rFonts w:ascii="Arial" w:hAnsi="Arial" w:cs="Arial"/>
              </w:rPr>
            </w:pPr>
            <w:r w:rsidRPr="00CA0EB8">
              <w:rPr>
                <w:rFonts w:ascii="Arial" w:hAnsi="Arial" w:cs="Arial"/>
              </w:rPr>
              <w:t xml:space="preserve">Adults with capacity </w:t>
            </w:r>
            <w:r w:rsidR="00CD6A8C">
              <w:rPr>
                <w:rFonts w:ascii="Arial" w:hAnsi="Arial" w:cs="Arial"/>
              </w:rPr>
              <w:t>can</w:t>
            </w:r>
            <w:r w:rsidRPr="00CA0EB8">
              <w:rPr>
                <w:rFonts w:ascii="Arial" w:hAnsi="Arial" w:cs="Arial"/>
              </w:rPr>
              <w:t xml:space="preserve"> refuse support or intervention, even when vulnerable, whereas those lacking capacity can have decisions made in their best interests. Children, however, do not need to consent to safeguarding interventions where concerns exist. Their protection is prioritised, reflecting the child</w:t>
            </w:r>
            <w:r w:rsidR="00CD6A8C">
              <w:rPr>
                <w:rFonts w:ascii="Arial" w:hAnsi="Arial" w:cs="Arial"/>
              </w:rPr>
              <w:t xml:space="preserve"> </w:t>
            </w:r>
            <w:r w:rsidRPr="00CA0EB8">
              <w:rPr>
                <w:rFonts w:ascii="Arial" w:hAnsi="Arial" w:cs="Arial"/>
              </w:rPr>
              <w:t>centred approach enshrined in law and the (UNCRC, 1989).</w:t>
            </w:r>
          </w:p>
          <w:p w14:paraId="210CEE36" w14:textId="78933257" w:rsidR="00CA0EB8" w:rsidRPr="00CA0EB8" w:rsidRDefault="00CA0EB8" w:rsidP="00CA0EB8">
            <w:pPr>
              <w:pStyle w:val="NormalWeb"/>
              <w:rPr>
                <w:rFonts w:ascii="Arial" w:hAnsi="Arial" w:cs="Arial"/>
              </w:rPr>
            </w:pPr>
            <w:r w:rsidRPr="00CA0EB8">
              <w:rPr>
                <w:rFonts w:ascii="Arial" w:hAnsi="Arial" w:cs="Arial"/>
              </w:rPr>
              <w:t xml:space="preserve">Theorist Dixon (2023) notes that adult safeguarding </w:t>
            </w:r>
            <w:r w:rsidRPr="00CD6A8C">
              <w:rPr>
                <w:rFonts w:ascii="Arial" w:hAnsi="Arial" w:cs="Arial"/>
                <w:i/>
                <w:iCs/>
              </w:rPr>
              <w:t>“revolves around risk, uncertainty, autonomy, and professional judgement, which suits adult contexts.”</w:t>
            </w:r>
            <w:r w:rsidRPr="00CA0EB8">
              <w:rPr>
                <w:rFonts w:ascii="Arial" w:hAnsi="Arial" w:cs="Arial"/>
              </w:rPr>
              <w:t xml:space="preserve"> Firmin (2023), in contrast, “</w:t>
            </w:r>
            <w:r w:rsidRPr="00C05856">
              <w:rPr>
                <w:rFonts w:ascii="Arial" w:hAnsi="Arial" w:cs="Arial"/>
                <w:i/>
                <w:iCs/>
              </w:rPr>
              <w:t>emphasises contextual safeguarding, recognising that children and adolescents</w:t>
            </w:r>
            <w:r w:rsidRPr="00CA0EB8">
              <w:rPr>
                <w:rFonts w:ascii="Arial" w:hAnsi="Arial" w:cs="Arial"/>
              </w:rPr>
              <w:t xml:space="preserve"> </w:t>
            </w:r>
            <w:r w:rsidRPr="00C05856">
              <w:rPr>
                <w:rFonts w:ascii="Arial" w:hAnsi="Arial" w:cs="Arial"/>
                <w:i/>
                <w:iCs/>
              </w:rPr>
              <w:t>often face harm in extra-familial settings</w:t>
            </w:r>
            <w:r w:rsidR="00C05856">
              <w:rPr>
                <w:rFonts w:ascii="Arial" w:hAnsi="Arial" w:cs="Arial"/>
                <w:i/>
                <w:iCs/>
              </w:rPr>
              <w:t xml:space="preserve">, </w:t>
            </w:r>
            <w:r w:rsidRPr="00C05856">
              <w:rPr>
                <w:rFonts w:ascii="Arial" w:hAnsi="Arial" w:cs="Arial"/>
                <w:i/>
                <w:iCs/>
              </w:rPr>
              <w:t>peer groups, public spaces, or online</w:t>
            </w:r>
            <w:r w:rsidR="00C05856">
              <w:rPr>
                <w:rFonts w:ascii="Arial" w:hAnsi="Arial" w:cs="Arial"/>
                <w:i/>
                <w:iCs/>
              </w:rPr>
              <w:t xml:space="preserve"> </w:t>
            </w:r>
            <w:r w:rsidRPr="00C05856">
              <w:rPr>
                <w:rFonts w:ascii="Arial" w:hAnsi="Arial" w:cs="Arial"/>
                <w:i/>
                <w:iCs/>
              </w:rPr>
              <w:t>making risks less visible and requiring proactive intervention</w:t>
            </w:r>
            <w:r w:rsidRPr="00CA0EB8">
              <w:rPr>
                <w:rFonts w:ascii="Arial" w:hAnsi="Arial" w:cs="Arial"/>
              </w:rPr>
              <w:t>.”</w:t>
            </w:r>
          </w:p>
          <w:p w14:paraId="081B4F09" w14:textId="0DB5CCCA" w:rsidR="00CA0EB8" w:rsidRPr="00CA0EB8" w:rsidRDefault="00CA0EB8" w:rsidP="00CA0EB8">
            <w:pPr>
              <w:pStyle w:val="NormalWeb"/>
              <w:rPr>
                <w:rFonts w:ascii="Arial" w:hAnsi="Arial" w:cs="Arial"/>
              </w:rPr>
            </w:pPr>
            <w:r w:rsidRPr="00CA0EB8">
              <w:rPr>
                <w:rFonts w:ascii="Arial" w:hAnsi="Arial" w:cs="Arial"/>
              </w:rPr>
              <w:t xml:space="preserve">While children generally cannot make safeguarding decisions, Gillick competence demonstrates that a child under sixteen can consent to treatment if sufficiently mature, as established in </w:t>
            </w:r>
            <w:r w:rsidRPr="00CA0EB8">
              <w:rPr>
                <w:rStyle w:val="Emphasis"/>
                <w:rFonts w:ascii="Arial" w:hAnsi="Arial" w:cs="Arial"/>
              </w:rPr>
              <w:t>Gillick v West Norfolk and Wisbech Area Health Authority</w:t>
            </w:r>
            <w:r w:rsidRPr="00CA0EB8">
              <w:rPr>
                <w:rFonts w:ascii="Arial" w:hAnsi="Arial" w:cs="Arial"/>
              </w:rPr>
              <w:t xml:space="preserve"> (1985). This reflects evolving autonomy and aligns with the UNCRC</w:t>
            </w:r>
            <w:r w:rsidR="00CD6A8C">
              <w:rPr>
                <w:rFonts w:ascii="Arial" w:hAnsi="Arial" w:cs="Arial"/>
              </w:rPr>
              <w:t xml:space="preserve"> (1989)</w:t>
            </w:r>
            <w:r w:rsidRPr="00CA0EB8">
              <w:rPr>
                <w:rFonts w:ascii="Arial" w:hAnsi="Arial" w:cs="Arial"/>
              </w:rPr>
              <w:t>, but does not override the principle that the child’s safety remains paramount.</w:t>
            </w:r>
          </w:p>
          <w:p w14:paraId="1AB3AF57" w14:textId="37649B70" w:rsidR="00CA0EB8" w:rsidRDefault="00CA0EB8" w:rsidP="00CA0EB8">
            <w:pPr>
              <w:pStyle w:val="NormalWeb"/>
            </w:pPr>
            <w:r w:rsidRPr="00CA0EB8">
              <w:rPr>
                <w:rFonts w:ascii="Arial" w:hAnsi="Arial" w:cs="Arial"/>
              </w:rPr>
              <w:t xml:space="preserve">In conclusion, safeguarding practice in transition work requires clear differentiation between adult and child contexts. Adults are empowered to make decisions where capacity exists, while children are prioritised for protection, with interventions guided by their best interests. Understanding these differences, underpinned by legislation, theory, and ethical principles, ensures social workers respond appropriately, balancing autonomy, consent, and the safety of </w:t>
            </w:r>
            <w:r w:rsidR="00CD6A8C">
              <w:rPr>
                <w:rFonts w:ascii="Arial" w:hAnsi="Arial" w:cs="Arial"/>
              </w:rPr>
              <w:t>all</w:t>
            </w:r>
            <w:r w:rsidRPr="00CA0EB8">
              <w:rPr>
                <w:rFonts w:ascii="Arial" w:hAnsi="Arial" w:cs="Arial"/>
              </w:rPr>
              <w:t xml:space="preserve"> individuals.</w:t>
            </w:r>
          </w:p>
          <w:p w14:paraId="4B6B1839" w14:textId="77777777" w:rsidR="00785D4E" w:rsidRDefault="00785D4E" w:rsidP="00FC0334">
            <w:pPr>
              <w:jc w:val="both"/>
              <w:rPr>
                <w:sz w:val="24"/>
                <w:szCs w:val="24"/>
              </w:rPr>
            </w:pPr>
          </w:p>
          <w:p w14:paraId="7E865D6D" w14:textId="77777777" w:rsidR="00E70A7E" w:rsidRDefault="00E70A7E" w:rsidP="00E70A7E">
            <w:pPr>
              <w:jc w:val="center"/>
              <w:rPr>
                <w:b/>
                <w:bCs/>
                <w:sz w:val="24"/>
                <w:szCs w:val="24"/>
                <w:u w:val="single"/>
              </w:rPr>
            </w:pPr>
            <w:r>
              <w:rPr>
                <w:b/>
                <w:bCs/>
                <w:sz w:val="24"/>
                <w:szCs w:val="24"/>
                <w:u w:val="single"/>
              </w:rPr>
              <w:t>Word Count</w:t>
            </w:r>
          </w:p>
          <w:p w14:paraId="3CCA4DF2" w14:textId="02E7FE77" w:rsidR="00E70A7E" w:rsidRPr="00CA0EB8" w:rsidRDefault="004D126C" w:rsidP="00E70A7E">
            <w:pPr>
              <w:jc w:val="center"/>
              <w:rPr>
                <w:sz w:val="24"/>
                <w:szCs w:val="24"/>
              </w:rPr>
            </w:pPr>
            <w:r>
              <w:rPr>
                <w:sz w:val="24"/>
                <w:szCs w:val="24"/>
              </w:rPr>
              <w:t>43</w:t>
            </w:r>
            <w:r w:rsidR="00E30BB0">
              <w:rPr>
                <w:sz w:val="24"/>
                <w:szCs w:val="24"/>
              </w:rPr>
              <w:t>4</w:t>
            </w:r>
          </w:p>
          <w:p w14:paraId="1B015CE5" w14:textId="77777777" w:rsidR="00E70A7E" w:rsidRDefault="00E70A7E" w:rsidP="00E70A7E">
            <w:pPr>
              <w:jc w:val="center"/>
              <w:rPr>
                <w:b/>
                <w:bCs/>
                <w:sz w:val="24"/>
                <w:szCs w:val="24"/>
                <w:u w:val="single"/>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785D4E">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8C6E0" w14:textId="77777777" w:rsidR="006B2EB3" w:rsidRDefault="006B2EB3">
      <w:r>
        <w:separator/>
      </w:r>
    </w:p>
  </w:endnote>
  <w:endnote w:type="continuationSeparator" w:id="0">
    <w:p w14:paraId="20E7CE4C" w14:textId="77777777" w:rsidR="006B2EB3" w:rsidRDefault="006B2E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258BB" w14:textId="77777777" w:rsidR="006B2EB3" w:rsidRDefault="006B2EB3">
      <w:r>
        <w:separator/>
      </w:r>
    </w:p>
  </w:footnote>
  <w:footnote w:type="continuationSeparator" w:id="0">
    <w:p w14:paraId="23729469" w14:textId="77777777" w:rsidR="006B2EB3" w:rsidRDefault="006B2E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33B7166"/>
    <w:multiLevelType w:val="multilevel"/>
    <w:tmpl w:val="5FB4D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138494321">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27"/>
    <w:rsid w:val="0000138E"/>
    <w:rsid w:val="00002C7A"/>
    <w:rsid w:val="00003B4C"/>
    <w:rsid w:val="000045B8"/>
    <w:rsid w:val="00011F6E"/>
    <w:rsid w:val="00012B16"/>
    <w:rsid w:val="0001671F"/>
    <w:rsid w:val="00020EEC"/>
    <w:rsid w:val="0002440E"/>
    <w:rsid w:val="0002759A"/>
    <w:rsid w:val="00027B1F"/>
    <w:rsid w:val="0003088B"/>
    <w:rsid w:val="000325D9"/>
    <w:rsid w:val="0003588A"/>
    <w:rsid w:val="000372B2"/>
    <w:rsid w:val="0004079F"/>
    <w:rsid w:val="00043543"/>
    <w:rsid w:val="00045B87"/>
    <w:rsid w:val="00045C07"/>
    <w:rsid w:val="00045C40"/>
    <w:rsid w:val="000464C9"/>
    <w:rsid w:val="00046861"/>
    <w:rsid w:val="000530CF"/>
    <w:rsid w:val="00054A07"/>
    <w:rsid w:val="00055D43"/>
    <w:rsid w:val="00056FAC"/>
    <w:rsid w:val="00057751"/>
    <w:rsid w:val="00062E39"/>
    <w:rsid w:val="00064063"/>
    <w:rsid w:val="0006581A"/>
    <w:rsid w:val="00074461"/>
    <w:rsid w:val="000766EC"/>
    <w:rsid w:val="000806D2"/>
    <w:rsid w:val="00080E58"/>
    <w:rsid w:val="00083D99"/>
    <w:rsid w:val="00084DA6"/>
    <w:rsid w:val="00085699"/>
    <w:rsid w:val="00090160"/>
    <w:rsid w:val="0009179F"/>
    <w:rsid w:val="00091F52"/>
    <w:rsid w:val="00092970"/>
    <w:rsid w:val="00093720"/>
    <w:rsid w:val="000938E6"/>
    <w:rsid w:val="00093B3C"/>
    <w:rsid w:val="0009488C"/>
    <w:rsid w:val="00095C1B"/>
    <w:rsid w:val="00096DEA"/>
    <w:rsid w:val="000A4240"/>
    <w:rsid w:val="000A469A"/>
    <w:rsid w:val="000A584A"/>
    <w:rsid w:val="000A6458"/>
    <w:rsid w:val="000B53C2"/>
    <w:rsid w:val="000C378F"/>
    <w:rsid w:val="000C6892"/>
    <w:rsid w:val="000C6FFE"/>
    <w:rsid w:val="000D0BB6"/>
    <w:rsid w:val="000D2ED2"/>
    <w:rsid w:val="000D6653"/>
    <w:rsid w:val="000E0D51"/>
    <w:rsid w:val="000E26B0"/>
    <w:rsid w:val="000E37C2"/>
    <w:rsid w:val="000E38C3"/>
    <w:rsid w:val="000E5CF6"/>
    <w:rsid w:val="000F1599"/>
    <w:rsid w:val="000F1769"/>
    <w:rsid w:val="000F1A97"/>
    <w:rsid w:val="000F42AE"/>
    <w:rsid w:val="000F6196"/>
    <w:rsid w:val="000F6BC3"/>
    <w:rsid w:val="0010312C"/>
    <w:rsid w:val="00105026"/>
    <w:rsid w:val="0010662B"/>
    <w:rsid w:val="00106DC7"/>
    <w:rsid w:val="00112391"/>
    <w:rsid w:val="00114F52"/>
    <w:rsid w:val="00126DAF"/>
    <w:rsid w:val="00130119"/>
    <w:rsid w:val="00132812"/>
    <w:rsid w:val="001347F8"/>
    <w:rsid w:val="001359EE"/>
    <w:rsid w:val="00137BB5"/>
    <w:rsid w:val="00137E05"/>
    <w:rsid w:val="001447F6"/>
    <w:rsid w:val="00147DE3"/>
    <w:rsid w:val="00150794"/>
    <w:rsid w:val="00151DA6"/>
    <w:rsid w:val="001608C4"/>
    <w:rsid w:val="00164832"/>
    <w:rsid w:val="00164846"/>
    <w:rsid w:val="001702CB"/>
    <w:rsid w:val="00171418"/>
    <w:rsid w:val="001772BF"/>
    <w:rsid w:val="001772DE"/>
    <w:rsid w:val="00190DFD"/>
    <w:rsid w:val="0019496C"/>
    <w:rsid w:val="001961CF"/>
    <w:rsid w:val="001A1CF6"/>
    <w:rsid w:val="001A59BB"/>
    <w:rsid w:val="001A607E"/>
    <w:rsid w:val="001A6A51"/>
    <w:rsid w:val="001A79C4"/>
    <w:rsid w:val="001B13FC"/>
    <w:rsid w:val="001B331A"/>
    <w:rsid w:val="001C0237"/>
    <w:rsid w:val="001C0E74"/>
    <w:rsid w:val="001C4DB8"/>
    <w:rsid w:val="001C50B8"/>
    <w:rsid w:val="001D229F"/>
    <w:rsid w:val="001E2EB6"/>
    <w:rsid w:val="001E363E"/>
    <w:rsid w:val="001E59B5"/>
    <w:rsid w:val="001F4552"/>
    <w:rsid w:val="001F486F"/>
    <w:rsid w:val="001F6F68"/>
    <w:rsid w:val="002019EB"/>
    <w:rsid w:val="00204B58"/>
    <w:rsid w:val="00205051"/>
    <w:rsid w:val="00211F65"/>
    <w:rsid w:val="00214047"/>
    <w:rsid w:val="00214497"/>
    <w:rsid w:val="00216563"/>
    <w:rsid w:val="0021792F"/>
    <w:rsid w:val="00220D06"/>
    <w:rsid w:val="002246A0"/>
    <w:rsid w:val="00230439"/>
    <w:rsid w:val="00232A09"/>
    <w:rsid w:val="00235176"/>
    <w:rsid w:val="00236061"/>
    <w:rsid w:val="0024100E"/>
    <w:rsid w:val="002410B4"/>
    <w:rsid w:val="00241C1B"/>
    <w:rsid w:val="0024288B"/>
    <w:rsid w:val="0024291F"/>
    <w:rsid w:val="00243DB0"/>
    <w:rsid w:val="00247265"/>
    <w:rsid w:val="00260663"/>
    <w:rsid w:val="002657E9"/>
    <w:rsid w:val="0026665E"/>
    <w:rsid w:val="0027147E"/>
    <w:rsid w:val="002761F4"/>
    <w:rsid w:val="002775E1"/>
    <w:rsid w:val="00277979"/>
    <w:rsid w:val="00283FAE"/>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BDD"/>
    <w:rsid w:val="002C2536"/>
    <w:rsid w:val="002C256A"/>
    <w:rsid w:val="002C3031"/>
    <w:rsid w:val="002C316C"/>
    <w:rsid w:val="002C4233"/>
    <w:rsid w:val="002C496D"/>
    <w:rsid w:val="002D05EB"/>
    <w:rsid w:val="002D11A8"/>
    <w:rsid w:val="002D23EE"/>
    <w:rsid w:val="002D2F29"/>
    <w:rsid w:val="002D46C0"/>
    <w:rsid w:val="002D5A92"/>
    <w:rsid w:val="002D65D2"/>
    <w:rsid w:val="002D6B31"/>
    <w:rsid w:val="002E6D17"/>
    <w:rsid w:val="002E7017"/>
    <w:rsid w:val="002E7F2C"/>
    <w:rsid w:val="002F1FC7"/>
    <w:rsid w:val="002F2185"/>
    <w:rsid w:val="002F4F6E"/>
    <w:rsid w:val="002F7E0D"/>
    <w:rsid w:val="003015C3"/>
    <w:rsid w:val="00306BCB"/>
    <w:rsid w:val="003106DB"/>
    <w:rsid w:val="00312E91"/>
    <w:rsid w:val="0031350A"/>
    <w:rsid w:val="00316815"/>
    <w:rsid w:val="003168CA"/>
    <w:rsid w:val="00321255"/>
    <w:rsid w:val="0032230D"/>
    <w:rsid w:val="00322A0B"/>
    <w:rsid w:val="00330881"/>
    <w:rsid w:val="00331CD2"/>
    <w:rsid w:val="00332426"/>
    <w:rsid w:val="00335C41"/>
    <w:rsid w:val="00335FC5"/>
    <w:rsid w:val="0033771E"/>
    <w:rsid w:val="00337FEF"/>
    <w:rsid w:val="003515E1"/>
    <w:rsid w:val="00354B6D"/>
    <w:rsid w:val="00355210"/>
    <w:rsid w:val="00355CFD"/>
    <w:rsid w:val="00365DF9"/>
    <w:rsid w:val="00367CE4"/>
    <w:rsid w:val="0037066E"/>
    <w:rsid w:val="00372DB4"/>
    <w:rsid w:val="00373A36"/>
    <w:rsid w:val="0037419E"/>
    <w:rsid w:val="00375AF5"/>
    <w:rsid w:val="003761BD"/>
    <w:rsid w:val="00377448"/>
    <w:rsid w:val="00377884"/>
    <w:rsid w:val="003816F8"/>
    <w:rsid w:val="003826BD"/>
    <w:rsid w:val="00385414"/>
    <w:rsid w:val="00390074"/>
    <w:rsid w:val="0039237F"/>
    <w:rsid w:val="00392F73"/>
    <w:rsid w:val="00393600"/>
    <w:rsid w:val="00393FAD"/>
    <w:rsid w:val="003947F2"/>
    <w:rsid w:val="0039762B"/>
    <w:rsid w:val="003A0C37"/>
    <w:rsid w:val="003A1B6B"/>
    <w:rsid w:val="003A45F4"/>
    <w:rsid w:val="003A46C0"/>
    <w:rsid w:val="003A600E"/>
    <w:rsid w:val="003A6513"/>
    <w:rsid w:val="003B16C7"/>
    <w:rsid w:val="003B3115"/>
    <w:rsid w:val="003C19F1"/>
    <w:rsid w:val="003C3C67"/>
    <w:rsid w:val="003C4186"/>
    <w:rsid w:val="003C6185"/>
    <w:rsid w:val="003C63DA"/>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6B5F"/>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0FF3"/>
    <w:rsid w:val="004911B4"/>
    <w:rsid w:val="0049196A"/>
    <w:rsid w:val="004923DA"/>
    <w:rsid w:val="00492EEB"/>
    <w:rsid w:val="00493434"/>
    <w:rsid w:val="0049374F"/>
    <w:rsid w:val="004968E2"/>
    <w:rsid w:val="004A0222"/>
    <w:rsid w:val="004A2A49"/>
    <w:rsid w:val="004A5A64"/>
    <w:rsid w:val="004B5553"/>
    <w:rsid w:val="004B600B"/>
    <w:rsid w:val="004B6822"/>
    <w:rsid w:val="004B69F6"/>
    <w:rsid w:val="004C2D3A"/>
    <w:rsid w:val="004D03C4"/>
    <w:rsid w:val="004D0BF1"/>
    <w:rsid w:val="004D0F4E"/>
    <w:rsid w:val="004D126C"/>
    <w:rsid w:val="004D16DD"/>
    <w:rsid w:val="004D3278"/>
    <w:rsid w:val="004D35A4"/>
    <w:rsid w:val="004D445F"/>
    <w:rsid w:val="004E087B"/>
    <w:rsid w:val="004E44A4"/>
    <w:rsid w:val="004E677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84B"/>
    <w:rsid w:val="005305C6"/>
    <w:rsid w:val="00540EEC"/>
    <w:rsid w:val="005414F4"/>
    <w:rsid w:val="00543F05"/>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0E3D"/>
    <w:rsid w:val="005D3F07"/>
    <w:rsid w:val="005D4A1E"/>
    <w:rsid w:val="005D4F72"/>
    <w:rsid w:val="005D664F"/>
    <w:rsid w:val="005E13EA"/>
    <w:rsid w:val="005E17F1"/>
    <w:rsid w:val="005F64AA"/>
    <w:rsid w:val="005F7851"/>
    <w:rsid w:val="00606E27"/>
    <w:rsid w:val="006108C9"/>
    <w:rsid w:val="006116C5"/>
    <w:rsid w:val="0061493F"/>
    <w:rsid w:val="00614DF7"/>
    <w:rsid w:val="00616B30"/>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738"/>
    <w:rsid w:val="00676E35"/>
    <w:rsid w:val="00677E42"/>
    <w:rsid w:val="00682334"/>
    <w:rsid w:val="00684732"/>
    <w:rsid w:val="00684B16"/>
    <w:rsid w:val="00687016"/>
    <w:rsid w:val="006872A0"/>
    <w:rsid w:val="0069625A"/>
    <w:rsid w:val="00696A88"/>
    <w:rsid w:val="00696F65"/>
    <w:rsid w:val="00697572"/>
    <w:rsid w:val="006B2EB3"/>
    <w:rsid w:val="006B4496"/>
    <w:rsid w:val="006B5E67"/>
    <w:rsid w:val="006B6612"/>
    <w:rsid w:val="006C2EB5"/>
    <w:rsid w:val="006D18A3"/>
    <w:rsid w:val="006D5970"/>
    <w:rsid w:val="006D6AFE"/>
    <w:rsid w:val="006E0B38"/>
    <w:rsid w:val="006E28CE"/>
    <w:rsid w:val="006E481E"/>
    <w:rsid w:val="006E72B5"/>
    <w:rsid w:val="006E795F"/>
    <w:rsid w:val="006F0862"/>
    <w:rsid w:val="006F1438"/>
    <w:rsid w:val="006F166B"/>
    <w:rsid w:val="006F2A9E"/>
    <w:rsid w:val="006F3754"/>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85F"/>
    <w:rsid w:val="0078112D"/>
    <w:rsid w:val="00785D4E"/>
    <w:rsid w:val="007872F2"/>
    <w:rsid w:val="007873F9"/>
    <w:rsid w:val="007908E0"/>
    <w:rsid w:val="00793EB3"/>
    <w:rsid w:val="00794205"/>
    <w:rsid w:val="0079422A"/>
    <w:rsid w:val="007A1F6A"/>
    <w:rsid w:val="007A628F"/>
    <w:rsid w:val="007B0DE3"/>
    <w:rsid w:val="007B1BFD"/>
    <w:rsid w:val="007B528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8D5"/>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A1B"/>
    <w:rsid w:val="008A7E81"/>
    <w:rsid w:val="008B07DE"/>
    <w:rsid w:val="008B1309"/>
    <w:rsid w:val="008B28E7"/>
    <w:rsid w:val="008B3BAA"/>
    <w:rsid w:val="008B67F6"/>
    <w:rsid w:val="008C14C7"/>
    <w:rsid w:val="008C2FFB"/>
    <w:rsid w:val="008C633F"/>
    <w:rsid w:val="008C6EEA"/>
    <w:rsid w:val="008C7770"/>
    <w:rsid w:val="008C79C7"/>
    <w:rsid w:val="008D03B0"/>
    <w:rsid w:val="008D2150"/>
    <w:rsid w:val="008D37A1"/>
    <w:rsid w:val="008D5813"/>
    <w:rsid w:val="008D5999"/>
    <w:rsid w:val="008D634E"/>
    <w:rsid w:val="008D778A"/>
    <w:rsid w:val="008D78C9"/>
    <w:rsid w:val="008E3195"/>
    <w:rsid w:val="008E5A35"/>
    <w:rsid w:val="008F127E"/>
    <w:rsid w:val="008F1EE5"/>
    <w:rsid w:val="008F32D9"/>
    <w:rsid w:val="00902A65"/>
    <w:rsid w:val="00903932"/>
    <w:rsid w:val="009079BD"/>
    <w:rsid w:val="00912BD9"/>
    <w:rsid w:val="00916FB2"/>
    <w:rsid w:val="00920E5B"/>
    <w:rsid w:val="00926436"/>
    <w:rsid w:val="00926C53"/>
    <w:rsid w:val="0093018C"/>
    <w:rsid w:val="0094495F"/>
    <w:rsid w:val="00945AF3"/>
    <w:rsid w:val="00954115"/>
    <w:rsid w:val="009544C0"/>
    <w:rsid w:val="00954FA4"/>
    <w:rsid w:val="00956AE9"/>
    <w:rsid w:val="0096440A"/>
    <w:rsid w:val="00964CC6"/>
    <w:rsid w:val="00967BFA"/>
    <w:rsid w:val="0098262C"/>
    <w:rsid w:val="0098427C"/>
    <w:rsid w:val="00986B43"/>
    <w:rsid w:val="00986C0B"/>
    <w:rsid w:val="00986D46"/>
    <w:rsid w:val="00990DC9"/>
    <w:rsid w:val="00991FDA"/>
    <w:rsid w:val="00992ACA"/>
    <w:rsid w:val="009959F9"/>
    <w:rsid w:val="009A5F3B"/>
    <w:rsid w:val="009A5F79"/>
    <w:rsid w:val="009A6F87"/>
    <w:rsid w:val="009A7BE6"/>
    <w:rsid w:val="009B0B61"/>
    <w:rsid w:val="009B28C0"/>
    <w:rsid w:val="009B3178"/>
    <w:rsid w:val="009B3E46"/>
    <w:rsid w:val="009B7136"/>
    <w:rsid w:val="009C07E6"/>
    <w:rsid w:val="009C337F"/>
    <w:rsid w:val="009C53E7"/>
    <w:rsid w:val="009C6092"/>
    <w:rsid w:val="009C7342"/>
    <w:rsid w:val="009D1A48"/>
    <w:rsid w:val="009D4365"/>
    <w:rsid w:val="009D477B"/>
    <w:rsid w:val="009D4E3B"/>
    <w:rsid w:val="009D59C2"/>
    <w:rsid w:val="009D7BC9"/>
    <w:rsid w:val="009E122F"/>
    <w:rsid w:val="009E1982"/>
    <w:rsid w:val="009E4D2C"/>
    <w:rsid w:val="009F0978"/>
    <w:rsid w:val="009F3AEC"/>
    <w:rsid w:val="009F672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16AC"/>
    <w:rsid w:val="00A54D67"/>
    <w:rsid w:val="00A55A3F"/>
    <w:rsid w:val="00A5656A"/>
    <w:rsid w:val="00A56679"/>
    <w:rsid w:val="00A60103"/>
    <w:rsid w:val="00A6177A"/>
    <w:rsid w:val="00A652F6"/>
    <w:rsid w:val="00A65861"/>
    <w:rsid w:val="00A732EA"/>
    <w:rsid w:val="00A7454C"/>
    <w:rsid w:val="00A7489E"/>
    <w:rsid w:val="00A8015F"/>
    <w:rsid w:val="00A85039"/>
    <w:rsid w:val="00A906AA"/>
    <w:rsid w:val="00A94C5E"/>
    <w:rsid w:val="00AA252C"/>
    <w:rsid w:val="00AA403B"/>
    <w:rsid w:val="00AA666E"/>
    <w:rsid w:val="00AA7960"/>
    <w:rsid w:val="00AB5518"/>
    <w:rsid w:val="00AC1512"/>
    <w:rsid w:val="00AC1BC7"/>
    <w:rsid w:val="00AC32F1"/>
    <w:rsid w:val="00AC3651"/>
    <w:rsid w:val="00AC3A0E"/>
    <w:rsid w:val="00AC4A04"/>
    <w:rsid w:val="00AC5679"/>
    <w:rsid w:val="00AD336F"/>
    <w:rsid w:val="00AD78EC"/>
    <w:rsid w:val="00AE134C"/>
    <w:rsid w:val="00AE1868"/>
    <w:rsid w:val="00AE2564"/>
    <w:rsid w:val="00AE301F"/>
    <w:rsid w:val="00AE3302"/>
    <w:rsid w:val="00AE5BA6"/>
    <w:rsid w:val="00AE6231"/>
    <w:rsid w:val="00AE7077"/>
    <w:rsid w:val="00AF61C2"/>
    <w:rsid w:val="00AF6CC6"/>
    <w:rsid w:val="00B01E40"/>
    <w:rsid w:val="00B0296A"/>
    <w:rsid w:val="00B07E79"/>
    <w:rsid w:val="00B12295"/>
    <w:rsid w:val="00B137BE"/>
    <w:rsid w:val="00B14BAB"/>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419"/>
    <w:rsid w:val="00B7502A"/>
    <w:rsid w:val="00B77305"/>
    <w:rsid w:val="00B774BD"/>
    <w:rsid w:val="00B82CC2"/>
    <w:rsid w:val="00B84A89"/>
    <w:rsid w:val="00B84E47"/>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2A0"/>
    <w:rsid w:val="00C025B4"/>
    <w:rsid w:val="00C029EC"/>
    <w:rsid w:val="00C05856"/>
    <w:rsid w:val="00C11D2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692"/>
    <w:rsid w:val="00C57D24"/>
    <w:rsid w:val="00C604D6"/>
    <w:rsid w:val="00C618B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0EB8"/>
    <w:rsid w:val="00CA3593"/>
    <w:rsid w:val="00CA5726"/>
    <w:rsid w:val="00CA7E6A"/>
    <w:rsid w:val="00CB06C6"/>
    <w:rsid w:val="00CB258E"/>
    <w:rsid w:val="00CB3C8F"/>
    <w:rsid w:val="00CB534C"/>
    <w:rsid w:val="00CC02F1"/>
    <w:rsid w:val="00CC1122"/>
    <w:rsid w:val="00CC11A6"/>
    <w:rsid w:val="00CC135E"/>
    <w:rsid w:val="00CC7226"/>
    <w:rsid w:val="00CD0735"/>
    <w:rsid w:val="00CD45E3"/>
    <w:rsid w:val="00CD4771"/>
    <w:rsid w:val="00CD5089"/>
    <w:rsid w:val="00CD5D3F"/>
    <w:rsid w:val="00CD6A8C"/>
    <w:rsid w:val="00CD7E1F"/>
    <w:rsid w:val="00CE4BC4"/>
    <w:rsid w:val="00CE7DA2"/>
    <w:rsid w:val="00CF2F8A"/>
    <w:rsid w:val="00CF3DB3"/>
    <w:rsid w:val="00D0274B"/>
    <w:rsid w:val="00D0503D"/>
    <w:rsid w:val="00D052BC"/>
    <w:rsid w:val="00D07026"/>
    <w:rsid w:val="00D146AE"/>
    <w:rsid w:val="00D22C8F"/>
    <w:rsid w:val="00D23616"/>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09E3"/>
    <w:rsid w:val="00DA1025"/>
    <w:rsid w:val="00DA22EC"/>
    <w:rsid w:val="00DA5682"/>
    <w:rsid w:val="00DA5860"/>
    <w:rsid w:val="00DA5C0C"/>
    <w:rsid w:val="00DB2767"/>
    <w:rsid w:val="00DC1B10"/>
    <w:rsid w:val="00DC2924"/>
    <w:rsid w:val="00DC4729"/>
    <w:rsid w:val="00DD31C5"/>
    <w:rsid w:val="00DD5020"/>
    <w:rsid w:val="00DD63BE"/>
    <w:rsid w:val="00DE4296"/>
    <w:rsid w:val="00DF22D3"/>
    <w:rsid w:val="00DF2469"/>
    <w:rsid w:val="00DF7899"/>
    <w:rsid w:val="00E00353"/>
    <w:rsid w:val="00E0524C"/>
    <w:rsid w:val="00E1135A"/>
    <w:rsid w:val="00E15751"/>
    <w:rsid w:val="00E17160"/>
    <w:rsid w:val="00E17D41"/>
    <w:rsid w:val="00E231D1"/>
    <w:rsid w:val="00E30BB0"/>
    <w:rsid w:val="00E3288D"/>
    <w:rsid w:val="00E35112"/>
    <w:rsid w:val="00E35BEC"/>
    <w:rsid w:val="00E41A6A"/>
    <w:rsid w:val="00E41FED"/>
    <w:rsid w:val="00E50821"/>
    <w:rsid w:val="00E51F91"/>
    <w:rsid w:val="00E5498A"/>
    <w:rsid w:val="00E559CE"/>
    <w:rsid w:val="00E60F42"/>
    <w:rsid w:val="00E65C93"/>
    <w:rsid w:val="00E6746C"/>
    <w:rsid w:val="00E7086E"/>
    <w:rsid w:val="00E70A7E"/>
    <w:rsid w:val="00E71248"/>
    <w:rsid w:val="00E73C41"/>
    <w:rsid w:val="00E75911"/>
    <w:rsid w:val="00E7598F"/>
    <w:rsid w:val="00E76F60"/>
    <w:rsid w:val="00E812B5"/>
    <w:rsid w:val="00E815AA"/>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894"/>
    <w:rsid w:val="00EC6E15"/>
    <w:rsid w:val="00ED1B30"/>
    <w:rsid w:val="00ED567A"/>
    <w:rsid w:val="00ED5D03"/>
    <w:rsid w:val="00EE01ED"/>
    <w:rsid w:val="00EE1AC1"/>
    <w:rsid w:val="00EE39D6"/>
    <w:rsid w:val="00EE52AD"/>
    <w:rsid w:val="00EE577B"/>
    <w:rsid w:val="00EE5BC3"/>
    <w:rsid w:val="00EE6FAB"/>
    <w:rsid w:val="00EF328C"/>
    <w:rsid w:val="00EF68BB"/>
    <w:rsid w:val="00F01F92"/>
    <w:rsid w:val="00F030D4"/>
    <w:rsid w:val="00F04053"/>
    <w:rsid w:val="00F06573"/>
    <w:rsid w:val="00F10A08"/>
    <w:rsid w:val="00F15354"/>
    <w:rsid w:val="00F17885"/>
    <w:rsid w:val="00F22AC5"/>
    <w:rsid w:val="00F24DA6"/>
    <w:rsid w:val="00F254D1"/>
    <w:rsid w:val="00F32490"/>
    <w:rsid w:val="00F32B82"/>
    <w:rsid w:val="00F34C86"/>
    <w:rsid w:val="00F4043E"/>
    <w:rsid w:val="00F41795"/>
    <w:rsid w:val="00F41BBC"/>
    <w:rsid w:val="00F444F0"/>
    <w:rsid w:val="00F446FF"/>
    <w:rsid w:val="00F45521"/>
    <w:rsid w:val="00F50847"/>
    <w:rsid w:val="00F53F27"/>
    <w:rsid w:val="00F546D1"/>
    <w:rsid w:val="00F60281"/>
    <w:rsid w:val="00F64E25"/>
    <w:rsid w:val="00F66272"/>
    <w:rsid w:val="00F669E9"/>
    <w:rsid w:val="00F709C0"/>
    <w:rsid w:val="00F734D3"/>
    <w:rsid w:val="00F81FEC"/>
    <w:rsid w:val="00F927A1"/>
    <w:rsid w:val="00F92E4D"/>
    <w:rsid w:val="00F95D08"/>
    <w:rsid w:val="00FA0497"/>
    <w:rsid w:val="00FA23BD"/>
    <w:rsid w:val="00FA3764"/>
    <w:rsid w:val="00FA41C7"/>
    <w:rsid w:val="00FA4A79"/>
    <w:rsid w:val="00FA56ED"/>
    <w:rsid w:val="00FB05DD"/>
    <w:rsid w:val="00FB0F7C"/>
    <w:rsid w:val="00FB1179"/>
    <w:rsid w:val="00FB24EA"/>
    <w:rsid w:val="00FB46D1"/>
    <w:rsid w:val="00FB5FA6"/>
    <w:rsid w:val="00FC0334"/>
    <w:rsid w:val="00FC1310"/>
    <w:rsid w:val="00FC2795"/>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B01E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01E40"/>
    <w:rPr>
      <w:b/>
      <w:bCs/>
    </w:rPr>
  </w:style>
  <w:style w:type="character" w:styleId="Emphasis">
    <w:name w:val="Emphasis"/>
    <w:basedOn w:val="DefaultParagraphFont"/>
    <w:uiPriority w:val="20"/>
    <w:qFormat/>
    <w:rsid w:val="0024291F"/>
    <w:rPr>
      <w:i/>
      <w:iCs/>
    </w:rPr>
  </w:style>
  <w:style w:type="character" w:styleId="UnresolvedMention">
    <w:name w:val="Unresolved Mention"/>
    <w:basedOn w:val="DefaultParagraphFont"/>
    <w:uiPriority w:val="99"/>
    <w:semiHidden/>
    <w:unhideWhenUsed/>
    <w:rsid w:val="00F669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4</Pages>
  <Words>1186</Words>
  <Characters>7059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Perkins, Ben</cp:lastModifiedBy>
  <cp:revision>161</cp:revision>
  <cp:lastPrinted>2020-02-11T19:20:00Z</cp:lastPrinted>
  <dcterms:created xsi:type="dcterms:W3CDTF">2024-11-14T10:21:00Z</dcterms:created>
  <dcterms:modified xsi:type="dcterms:W3CDTF">2025-10-06T20:28:00Z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