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478018" w14:textId="77777777" w:rsidR="00C83EB6" w:rsidRDefault="00C83EB6"/>
    <w:p w14:paraId="7E657EAE" w14:textId="54EA4C3F" w:rsidR="00C83EB6" w:rsidRDefault="00574BCE">
      <w:r>
        <w:t>There was once a man named Hippolytus, son of the hero Theseus and an Amazon.</w:t>
      </w:r>
      <w:r w:rsidR="000027F9">
        <w:t xml:space="preserve"> Hippolytus was a dear friend of Artemis and thus stayed chaste, but this angered the goddess of love Aphrodite. She bade the wife of Theseus, Phaedra, fall in love with Theseus in the hopes that he would fall for her. Knowing he would never fall for her, Phaedra killed herself when Hippolytus found out about her love for him. When Theseus returned home later that day, he found a tablet in her hand saying how Hippolytus had </w:t>
      </w:r>
      <w:r w:rsidR="000027F9">
        <w:t>dared put his hand by force to the marriage bed</w:t>
      </w:r>
      <w:r w:rsidR="00611084">
        <w:t xml:space="preserve"> of Phaedra and Theseus.</w:t>
      </w:r>
      <w:r w:rsidR="00D8062B">
        <w:t xml:space="preserve"> After reading the tablet his wife left </w:t>
      </w:r>
      <w:r w:rsidR="006C1F05">
        <w:t>him, he cursed his son Hippolytus to</w:t>
      </w:r>
      <w:r w:rsidR="00BA2107">
        <w:t xml:space="preserve"> death through</w:t>
      </w:r>
      <w:r w:rsidR="006C1F05">
        <w:t xml:space="preserve"> Poseidon using one of the three </w:t>
      </w:r>
      <w:r w:rsidR="00BA2107">
        <w:t>curses Poseidon offered him</w:t>
      </w:r>
      <w:r w:rsidR="00573F58">
        <w:t xml:space="preserve"> and then exiled him so regardless of whether the curse worked or not, Hippolytus would not be around him</w:t>
      </w:r>
      <w:r w:rsidR="00BA2107">
        <w:t>.</w:t>
      </w:r>
      <w:r w:rsidR="00573F58">
        <w:t xml:space="preserve"> Hippolytus comes over to find that Phaedra is dead, and that Theseus is adamant that Hippolytus committed adultery with Phaedra when in fact he was trying to stay chaste, so he could stay around Artemis. Hippolytus left the lands after arguing with his father and </w:t>
      </w:r>
      <w:r w:rsidR="00796E8D">
        <w:t>had a fatal accident near the sea because of Poseidon’s promise to fulfil the three curses he granted Theseus. He was brought back to his father’s house to find that Artemis has told his father the truth of what happened: it was all Aphrodite’s fault because she did not like how Hippolytus stayed chaste.</w:t>
      </w:r>
    </w:p>
    <w:p w14:paraId="3B7BE0BB" w14:textId="77777777" w:rsidR="00C83EB6" w:rsidRDefault="00C83EB6">
      <w:bookmarkStart w:id="0" w:name="_GoBack"/>
      <w:bookmarkEnd w:id="0"/>
    </w:p>
    <w:p w14:paraId="023C0C9B" w14:textId="4DDA909A" w:rsidR="00C83EB6" w:rsidRPr="005A4FE7" w:rsidRDefault="00796E8D" w:rsidP="00C83EB6">
      <w:pPr>
        <w:ind w:firstLine="720"/>
      </w:pPr>
      <w:r>
        <w:t xml:space="preserve">In the play </w:t>
      </w:r>
      <w:r>
        <w:rPr>
          <w:i/>
        </w:rPr>
        <w:t>Hippolytus</w:t>
      </w:r>
      <w:r>
        <w:t xml:space="preserve"> by the tragedy playwright Euripides, </w:t>
      </w:r>
      <w:r w:rsidR="00252424">
        <w:t xml:space="preserve">one Athenian more that gets </w:t>
      </w:r>
      <w:r w:rsidR="009D7FEF">
        <w:t xml:space="preserve">mentioned is Solon’s Law on adultery; where if the husband or father of the woman (her </w:t>
      </w:r>
      <w:proofErr w:type="spellStart"/>
      <w:r w:rsidR="009D7FEF">
        <w:t>kyrios</w:t>
      </w:r>
      <w:proofErr w:type="spellEnd"/>
      <w:r w:rsidR="009D7FEF">
        <w:t xml:space="preserve">) catches the woman and the </w:t>
      </w:r>
      <w:proofErr w:type="spellStart"/>
      <w:r w:rsidR="009D7FEF">
        <w:t>moichos</w:t>
      </w:r>
      <w:proofErr w:type="spellEnd"/>
      <w:r w:rsidR="009D7FEF">
        <w:t xml:space="preserve"> in bed together then the </w:t>
      </w:r>
      <w:proofErr w:type="spellStart"/>
      <w:r w:rsidR="009D7FEF">
        <w:t>kyrios</w:t>
      </w:r>
      <w:proofErr w:type="spellEnd"/>
      <w:r w:rsidR="009D7FEF">
        <w:t xml:space="preserve"> is allowed by law to kill the </w:t>
      </w:r>
      <w:proofErr w:type="spellStart"/>
      <w:r w:rsidR="009D7FEF">
        <w:t>moichos</w:t>
      </w:r>
      <w:proofErr w:type="spellEnd"/>
      <w:r w:rsidR="009D7FEF">
        <w:t xml:space="preserve"> right then</w:t>
      </w:r>
      <w:r w:rsidR="00B51A95">
        <w:t xml:space="preserve">, as told in the speech </w:t>
      </w:r>
      <w:r w:rsidR="00B51A95">
        <w:rPr>
          <w:i/>
        </w:rPr>
        <w:t>A Husband’s Defence</w:t>
      </w:r>
      <w:r w:rsidR="00B51A95">
        <w:t xml:space="preserve"> by </w:t>
      </w:r>
      <w:proofErr w:type="spellStart"/>
      <w:r w:rsidR="00B51A95">
        <w:t>Euphiletus</w:t>
      </w:r>
      <w:proofErr w:type="spellEnd"/>
      <w:r w:rsidR="00B51A95">
        <w:t>.</w:t>
      </w:r>
      <w:r w:rsidR="00C83EB6">
        <w:rPr>
          <w:rStyle w:val="FootnoteReference"/>
        </w:rPr>
        <w:footnoteReference w:id="1"/>
      </w:r>
      <w:r w:rsidR="00C83EB6">
        <w:t xml:space="preserve"> </w:t>
      </w:r>
      <w:r w:rsidR="00B02DFC">
        <w:t>Therefore, with the tablet as proof, Theseus would have been within his right to kill Hippolytus if Hippolytus had seduced Phaedra</w:t>
      </w:r>
      <w:r w:rsidR="00303940">
        <w:t xml:space="preserve"> and so the play and story would have supported Athenian mores</w:t>
      </w:r>
      <w:r w:rsidR="00B02DFC">
        <w:t xml:space="preserve">. However, as Hippolytus was staying chaste to be able to be around Artemis, </w:t>
      </w:r>
      <w:r w:rsidR="00303940">
        <w:t>he had not seduced Phaedra; that was the work of the goddess Aphrodite. Thus, Theseus instead committed murder, filicide to be specific, as he trusted the tablet and had not waited for any other proofs. Hence, the story subverts Athenian mores as Theseus condemned Hippolytus to death without catching him in the act. Moreover, the story subverts Athenian mores as Theseus does not investigate whether Hippolytus was innocent or guilty, he simply sentences him in anger after he reads the tablet. This goes against Athenian mores as every case would either be investigated by a jury or an arbitrator</w:t>
      </w:r>
      <w:r w:rsidR="0014236F">
        <w:t xml:space="preserve">, as shown by the play </w:t>
      </w:r>
      <w:proofErr w:type="spellStart"/>
      <w:r w:rsidR="0014236F">
        <w:rPr>
          <w:i/>
        </w:rPr>
        <w:t>Epitrepontes</w:t>
      </w:r>
      <w:proofErr w:type="spellEnd"/>
      <w:r w:rsidR="0014236F">
        <w:rPr>
          <w:i/>
        </w:rPr>
        <w:t xml:space="preserve"> (Men at Arbitration) </w:t>
      </w:r>
      <w:r w:rsidR="0014236F">
        <w:t>by Menander</w:t>
      </w:r>
      <w:r w:rsidR="00342847">
        <w:t>,</w:t>
      </w:r>
      <w:r w:rsidR="00C83EB6">
        <w:t xml:space="preserve"> </w:t>
      </w:r>
      <w:r w:rsidR="00B51A95">
        <w:t xml:space="preserve">the speech by </w:t>
      </w:r>
      <w:proofErr w:type="spellStart"/>
      <w:r w:rsidR="00B51A95">
        <w:t>Apollodorus</w:t>
      </w:r>
      <w:proofErr w:type="spellEnd"/>
      <w:r w:rsidR="00B51A95">
        <w:t xml:space="preserve"> called </w:t>
      </w:r>
      <w:r w:rsidR="00B51A95">
        <w:rPr>
          <w:i/>
        </w:rPr>
        <w:t xml:space="preserve">Against </w:t>
      </w:r>
      <w:proofErr w:type="spellStart"/>
      <w:r w:rsidR="00B51A95">
        <w:rPr>
          <w:i/>
        </w:rPr>
        <w:t>Neaera</w:t>
      </w:r>
      <w:proofErr w:type="spellEnd"/>
      <w:r w:rsidR="00B51A95">
        <w:rPr>
          <w:i/>
        </w:rPr>
        <w:t xml:space="preserve"> </w:t>
      </w:r>
      <w:r w:rsidR="00B51A95">
        <w:t xml:space="preserve">or </w:t>
      </w:r>
      <w:r w:rsidR="00B51A95">
        <w:rPr>
          <w:i/>
        </w:rPr>
        <w:t>Past Activities of a Courtesan</w:t>
      </w:r>
      <w:r w:rsidR="00C83EB6">
        <w:rPr>
          <w:rStyle w:val="FootnoteReference"/>
        </w:rPr>
        <w:footnoteReference w:id="2"/>
      </w:r>
      <w:r w:rsidR="00C83EB6">
        <w:t xml:space="preserve"> </w:t>
      </w:r>
      <w:proofErr w:type="gramStart"/>
      <w:r w:rsidR="00B51A95">
        <w:t xml:space="preserve">and </w:t>
      </w:r>
      <w:r w:rsidR="00303940">
        <w:t xml:space="preserve"> although</w:t>
      </w:r>
      <w:proofErr w:type="gramEnd"/>
      <w:r w:rsidR="00303940">
        <w:t xml:space="preserve"> it would be concluded </w:t>
      </w:r>
      <w:r w:rsidR="0014236F">
        <w:t>quickly</w:t>
      </w:r>
      <w:r w:rsidR="00303940">
        <w:t>, it would still have an investigation into the situation</w:t>
      </w:r>
      <w:r w:rsidR="0014236F">
        <w:t xml:space="preserve"> before coming to any decision. </w:t>
      </w:r>
    </w:p>
    <w:p w14:paraId="0CA56A97" w14:textId="61D1CA67" w:rsidR="007B28F0" w:rsidRDefault="007B28F0" w:rsidP="007B28F0">
      <w:pPr>
        <w:pStyle w:val="Heading2"/>
        <w:rPr>
          <w:sz w:val="32"/>
        </w:rPr>
      </w:pPr>
      <w:r w:rsidRPr="007B28F0">
        <w:rPr>
          <w:sz w:val="32"/>
        </w:rPr>
        <w:t>Bibliography</w:t>
      </w:r>
    </w:p>
    <w:p w14:paraId="15EF1E4B" w14:textId="5BDC740D" w:rsidR="002058D7" w:rsidRPr="005A4FE7" w:rsidRDefault="002058D7" w:rsidP="007B28F0">
      <w:proofErr w:type="spellStart"/>
      <w:r>
        <w:t>Apollodorus</w:t>
      </w:r>
      <w:proofErr w:type="spellEnd"/>
      <w:r>
        <w:t xml:space="preserve">, </w:t>
      </w:r>
      <w:r>
        <w:rPr>
          <w:i/>
        </w:rPr>
        <w:t xml:space="preserve">Against </w:t>
      </w:r>
      <w:proofErr w:type="spellStart"/>
      <w:r>
        <w:rPr>
          <w:i/>
        </w:rPr>
        <w:t>Neaera</w:t>
      </w:r>
      <w:proofErr w:type="spellEnd"/>
      <w:r>
        <w:rPr>
          <w:i/>
        </w:rPr>
        <w:t xml:space="preserve"> / Past Activities of a Courtesan</w:t>
      </w:r>
      <w:r>
        <w:t xml:space="preserve"> [law court speech]</w:t>
      </w:r>
      <w:r w:rsidR="005A4FE7">
        <w:t xml:space="preserve"> from </w:t>
      </w:r>
      <w:r w:rsidR="005A4FE7">
        <w:rPr>
          <w:i/>
        </w:rPr>
        <w:t>Women’s Lives in Greece and Rome</w:t>
      </w:r>
      <w:r w:rsidR="005A4FE7">
        <w:t xml:space="preserve">, M. </w:t>
      </w:r>
      <w:proofErr w:type="spellStart"/>
      <w:r w:rsidR="005A4FE7">
        <w:t>Fant</w:t>
      </w:r>
      <w:proofErr w:type="spellEnd"/>
      <w:r w:rsidR="005A4FE7">
        <w:t xml:space="preserve"> and M. Lefkowitz</w:t>
      </w:r>
    </w:p>
    <w:p w14:paraId="013D44F0" w14:textId="77777777" w:rsidR="005A4FE7" w:rsidRPr="005A4FE7" w:rsidRDefault="002058D7" w:rsidP="005A4FE7">
      <w:proofErr w:type="spellStart"/>
      <w:r>
        <w:t>Euphiletus</w:t>
      </w:r>
      <w:proofErr w:type="spellEnd"/>
      <w:r>
        <w:t xml:space="preserve">, </w:t>
      </w:r>
      <w:r>
        <w:rPr>
          <w:i/>
        </w:rPr>
        <w:t>A Husband’s Defence</w:t>
      </w:r>
      <w:r>
        <w:t xml:space="preserve"> [law court speech]</w:t>
      </w:r>
      <w:r w:rsidR="005A4FE7">
        <w:t xml:space="preserve"> </w:t>
      </w:r>
      <w:r w:rsidR="005A4FE7">
        <w:t xml:space="preserve">from </w:t>
      </w:r>
      <w:r w:rsidR="005A4FE7">
        <w:rPr>
          <w:i/>
        </w:rPr>
        <w:t>Women’s Lives in Greece and Rome</w:t>
      </w:r>
      <w:r w:rsidR="005A4FE7">
        <w:t xml:space="preserve">, M. </w:t>
      </w:r>
      <w:proofErr w:type="spellStart"/>
      <w:r w:rsidR="005A4FE7">
        <w:t>Fant</w:t>
      </w:r>
      <w:proofErr w:type="spellEnd"/>
      <w:r w:rsidR="005A4FE7">
        <w:t xml:space="preserve"> and M. Lefkowitz</w:t>
      </w:r>
    </w:p>
    <w:p w14:paraId="24BE249D" w14:textId="77777777" w:rsidR="002058D7" w:rsidRPr="005C3578" w:rsidRDefault="002058D7" w:rsidP="007B28F0">
      <w:r>
        <w:t xml:space="preserve">Euripides, </w:t>
      </w:r>
      <w:r>
        <w:rPr>
          <w:i/>
        </w:rPr>
        <w:t>Hippolytus</w:t>
      </w:r>
      <w:r>
        <w:t xml:space="preserve"> [play]</w:t>
      </w:r>
    </w:p>
    <w:p w14:paraId="2D8F5F85" w14:textId="77777777" w:rsidR="002058D7" w:rsidRPr="00B51A95" w:rsidRDefault="002058D7" w:rsidP="007B28F0">
      <w:r>
        <w:t xml:space="preserve">Menander, </w:t>
      </w:r>
      <w:proofErr w:type="spellStart"/>
      <w:r>
        <w:rPr>
          <w:i/>
        </w:rPr>
        <w:t>Epitrepontes</w:t>
      </w:r>
      <w:proofErr w:type="spellEnd"/>
      <w:r>
        <w:rPr>
          <w:i/>
        </w:rPr>
        <w:t xml:space="preserve"> (Men at Arbitration) </w:t>
      </w:r>
      <w:r>
        <w:t>[play]</w:t>
      </w:r>
    </w:p>
    <w:sectPr w:rsidR="002058D7" w:rsidRPr="00B51A95" w:rsidSect="00067D03">
      <w:headerReference w:type="first" r:id="rId7"/>
      <w:pgSz w:w="11906" w:h="16838"/>
      <w:pgMar w:top="1440" w:right="1440" w:bottom="1440" w:left="1440" w:header="39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2DFC78" w14:textId="77777777" w:rsidR="00F74689" w:rsidRDefault="00F74689" w:rsidP="00CC3A0F">
      <w:pPr>
        <w:spacing w:after="0" w:line="240" w:lineRule="auto"/>
      </w:pPr>
      <w:r>
        <w:separator/>
      </w:r>
    </w:p>
  </w:endnote>
  <w:endnote w:type="continuationSeparator" w:id="0">
    <w:p w14:paraId="2FE5813C" w14:textId="77777777" w:rsidR="00F74689" w:rsidRDefault="00F74689" w:rsidP="00CC3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6776D1" w14:textId="77777777" w:rsidR="00F74689" w:rsidRDefault="00F74689" w:rsidP="00CC3A0F">
      <w:pPr>
        <w:spacing w:after="0" w:line="240" w:lineRule="auto"/>
      </w:pPr>
      <w:r>
        <w:separator/>
      </w:r>
    </w:p>
  </w:footnote>
  <w:footnote w:type="continuationSeparator" w:id="0">
    <w:p w14:paraId="756A8776" w14:textId="77777777" w:rsidR="00F74689" w:rsidRDefault="00F74689" w:rsidP="00CC3A0F">
      <w:pPr>
        <w:spacing w:after="0" w:line="240" w:lineRule="auto"/>
      </w:pPr>
      <w:r>
        <w:continuationSeparator/>
      </w:r>
    </w:p>
  </w:footnote>
  <w:footnote w:id="1">
    <w:p w14:paraId="74B3B3C9" w14:textId="0D131649" w:rsidR="00C83EB6" w:rsidRPr="00C83EB6" w:rsidRDefault="00C83EB6">
      <w:pPr>
        <w:pStyle w:val="FootnoteText"/>
      </w:pPr>
      <w:r>
        <w:rPr>
          <w:rStyle w:val="FootnoteReference"/>
        </w:rPr>
        <w:footnoteRef/>
      </w:r>
      <w:r>
        <w:t xml:space="preserve"> Lefkowitz, M., </w:t>
      </w:r>
      <w:proofErr w:type="spellStart"/>
      <w:r>
        <w:t>Fant</w:t>
      </w:r>
      <w:proofErr w:type="spellEnd"/>
      <w:r>
        <w:t xml:space="preserve">, M., </w:t>
      </w:r>
      <w:r>
        <w:rPr>
          <w:i/>
        </w:rPr>
        <w:t>Women’s Lives in Greece and Rome</w:t>
      </w:r>
      <w:r>
        <w:t>, extract 88, paragraph 28</w:t>
      </w:r>
    </w:p>
  </w:footnote>
  <w:footnote w:id="2">
    <w:p w14:paraId="0C104DFB" w14:textId="312637E1" w:rsidR="00C83EB6" w:rsidRDefault="00C83EB6">
      <w:pPr>
        <w:pStyle w:val="FootnoteText"/>
      </w:pPr>
      <w:r>
        <w:rPr>
          <w:rStyle w:val="FootnoteReference"/>
        </w:rPr>
        <w:footnoteRef/>
      </w:r>
      <w:r>
        <w:t xml:space="preserve"> </w:t>
      </w:r>
      <w:r>
        <w:t xml:space="preserve">Lefkowitz, M., </w:t>
      </w:r>
      <w:proofErr w:type="spellStart"/>
      <w:r>
        <w:t>Fant</w:t>
      </w:r>
      <w:proofErr w:type="spellEnd"/>
      <w:r>
        <w:t xml:space="preserve">, M., </w:t>
      </w:r>
      <w:r>
        <w:rPr>
          <w:i/>
        </w:rPr>
        <w:t>Women’s Lives in Greece and Rome</w:t>
      </w:r>
      <w:r>
        <w:t>, extract</w:t>
      </w:r>
      <w:r>
        <w:t xml:space="preserve"> 90, paragraph 110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C6861" w14:textId="13F0C2F7" w:rsidR="00CC3A0F" w:rsidRPr="00067D03" w:rsidRDefault="00CC3A0F" w:rsidP="00067D03">
    <w:pPr>
      <w:pStyle w:val="Title"/>
      <w:jc w:val="center"/>
      <w:rPr>
        <w:sz w:val="32"/>
      </w:rPr>
    </w:pPr>
    <w:r w:rsidRPr="00067D03">
      <w:rPr>
        <w:sz w:val="32"/>
      </w:rPr>
      <w:t xml:space="preserve">In 200 words, </w:t>
    </w:r>
    <w:r w:rsidR="00067D03" w:rsidRPr="00067D03">
      <w:rPr>
        <w:sz w:val="32"/>
      </w:rPr>
      <w:t>write the storyteller’s story. In 300 words explain, using appropriate evidence, whether the story supports or subverts Athenian mores.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A0F"/>
    <w:rsid w:val="000027F9"/>
    <w:rsid w:val="00067D03"/>
    <w:rsid w:val="0014236F"/>
    <w:rsid w:val="002058D7"/>
    <w:rsid w:val="00252424"/>
    <w:rsid w:val="002A6B26"/>
    <w:rsid w:val="00303940"/>
    <w:rsid w:val="00342847"/>
    <w:rsid w:val="00573F58"/>
    <w:rsid w:val="00574BCE"/>
    <w:rsid w:val="005A4FE7"/>
    <w:rsid w:val="005C3578"/>
    <w:rsid w:val="00611084"/>
    <w:rsid w:val="006C1F05"/>
    <w:rsid w:val="00796E8D"/>
    <w:rsid w:val="007B28F0"/>
    <w:rsid w:val="009D7FEF"/>
    <w:rsid w:val="00B02DFC"/>
    <w:rsid w:val="00B51A95"/>
    <w:rsid w:val="00BA2107"/>
    <w:rsid w:val="00C83EB6"/>
    <w:rsid w:val="00CC3A0F"/>
    <w:rsid w:val="00D8062B"/>
    <w:rsid w:val="00F746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4F315"/>
  <w15:chartTrackingRefBased/>
  <w15:docId w15:val="{118AB39C-83CD-41A8-9B65-7C60BB8D3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7B28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3A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3A0F"/>
  </w:style>
  <w:style w:type="paragraph" w:styleId="Footer">
    <w:name w:val="footer"/>
    <w:basedOn w:val="Normal"/>
    <w:link w:val="FooterChar"/>
    <w:uiPriority w:val="99"/>
    <w:unhideWhenUsed/>
    <w:rsid w:val="00CC3A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3A0F"/>
  </w:style>
  <w:style w:type="paragraph" w:styleId="Title">
    <w:name w:val="Title"/>
    <w:basedOn w:val="Normal"/>
    <w:next w:val="Normal"/>
    <w:link w:val="TitleChar"/>
    <w:uiPriority w:val="10"/>
    <w:qFormat/>
    <w:rsid w:val="00067D0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7D03"/>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7B28F0"/>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semiHidden/>
    <w:unhideWhenUsed/>
    <w:rsid w:val="005A4FE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4FE7"/>
    <w:rPr>
      <w:sz w:val="20"/>
      <w:szCs w:val="20"/>
    </w:rPr>
  </w:style>
  <w:style w:type="character" w:styleId="FootnoteReference">
    <w:name w:val="footnote reference"/>
    <w:basedOn w:val="DefaultParagraphFont"/>
    <w:uiPriority w:val="99"/>
    <w:semiHidden/>
    <w:unhideWhenUsed/>
    <w:rsid w:val="005A4FE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981144-33C3-48ED-96E0-89D03CC45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Pages>
  <Words>487</Words>
  <Characters>2781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Cranfield (1707673)</dc:creator>
  <cp:keywords/>
  <dc:description/>
  <cp:lastModifiedBy>Ceri Cranfield (1707673)</cp:lastModifiedBy>
  <cp:revision>5</cp:revision>
  <dcterms:created xsi:type="dcterms:W3CDTF">2018-10-10T12:29:00Z</dcterms:created>
  <dcterms:modified xsi:type="dcterms:W3CDTF">2018-10-10T18:35:00Z</dcterms:modified>
</cp:coreProperties>
</file>