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5DEC8D2" wp14:paraId="332E63CF" wp14:textId="7466A887">
      <w:pPr>
        <w:spacing w:after="160" w:afterAutospacing="off" w:line="247" w:lineRule="auto"/>
        <w:jc w:val="center"/>
      </w:pPr>
      <w:r w:rsidRPr="05DEC8D2" w:rsidR="7FF4B808">
        <w:rPr>
          <w:rFonts w:ascii="Arial" w:hAnsi="Arial" w:eastAsia="Arial" w:cs="Arial"/>
          <w:b w:val="1"/>
          <w:bCs w:val="1"/>
          <w:noProof w:val="0"/>
          <w:sz w:val="36"/>
          <w:szCs w:val="36"/>
          <w:lang w:val="en-GB"/>
        </w:rPr>
        <w:t xml:space="preserve">Why reading with children from a young age is beneficial for language, social and emotional </w:t>
      </w:r>
      <w:r w:rsidRPr="05DEC8D2" w:rsidR="7FF4B808">
        <w:rPr>
          <w:rFonts w:ascii="Arial" w:hAnsi="Arial" w:eastAsia="Arial" w:cs="Arial"/>
          <w:b w:val="1"/>
          <w:bCs w:val="1"/>
          <w:noProof w:val="0"/>
          <w:color w:val="000000" w:themeColor="text1" w:themeTint="FF" w:themeShade="FF"/>
          <w:sz w:val="36"/>
          <w:szCs w:val="36"/>
          <w:lang w:val="en-GB"/>
        </w:rPr>
        <w:t>development?</w:t>
      </w:r>
    </w:p>
    <w:p xmlns:wp14="http://schemas.microsoft.com/office/word/2010/wordml" w:rsidP="05DEC8D2" wp14:paraId="58562A89" wp14:textId="75E97900">
      <w:pPr>
        <w:spacing w:after="160" w:afterAutospacing="off" w:line="247" w:lineRule="auto"/>
      </w:pPr>
      <w:r w:rsidRPr="05DEC8D2" w:rsidR="7FF4B808">
        <w:rPr>
          <w:rFonts w:ascii="Arial" w:hAnsi="Arial" w:eastAsia="Arial" w:cs="Arial"/>
          <w:b w:val="1"/>
          <w:bCs w:val="1"/>
          <w:noProof w:val="0"/>
          <w:color w:val="000000" w:themeColor="text1" w:themeTint="FF" w:themeShade="FF"/>
          <w:sz w:val="28"/>
          <w:szCs w:val="28"/>
          <w:lang w:val="en-GB"/>
        </w:rPr>
        <w:t xml:space="preserve"> </w:t>
      </w:r>
    </w:p>
    <w:p xmlns:wp14="http://schemas.microsoft.com/office/word/2010/wordml" w:rsidP="05DEC8D2" wp14:paraId="377CA2FA" wp14:textId="6AEB7172">
      <w:pPr>
        <w:spacing w:after="160" w:afterAutospacing="off" w:line="247" w:lineRule="auto"/>
      </w:pPr>
      <w:r w:rsidRPr="05DEC8D2" w:rsidR="7FF4B808">
        <w:rPr>
          <w:rFonts w:ascii="Arial" w:hAnsi="Arial" w:eastAsia="Arial" w:cs="Arial"/>
          <w:b w:val="1"/>
          <w:bCs w:val="1"/>
          <w:noProof w:val="0"/>
          <w:color w:val="000000" w:themeColor="text1" w:themeTint="FF" w:themeShade="FF"/>
          <w:sz w:val="28"/>
          <w:szCs w:val="28"/>
          <w:lang w:val="en-GB"/>
        </w:rPr>
        <w:t xml:space="preserve">Abstract </w:t>
      </w:r>
    </w:p>
    <w:p xmlns:wp14="http://schemas.microsoft.com/office/word/2010/wordml" w:rsidP="05DEC8D2" wp14:paraId="1930BB83" wp14:textId="15C752E3">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Within this research we looked at why reading with children from </w:t>
      </w:r>
      <w:r w:rsidRPr="05DEC8D2" w:rsidR="7FF4B808">
        <w:rPr>
          <w:rFonts w:ascii="Arial" w:hAnsi="Arial" w:eastAsia="Arial" w:cs="Arial"/>
          <w:noProof w:val="0"/>
          <w:color w:val="000000" w:themeColor="text1" w:themeTint="FF" w:themeShade="FF"/>
          <w:sz w:val="24"/>
          <w:szCs w:val="24"/>
          <w:lang w:val="en-GB"/>
        </w:rPr>
        <w:t>a young age</w:t>
      </w:r>
      <w:r w:rsidRPr="05DEC8D2" w:rsidR="7FF4B808">
        <w:rPr>
          <w:rFonts w:ascii="Arial" w:hAnsi="Arial" w:eastAsia="Arial" w:cs="Arial"/>
          <w:noProof w:val="0"/>
          <w:color w:val="000000" w:themeColor="text1" w:themeTint="FF" w:themeShade="FF"/>
          <w:sz w:val="24"/>
          <w:szCs w:val="24"/>
          <w:lang w:val="en-GB"/>
        </w:rPr>
        <w:t xml:space="preserve"> is beneficial for language, social and emotional development. While looking into the question we will be looking into the research that is already out there about reading with children and the importance of it. Also, within this research we will be doing a sample of 8 randomised children that we did observations with and 8 parents or carers to do a questionnaire with and looking at the advantages and disadvantages of them. </w:t>
      </w:r>
      <w:bookmarkStart w:name="_Int_PFaKzW5a" w:id="937294319"/>
      <w:r w:rsidRPr="05DEC8D2" w:rsidR="7FF4B808">
        <w:rPr>
          <w:rFonts w:ascii="Arial" w:hAnsi="Arial" w:eastAsia="Arial" w:cs="Arial"/>
          <w:noProof w:val="0"/>
          <w:color w:val="000000" w:themeColor="text1" w:themeTint="FF" w:themeShade="FF"/>
          <w:sz w:val="24"/>
          <w:szCs w:val="24"/>
          <w:lang w:val="en-GB"/>
        </w:rPr>
        <w:t>We will also be looking at why we did not choose certain methods to do and why we did not choose them.</w:t>
      </w:r>
      <w:bookmarkEnd w:id="937294319"/>
      <w:r w:rsidRPr="05DEC8D2" w:rsidR="7FF4B808">
        <w:rPr>
          <w:rFonts w:ascii="Arial" w:hAnsi="Arial" w:eastAsia="Arial" w:cs="Arial"/>
          <w:noProof w:val="0"/>
          <w:color w:val="000000" w:themeColor="text1" w:themeTint="FF" w:themeShade="FF"/>
          <w:sz w:val="24"/>
          <w:szCs w:val="24"/>
          <w:lang w:val="en-GB"/>
        </w:rPr>
        <w:t xml:space="preserve"> We will be looking at the ethics effect with consent and who to protect and keep data private and safe. There will also be information on the child’s voice and the importance of it and we will be looking at how children develop and how to help them develop in </w:t>
      </w:r>
      <w:r w:rsidRPr="05DEC8D2" w:rsidR="7FF4B808">
        <w:rPr>
          <w:rFonts w:ascii="Arial" w:hAnsi="Arial" w:eastAsia="Arial" w:cs="Arial"/>
          <w:noProof w:val="0"/>
          <w:color w:val="000000" w:themeColor="text1" w:themeTint="FF" w:themeShade="FF"/>
          <w:sz w:val="24"/>
          <w:szCs w:val="24"/>
          <w:lang w:val="en-GB"/>
        </w:rPr>
        <w:t>a good way</w:t>
      </w:r>
      <w:r w:rsidRPr="05DEC8D2" w:rsidR="7FF4B808">
        <w:rPr>
          <w:rFonts w:ascii="Arial" w:hAnsi="Arial" w:eastAsia="Arial" w:cs="Arial"/>
          <w:noProof w:val="0"/>
          <w:color w:val="000000" w:themeColor="text1" w:themeTint="FF" w:themeShade="FF"/>
          <w:sz w:val="24"/>
          <w:szCs w:val="24"/>
          <w:lang w:val="en-GB"/>
        </w:rPr>
        <w:t>. Lastly, we looked at different act like UNCRC and BERA to have an insight of the child’s rights and how to respect them and let children know that they do have a right</w:t>
      </w:r>
      <w:r w:rsidRPr="05DEC8D2" w:rsidR="7FF4B808">
        <w:rPr>
          <w:rFonts w:ascii="Arial" w:hAnsi="Arial" w:eastAsia="Arial" w:cs="Arial"/>
          <w:noProof w:val="0"/>
          <w:color w:val="000000" w:themeColor="text1" w:themeTint="FF" w:themeShade="FF"/>
          <w:sz w:val="22"/>
          <w:szCs w:val="22"/>
          <w:lang w:val="en-GB"/>
        </w:rPr>
        <w:t xml:space="preserve">. </w:t>
      </w:r>
    </w:p>
    <w:p xmlns:wp14="http://schemas.microsoft.com/office/word/2010/wordml" w:rsidP="05DEC8D2" wp14:paraId="2E1C9C8A" wp14:textId="2D0FC4E0">
      <w:pPr>
        <w:spacing w:after="160" w:afterAutospacing="off" w:line="247" w:lineRule="auto"/>
      </w:pPr>
      <w:r w:rsidRPr="05DEC8D2" w:rsidR="7FF4B808">
        <w:rPr>
          <w:rFonts w:ascii="Arial" w:hAnsi="Arial" w:eastAsia="Arial" w:cs="Arial"/>
          <w:b w:val="1"/>
          <w:bCs w:val="1"/>
          <w:noProof w:val="0"/>
          <w:sz w:val="28"/>
          <w:szCs w:val="28"/>
          <w:lang w:val="en-GB"/>
        </w:rPr>
        <w:t xml:space="preserve"> Literature review. </w:t>
      </w:r>
    </w:p>
    <w:p xmlns:wp14="http://schemas.microsoft.com/office/word/2010/wordml" w:rsidP="05DEC8D2" wp14:paraId="2FD0A8FF" wp14:textId="2FEF76B1">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 Torri (2019) suggest that reading is an important development for children ‘benefits because children learn and understand the language within the reading, and it will help the children with their language in the future. Lee (2016) also explains that reading with children is important because it will help them with independent reading when they are older and with reading and talking with other children. Snow and Mathew (2016) says that learning how to read from </w:t>
      </w:r>
      <w:r w:rsidRPr="05DEC8D2" w:rsidR="7FF4B808">
        <w:rPr>
          <w:rFonts w:ascii="Arial" w:hAnsi="Arial" w:eastAsia="Arial" w:cs="Arial"/>
          <w:noProof w:val="0"/>
          <w:color w:val="000000" w:themeColor="text1" w:themeTint="FF" w:themeShade="FF"/>
          <w:sz w:val="24"/>
          <w:szCs w:val="24"/>
          <w:lang w:val="en-GB"/>
        </w:rPr>
        <w:t>a young age</w:t>
      </w:r>
      <w:r w:rsidRPr="05DEC8D2" w:rsidR="7FF4B808">
        <w:rPr>
          <w:rFonts w:ascii="Arial" w:hAnsi="Arial" w:eastAsia="Arial" w:cs="Arial"/>
          <w:noProof w:val="0"/>
          <w:color w:val="000000" w:themeColor="text1" w:themeTint="FF" w:themeShade="FF"/>
          <w:sz w:val="24"/>
          <w:szCs w:val="24"/>
          <w:lang w:val="en-GB"/>
        </w:rPr>
        <w:t xml:space="preserve"> will also help with the children’s literacy when they are older, and it will be important for their skills in the long term to learn reading with adults at an early age. Lemos (2009) suggest that reading is a fundamental and important skill to teach because if it is not taught correctly many students have not got the most effective literacy when they are older. Lyon (</w:t>
      </w:r>
      <w:r w:rsidRPr="05DEC8D2" w:rsidR="749B4163">
        <w:rPr>
          <w:rFonts w:ascii="Arial" w:hAnsi="Arial" w:eastAsia="Arial" w:cs="Arial"/>
          <w:noProof w:val="0"/>
          <w:color w:val="000000" w:themeColor="text1" w:themeTint="FF" w:themeShade="FF"/>
          <w:sz w:val="24"/>
          <w:szCs w:val="24"/>
          <w:lang w:val="en-GB"/>
        </w:rPr>
        <w:t>2003</w:t>
      </w:r>
      <w:r w:rsidRPr="05DEC8D2" w:rsidR="7FF4B808">
        <w:rPr>
          <w:rFonts w:ascii="Arial" w:hAnsi="Arial" w:eastAsia="Arial" w:cs="Arial"/>
          <w:noProof w:val="0"/>
          <w:color w:val="000000" w:themeColor="text1" w:themeTint="FF" w:themeShade="FF"/>
          <w:sz w:val="24"/>
          <w:szCs w:val="24"/>
          <w:lang w:val="en-GB"/>
        </w:rPr>
        <w:t xml:space="preserve">) agrees with Lemos by suggesting that if children do not learn how to read correctly at </w:t>
      </w:r>
      <w:r w:rsidRPr="05DEC8D2" w:rsidR="7FF4B808">
        <w:rPr>
          <w:rFonts w:ascii="Arial" w:hAnsi="Arial" w:eastAsia="Arial" w:cs="Arial"/>
          <w:noProof w:val="0"/>
          <w:color w:val="000000" w:themeColor="text1" w:themeTint="FF" w:themeShade="FF"/>
          <w:sz w:val="24"/>
          <w:szCs w:val="24"/>
          <w:lang w:val="en-GB"/>
        </w:rPr>
        <w:t>a young age</w:t>
      </w:r>
      <w:r w:rsidRPr="05DEC8D2" w:rsidR="7FF4B808">
        <w:rPr>
          <w:rFonts w:ascii="Arial" w:hAnsi="Arial" w:eastAsia="Arial" w:cs="Arial"/>
          <w:noProof w:val="0"/>
          <w:color w:val="000000" w:themeColor="text1" w:themeTint="FF" w:themeShade="FF"/>
          <w:sz w:val="24"/>
          <w:szCs w:val="24"/>
          <w:lang w:val="en-GB"/>
        </w:rPr>
        <w:t xml:space="preserve"> it can </w:t>
      </w:r>
      <w:r w:rsidRPr="05DEC8D2" w:rsidR="7FF4B808">
        <w:rPr>
          <w:rFonts w:ascii="Arial" w:hAnsi="Arial" w:eastAsia="Arial" w:cs="Arial"/>
          <w:noProof w:val="0"/>
          <w:color w:val="000000" w:themeColor="text1" w:themeTint="FF" w:themeShade="FF"/>
          <w:sz w:val="24"/>
          <w:szCs w:val="24"/>
          <w:lang w:val="en-GB"/>
        </w:rPr>
        <w:t>impacted</w:t>
      </w:r>
      <w:r w:rsidRPr="05DEC8D2" w:rsidR="7FF4B808">
        <w:rPr>
          <w:rFonts w:ascii="Arial" w:hAnsi="Arial" w:eastAsia="Arial" w:cs="Arial"/>
          <w:noProof w:val="0"/>
          <w:color w:val="000000" w:themeColor="text1" w:themeTint="FF" w:themeShade="FF"/>
          <w:sz w:val="24"/>
          <w:szCs w:val="24"/>
          <w:lang w:val="en-GB"/>
        </w:rPr>
        <w:t xml:space="preserve">, they development of reading and writing and then will bring their opportunity and development down due to lack of reading and literacy skills. </w:t>
      </w:r>
    </w:p>
    <w:p xmlns:wp14="http://schemas.microsoft.com/office/word/2010/wordml" w:rsidP="05DEC8D2" wp14:paraId="08D2DB2C" wp14:textId="260AF49B">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Skibbe </w:t>
      </w:r>
      <w:r w:rsidRPr="05DEC8D2" w:rsidR="7FF4B808">
        <w:rPr>
          <w:rFonts w:ascii="Arial" w:hAnsi="Arial" w:eastAsia="Arial" w:cs="Arial"/>
          <w:i w:val="1"/>
          <w:iCs w:val="1"/>
          <w:noProof w:val="0"/>
          <w:color w:val="000000" w:themeColor="text1" w:themeTint="FF" w:themeShade="FF"/>
          <w:sz w:val="24"/>
          <w:szCs w:val="24"/>
          <w:lang w:val="en-GB"/>
        </w:rPr>
        <w:t>et al.</w:t>
      </w:r>
      <w:r w:rsidRPr="05DEC8D2" w:rsidR="7FF4B808">
        <w:rPr>
          <w:rFonts w:ascii="Arial" w:hAnsi="Arial" w:eastAsia="Arial" w:cs="Arial"/>
          <w:noProof w:val="0"/>
          <w:color w:val="000000" w:themeColor="text1" w:themeTint="FF" w:themeShade="FF"/>
          <w:sz w:val="24"/>
          <w:szCs w:val="24"/>
          <w:lang w:val="en-GB"/>
        </w:rPr>
        <w:t xml:space="preserve"> (2017) suggest that electronic book reading is more effective and better for children then books in real life because it promotes more literacy development then books do but they also suggest that it is hard to know if the parents or teacher are supporting the children when reading on e-book. Skibbe </w:t>
      </w:r>
      <w:r w:rsidRPr="05DEC8D2" w:rsidR="7FF4B808">
        <w:rPr>
          <w:rFonts w:ascii="Arial" w:hAnsi="Arial" w:eastAsia="Arial" w:cs="Arial"/>
          <w:i w:val="1"/>
          <w:iCs w:val="1"/>
          <w:noProof w:val="0"/>
          <w:color w:val="000000" w:themeColor="text1" w:themeTint="FF" w:themeShade="FF"/>
          <w:sz w:val="24"/>
          <w:szCs w:val="24"/>
          <w:lang w:val="en-GB"/>
        </w:rPr>
        <w:t>et al</w:t>
      </w:r>
      <w:r w:rsidRPr="05DEC8D2" w:rsidR="7FF4B808">
        <w:rPr>
          <w:rFonts w:ascii="Arial" w:hAnsi="Arial" w:eastAsia="Arial" w:cs="Arial"/>
          <w:noProof w:val="0"/>
          <w:color w:val="000000" w:themeColor="text1" w:themeTint="FF" w:themeShade="FF"/>
          <w:sz w:val="24"/>
          <w:szCs w:val="24"/>
          <w:lang w:val="en-GB"/>
        </w:rPr>
        <w:t>. (2017) also explains that they need to be careful when writing e-books and ensure they are supporting the children literacy, and it will also build children’s development on technology when they are older. Lee (2016) disagrees with Skibbe because they suggest that it is important that children independent read with a book and then do activities or talk about the book with other children or adults. Lee (2016) also explains that children need motivation to read books and for them to engage with the book independently and to feel and touch the books. Children also interact with other children when it is story time and have a social development when talking about the books and it also help the children with holding books and looking at them by themselves or with others and they also explain that books are an important object for children (Lee 2016).</w:t>
      </w:r>
    </w:p>
    <w:p xmlns:wp14="http://schemas.microsoft.com/office/word/2010/wordml" w:rsidP="05DEC8D2" wp14:paraId="5AC035D1" wp14:textId="4DC9094A">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 Gov.UK (no date) suggest that children should read from a young age because they would be able to talk about the words they are learning and will help their knowledge in the future. When it comes to theorist Vygotsky is one that suggest that children’s development is important and that there learning is a necessary aspect of their development (McLeod 2014). Burns and Joyce (2005) explains that Vygotsky come up with the ‘scaffolding’ theory which is when teacher show support and navigation intel the children can do it on their own and be able to develop in that aspect of work. Stufy (2002) also agrees by saying that the teacher will be there to support and help the children and help them build on their knowledge and information in till they are able to do it on their own without the support. When it comes to benefits of reading there are different aspects of it like language and it is an important development for children literacy, and it can also help children extend children vocabulary knowledge on different words (Myers and Ankrum 2018). </w:t>
      </w:r>
    </w:p>
    <w:p xmlns:wp14="http://schemas.microsoft.com/office/word/2010/wordml" w:rsidP="05DEC8D2" wp14:paraId="7CD3D2D6" wp14:textId="1588D613">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Torr (2019) suggest another aspect of reading development is emotional development and that is when the children and parents are reading together, and they are showing emotion to their children when reading books and that will develop the children emotional development when reading and giving the children attention when reading with them. DeCarlo </w:t>
      </w:r>
      <w:r w:rsidRPr="05DEC8D2" w:rsidR="7FF4B808">
        <w:rPr>
          <w:rFonts w:ascii="Arial" w:hAnsi="Arial" w:eastAsia="Arial" w:cs="Arial"/>
          <w:i w:val="1"/>
          <w:iCs w:val="1"/>
          <w:noProof w:val="0"/>
          <w:color w:val="000000" w:themeColor="text1" w:themeTint="FF" w:themeShade="FF"/>
          <w:sz w:val="24"/>
          <w:szCs w:val="24"/>
          <w:lang w:val="en-GB"/>
        </w:rPr>
        <w:t xml:space="preserve">et al. </w:t>
      </w:r>
      <w:r w:rsidRPr="05DEC8D2" w:rsidR="7FF4B808">
        <w:rPr>
          <w:rFonts w:ascii="Arial" w:hAnsi="Arial" w:eastAsia="Arial" w:cs="Arial"/>
          <w:noProof w:val="0"/>
          <w:color w:val="000000" w:themeColor="text1" w:themeTint="FF" w:themeShade="FF"/>
          <w:sz w:val="24"/>
          <w:szCs w:val="24"/>
          <w:lang w:val="en-GB"/>
        </w:rPr>
        <w:t xml:space="preserve">(2017) also says that the emotional development will give opportunity to the children and help the growth of the children and will help the child fully engaged and will have full range of their feelings and their experiences.  When looking at the benefits of reading social mixes into it because it will help the children social development by reading with other children and having different experiences in their social benefits by learning different words by reading different books (Tongu </w:t>
      </w:r>
      <w:r w:rsidRPr="05DEC8D2" w:rsidR="7FF4B808">
        <w:rPr>
          <w:rFonts w:ascii="Arial" w:hAnsi="Arial" w:eastAsia="Arial" w:cs="Arial"/>
          <w:i w:val="1"/>
          <w:iCs w:val="1"/>
          <w:noProof w:val="0"/>
          <w:color w:val="000000" w:themeColor="text1" w:themeTint="FF" w:themeShade="FF"/>
          <w:sz w:val="24"/>
          <w:szCs w:val="24"/>
          <w:lang w:val="en-GB"/>
        </w:rPr>
        <w:t>et at.,</w:t>
      </w:r>
      <w:r w:rsidRPr="05DEC8D2" w:rsidR="7FF4B808">
        <w:rPr>
          <w:rFonts w:ascii="Arial" w:hAnsi="Arial" w:eastAsia="Arial" w:cs="Arial"/>
          <w:noProof w:val="0"/>
          <w:color w:val="000000" w:themeColor="text1" w:themeTint="FF" w:themeShade="FF"/>
          <w:sz w:val="24"/>
          <w:szCs w:val="24"/>
          <w:lang w:val="en-GB"/>
        </w:rPr>
        <w:t xml:space="preserve">2018). </w:t>
      </w:r>
    </w:p>
    <w:p xmlns:wp14="http://schemas.microsoft.com/office/word/2010/wordml" w:rsidP="05DEC8D2" wp14:paraId="1D4007B1" wp14:textId="304FAF77">
      <w:pPr>
        <w:spacing w:after="160" w:afterAutospacing="off" w:line="247" w:lineRule="auto"/>
      </w:pPr>
      <w:r w:rsidRPr="05DEC8D2" w:rsidR="7FF4B808">
        <w:rPr>
          <w:rFonts w:ascii="Arial" w:hAnsi="Arial" w:eastAsia="Arial" w:cs="Arial"/>
          <w:b w:val="1"/>
          <w:bCs w:val="1"/>
          <w:noProof w:val="0"/>
          <w:color w:val="000000" w:themeColor="text1" w:themeTint="FF" w:themeShade="FF"/>
          <w:sz w:val="28"/>
          <w:szCs w:val="28"/>
          <w:lang w:val="en-GB"/>
        </w:rPr>
        <w:t xml:space="preserve">Mythological </w:t>
      </w:r>
    </w:p>
    <w:p xmlns:wp14="http://schemas.microsoft.com/office/word/2010/wordml" w:rsidP="05DEC8D2" wp14:paraId="1C9086A5" wp14:textId="359C2136">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Within this research sample 8 randomized children from an early year setting from the age 3-5 were picked to be part of this sample along with 8 parents or carers to do the research on. We choose to do randomized children because it is important not to just choose children because you want your sampling to correct. </w:t>
      </w:r>
      <w:bookmarkStart w:name="_Int_27MtkP2S" w:id="868386293"/>
      <w:r w:rsidRPr="05DEC8D2" w:rsidR="7FF4B808">
        <w:rPr>
          <w:rFonts w:ascii="Arial" w:hAnsi="Arial" w:eastAsia="Arial" w:cs="Arial"/>
          <w:noProof w:val="0"/>
          <w:color w:val="000000" w:themeColor="text1" w:themeTint="FF" w:themeShade="FF"/>
          <w:sz w:val="24"/>
          <w:szCs w:val="24"/>
          <w:lang w:val="en-GB"/>
        </w:rPr>
        <w:t>We choose randomised, so we are not making any children feel left out or less than other children.</w:t>
      </w:r>
      <w:bookmarkEnd w:id="868386293"/>
      <w:r w:rsidRPr="05DEC8D2" w:rsidR="7FF4B808">
        <w:rPr>
          <w:rFonts w:ascii="Arial" w:hAnsi="Arial" w:eastAsia="Arial" w:cs="Arial"/>
          <w:noProof w:val="0"/>
          <w:color w:val="000000" w:themeColor="text1" w:themeTint="FF" w:themeShade="FF"/>
          <w:sz w:val="24"/>
          <w:szCs w:val="24"/>
          <w:lang w:val="en-GB"/>
        </w:rPr>
        <w:t xml:space="preserve"> Firstly, why sampling is important sampling it is important so we can keep up with the progress and development with children and the information that has come of it can be useful to see the progress of children development in the early years (Aussie childcare network 2021).</w:t>
      </w:r>
    </w:p>
    <w:p xmlns:wp14="http://schemas.microsoft.com/office/word/2010/wordml" w:rsidP="05DEC8D2" wp14:paraId="0291BA09" wp14:textId="15184074">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 While sampling children the chosen sample was observation. West Sussex County council (2021) explains that an observation is watching children to see what they can and cannot do, listening to the children ad also taking notes of the children with what you see them do and what you hear them say. Observations are one of the most used research methods in childcare and it is important because it is first hand evident of what the child can and cannot do and to look and listen to the children for information they might say or looking for evidence for the observation of the child (Holmes 2018). Choosing observation when looking for how reading benefits children is important because you will be able to see and hear how much the children can read or if the children can read the pictures in the book and will be able to see their development of reading in early years (McKie </w:t>
      </w:r>
      <w:r w:rsidRPr="05DEC8D2" w:rsidR="7FF4B808">
        <w:rPr>
          <w:rFonts w:ascii="Arial" w:hAnsi="Arial" w:eastAsia="Arial" w:cs="Arial"/>
          <w:i w:val="1"/>
          <w:iCs w:val="1"/>
          <w:noProof w:val="0"/>
          <w:color w:val="000000" w:themeColor="text1" w:themeTint="FF" w:themeShade="FF"/>
          <w:sz w:val="24"/>
          <w:szCs w:val="24"/>
          <w:lang w:val="en-GB"/>
        </w:rPr>
        <w:t>et al.,</w:t>
      </w:r>
      <w:r w:rsidRPr="05DEC8D2" w:rsidR="7FF4B808">
        <w:rPr>
          <w:rFonts w:ascii="Arial" w:hAnsi="Arial" w:eastAsia="Arial" w:cs="Arial"/>
          <w:noProof w:val="0"/>
          <w:color w:val="000000" w:themeColor="text1" w:themeTint="FF" w:themeShade="FF"/>
          <w:sz w:val="24"/>
          <w:szCs w:val="24"/>
          <w:lang w:val="en-GB"/>
        </w:rPr>
        <w:t xml:space="preserve">2012). When doing observation, it comes under the qualitative method because we will be able to analyse and go in-depth with the data we have found (Holmes 2018). </w:t>
      </w:r>
    </w:p>
    <w:p xmlns:wp14="http://schemas.microsoft.com/office/word/2010/wordml" w:rsidP="05DEC8D2" wp14:paraId="54ADDE25" wp14:textId="2FCD49AB">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When it comes to different research methods, they will always have advantages and disadvantages the advantages for observation are that you can see what the child can and cannot do in person and can provide more information and you will have more information on the child then other methods (Kawulich No date). Kawulich (no date) also explains that the disadvantages are some children may not like being observed and watched or if the information you collected is the information you already knew on the child. We do observations to collect information on the children and to see what the children like or dislike and how to ensure all the information is correct on the child (Kawulich no date). </w:t>
      </w:r>
    </w:p>
    <w:p xmlns:wp14="http://schemas.microsoft.com/office/word/2010/wordml" w:rsidP="05DEC8D2" wp14:paraId="37902E44" wp14:textId="4D01903E">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With parents we had all parents or carers do a questionnaire. Questionnaires are the most comment way to collect information in a fast and easy way (Colosi 2006). For the questionnaire we choose questioners’ scale. Mukherji and Albon (2018) explains that the questioners scale is a scale that goes from 1 to 5 of how much you agree with the question that been asked. When doing the scale ensure that the questions are not biased and that the question are clear for the parents or carers to understand the questions (Mukherji and Albon 2018). With many things there are advantages and disadvantages the advantages for a questionnaire is that questionnaires can be in your own home where its comfortable and nobody is watching you and an advantage is if parents or carers have work it is an easy way to get information from them without disturbing their work times (Seale 2012). </w:t>
      </w:r>
    </w:p>
    <w:p xmlns:wp14="http://schemas.microsoft.com/office/word/2010/wordml" w:rsidP="05DEC8D2" wp14:paraId="63148B64" wp14:textId="47A2A40B">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Seale (2012) also suggest that questioners are helpful with easy topics that just need a few questions answered. But with advantages there comes disadvantages, and some disadvantages is that it only gives a little bit of information and not much insight to the question being answered and when giving out questionnaires not a lot of people do them and throw them away (Patten 2016). Another disadvantages that can effect is the biased of the person looking at the questionnaire and that is called the halo effect, and the halo effect is when people make a biased opinion on people without actual knowing them (Gabrieli </w:t>
      </w:r>
      <w:r w:rsidRPr="05DEC8D2" w:rsidR="7FF4B808">
        <w:rPr>
          <w:rFonts w:ascii="Arial" w:hAnsi="Arial" w:eastAsia="Arial" w:cs="Arial"/>
          <w:i w:val="1"/>
          <w:iCs w:val="1"/>
          <w:noProof w:val="0"/>
          <w:color w:val="000000" w:themeColor="text1" w:themeTint="FF" w:themeShade="FF"/>
          <w:sz w:val="24"/>
          <w:szCs w:val="24"/>
          <w:lang w:val="en-GB"/>
        </w:rPr>
        <w:t>et al.</w:t>
      </w:r>
      <w:r w:rsidRPr="05DEC8D2" w:rsidR="7FF4B808">
        <w:rPr>
          <w:rFonts w:ascii="Arial" w:hAnsi="Arial" w:eastAsia="Arial" w:cs="Arial"/>
          <w:noProof w:val="0"/>
          <w:color w:val="000000" w:themeColor="text1" w:themeTint="FF" w:themeShade="FF"/>
          <w:sz w:val="24"/>
          <w:szCs w:val="24"/>
          <w:lang w:val="en-GB"/>
        </w:rPr>
        <w:t xml:space="preserve">2021). There are also some ethical issues when doing a questioner such as permission from the nursery manager and owners if you are allowed to give out questioners as well as it must be anonymous meaning nobody will know who said them (Holmes 2018). Within this research we used the quantitative research method which is data collecting with questioners or anything that will give statistic numbers at the end (Holmes 2018). We choose to use the quantitative method because when using a questioner, it is easier measure the answers in numbers than anything else (Mukherji and Albon 2018). </w:t>
      </w:r>
    </w:p>
    <w:p xmlns:wp14="http://schemas.microsoft.com/office/word/2010/wordml" w:rsidP="05DEC8D2" wp14:paraId="28329A30" wp14:textId="1998F5B7">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Within this research we did use the triangulation method because we used different methods and it helped validate our findings in the research (Cater </w:t>
      </w:r>
      <w:r w:rsidRPr="05DEC8D2" w:rsidR="7FF4B808">
        <w:rPr>
          <w:rFonts w:ascii="Arial" w:hAnsi="Arial" w:eastAsia="Arial" w:cs="Arial"/>
          <w:i w:val="1"/>
          <w:iCs w:val="1"/>
          <w:noProof w:val="0"/>
          <w:color w:val="000000" w:themeColor="text1" w:themeTint="FF" w:themeShade="FF"/>
          <w:sz w:val="24"/>
          <w:szCs w:val="24"/>
          <w:lang w:val="en-GB"/>
        </w:rPr>
        <w:t xml:space="preserve">et al., </w:t>
      </w:r>
      <w:r w:rsidRPr="05DEC8D2" w:rsidR="7FF4B808">
        <w:rPr>
          <w:rFonts w:ascii="Arial" w:hAnsi="Arial" w:eastAsia="Arial" w:cs="Arial"/>
          <w:noProof w:val="0"/>
          <w:color w:val="000000" w:themeColor="text1" w:themeTint="FF" w:themeShade="FF"/>
          <w:sz w:val="24"/>
          <w:szCs w:val="24"/>
          <w:lang w:val="en-GB"/>
        </w:rPr>
        <w:t xml:space="preserve">2018). Triangulation method is the method used by using different sources to collect evidence to get the correct data and understanding of the research (Holmes 2018). We also used mixed methods which is the method that qualitative and quantitative are both used in the research to collect data (Holmes 2018). </w:t>
      </w:r>
    </w:p>
    <w:p xmlns:wp14="http://schemas.microsoft.com/office/word/2010/wordml" w:rsidP="05DEC8D2" wp14:paraId="5D6CC874" wp14:textId="725F759B">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 There are many different methods like interviews. An interview is a set of questions that parents or carers will answer about their children (Holmes 2018). We did not choose interviews because firstly the organization of the interview can be difficult due to timing and if the parents or careers are working and if they are there a limit amount of time for the questions (Seale 2012). Seale (2012) also explains that another disadvantage to interviews is the interview can be bias because the parents and carers can feel judged or can be persuaded to say an answer that is not what they are thinking about because the person that is doing the interview is making them. Oltman (2016) also agrees with Seale by saying that interviews can cost time and money firstly it will cost money to get to where the interview is and secondly it will cost the parents and carers time when they should be in work. Oltman (2016) also explains that if they are doing a telephone interview that there can be many technology issues such as the call could end call on its own or signal could cut out there also could be some hearing problems or not understanding the question correctly. </w:t>
      </w:r>
    </w:p>
    <w:p xmlns:wp14="http://schemas.microsoft.com/office/word/2010/wordml" w:rsidP="05DEC8D2" wp14:paraId="655F6012" wp14:textId="789E7D21">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When it comes to working with children there could be some ethical issues. When working with children it important to always look and consider the ethical issues and all aspect of them (Holmes 2018). Holmes (2018) also explains to consider if the children are ill or have an illness and if it will affect the sample and if you can work around the illness. It is also important to consider if the child does not want to be in the sample anymore that you will have to delete the work first and listen to the voice of the child because it is one of the most important things in childcare (Holmes 2018). </w:t>
      </w:r>
    </w:p>
    <w:p xmlns:wp14="http://schemas.microsoft.com/office/word/2010/wordml" w:rsidP="05DEC8D2" wp14:paraId="522A5EDB" wp14:textId="783E7BD2">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When it comes to working with children it is extremely important to remember to ask children and parents or carers for consent. Holmes (2018) explains that consent is the child has the right to hold an opinion so if the child does not want to participate in the sample, then the child does not have to because the child consent matters. NSPCC (2023) also explains that we ask parents and carers for consent if we can observe their children because it our duty to make sure that the children are safe, and it is important that before doing the sample that you have gain that consent. Holmes (2018) suggest that it is also important that the children identity is hidden and not said in work or spoken about the children to people and when asking parents or carers for consent it is important to have their signature that you can prove that you have had consent from them. When it comes to parents or carers consent, we tend to ask them if they are okay doing it and because it is a questionnaire the parents or carers would be anonymous so not only will nobody know who’s done them the parents or carers can be more honest in them because we do not know who said what. </w:t>
      </w:r>
    </w:p>
    <w:p xmlns:wp14="http://schemas.microsoft.com/office/word/2010/wordml" w:rsidP="05DEC8D2" wp14:paraId="7CB4354A" wp14:textId="198CD6F8">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When working with information security should be provide and security it is important that you keep it that way by first if the work is on the computer is having passwords that nobody knows except you (ICO No date). ICO (No date) also suggest that you should be aware of the surrounding and where you put your data so if the data is on pauper you should put it in a place that has a lock and nobody except you can get into it and you should also after finishing the samples and have done it all at the end you should throw away the data you collected and ensure nobody can see it. We will be looking at the universities police on doing it and filling out the university form for it to be continued.</w:t>
      </w:r>
    </w:p>
    <w:p xmlns:wp14="http://schemas.microsoft.com/office/word/2010/wordml" w:rsidP="05DEC8D2" wp14:paraId="7C1DB3C2" wp14:textId="5CA5ACDB">
      <w:pPr>
        <w:spacing w:after="160" w:afterAutospacing="off" w:line="247" w:lineRule="auto"/>
      </w:pPr>
      <w:r w:rsidRPr="05DEC8D2" w:rsidR="7FF4B808">
        <w:rPr>
          <w:rFonts w:ascii="Arial" w:hAnsi="Arial" w:eastAsia="Arial" w:cs="Arial"/>
          <w:b w:val="1"/>
          <w:bCs w:val="1"/>
          <w:noProof w:val="0"/>
          <w:color w:val="000000" w:themeColor="text1" w:themeTint="FF" w:themeShade="FF"/>
          <w:sz w:val="28"/>
          <w:szCs w:val="28"/>
          <w:lang w:val="en-GB"/>
        </w:rPr>
        <w:t xml:space="preserve">Ethics </w:t>
      </w:r>
    </w:p>
    <w:p xmlns:wp14="http://schemas.microsoft.com/office/word/2010/wordml" w:rsidP="05DEC8D2" wp14:paraId="5E029314" wp14:textId="62FF312E">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When it comes to ethics is a crucial role in doing samples with children. Firstly, it is important to gain consent and consent is asking children and parents or carers if they can do samples with the children and adults (Mukherji and Albon 2018). Mukherji and Albon (2018) also explains when doing this that it is firstly important that all participants have been asked and that you have consent from all of them and have not done the sampling without children and adults’ consent and acknowledgement. When getting consent it is important to get consent from the adults and the children. Firstly, asking consent from the parents or carers is important because some do not want their children to be in a sample and some parents do not mind so sending a letter or parents or carers to sign that they have said it is okay if their child is in the sample (Van der and Ouburg 2021). Clark (2004) also agrees by saying that getting permission from the children and parents is always important when working in an early year’s settings.</w:t>
      </w:r>
    </w:p>
    <w:p xmlns:wp14="http://schemas.microsoft.com/office/word/2010/wordml" w:rsidP="05DEC8D2" wp14:paraId="03D59F29" wp14:textId="19B755B9">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Then  when getting consent from the children it is also important to ask consent from the child because the sample is on the child and if the child does not want to be a part of the sample then they do not have to so when getting consent you can ask the child or you can tell the child what the sample plan is and if the child likes it they point at the Smilie face and if they don’t like it thy can point to the sad face and they will not have to be in the sample ( Van der and Ouburg 2021). When doing the sampling if the child or adult does not want to do it any more you cannot hold on to the sample you will have to throw it away because if you still use it, you will be breaking consent from the child and adults (Holmes 2018). When children do not want to contention being in the sample there are multiple things, they will do to show that they no longer want to do it like be uninterested, cry or some children will say that they no longer want to be in the sample anymore and you need to listen to them (Holmes 2018). With parents they might not give you the questioners or not ask about it and if that happened just change parents because they no longer want to be in the sample either (Holmes 2018).</w:t>
      </w:r>
    </w:p>
    <w:p xmlns:wp14="http://schemas.microsoft.com/office/word/2010/wordml" w:rsidP="05DEC8D2" wp14:paraId="576A259F" wp14:textId="0F1E9FA5">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  When doing the sample with the university there is a UWTSD ethics form that we will have to fill out and then the lectures will have to look through to ensure that the activity or observation is safe, and they have an ethics form to ensure that everyone that’s taken part is safe and to also unsure that the university is safe from anything incorrect from anyone (UWTSD 2023).</w:t>
      </w:r>
    </w:p>
    <w:p xmlns:wp14="http://schemas.microsoft.com/office/word/2010/wordml" w:rsidP="05DEC8D2" wp14:paraId="74D7E221" wp14:textId="5F67D49F">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Firstly, what is listening well listening is communicating with someone and you should listen and communicate with children every day to help their trust with the adults and help their development (Clark 2004). Clark (2004) explains that when working with children it is important to listen to the voice of the child. Listening to the child means knowing that the children have rights and can express themselves how they want to and listening to children will gain insight of how the children are and the child can bring up some serious issues if they are listened to (Clark 2004). Clark (2004) also suggests that when listening to the children you can gain insight about the children’s thoughts and feelings. UNCRC (No date) also agrees that the voice of the child is so important and there are 2 articles gives more information about the child’s voice and it is article 12 that talks about that the children have their own views, and you cannot push your views onto them. Then article 13 explains that the child has the right to freedom and have the right to be included in work that is about them and must be informed about the information (UNCRC No date). Holmes (2018) also says that all early year’s professionals and parents should not speak for the children and that we should be working with children not for the children. When working in early years it is important that you read all the act for the children so you know what rights the children have, and you can also tell the children the rights they have. </w:t>
      </w:r>
    </w:p>
    <w:p xmlns:wp14="http://schemas.microsoft.com/office/word/2010/wordml" w:rsidP="05DEC8D2" wp14:paraId="68BE781C" wp14:textId="39BD4823">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When working with children it is also important to ask people if the questions are too much for children could they make children upset or could it have a negative impact on the child and families (Holmes 2018). Holmes (2018) also says that the mosaic approach comes importantly into the child’s voice because it mixes what they can see and what they can hear, and it can ten help children gain their views and experiences from an early age. BERA (2018) also agrees with the UNCRC by saying all children can develop their own views and should always have the right to express themselves in the way they want too. BERA (2018) also explains that gaining consent from the adults and children for the wellbeing of the children. When working with children it is also important to have patience when listening to them because it can be difficult for children to communicate (Clark 2004). Clark (2004) also explains that when working with children that listening to all there creative or imaginative thought will support them massively in development and it also let the child know that someone will always there to listen to them. When doing the sample and there is a child that has a disability it is very important to ensure their voice is heard in any way if they can speak, write it down or if it is body language make sure that their voice is heard as well (Clark 2004). Clark (2004) also suggests that when working with children we need to use not just our hearing but every one of our senses like eye contact or sense of smell. </w:t>
      </w:r>
    </w:p>
    <w:p xmlns:wp14="http://schemas.microsoft.com/office/word/2010/wordml" w:rsidP="05DEC8D2" wp14:paraId="4357345B" wp14:textId="1D30D7D0">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 xml:space="preserve"> While doing work on the child voice we have also found that it gives the children more freedom of their opinion and their voice if when doing activities or story time to ask the children what opinion on the topic is there and what do they think about it, and it then lets children tell the early years professionals their views on it and also involving children in the choses of what they want to do like do they want to play cars or in the sand let the children choose what activity they want to do  (Clark 2004).  Holmes (2018) also says that when children feel comfortable and happy in there early years setting and when the children feel like their voice has been listen to and heard they will feel understood and happy within the setting and there well-being will also succeed better. When working with children listening and talking to them can help them massively develop and help children gain confident with talking and can also help their social skills when talking to other children or adults (Clark 2004). Listening to the child’s voice will also give the adults the chance to see the children capability to speak (Clark 2004). </w:t>
      </w:r>
    </w:p>
    <w:p xmlns:wp14="http://schemas.microsoft.com/office/word/2010/wordml" w:rsidP="05DEC8D2" wp14:paraId="45E6A070" wp14:textId="210D1888">
      <w:pPr>
        <w:spacing w:after="160" w:afterAutospacing="off" w:line="247" w:lineRule="auto"/>
      </w:pPr>
      <w:r w:rsidRPr="05DEC8D2" w:rsidR="7FF4B808">
        <w:rPr>
          <w:rFonts w:ascii="Arial" w:hAnsi="Arial" w:eastAsia="Arial" w:cs="Arial"/>
          <w:noProof w:val="0"/>
          <w:color w:val="000000" w:themeColor="text1" w:themeTint="FF" w:themeShade="FF"/>
          <w:sz w:val="24"/>
          <w:szCs w:val="24"/>
          <w:lang w:val="en-GB"/>
        </w:rPr>
        <w:t>Privacy and data collection is an important aspect of working and doing work with children. DP Act (2018) firstly says that data protection in an early year’s environment is important, and it is important to have all the data correct. The information that you collected cannot be in a way that it is wrong or for a wrong purpose the only purpose the information you collect should be for the sample (DP ACT 2018). Gov.uk (No Date) says that the data collection is controlled by the government of how people use the data. DP Act 2018 also says that everyone has the right to know how the data is being used and the children and parents will know as well. Holmes (2018) also explained that the university must know what you are doing and what data you are collecting and what you will use it for because if not it could end up as a criminal act if you have data, you are not supposed to have. When storing data, you need to make sure it is private and secure even online data and that the participants know how their data is going to be used (Mukherji and Albon2018). Also, when working with children it is also important to think about safeguarding them. Safeguarding is making sure that the child is safe and that there are not any problems at home and when doing sample and getting data the only time, you can break the data collecting privacy is if the child needs safeguarding and if you do have to do that then you must go through the prober protocol (DP Act 2018).</w:t>
      </w:r>
    </w:p>
    <w:p xmlns:wp14="http://schemas.microsoft.com/office/word/2010/wordml" w:rsidP="05DEC8D2" wp14:paraId="5AE54E62" wp14:textId="51E659BD">
      <w:pPr>
        <w:spacing w:after="160" w:afterAutospacing="off" w:line="247" w:lineRule="auto"/>
        <w:rPr>
          <w:rFonts w:ascii="Arial" w:hAnsi="Arial" w:eastAsia="Arial" w:cs="Arial"/>
          <w:b w:val="1"/>
          <w:bCs w:val="1"/>
          <w:noProof w:val="0"/>
          <w:color w:val="000000" w:themeColor="text1" w:themeTint="FF" w:themeShade="FF"/>
          <w:sz w:val="28"/>
          <w:szCs w:val="28"/>
          <w:lang w:val="en-GB"/>
        </w:rPr>
      </w:pPr>
      <w:r w:rsidRPr="05DEC8D2" w:rsidR="7FF4B808">
        <w:rPr>
          <w:rFonts w:ascii="Arial" w:hAnsi="Arial" w:eastAsia="Arial" w:cs="Arial"/>
          <w:b w:val="1"/>
          <w:bCs w:val="1"/>
          <w:noProof w:val="0"/>
          <w:color w:val="000000" w:themeColor="text1" w:themeTint="FF" w:themeShade="FF"/>
          <w:sz w:val="28"/>
          <w:szCs w:val="28"/>
          <w:lang w:val="en-GB"/>
        </w:rPr>
        <w:t xml:space="preserve"> </w:t>
      </w:r>
      <w:r w:rsidRPr="05DEC8D2" w:rsidR="7B78F119">
        <w:rPr>
          <w:rFonts w:ascii="Arial" w:hAnsi="Arial" w:eastAsia="Arial" w:cs="Arial"/>
          <w:b w:val="1"/>
          <w:bCs w:val="1"/>
          <w:noProof w:val="0"/>
          <w:color w:val="000000" w:themeColor="text1" w:themeTint="FF" w:themeShade="FF"/>
          <w:sz w:val="28"/>
          <w:szCs w:val="28"/>
          <w:lang w:val="en-GB"/>
        </w:rPr>
        <w:t xml:space="preserve">Reference list </w:t>
      </w:r>
    </w:p>
    <w:p xmlns:wp14="http://schemas.microsoft.com/office/word/2010/wordml" w:rsidP="05DEC8D2" wp14:paraId="3965C7ED" wp14:textId="2EE91883">
      <w:pPr>
        <w:spacing w:after="160" w:afterAutospacing="off" w:line="252" w:lineRule="auto"/>
      </w:pPr>
      <w:r w:rsidRPr="05DEC8D2" w:rsidR="7B78F119">
        <w:rPr>
          <w:rFonts w:ascii="Calibri" w:hAnsi="Calibri" w:eastAsia="Calibri" w:cs="Calibri"/>
          <w:noProof w:val="0"/>
          <w:color w:val="000000" w:themeColor="text1" w:themeTint="FF" w:themeShade="FF"/>
          <w:sz w:val="22"/>
          <w:szCs w:val="22"/>
          <w:lang w:val="en-GB"/>
        </w:rPr>
        <w:t xml:space="preserve">Alison Clark (2004), </w:t>
      </w:r>
      <w:r w:rsidRPr="05DEC8D2" w:rsidR="7B78F119">
        <w:rPr>
          <w:rFonts w:ascii="Calibri" w:hAnsi="Calibri" w:eastAsia="Calibri" w:cs="Calibri"/>
          <w:i w:val="1"/>
          <w:iCs w:val="1"/>
          <w:noProof w:val="0"/>
          <w:color w:val="000000" w:themeColor="text1" w:themeTint="FF" w:themeShade="FF"/>
          <w:sz w:val="22"/>
          <w:szCs w:val="22"/>
          <w:lang w:val="en-GB"/>
        </w:rPr>
        <w:t>Listening as a way of life</w:t>
      </w:r>
      <w:r w:rsidRPr="05DEC8D2" w:rsidR="7B78F119">
        <w:rPr>
          <w:rFonts w:ascii="Calibri" w:hAnsi="Calibri" w:eastAsia="Calibri" w:cs="Calibri"/>
          <w:noProof w:val="0"/>
          <w:color w:val="000000" w:themeColor="text1" w:themeTint="FF" w:themeShade="FF"/>
          <w:sz w:val="22"/>
          <w:szCs w:val="22"/>
          <w:lang w:val="en-GB"/>
        </w:rPr>
        <w:t xml:space="preserve">. London </w:t>
      </w:r>
    </w:p>
    <w:p xmlns:wp14="http://schemas.microsoft.com/office/word/2010/wordml" w:rsidP="05DEC8D2" wp14:paraId="53445753" wp14:textId="1D5685E6">
      <w:pPr>
        <w:spacing w:after="160" w:afterAutospacing="off" w:line="252" w:lineRule="auto"/>
      </w:pPr>
      <w:r w:rsidRPr="05DEC8D2" w:rsidR="7B78F119">
        <w:rPr>
          <w:rFonts w:ascii="Calibri" w:hAnsi="Calibri" w:eastAsia="Calibri" w:cs="Calibri"/>
          <w:noProof w:val="0"/>
          <w:color w:val="000000" w:themeColor="text1" w:themeTint="FF" w:themeShade="FF"/>
          <w:sz w:val="22"/>
          <w:szCs w:val="22"/>
          <w:lang w:val="en-GB"/>
        </w:rPr>
        <w:t xml:space="preserve"> </w:t>
      </w:r>
    </w:p>
    <w:p xmlns:wp14="http://schemas.microsoft.com/office/word/2010/wordml" w:rsidP="05DEC8D2" wp14:paraId="48128205" wp14:textId="13E2B6E5">
      <w:pPr>
        <w:spacing w:after="160" w:afterAutospacing="off" w:line="252" w:lineRule="auto"/>
      </w:pPr>
      <w:r w:rsidRPr="05DEC8D2" w:rsidR="7B78F119">
        <w:rPr>
          <w:rFonts w:ascii="Calibri" w:hAnsi="Calibri" w:eastAsia="Calibri" w:cs="Calibri"/>
          <w:noProof w:val="0"/>
          <w:sz w:val="22"/>
          <w:szCs w:val="22"/>
          <w:lang w:val="en-GB"/>
        </w:rPr>
        <w:t xml:space="preserve">Aussie Childcare network (2021). </w:t>
      </w:r>
      <w:r w:rsidRPr="05DEC8D2" w:rsidR="7B78F119">
        <w:rPr>
          <w:rFonts w:ascii="Calibri" w:hAnsi="Calibri" w:eastAsia="Calibri" w:cs="Calibri"/>
          <w:i w:val="1"/>
          <w:iCs w:val="1"/>
          <w:noProof w:val="0"/>
          <w:sz w:val="22"/>
          <w:szCs w:val="22"/>
          <w:lang w:val="en-GB"/>
        </w:rPr>
        <w:t xml:space="preserve">Event samples observation in childcare. </w:t>
      </w:r>
      <w:r w:rsidRPr="05DEC8D2" w:rsidR="7B78F119">
        <w:rPr>
          <w:rFonts w:ascii="Calibri" w:hAnsi="Calibri" w:eastAsia="Calibri" w:cs="Calibri"/>
          <w:noProof w:val="0"/>
          <w:sz w:val="22"/>
          <w:szCs w:val="22"/>
          <w:lang w:val="en-GB"/>
        </w:rPr>
        <w:t xml:space="preserve">Available at: </w:t>
      </w:r>
      <w:hyperlink w:anchor=":~:text=It%20can%20be%20used%20to%20identify%20the%20child%27s,or%20the%20impact%20of%20changes%20in%20teaching%20strategies." r:id="R9540003e086148f6">
        <w:r w:rsidRPr="05DEC8D2" w:rsidR="7B78F119">
          <w:rPr>
            <w:rStyle w:val="Hyperlink"/>
            <w:rFonts w:ascii="Calibri" w:hAnsi="Calibri" w:eastAsia="Calibri" w:cs="Calibri"/>
            <w:strike w:val="0"/>
            <w:dstrike w:val="0"/>
            <w:noProof w:val="0"/>
            <w:color w:val="0563C1"/>
            <w:sz w:val="22"/>
            <w:szCs w:val="22"/>
            <w:u w:val="single"/>
            <w:lang w:val="en-GB"/>
          </w:rPr>
          <w:t>Event Sample Observations In Childcare - Aussie Childcare Network</w:t>
        </w:r>
      </w:hyperlink>
      <w:r w:rsidRPr="05DEC8D2" w:rsidR="7B78F119">
        <w:rPr>
          <w:rFonts w:ascii="Calibri" w:hAnsi="Calibri" w:eastAsia="Calibri" w:cs="Calibri"/>
          <w:noProof w:val="0"/>
          <w:sz w:val="22"/>
          <w:szCs w:val="22"/>
          <w:lang w:val="en-GB"/>
        </w:rPr>
        <w:t xml:space="preserve"> [Accessed on 19 October 2023]</w:t>
      </w:r>
    </w:p>
    <w:p xmlns:wp14="http://schemas.microsoft.com/office/word/2010/wordml" w:rsidP="05DEC8D2" wp14:paraId="347C56B0" wp14:textId="221245C9">
      <w:pPr>
        <w:spacing w:after="160" w:afterAutospacing="off" w:line="252" w:lineRule="auto"/>
      </w:pPr>
      <w:r w:rsidRPr="05DEC8D2" w:rsidR="7B78F119">
        <w:rPr>
          <w:rFonts w:ascii="Calibri" w:hAnsi="Calibri" w:eastAsia="Calibri" w:cs="Calibri"/>
          <w:noProof w:val="0"/>
          <w:sz w:val="22"/>
          <w:szCs w:val="22"/>
          <w:lang w:val="en-GB"/>
        </w:rPr>
        <w:t xml:space="preserve"> </w:t>
      </w:r>
    </w:p>
    <w:p xmlns:wp14="http://schemas.microsoft.com/office/word/2010/wordml" w:rsidP="05DEC8D2" wp14:paraId="72AF8D0E" wp14:textId="5E661185">
      <w:pPr>
        <w:spacing w:after="160" w:afterAutospacing="off" w:line="252" w:lineRule="auto"/>
      </w:pPr>
      <w:r w:rsidRPr="05DEC8D2" w:rsidR="7B78F119">
        <w:rPr>
          <w:rFonts w:ascii="Calibri" w:hAnsi="Calibri" w:eastAsia="Calibri" w:cs="Calibri"/>
          <w:noProof w:val="0"/>
          <w:sz w:val="22"/>
          <w:szCs w:val="22"/>
          <w:lang w:val="en-GB"/>
        </w:rPr>
        <w:t xml:space="preserve">BERA (2018). </w:t>
      </w:r>
      <w:r w:rsidRPr="05DEC8D2" w:rsidR="7B78F119">
        <w:rPr>
          <w:rFonts w:ascii="Calibri" w:hAnsi="Calibri" w:eastAsia="Calibri" w:cs="Calibri"/>
          <w:i w:val="1"/>
          <w:iCs w:val="1"/>
          <w:noProof w:val="0"/>
          <w:sz w:val="22"/>
          <w:szCs w:val="22"/>
          <w:lang w:val="en-GB"/>
        </w:rPr>
        <w:t>Ethical Guideline for educational research</w:t>
      </w:r>
      <w:r w:rsidRPr="05DEC8D2" w:rsidR="7B78F119">
        <w:rPr>
          <w:rFonts w:ascii="Calibri" w:hAnsi="Calibri" w:eastAsia="Calibri" w:cs="Calibri"/>
          <w:noProof w:val="0"/>
          <w:sz w:val="22"/>
          <w:szCs w:val="22"/>
          <w:lang w:val="en-GB"/>
        </w:rPr>
        <w:t xml:space="preserve">  Available at: </w:t>
      </w:r>
      <w:hyperlink r:id="R7e0ab812ce49445f">
        <w:r w:rsidRPr="05DEC8D2" w:rsidR="7B78F119">
          <w:rPr>
            <w:rStyle w:val="Hyperlink"/>
            <w:rFonts w:ascii="Calibri" w:hAnsi="Calibri" w:eastAsia="Calibri" w:cs="Calibri"/>
            <w:strike w:val="0"/>
            <w:dstrike w:val="0"/>
            <w:noProof w:val="0"/>
            <w:color w:val="0563C1"/>
            <w:sz w:val="22"/>
            <w:szCs w:val="22"/>
            <w:u w:val="single"/>
            <w:lang w:val="en-GB"/>
          </w:rPr>
          <w:t>BERA-Ethical-Guidelines-for-Educational-Research_4thEdn_2018.pdf</w:t>
        </w:r>
      </w:hyperlink>
      <w:r w:rsidRPr="05DEC8D2" w:rsidR="7B78F119">
        <w:rPr>
          <w:rFonts w:ascii="Calibri" w:hAnsi="Calibri" w:eastAsia="Calibri" w:cs="Calibri"/>
          <w:noProof w:val="0"/>
          <w:sz w:val="22"/>
          <w:szCs w:val="22"/>
          <w:lang w:val="en-GB"/>
        </w:rPr>
        <w:t xml:space="preserve"> [Accessed on 22 October 2023]</w:t>
      </w:r>
    </w:p>
    <w:p xmlns:wp14="http://schemas.microsoft.com/office/word/2010/wordml" w:rsidP="05DEC8D2" wp14:paraId="616983E4" wp14:textId="037919A3">
      <w:pPr>
        <w:spacing w:after="160" w:afterAutospacing="off" w:line="252" w:lineRule="auto"/>
      </w:pPr>
      <w:r w:rsidRPr="05DEC8D2" w:rsidR="7B78F119">
        <w:rPr>
          <w:rFonts w:ascii="Calibri" w:hAnsi="Calibri" w:eastAsia="Calibri" w:cs="Calibri"/>
          <w:noProof w:val="0"/>
          <w:sz w:val="22"/>
          <w:szCs w:val="22"/>
          <w:lang w:val="en-GB"/>
        </w:rPr>
        <w:t xml:space="preserve"> </w:t>
      </w:r>
    </w:p>
    <w:p xmlns:wp14="http://schemas.microsoft.com/office/word/2010/wordml" w:rsidP="05DEC8D2" wp14:paraId="2C4E97A6" wp14:textId="37DD1064">
      <w:pPr>
        <w:spacing w:after="160" w:afterAutospacing="off" w:line="252" w:lineRule="auto"/>
      </w:pPr>
      <w:r w:rsidRPr="05DEC8D2" w:rsidR="7B78F119">
        <w:rPr>
          <w:rFonts w:ascii="Calibri" w:hAnsi="Calibri" w:eastAsia="Calibri" w:cs="Calibri"/>
          <w:noProof w:val="0"/>
          <w:sz w:val="22"/>
          <w:szCs w:val="22"/>
          <w:lang w:val="en-GB"/>
        </w:rPr>
        <w:t xml:space="preserve">Carter, N </w:t>
      </w:r>
      <w:r w:rsidRPr="05DEC8D2" w:rsidR="7B78F119">
        <w:rPr>
          <w:rFonts w:ascii="Calibri" w:hAnsi="Calibri" w:eastAsia="Calibri" w:cs="Calibri"/>
          <w:i w:val="1"/>
          <w:iCs w:val="1"/>
          <w:noProof w:val="0"/>
          <w:sz w:val="22"/>
          <w:szCs w:val="22"/>
          <w:lang w:val="en-GB"/>
        </w:rPr>
        <w:t xml:space="preserve">et al, </w:t>
      </w:r>
      <w:r w:rsidRPr="05DEC8D2" w:rsidR="7B78F119">
        <w:rPr>
          <w:rFonts w:ascii="Calibri" w:hAnsi="Calibri" w:eastAsia="Calibri" w:cs="Calibri"/>
          <w:noProof w:val="0"/>
          <w:sz w:val="22"/>
          <w:szCs w:val="22"/>
          <w:lang w:val="en-GB"/>
        </w:rPr>
        <w:t xml:space="preserve">(2014). </w:t>
      </w:r>
      <w:r w:rsidRPr="05DEC8D2" w:rsidR="7B78F119">
        <w:rPr>
          <w:rFonts w:ascii="Calibri" w:hAnsi="Calibri" w:eastAsia="Calibri" w:cs="Calibri"/>
          <w:i w:val="1"/>
          <w:iCs w:val="1"/>
          <w:noProof w:val="0"/>
          <w:sz w:val="22"/>
          <w:szCs w:val="22"/>
          <w:lang w:val="en-GB"/>
        </w:rPr>
        <w:t xml:space="preserve">The use of triangulation in qualitative research. </w:t>
      </w:r>
      <w:r w:rsidRPr="05DEC8D2" w:rsidR="7B78F119">
        <w:rPr>
          <w:rFonts w:ascii="Calibri" w:hAnsi="Calibri" w:eastAsia="Calibri" w:cs="Calibri"/>
          <w:noProof w:val="0"/>
          <w:sz w:val="22"/>
          <w:szCs w:val="22"/>
          <w:lang w:val="en-GB"/>
        </w:rPr>
        <w:t xml:space="preserve">Available at </w:t>
      </w:r>
      <w:hyperlink r:id="R72032b56eb954a39">
        <w:r w:rsidRPr="05DEC8D2" w:rsidR="7B78F119">
          <w:rPr>
            <w:rStyle w:val="Hyperlink"/>
            <w:rFonts w:ascii="Calibri" w:hAnsi="Calibri" w:eastAsia="Calibri" w:cs="Calibri"/>
            <w:strike w:val="0"/>
            <w:dstrike w:val="0"/>
            <w:noProof w:val="0"/>
            <w:color w:val="0563C1"/>
            <w:sz w:val="22"/>
            <w:szCs w:val="22"/>
            <w:u w:val="single"/>
            <w:lang w:val="en-GB"/>
          </w:rPr>
          <w:t>carter2014.pdf</w:t>
        </w:r>
      </w:hyperlink>
      <w:r w:rsidRPr="05DEC8D2" w:rsidR="7B78F119">
        <w:rPr>
          <w:rFonts w:ascii="Calibri" w:hAnsi="Calibri" w:eastAsia="Calibri" w:cs="Calibri"/>
          <w:noProof w:val="0"/>
          <w:sz w:val="22"/>
          <w:szCs w:val="22"/>
          <w:lang w:val="en-GB"/>
        </w:rPr>
        <w:t xml:space="preserve"> [Accessed on 19 October 2023]</w:t>
      </w:r>
    </w:p>
    <w:p xmlns:wp14="http://schemas.microsoft.com/office/word/2010/wordml" w:rsidP="05DEC8D2" wp14:paraId="012CA2A5" wp14:textId="24D0A21C">
      <w:pPr>
        <w:spacing w:after="160" w:afterAutospacing="off" w:line="252" w:lineRule="auto"/>
      </w:pPr>
      <w:r w:rsidRPr="05DEC8D2" w:rsidR="7B78F119">
        <w:rPr>
          <w:rFonts w:ascii="Arial" w:hAnsi="Arial" w:eastAsia="Arial" w:cs="Arial"/>
          <w:noProof w:val="0"/>
          <w:color w:val="000000" w:themeColor="text1" w:themeTint="FF" w:themeShade="FF"/>
          <w:sz w:val="22"/>
          <w:szCs w:val="22"/>
          <w:lang w:val="en-GB"/>
        </w:rPr>
        <w:t xml:space="preserve">Cathrine E. Snow, Timothy J. Matthews (2016), </w:t>
      </w:r>
      <w:r w:rsidRPr="05DEC8D2" w:rsidR="7B78F119">
        <w:rPr>
          <w:rFonts w:ascii="Arial" w:hAnsi="Arial" w:eastAsia="Arial" w:cs="Arial"/>
          <w:i w:val="1"/>
          <w:iCs w:val="1"/>
          <w:noProof w:val="0"/>
          <w:color w:val="000000" w:themeColor="text1" w:themeTint="FF" w:themeShade="FF"/>
          <w:sz w:val="22"/>
          <w:szCs w:val="22"/>
          <w:lang w:val="en-GB"/>
        </w:rPr>
        <w:t>The future of children</w:t>
      </w:r>
      <w:r w:rsidRPr="05DEC8D2" w:rsidR="7B78F119">
        <w:rPr>
          <w:rFonts w:ascii="Arial" w:hAnsi="Arial" w:eastAsia="Arial" w:cs="Arial"/>
          <w:noProof w:val="0"/>
          <w:color w:val="000000" w:themeColor="text1" w:themeTint="FF" w:themeShade="FF"/>
          <w:sz w:val="22"/>
          <w:szCs w:val="22"/>
          <w:lang w:val="en-GB"/>
        </w:rPr>
        <w:t xml:space="preserve"> </w:t>
      </w:r>
      <w:r w:rsidRPr="05DEC8D2" w:rsidR="7B78F119">
        <w:rPr>
          <w:rFonts w:ascii="Helvetica" w:hAnsi="Helvetica" w:eastAsia="Helvetica" w:cs="Helvetica"/>
          <w:noProof w:val="0"/>
          <w:sz w:val="22"/>
          <w:szCs w:val="22"/>
          <w:lang w:val="en-GB"/>
        </w:rPr>
        <w:t>Vol. 26, No. 2, Starting Early: Education from Pre-Kindergarten to Third Grade (Fall 2016), pp. 57-74 (18 pages)</w:t>
      </w:r>
      <w:r w:rsidRPr="05DEC8D2" w:rsidR="7B78F119">
        <w:rPr>
          <w:rFonts w:ascii="Calibri" w:hAnsi="Calibri" w:eastAsia="Calibri" w:cs="Calibri"/>
          <w:noProof w:val="0"/>
          <w:sz w:val="22"/>
          <w:szCs w:val="22"/>
          <w:lang w:val="en-GB"/>
        </w:rPr>
        <w:t xml:space="preserve"> Available at: </w:t>
      </w:r>
      <w:hyperlink r:id="Rae68f6ed38804665">
        <w:r w:rsidRPr="05DEC8D2" w:rsidR="7B78F119">
          <w:rPr>
            <w:rStyle w:val="Hyperlink"/>
            <w:rFonts w:ascii="Calibri" w:hAnsi="Calibri" w:eastAsia="Calibri" w:cs="Calibri"/>
            <w:strike w:val="0"/>
            <w:dstrike w:val="0"/>
            <w:noProof w:val="0"/>
            <w:color w:val="0563C1"/>
            <w:sz w:val="22"/>
            <w:szCs w:val="22"/>
            <w:u w:val="single"/>
            <w:lang w:val="en-GB"/>
          </w:rPr>
          <w:t>https://www.jstor.org/stable/43940581</w:t>
        </w:r>
      </w:hyperlink>
      <w:r w:rsidRPr="05DEC8D2" w:rsidR="7B78F119">
        <w:rPr>
          <w:rFonts w:ascii="Calibri" w:hAnsi="Calibri" w:eastAsia="Calibri" w:cs="Calibri"/>
          <w:noProof w:val="0"/>
          <w:sz w:val="22"/>
          <w:szCs w:val="22"/>
          <w:lang w:val="en-GB"/>
        </w:rPr>
        <w:t xml:space="preserve"> [ Accessed on 15 October 2023]</w:t>
      </w:r>
    </w:p>
    <w:p xmlns:wp14="http://schemas.microsoft.com/office/word/2010/wordml" w:rsidP="05DEC8D2" wp14:paraId="7552695E" wp14:textId="033EBB53">
      <w:pPr>
        <w:spacing w:after="160" w:afterAutospacing="off" w:line="252" w:lineRule="auto"/>
      </w:pPr>
      <w:r w:rsidRPr="05DEC8D2" w:rsidR="7B78F119">
        <w:rPr>
          <w:rFonts w:ascii="Helvetica" w:hAnsi="Helvetica" w:eastAsia="Helvetica" w:cs="Helvetica"/>
          <w:noProof w:val="0"/>
          <w:color w:val="000000" w:themeColor="text1" w:themeTint="FF" w:themeShade="FF"/>
          <w:sz w:val="22"/>
          <w:szCs w:val="22"/>
          <w:lang w:val="en-GB"/>
        </w:rPr>
        <w:t xml:space="preserve"> </w:t>
      </w:r>
    </w:p>
    <w:p xmlns:wp14="http://schemas.microsoft.com/office/word/2010/wordml" w:rsidP="05DEC8D2" wp14:paraId="49F6035E" wp14:textId="74ECA72B">
      <w:pPr>
        <w:spacing w:after="160" w:afterAutospacing="off" w:line="252" w:lineRule="auto"/>
      </w:pPr>
      <w:r w:rsidRPr="05DEC8D2" w:rsidR="7B78F119">
        <w:rPr>
          <w:rFonts w:ascii="Calibri" w:hAnsi="Calibri" w:eastAsia="Calibri" w:cs="Calibri"/>
          <w:noProof w:val="0"/>
          <w:sz w:val="22"/>
          <w:szCs w:val="22"/>
          <w:lang w:val="en-GB"/>
        </w:rPr>
        <w:t xml:space="preserve">Colosi, L. (2002) </w:t>
      </w:r>
      <w:r w:rsidRPr="05DEC8D2" w:rsidR="7B78F119">
        <w:rPr>
          <w:rFonts w:ascii="Calibri" w:hAnsi="Calibri" w:eastAsia="Calibri" w:cs="Calibri"/>
          <w:i w:val="1"/>
          <w:iCs w:val="1"/>
          <w:noProof w:val="0"/>
          <w:sz w:val="22"/>
          <w:szCs w:val="22"/>
          <w:lang w:val="en-GB"/>
        </w:rPr>
        <w:t xml:space="preserve">Designing an effective questionnaire. </w:t>
      </w:r>
      <w:r w:rsidRPr="05DEC8D2" w:rsidR="7B78F119">
        <w:rPr>
          <w:rFonts w:ascii="Calibri" w:hAnsi="Calibri" w:eastAsia="Calibri" w:cs="Calibri"/>
          <w:noProof w:val="0"/>
          <w:sz w:val="22"/>
          <w:szCs w:val="22"/>
          <w:lang w:val="en-GB"/>
        </w:rPr>
        <w:t xml:space="preserve">Available at: </w:t>
      </w:r>
      <w:hyperlink r:id="R7ed89be2319a4f86">
        <w:r w:rsidRPr="05DEC8D2" w:rsidR="7B78F119">
          <w:rPr>
            <w:rStyle w:val="Hyperlink"/>
            <w:rFonts w:ascii="Calibri" w:hAnsi="Calibri" w:eastAsia="Calibri" w:cs="Calibri"/>
            <w:strike w:val="0"/>
            <w:dstrike w:val="0"/>
            <w:noProof w:val="0"/>
            <w:color w:val="0563C1"/>
            <w:sz w:val="22"/>
            <w:szCs w:val="22"/>
            <w:u w:val="single"/>
            <w:lang w:val="en-GB"/>
          </w:rPr>
          <w:t>Colosi - 2002 - Designing an Effective Questionnaire.pdf (uiowa.edu)</w:t>
        </w:r>
      </w:hyperlink>
      <w:r w:rsidRPr="05DEC8D2" w:rsidR="7B78F119">
        <w:rPr>
          <w:rFonts w:ascii="Calibri" w:hAnsi="Calibri" w:eastAsia="Calibri" w:cs="Calibri"/>
          <w:strike w:val="0"/>
          <w:dstrike w:val="0"/>
          <w:noProof w:val="0"/>
          <w:color w:val="0563C1"/>
          <w:sz w:val="22"/>
          <w:szCs w:val="22"/>
          <w:u w:val="single"/>
          <w:lang w:val="en-GB"/>
        </w:rPr>
        <w:t xml:space="preserve"> </w:t>
      </w:r>
      <w:r w:rsidRPr="05DEC8D2" w:rsidR="7B78F119">
        <w:rPr>
          <w:rFonts w:ascii="Calibri" w:hAnsi="Calibri" w:eastAsia="Calibri" w:cs="Calibri"/>
          <w:noProof w:val="0"/>
          <w:sz w:val="22"/>
          <w:szCs w:val="22"/>
          <w:lang w:val="en-GB"/>
        </w:rPr>
        <w:t>[Accessed on 18 October 2023]</w:t>
      </w:r>
    </w:p>
    <w:p xmlns:wp14="http://schemas.microsoft.com/office/word/2010/wordml" w:rsidP="05DEC8D2" wp14:paraId="1D765DE6" wp14:textId="4989A12C">
      <w:pPr>
        <w:spacing w:after="160" w:afterAutospacing="off" w:line="252" w:lineRule="auto"/>
      </w:pPr>
      <w:r w:rsidRPr="05DEC8D2" w:rsidR="7B78F119">
        <w:rPr>
          <w:rFonts w:ascii="Calibri" w:hAnsi="Calibri" w:eastAsia="Calibri" w:cs="Calibri"/>
          <w:noProof w:val="0"/>
          <w:sz w:val="22"/>
          <w:szCs w:val="22"/>
          <w:lang w:val="en-GB"/>
        </w:rPr>
        <w:t xml:space="preserve"> </w:t>
      </w:r>
    </w:p>
    <w:p xmlns:wp14="http://schemas.microsoft.com/office/word/2010/wordml" wp14:paraId="146C27E0" wp14:textId="08D6ABA7">
      <w:r w:rsidRPr="05DEC8D2" w:rsidR="7B78F119">
        <w:rPr>
          <w:rFonts w:ascii="Calibri" w:hAnsi="Calibri" w:eastAsia="Calibri" w:cs="Calibri"/>
          <w:noProof w:val="0"/>
          <w:sz w:val="22"/>
          <w:szCs w:val="22"/>
          <w:lang w:val="en-GB"/>
        </w:rPr>
        <w:t>Giulio Gabrieli1, Albert Lee1, Peipei Setoh1 and Gianluca Esposito, (2021</w:t>
      </w:r>
      <w:r w:rsidRPr="05DEC8D2" w:rsidR="7B78F119">
        <w:rPr>
          <w:rFonts w:ascii="Calibri" w:hAnsi="Calibri" w:eastAsia="Calibri" w:cs="Calibri"/>
          <w:i w:val="1"/>
          <w:iCs w:val="1"/>
          <w:noProof w:val="0"/>
          <w:sz w:val="22"/>
          <w:szCs w:val="22"/>
          <w:lang w:val="en-GB"/>
        </w:rPr>
        <w:t xml:space="preserve">) An analysis of the generalizability and stability of the halo effect during covid-19 pandemic outbreak. </w:t>
      </w:r>
      <w:r w:rsidRPr="05DEC8D2" w:rsidR="7B78F119">
        <w:rPr>
          <w:rFonts w:ascii="Calibri" w:hAnsi="Calibri" w:eastAsia="Calibri" w:cs="Calibri"/>
          <w:noProof w:val="0"/>
          <w:sz w:val="22"/>
          <w:szCs w:val="22"/>
          <w:lang w:val="en-GB"/>
        </w:rPr>
        <w:t xml:space="preserve">Available at: </w:t>
      </w:r>
      <w:r w:rsidRPr="05DEC8D2" w:rsidR="7B78F119">
        <w:rPr>
          <w:rFonts w:ascii="Georgia" w:hAnsi="Georgia" w:eastAsia="Georgia" w:cs="Georgia"/>
          <w:noProof w:val="0"/>
          <w:color w:val="282828"/>
          <w:sz w:val="22"/>
          <w:szCs w:val="22"/>
          <w:lang w:val="en-GB"/>
        </w:rPr>
        <w:t xml:space="preserve"> </w:t>
      </w:r>
      <w:hyperlink r:id="Rc03e2cd948ce48fb">
        <w:r w:rsidRPr="05DEC8D2" w:rsidR="7B78F119">
          <w:rPr>
            <w:rStyle w:val="Hyperlink"/>
            <w:rFonts w:ascii="Georgia" w:hAnsi="Georgia" w:eastAsia="Georgia" w:cs="Georgia"/>
            <w:strike w:val="0"/>
            <w:dstrike w:val="0"/>
            <w:noProof w:val="0"/>
            <w:color w:val="282828"/>
            <w:sz w:val="22"/>
            <w:szCs w:val="22"/>
            <w:u w:val="single"/>
            <w:lang w:val="en-GB"/>
          </w:rPr>
          <w:t>https://doi.org/10.3389/fpsyg.2021.631871</w:t>
        </w:r>
      </w:hyperlink>
      <w:r w:rsidRPr="05DEC8D2" w:rsidR="7B78F119">
        <w:rPr>
          <w:rFonts w:ascii="Calibri" w:hAnsi="Calibri" w:eastAsia="Calibri" w:cs="Calibri"/>
          <w:noProof w:val="0"/>
          <w:sz w:val="22"/>
          <w:szCs w:val="22"/>
          <w:lang w:val="en-GB"/>
        </w:rPr>
        <w:t xml:space="preserve"> [Accessed on 19 October 2023]</w:t>
      </w:r>
    </w:p>
    <w:p xmlns:wp14="http://schemas.microsoft.com/office/word/2010/wordml" wp14:paraId="42994538" wp14:textId="7486C834">
      <w:r w:rsidRPr="05DEC8D2" w:rsidR="7B78F119">
        <w:rPr>
          <w:rFonts w:ascii="Calibri" w:hAnsi="Calibri" w:eastAsia="Calibri" w:cs="Calibri"/>
          <w:noProof w:val="0"/>
          <w:sz w:val="22"/>
          <w:szCs w:val="22"/>
          <w:lang w:val="en-GB"/>
        </w:rPr>
        <w:t xml:space="preserve"> </w:t>
      </w:r>
    </w:p>
    <w:p xmlns:wp14="http://schemas.microsoft.com/office/word/2010/wordml" wp14:paraId="72856476" wp14:textId="5BDA85D8">
      <w:r w:rsidRPr="05DEC8D2" w:rsidR="7B78F119">
        <w:rPr>
          <w:rFonts w:ascii="Calibri" w:hAnsi="Calibri" w:eastAsia="Calibri" w:cs="Calibri"/>
          <w:noProof w:val="0"/>
          <w:sz w:val="22"/>
          <w:szCs w:val="22"/>
          <w:lang w:val="en-GB"/>
        </w:rPr>
        <w:t>GOV.UK (No date</w:t>
      </w:r>
      <w:r w:rsidRPr="05DEC8D2" w:rsidR="7B78F119">
        <w:rPr>
          <w:rFonts w:ascii="Calibri" w:hAnsi="Calibri" w:eastAsia="Calibri" w:cs="Calibri"/>
          <w:i w:val="1"/>
          <w:iCs w:val="1"/>
          <w:noProof w:val="0"/>
          <w:sz w:val="22"/>
          <w:szCs w:val="22"/>
          <w:lang w:val="en-GB"/>
        </w:rPr>
        <w:t>), Reading comprehension</w:t>
      </w:r>
      <w:r w:rsidRPr="05DEC8D2" w:rsidR="7B78F119">
        <w:rPr>
          <w:rFonts w:ascii="Calibri" w:hAnsi="Calibri" w:eastAsia="Calibri" w:cs="Calibri"/>
          <w:noProof w:val="0"/>
          <w:sz w:val="22"/>
          <w:szCs w:val="22"/>
          <w:lang w:val="en-GB"/>
        </w:rPr>
        <w:t xml:space="preserve">. Available at : </w:t>
      </w:r>
      <w:hyperlink r:id="R19f3d75de70747b9">
        <w:r w:rsidRPr="05DEC8D2" w:rsidR="7B78F119">
          <w:rPr>
            <w:rStyle w:val="Hyperlink"/>
            <w:rFonts w:ascii="Calibri" w:hAnsi="Calibri" w:eastAsia="Calibri" w:cs="Calibri"/>
            <w:strike w:val="0"/>
            <w:dstrike w:val="0"/>
            <w:noProof w:val="0"/>
            <w:color w:val="0563C1"/>
            <w:sz w:val="22"/>
            <w:szCs w:val="22"/>
            <w:u w:val="single"/>
            <w:lang w:val="en-GB"/>
          </w:rPr>
          <w:t>Reading comprehension - Help for early years providers - GOV.UK (education.gov.uk)</w:t>
        </w:r>
      </w:hyperlink>
      <w:r w:rsidRPr="05DEC8D2" w:rsidR="7B78F119">
        <w:rPr>
          <w:rFonts w:ascii="Calibri" w:hAnsi="Calibri" w:eastAsia="Calibri" w:cs="Calibri"/>
          <w:noProof w:val="0"/>
          <w:sz w:val="22"/>
          <w:szCs w:val="22"/>
          <w:lang w:val="en-GB"/>
        </w:rPr>
        <w:t xml:space="preserve">  [ Accessed on 11 October 2023]</w:t>
      </w:r>
    </w:p>
    <w:p xmlns:wp14="http://schemas.microsoft.com/office/word/2010/wordml" wp14:paraId="35407C47" wp14:textId="76E9164A">
      <w:r w:rsidRPr="05DEC8D2" w:rsidR="7B78F119">
        <w:rPr>
          <w:rFonts w:ascii="Calibri" w:hAnsi="Calibri" w:eastAsia="Calibri" w:cs="Calibri"/>
          <w:noProof w:val="0"/>
          <w:sz w:val="22"/>
          <w:szCs w:val="22"/>
          <w:lang w:val="en-GB"/>
        </w:rPr>
        <w:t xml:space="preserve"> </w:t>
      </w:r>
    </w:p>
    <w:p xmlns:wp14="http://schemas.microsoft.com/office/word/2010/wordml" w:rsidP="05DEC8D2" wp14:paraId="7DCBDA4B" wp14:textId="3A9FD6E7">
      <w:pPr>
        <w:spacing w:after="160" w:afterAutospacing="off" w:line="252" w:lineRule="auto"/>
      </w:pPr>
      <w:r w:rsidRPr="05DEC8D2" w:rsidR="7B78F119">
        <w:rPr>
          <w:rFonts w:ascii="Calibri" w:hAnsi="Calibri" w:eastAsia="Calibri" w:cs="Calibri"/>
          <w:noProof w:val="0"/>
          <w:sz w:val="22"/>
          <w:szCs w:val="22"/>
          <w:lang w:val="en-GB"/>
        </w:rPr>
        <w:t xml:space="preserve">GOV.UK (No date), </w:t>
      </w:r>
      <w:r w:rsidRPr="05DEC8D2" w:rsidR="7B78F119">
        <w:rPr>
          <w:rFonts w:ascii="Calibri" w:hAnsi="Calibri" w:eastAsia="Calibri" w:cs="Calibri"/>
          <w:i w:val="1"/>
          <w:iCs w:val="1"/>
          <w:noProof w:val="0"/>
          <w:sz w:val="22"/>
          <w:szCs w:val="22"/>
          <w:lang w:val="en-GB"/>
        </w:rPr>
        <w:t>The data protection act</w:t>
      </w:r>
      <w:r w:rsidRPr="05DEC8D2" w:rsidR="7B78F119">
        <w:rPr>
          <w:rFonts w:ascii="Calibri" w:hAnsi="Calibri" w:eastAsia="Calibri" w:cs="Calibri"/>
          <w:noProof w:val="0"/>
          <w:sz w:val="22"/>
          <w:szCs w:val="22"/>
          <w:lang w:val="en-GB"/>
        </w:rPr>
        <w:t xml:space="preserve">. Available at: </w:t>
      </w:r>
      <w:hyperlink>
        <w:r w:rsidRPr="05DEC8D2" w:rsidR="7B78F119">
          <w:rPr>
            <w:rStyle w:val="Hyperlink"/>
            <w:rFonts w:ascii="Calibri" w:hAnsi="Calibri" w:eastAsia="Calibri" w:cs="Calibri"/>
            <w:strike w:val="0"/>
            <w:dstrike w:val="0"/>
            <w:noProof w:val="0"/>
            <w:color w:val="0563C1"/>
            <w:sz w:val="22"/>
            <w:szCs w:val="22"/>
            <w:u w:val="single"/>
            <w:lang w:val="en-GB"/>
          </w:rPr>
          <w:t>Data protection: The Data Protection Act - GOV.UK (www.gov.uk)</w:t>
        </w:r>
      </w:hyperlink>
      <w:r w:rsidRPr="05DEC8D2" w:rsidR="7B78F119">
        <w:rPr>
          <w:rFonts w:ascii="Calibri" w:hAnsi="Calibri" w:eastAsia="Calibri" w:cs="Calibri"/>
          <w:noProof w:val="0"/>
          <w:sz w:val="22"/>
          <w:szCs w:val="22"/>
          <w:lang w:val="en-GB"/>
        </w:rPr>
        <w:t xml:space="preserve"> [Accessed on 22 October 2023]</w:t>
      </w:r>
    </w:p>
    <w:p xmlns:wp14="http://schemas.microsoft.com/office/word/2010/wordml" w:rsidP="05DEC8D2" wp14:paraId="6EDC9671" wp14:textId="627559A0">
      <w:pPr>
        <w:spacing w:after="160" w:afterAutospacing="off" w:line="252" w:lineRule="auto"/>
      </w:pPr>
      <w:r w:rsidRPr="05DEC8D2" w:rsidR="7B78F119">
        <w:rPr>
          <w:rFonts w:ascii="Calibri" w:hAnsi="Calibri" w:eastAsia="Calibri" w:cs="Calibri"/>
          <w:noProof w:val="0"/>
          <w:color w:val="000000" w:themeColor="text1" w:themeTint="FF" w:themeShade="FF"/>
          <w:sz w:val="22"/>
          <w:szCs w:val="22"/>
          <w:lang w:val="en-GB"/>
        </w:rPr>
        <w:t xml:space="preserve">Holmes, R (2018) </w:t>
      </w:r>
      <w:r w:rsidRPr="05DEC8D2" w:rsidR="7B78F119">
        <w:rPr>
          <w:rFonts w:ascii="Calibri" w:hAnsi="Calibri" w:eastAsia="Calibri" w:cs="Calibri"/>
          <w:i w:val="1"/>
          <w:iCs w:val="1"/>
          <w:noProof w:val="0"/>
          <w:color w:val="000000" w:themeColor="text1" w:themeTint="FF" w:themeShade="FF"/>
          <w:sz w:val="22"/>
          <w:szCs w:val="22"/>
          <w:lang w:val="en-GB"/>
        </w:rPr>
        <w:t>Doing your early years research project: A step by step guide</w:t>
      </w:r>
      <w:r w:rsidRPr="05DEC8D2" w:rsidR="7B78F119">
        <w:rPr>
          <w:rFonts w:ascii="Calibri" w:hAnsi="Calibri" w:eastAsia="Calibri" w:cs="Calibri"/>
          <w:noProof w:val="0"/>
          <w:color w:val="000000" w:themeColor="text1" w:themeTint="FF" w:themeShade="FF"/>
          <w:sz w:val="22"/>
          <w:szCs w:val="22"/>
          <w:lang w:val="en-GB"/>
        </w:rPr>
        <w:t>. 4</w:t>
      </w:r>
      <w:r w:rsidRPr="05DEC8D2" w:rsidR="7B78F119">
        <w:rPr>
          <w:rFonts w:ascii="Calibri" w:hAnsi="Calibri" w:eastAsia="Calibri" w:cs="Calibri"/>
          <w:noProof w:val="0"/>
          <w:color w:val="000000" w:themeColor="text1" w:themeTint="FF" w:themeShade="FF"/>
          <w:sz w:val="22"/>
          <w:szCs w:val="22"/>
          <w:vertAlign w:val="superscript"/>
          <w:lang w:val="en-GB"/>
        </w:rPr>
        <w:t>th</w:t>
      </w:r>
      <w:r w:rsidRPr="05DEC8D2" w:rsidR="7B78F119">
        <w:rPr>
          <w:rFonts w:ascii="Calibri" w:hAnsi="Calibri" w:eastAsia="Calibri" w:cs="Calibri"/>
          <w:noProof w:val="0"/>
          <w:color w:val="000000" w:themeColor="text1" w:themeTint="FF" w:themeShade="FF"/>
          <w:sz w:val="22"/>
          <w:szCs w:val="22"/>
          <w:lang w:val="en-GB"/>
        </w:rPr>
        <w:t xml:space="preserve"> edn. London.</w:t>
      </w:r>
    </w:p>
    <w:p xmlns:wp14="http://schemas.microsoft.com/office/word/2010/wordml" wp14:paraId="3D81AEFD" wp14:textId="1167FC5F">
      <w:r w:rsidRPr="05DEC8D2" w:rsidR="7B78F119">
        <w:rPr>
          <w:rFonts w:ascii="Segoe UI" w:hAnsi="Segoe UI" w:eastAsia="Segoe UI" w:cs="Segoe UI"/>
          <w:noProof w:val="0"/>
          <w:color w:val="333333"/>
          <w:sz w:val="22"/>
          <w:szCs w:val="22"/>
          <w:lang w:val="en-GB"/>
        </w:rPr>
        <w:t xml:space="preserve">Kalogiannakis, M., Nirgianaki, GM. &amp; Papadakis, S.(2017) Teaching Magnetism to Preschool Children: The Effectiveness of Picture Story Reading. </w:t>
      </w:r>
      <w:r w:rsidRPr="05DEC8D2" w:rsidR="7B78F119">
        <w:rPr>
          <w:rFonts w:ascii="Segoe UI" w:hAnsi="Segoe UI" w:eastAsia="Segoe UI" w:cs="Segoe UI"/>
          <w:i w:val="1"/>
          <w:iCs w:val="1"/>
          <w:noProof w:val="0"/>
          <w:color w:val="333333"/>
          <w:sz w:val="22"/>
          <w:szCs w:val="22"/>
          <w:lang w:val="en-GB"/>
        </w:rPr>
        <w:t>Early Childhood Educ J</w:t>
      </w:r>
      <w:r w:rsidRPr="05DEC8D2" w:rsidR="7B78F119">
        <w:rPr>
          <w:rFonts w:ascii="Segoe UI" w:hAnsi="Segoe UI" w:eastAsia="Segoe UI" w:cs="Segoe UI"/>
          <w:noProof w:val="0"/>
          <w:color w:val="333333"/>
          <w:sz w:val="22"/>
          <w:szCs w:val="22"/>
          <w:lang w:val="en-GB"/>
        </w:rPr>
        <w:t xml:space="preserve"> </w:t>
      </w:r>
      <w:r w:rsidRPr="05DEC8D2" w:rsidR="7B78F119">
        <w:rPr>
          <w:rFonts w:ascii="Segoe UI" w:hAnsi="Segoe UI" w:eastAsia="Segoe UI" w:cs="Segoe UI"/>
          <w:b w:val="1"/>
          <w:bCs w:val="1"/>
          <w:noProof w:val="0"/>
          <w:color w:val="333333"/>
          <w:sz w:val="22"/>
          <w:szCs w:val="22"/>
          <w:lang w:val="en-GB"/>
        </w:rPr>
        <w:t>46</w:t>
      </w:r>
      <w:r w:rsidRPr="05DEC8D2" w:rsidR="7B78F119">
        <w:rPr>
          <w:rFonts w:ascii="Segoe UI" w:hAnsi="Segoe UI" w:eastAsia="Segoe UI" w:cs="Segoe UI"/>
          <w:noProof w:val="0"/>
          <w:color w:val="333333"/>
          <w:sz w:val="22"/>
          <w:szCs w:val="22"/>
          <w:lang w:val="en-GB"/>
        </w:rPr>
        <w:t xml:space="preserve">, 535–546. Available at: </w:t>
      </w:r>
      <w:hyperlink r:id="Ra61912369258487d">
        <w:r w:rsidRPr="05DEC8D2" w:rsidR="7B78F119">
          <w:rPr>
            <w:rStyle w:val="Hyperlink"/>
            <w:rFonts w:ascii="Segoe UI" w:hAnsi="Segoe UI" w:eastAsia="Segoe UI" w:cs="Segoe UI"/>
            <w:strike w:val="0"/>
            <w:dstrike w:val="0"/>
            <w:noProof w:val="0"/>
            <w:color w:val="0563C1"/>
            <w:sz w:val="22"/>
            <w:szCs w:val="22"/>
            <w:u w:val="single"/>
            <w:lang w:val="en-GB"/>
          </w:rPr>
          <w:t>https://doi.org/10.1007/s10643-017-0884-4</w:t>
        </w:r>
      </w:hyperlink>
      <w:r w:rsidRPr="05DEC8D2" w:rsidR="7B78F119">
        <w:rPr>
          <w:rFonts w:ascii="Segoe UI" w:hAnsi="Segoe UI" w:eastAsia="Segoe UI" w:cs="Segoe UI"/>
          <w:noProof w:val="0"/>
          <w:color w:val="333333"/>
          <w:sz w:val="22"/>
          <w:szCs w:val="22"/>
          <w:lang w:val="en-GB"/>
        </w:rPr>
        <w:t xml:space="preserve"> </w:t>
      </w:r>
      <w:r w:rsidRPr="05DEC8D2" w:rsidR="7B78F119">
        <w:rPr>
          <w:rFonts w:ascii="Calibri" w:hAnsi="Calibri" w:eastAsia="Calibri" w:cs="Calibri"/>
          <w:noProof w:val="0"/>
          <w:sz w:val="22"/>
          <w:szCs w:val="22"/>
          <w:lang w:val="en-GB"/>
        </w:rPr>
        <w:t>[ Accessed on 11 October 2023]</w:t>
      </w:r>
    </w:p>
    <w:p xmlns:wp14="http://schemas.microsoft.com/office/word/2010/wordml" wp14:paraId="428806C4" wp14:textId="6445C507">
      <w:r w:rsidRPr="05DEC8D2" w:rsidR="7B78F119">
        <w:rPr>
          <w:rFonts w:ascii="Calibri" w:hAnsi="Calibri" w:eastAsia="Calibri" w:cs="Calibri"/>
          <w:noProof w:val="0"/>
          <w:sz w:val="22"/>
          <w:szCs w:val="22"/>
          <w:lang w:val="en-GB"/>
        </w:rPr>
        <w:t xml:space="preserve"> </w:t>
      </w:r>
    </w:p>
    <w:p xmlns:wp14="http://schemas.microsoft.com/office/word/2010/wordml" wp14:paraId="3ED54432" wp14:textId="4F700A8E">
      <w:r w:rsidRPr="05DEC8D2" w:rsidR="7B78F119">
        <w:rPr>
          <w:rFonts w:ascii="Segoe UI" w:hAnsi="Segoe UI" w:eastAsia="Segoe UI" w:cs="Segoe UI"/>
          <w:noProof w:val="0"/>
          <w:color w:val="333333"/>
          <w:sz w:val="22"/>
          <w:szCs w:val="22"/>
          <w:lang w:val="en-GB"/>
        </w:rPr>
        <w:t xml:space="preserve">Lee, B.Y. (2017)Facilitating Reading Habits and Creating Peer Culture in Shared Book Reading: An Exploratory Case Study in a Toddler Classroom. </w:t>
      </w:r>
      <w:r w:rsidRPr="05DEC8D2" w:rsidR="7B78F119">
        <w:rPr>
          <w:rFonts w:ascii="Segoe UI" w:hAnsi="Segoe UI" w:eastAsia="Segoe UI" w:cs="Segoe UI"/>
          <w:i w:val="1"/>
          <w:iCs w:val="1"/>
          <w:noProof w:val="0"/>
          <w:color w:val="333333"/>
          <w:sz w:val="22"/>
          <w:szCs w:val="22"/>
          <w:lang w:val="en-GB"/>
        </w:rPr>
        <w:t>Early Childhood Educ J</w:t>
      </w:r>
      <w:r w:rsidRPr="05DEC8D2" w:rsidR="7B78F119">
        <w:rPr>
          <w:rFonts w:ascii="Segoe UI" w:hAnsi="Segoe UI" w:eastAsia="Segoe UI" w:cs="Segoe UI"/>
          <w:noProof w:val="0"/>
          <w:color w:val="333333"/>
          <w:sz w:val="22"/>
          <w:szCs w:val="22"/>
          <w:lang w:val="en-GB"/>
        </w:rPr>
        <w:t xml:space="preserve"> </w:t>
      </w:r>
      <w:r w:rsidRPr="05DEC8D2" w:rsidR="7B78F119">
        <w:rPr>
          <w:rFonts w:ascii="Segoe UI" w:hAnsi="Segoe UI" w:eastAsia="Segoe UI" w:cs="Segoe UI"/>
          <w:b w:val="1"/>
          <w:bCs w:val="1"/>
          <w:noProof w:val="0"/>
          <w:color w:val="333333"/>
          <w:sz w:val="22"/>
          <w:szCs w:val="22"/>
          <w:lang w:val="en-GB"/>
        </w:rPr>
        <w:t>45</w:t>
      </w:r>
      <w:r w:rsidRPr="05DEC8D2" w:rsidR="7B78F119">
        <w:rPr>
          <w:rFonts w:ascii="Segoe UI" w:hAnsi="Segoe UI" w:eastAsia="Segoe UI" w:cs="Segoe UI"/>
          <w:noProof w:val="0"/>
          <w:color w:val="333333"/>
          <w:sz w:val="22"/>
          <w:szCs w:val="22"/>
          <w:lang w:val="en-GB"/>
        </w:rPr>
        <w:t xml:space="preserve">, 521–527. Available at: </w:t>
      </w:r>
      <w:hyperlink r:id="Rfc866896c1ea4e04">
        <w:r w:rsidRPr="05DEC8D2" w:rsidR="7B78F119">
          <w:rPr>
            <w:rStyle w:val="Hyperlink"/>
            <w:rFonts w:ascii="Segoe UI" w:hAnsi="Segoe UI" w:eastAsia="Segoe UI" w:cs="Segoe UI"/>
            <w:strike w:val="0"/>
            <w:dstrike w:val="0"/>
            <w:noProof w:val="0"/>
            <w:color w:val="0563C1"/>
            <w:sz w:val="22"/>
            <w:szCs w:val="22"/>
            <w:u w:val="single"/>
            <w:lang w:val="en-GB"/>
          </w:rPr>
          <w:t>https//doi.org/10.1007/s10643-016-0782-1</w:t>
        </w:r>
      </w:hyperlink>
      <w:r w:rsidRPr="05DEC8D2" w:rsidR="7B78F119">
        <w:rPr>
          <w:rFonts w:ascii="Segoe UI" w:hAnsi="Segoe UI" w:eastAsia="Segoe UI" w:cs="Segoe UI"/>
          <w:noProof w:val="0"/>
          <w:color w:val="333333"/>
          <w:sz w:val="22"/>
          <w:szCs w:val="22"/>
          <w:lang w:val="en-GB"/>
        </w:rPr>
        <w:t xml:space="preserve"> </w:t>
      </w:r>
      <w:r w:rsidRPr="05DEC8D2" w:rsidR="7B78F119">
        <w:rPr>
          <w:rFonts w:ascii="Calibri" w:hAnsi="Calibri" w:eastAsia="Calibri" w:cs="Calibri"/>
          <w:noProof w:val="0"/>
          <w:sz w:val="22"/>
          <w:szCs w:val="22"/>
          <w:lang w:val="en-GB"/>
        </w:rPr>
        <w:t>[ Accessed on 11 October 2023]</w:t>
      </w:r>
    </w:p>
    <w:p xmlns:wp14="http://schemas.microsoft.com/office/word/2010/wordml" wp14:paraId="455ABC73" wp14:textId="16F4249F">
      <w:r w:rsidRPr="05DEC8D2" w:rsidR="7B78F119">
        <w:rPr>
          <w:rFonts w:ascii="Calibri" w:hAnsi="Calibri" w:eastAsia="Calibri" w:cs="Calibri"/>
          <w:noProof w:val="0"/>
          <w:sz w:val="22"/>
          <w:szCs w:val="22"/>
          <w:lang w:val="en-GB"/>
        </w:rPr>
        <w:t xml:space="preserve"> </w:t>
      </w:r>
    </w:p>
    <w:p xmlns:wp14="http://schemas.microsoft.com/office/word/2010/wordml" wp14:paraId="04C08C57" wp14:textId="4EA81280">
      <w:r w:rsidRPr="05DEC8D2" w:rsidR="7B78F119">
        <w:rPr>
          <w:rFonts w:ascii="Calibri" w:hAnsi="Calibri" w:eastAsia="Calibri" w:cs="Calibri"/>
          <w:noProof w:val="0"/>
          <w:sz w:val="22"/>
          <w:szCs w:val="22"/>
          <w:lang w:val="en-GB"/>
        </w:rPr>
        <w:t xml:space="preserve">Lyon. G, (2003) </w:t>
      </w:r>
      <w:r w:rsidRPr="05DEC8D2" w:rsidR="7B78F119">
        <w:rPr>
          <w:rFonts w:ascii="Calibri" w:hAnsi="Calibri" w:eastAsia="Calibri" w:cs="Calibri"/>
          <w:i w:val="1"/>
          <w:iCs w:val="1"/>
          <w:noProof w:val="0"/>
          <w:sz w:val="22"/>
          <w:szCs w:val="22"/>
          <w:lang w:val="en-GB"/>
        </w:rPr>
        <w:t>Reading disability: why do some children have difficulty to read? What can be done about it?</w:t>
      </w:r>
      <w:r w:rsidRPr="05DEC8D2" w:rsidR="7B78F119">
        <w:rPr>
          <w:rFonts w:ascii="Calibri" w:hAnsi="Calibri" w:eastAsia="Calibri" w:cs="Calibri"/>
          <w:noProof w:val="0"/>
          <w:sz w:val="22"/>
          <w:szCs w:val="22"/>
          <w:lang w:val="en-GB"/>
        </w:rPr>
        <w:t>. Available at:</w:t>
      </w:r>
      <w:r w:rsidRPr="05DEC8D2" w:rsidR="7B78F119">
        <w:rPr>
          <w:rFonts w:ascii="Calibri" w:hAnsi="Calibri" w:eastAsia="Calibri" w:cs="Calibri"/>
          <w:i w:val="1"/>
          <w:iCs w:val="1"/>
          <w:noProof w:val="0"/>
          <w:sz w:val="22"/>
          <w:szCs w:val="22"/>
          <w:lang w:val="en-GB"/>
        </w:rPr>
        <w:t xml:space="preserve">  </w:t>
      </w:r>
      <w:hyperlink r:id="R531963bc737b4aac">
        <w:r w:rsidRPr="05DEC8D2" w:rsidR="7B78F119">
          <w:rPr>
            <w:rStyle w:val="Hyperlink"/>
            <w:rFonts w:ascii="Calibri" w:hAnsi="Calibri" w:eastAsia="Calibri" w:cs="Calibri"/>
            <w:strike w:val="0"/>
            <w:dstrike w:val="0"/>
            <w:noProof w:val="0"/>
            <w:color w:val="0563C1"/>
            <w:sz w:val="22"/>
            <w:szCs w:val="22"/>
            <w:u w:val="single"/>
            <w:lang w:val="en-GB"/>
          </w:rPr>
          <w:t>read.disability.lyon.pdf (wrightslaw.com)</w:t>
        </w:r>
      </w:hyperlink>
      <w:r w:rsidRPr="05DEC8D2" w:rsidR="7B78F119">
        <w:rPr>
          <w:rFonts w:ascii="Calibri" w:hAnsi="Calibri" w:eastAsia="Calibri" w:cs="Calibri"/>
          <w:noProof w:val="0"/>
          <w:sz w:val="22"/>
          <w:szCs w:val="22"/>
          <w:lang w:val="en-GB"/>
        </w:rPr>
        <w:t xml:space="preserve"> [ Accessed on 15 October 2023]</w:t>
      </w:r>
    </w:p>
    <w:p xmlns:wp14="http://schemas.microsoft.com/office/word/2010/wordml" wp14:paraId="76EA5E6C" wp14:textId="0A1566CB">
      <w:r w:rsidRPr="05DEC8D2" w:rsidR="7B78F119">
        <w:rPr>
          <w:rFonts w:ascii="Calibri" w:hAnsi="Calibri" w:eastAsia="Calibri" w:cs="Calibri"/>
          <w:noProof w:val="0"/>
          <w:sz w:val="22"/>
          <w:szCs w:val="22"/>
          <w:lang w:val="en-GB"/>
        </w:rPr>
        <w:t xml:space="preserve"> </w:t>
      </w:r>
    </w:p>
    <w:p xmlns:wp14="http://schemas.microsoft.com/office/word/2010/wordml" wp14:paraId="7FE47DF6" wp14:textId="1844A0A1">
      <w:r w:rsidRPr="05DEC8D2" w:rsidR="7B78F119">
        <w:rPr>
          <w:rFonts w:ascii="Open Sans" w:hAnsi="Open Sans" w:eastAsia="Open Sans" w:cs="Open Sans"/>
          <w:noProof w:val="0"/>
          <w:color w:val="333333"/>
          <w:sz w:val="22"/>
          <w:szCs w:val="22"/>
          <w:lang w:val="en-GB"/>
        </w:rPr>
        <w:t xml:space="preserve">Marion de Lemos (2005) Effective strategies for the teaching of reading: What works, and why, Australian Journal of Learning Disabilities, 10:3-4, 11-17. Available at: </w:t>
      </w:r>
      <w:hyperlink r:id="Rd5be156045444de0">
        <w:r w:rsidRPr="05DEC8D2" w:rsidR="7B78F119">
          <w:rPr>
            <w:rStyle w:val="Hyperlink"/>
            <w:rFonts w:ascii="Open Sans" w:hAnsi="Open Sans" w:eastAsia="Open Sans" w:cs="Open Sans"/>
            <w:strike w:val="0"/>
            <w:dstrike w:val="0"/>
            <w:noProof w:val="0"/>
            <w:color w:val="0563C1"/>
            <w:sz w:val="22"/>
            <w:szCs w:val="22"/>
            <w:u w:val="single"/>
            <w:lang w:val="en-GB"/>
          </w:rPr>
          <w:t>https://doi.org/10.1080/19404150509546796</w:t>
        </w:r>
      </w:hyperlink>
      <w:r w:rsidRPr="05DEC8D2" w:rsidR="7B78F119">
        <w:rPr>
          <w:rFonts w:ascii="Open Sans" w:hAnsi="Open Sans" w:eastAsia="Open Sans" w:cs="Open Sans"/>
          <w:noProof w:val="0"/>
          <w:color w:val="333333"/>
          <w:sz w:val="22"/>
          <w:szCs w:val="22"/>
          <w:lang w:val="en-GB"/>
        </w:rPr>
        <w:t xml:space="preserve">  </w:t>
      </w:r>
      <w:r w:rsidRPr="05DEC8D2" w:rsidR="7B78F119">
        <w:rPr>
          <w:rFonts w:ascii="Calibri" w:hAnsi="Calibri" w:eastAsia="Calibri" w:cs="Calibri"/>
          <w:noProof w:val="0"/>
          <w:color w:val="000000" w:themeColor="text1" w:themeTint="FF" w:themeShade="FF"/>
          <w:sz w:val="22"/>
          <w:szCs w:val="22"/>
          <w:lang w:val="en-GB"/>
        </w:rPr>
        <w:t>[ Accessed on 13 October 2023]</w:t>
      </w:r>
    </w:p>
    <w:p xmlns:wp14="http://schemas.microsoft.com/office/word/2010/wordml" wp14:paraId="4E46A2A0" wp14:textId="535E9F12">
      <w:r w:rsidRPr="05DEC8D2" w:rsidR="7B78F119">
        <w:rPr>
          <w:rFonts w:ascii="Calibri" w:hAnsi="Calibri" w:eastAsia="Calibri" w:cs="Calibri"/>
          <w:noProof w:val="0"/>
          <w:sz w:val="22"/>
          <w:szCs w:val="22"/>
          <w:lang w:val="en-GB"/>
        </w:rPr>
        <w:t xml:space="preserve"> </w:t>
      </w:r>
    </w:p>
    <w:p xmlns:wp14="http://schemas.microsoft.com/office/word/2010/wordml" w:rsidP="05DEC8D2" wp14:paraId="38FDA972" wp14:textId="05255159">
      <w:pPr>
        <w:spacing w:after="160" w:afterAutospacing="off" w:line="252" w:lineRule="auto"/>
      </w:pPr>
      <w:r w:rsidRPr="05DEC8D2" w:rsidR="7B78F119">
        <w:rPr>
          <w:rFonts w:ascii="Segoe UI" w:hAnsi="Segoe UI" w:eastAsia="Segoe UI" w:cs="Segoe UI"/>
          <w:noProof w:val="0"/>
          <w:color w:val="333333"/>
          <w:sz w:val="22"/>
          <w:szCs w:val="22"/>
          <w:lang w:val="en-GB"/>
        </w:rPr>
        <w:t xml:space="preserve">McKie, B.K., Manswell Butty, JA. &amp; Green, R.D. (2012). Reading, Reasoning, and Literacy: Strategies for Early Childhood Education From the Analysis of Classroom Observations. </w:t>
      </w:r>
      <w:r w:rsidRPr="05DEC8D2" w:rsidR="7B78F119">
        <w:rPr>
          <w:rFonts w:ascii="Segoe UI" w:hAnsi="Segoe UI" w:eastAsia="Segoe UI" w:cs="Segoe UI"/>
          <w:i w:val="1"/>
          <w:iCs w:val="1"/>
          <w:noProof w:val="0"/>
          <w:color w:val="333333"/>
          <w:sz w:val="22"/>
          <w:szCs w:val="22"/>
          <w:lang w:val="en-GB"/>
        </w:rPr>
        <w:t>Early Childhood Educ J</w:t>
      </w:r>
      <w:r w:rsidRPr="05DEC8D2" w:rsidR="7B78F119">
        <w:rPr>
          <w:rFonts w:ascii="Segoe UI" w:hAnsi="Segoe UI" w:eastAsia="Segoe UI" w:cs="Segoe UI"/>
          <w:noProof w:val="0"/>
          <w:color w:val="333333"/>
          <w:sz w:val="22"/>
          <w:szCs w:val="22"/>
          <w:lang w:val="en-GB"/>
        </w:rPr>
        <w:t xml:space="preserve"> </w:t>
      </w:r>
      <w:r w:rsidRPr="05DEC8D2" w:rsidR="7B78F119">
        <w:rPr>
          <w:rFonts w:ascii="Segoe UI" w:hAnsi="Segoe UI" w:eastAsia="Segoe UI" w:cs="Segoe UI"/>
          <w:b w:val="1"/>
          <w:bCs w:val="1"/>
          <w:noProof w:val="0"/>
          <w:color w:val="333333"/>
          <w:sz w:val="22"/>
          <w:szCs w:val="22"/>
          <w:lang w:val="en-GB"/>
        </w:rPr>
        <w:t>40</w:t>
      </w:r>
      <w:r w:rsidRPr="05DEC8D2" w:rsidR="7B78F119">
        <w:rPr>
          <w:rFonts w:ascii="Segoe UI" w:hAnsi="Segoe UI" w:eastAsia="Segoe UI" w:cs="Segoe UI"/>
          <w:noProof w:val="0"/>
          <w:color w:val="333333"/>
          <w:sz w:val="22"/>
          <w:szCs w:val="22"/>
          <w:lang w:val="en-GB"/>
        </w:rPr>
        <w:t xml:space="preserve">, 55–61. Available at: </w:t>
      </w:r>
      <w:hyperlink r:id="Rf04c2bade92e4a25">
        <w:r w:rsidRPr="05DEC8D2" w:rsidR="7B78F119">
          <w:rPr>
            <w:rStyle w:val="Hyperlink"/>
            <w:rFonts w:ascii="Segoe UI" w:hAnsi="Segoe UI" w:eastAsia="Segoe UI" w:cs="Segoe UI"/>
            <w:strike w:val="0"/>
            <w:dstrike w:val="0"/>
            <w:noProof w:val="0"/>
            <w:color w:val="0563C1"/>
            <w:sz w:val="22"/>
            <w:szCs w:val="22"/>
            <w:u w:val="single"/>
            <w:lang w:val="en-GB"/>
          </w:rPr>
          <w:t>https://doi.org/10.1007/s10643-011-0489-2</w:t>
        </w:r>
      </w:hyperlink>
      <w:r w:rsidRPr="05DEC8D2" w:rsidR="7B78F119">
        <w:rPr>
          <w:rFonts w:ascii="Segoe UI" w:hAnsi="Segoe UI" w:eastAsia="Segoe UI" w:cs="Segoe UI"/>
          <w:strike w:val="0"/>
          <w:dstrike w:val="0"/>
          <w:noProof w:val="0"/>
          <w:color w:val="0563C1"/>
          <w:sz w:val="22"/>
          <w:szCs w:val="22"/>
          <w:u w:val="single"/>
          <w:lang w:val="en-GB"/>
        </w:rPr>
        <w:t xml:space="preserve"> </w:t>
      </w:r>
      <w:r w:rsidRPr="05DEC8D2" w:rsidR="7B78F119">
        <w:rPr>
          <w:rFonts w:ascii="Calibri" w:hAnsi="Calibri" w:eastAsia="Calibri" w:cs="Calibri"/>
          <w:noProof w:val="0"/>
          <w:sz w:val="22"/>
          <w:szCs w:val="22"/>
          <w:lang w:val="en-GB"/>
        </w:rPr>
        <w:t>[Accessed on 18 October 2023]</w:t>
      </w:r>
    </w:p>
    <w:p xmlns:wp14="http://schemas.microsoft.com/office/word/2010/wordml" w:rsidP="05DEC8D2" wp14:paraId="2A90B47F" wp14:textId="366ED0A8">
      <w:pPr>
        <w:spacing w:after="160" w:afterAutospacing="off" w:line="252" w:lineRule="auto"/>
      </w:pPr>
      <w:r w:rsidRPr="05DEC8D2" w:rsidR="7B78F119">
        <w:rPr>
          <w:rFonts w:ascii="Calibri" w:hAnsi="Calibri" w:eastAsia="Calibri" w:cs="Calibri"/>
          <w:noProof w:val="0"/>
          <w:color w:val="000000" w:themeColor="text1" w:themeTint="FF" w:themeShade="FF"/>
          <w:sz w:val="22"/>
          <w:szCs w:val="22"/>
          <w:lang w:val="en-GB"/>
        </w:rPr>
        <w:t xml:space="preserve">Mukherji, P and Albon, D. (2018) </w:t>
      </w:r>
      <w:r w:rsidRPr="05DEC8D2" w:rsidR="7B78F119">
        <w:rPr>
          <w:rFonts w:ascii="Calibri" w:hAnsi="Calibri" w:eastAsia="Calibri" w:cs="Calibri"/>
          <w:i w:val="1"/>
          <w:iCs w:val="1"/>
          <w:noProof w:val="0"/>
          <w:color w:val="000000" w:themeColor="text1" w:themeTint="FF" w:themeShade="FF"/>
          <w:sz w:val="22"/>
          <w:szCs w:val="22"/>
          <w:lang w:val="en-GB"/>
        </w:rPr>
        <w:t>Research methods in early childhood: An introductory guide</w:t>
      </w:r>
      <w:r w:rsidRPr="05DEC8D2" w:rsidR="7B78F119">
        <w:rPr>
          <w:rFonts w:ascii="Calibri" w:hAnsi="Calibri" w:eastAsia="Calibri" w:cs="Calibri"/>
          <w:noProof w:val="0"/>
          <w:color w:val="000000" w:themeColor="text1" w:themeTint="FF" w:themeShade="FF"/>
          <w:sz w:val="22"/>
          <w:szCs w:val="22"/>
          <w:lang w:val="en-GB"/>
        </w:rPr>
        <w:t>. 3</w:t>
      </w:r>
      <w:r w:rsidRPr="05DEC8D2" w:rsidR="7B78F119">
        <w:rPr>
          <w:rFonts w:ascii="Calibri" w:hAnsi="Calibri" w:eastAsia="Calibri" w:cs="Calibri"/>
          <w:noProof w:val="0"/>
          <w:color w:val="000000" w:themeColor="text1" w:themeTint="FF" w:themeShade="FF"/>
          <w:sz w:val="22"/>
          <w:szCs w:val="22"/>
          <w:vertAlign w:val="superscript"/>
          <w:lang w:val="en-GB"/>
        </w:rPr>
        <w:t>rd</w:t>
      </w:r>
      <w:r w:rsidRPr="05DEC8D2" w:rsidR="7B78F119">
        <w:rPr>
          <w:rFonts w:ascii="Calibri" w:hAnsi="Calibri" w:eastAsia="Calibri" w:cs="Calibri"/>
          <w:noProof w:val="0"/>
          <w:color w:val="000000" w:themeColor="text1" w:themeTint="FF" w:themeShade="FF"/>
          <w:sz w:val="22"/>
          <w:szCs w:val="22"/>
          <w:lang w:val="en-GB"/>
        </w:rPr>
        <w:t xml:space="preserve"> edn. London. </w:t>
      </w:r>
    </w:p>
    <w:p xmlns:wp14="http://schemas.microsoft.com/office/word/2010/wordml" wp14:paraId="4F020761" wp14:textId="6065A87C">
      <w:r w:rsidRPr="05DEC8D2" w:rsidR="7B78F119">
        <w:rPr>
          <w:rFonts w:ascii="Segoe UI" w:hAnsi="Segoe UI" w:eastAsia="Segoe UI" w:cs="Segoe UI"/>
          <w:noProof w:val="0"/>
          <w:color w:val="333333"/>
          <w:sz w:val="22"/>
          <w:szCs w:val="22"/>
          <w:lang w:val="en-GB"/>
        </w:rPr>
        <w:t xml:space="preserve">Myers, J.M., Ankrum, J.W. (2018) Explicit Vocabulary Instruction in Kindergarten: Case Studies of Students with and Without Language Disorders. </w:t>
      </w:r>
      <w:r w:rsidRPr="05DEC8D2" w:rsidR="7B78F119">
        <w:rPr>
          <w:rFonts w:ascii="Segoe UI" w:hAnsi="Segoe UI" w:eastAsia="Segoe UI" w:cs="Segoe UI"/>
          <w:i w:val="1"/>
          <w:iCs w:val="1"/>
          <w:noProof w:val="0"/>
          <w:color w:val="333333"/>
          <w:sz w:val="22"/>
          <w:szCs w:val="22"/>
          <w:lang w:val="en-GB"/>
        </w:rPr>
        <w:t>Early Childhood Educ J</w:t>
      </w:r>
      <w:r w:rsidRPr="05DEC8D2" w:rsidR="7B78F119">
        <w:rPr>
          <w:rFonts w:ascii="Segoe UI" w:hAnsi="Segoe UI" w:eastAsia="Segoe UI" w:cs="Segoe UI"/>
          <w:noProof w:val="0"/>
          <w:color w:val="333333"/>
          <w:sz w:val="22"/>
          <w:szCs w:val="22"/>
          <w:lang w:val="en-GB"/>
        </w:rPr>
        <w:t xml:space="preserve"> </w:t>
      </w:r>
      <w:r w:rsidRPr="05DEC8D2" w:rsidR="7B78F119">
        <w:rPr>
          <w:rFonts w:ascii="Segoe UI" w:hAnsi="Segoe UI" w:eastAsia="Segoe UI" w:cs="Segoe UI"/>
          <w:b w:val="1"/>
          <w:bCs w:val="1"/>
          <w:noProof w:val="0"/>
          <w:color w:val="333333"/>
          <w:sz w:val="22"/>
          <w:szCs w:val="22"/>
          <w:lang w:val="en-GB"/>
        </w:rPr>
        <w:t>46</w:t>
      </w:r>
      <w:r w:rsidRPr="05DEC8D2" w:rsidR="7B78F119">
        <w:rPr>
          <w:rFonts w:ascii="Segoe UI" w:hAnsi="Segoe UI" w:eastAsia="Segoe UI" w:cs="Segoe UI"/>
          <w:noProof w:val="0"/>
          <w:color w:val="333333"/>
          <w:sz w:val="22"/>
          <w:szCs w:val="22"/>
          <w:lang w:val="en-GB"/>
        </w:rPr>
        <w:t xml:space="preserve">, 683–691. Available at: </w:t>
      </w:r>
      <w:hyperlink r:id="R27af3be66d034c97">
        <w:r w:rsidRPr="05DEC8D2" w:rsidR="7B78F119">
          <w:rPr>
            <w:rStyle w:val="Hyperlink"/>
            <w:rFonts w:ascii="Segoe UI" w:hAnsi="Segoe UI" w:eastAsia="Segoe UI" w:cs="Segoe UI"/>
            <w:strike w:val="0"/>
            <w:dstrike w:val="0"/>
            <w:noProof w:val="0"/>
            <w:color w:val="0563C1"/>
            <w:sz w:val="22"/>
            <w:szCs w:val="22"/>
            <w:u w:val="single"/>
            <w:lang w:val="en-GB"/>
          </w:rPr>
          <w:t>https://doi.org/10.1007/s10643-018-0896-8</w:t>
        </w:r>
      </w:hyperlink>
      <w:r w:rsidRPr="05DEC8D2" w:rsidR="7B78F119">
        <w:rPr>
          <w:rFonts w:ascii="Segoe UI" w:hAnsi="Segoe UI" w:eastAsia="Segoe UI" w:cs="Segoe UI"/>
          <w:noProof w:val="0"/>
          <w:color w:val="333333"/>
          <w:sz w:val="22"/>
          <w:szCs w:val="22"/>
          <w:lang w:val="en-GB"/>
        </w:rPr>
        <w:t xml:space="preserve"> </w:t>
      </w:r>
      <w:r w:rsidRPr="05DEC8D2" w:rsidR="7B78F119">
        <w:rPr>
          <w:rFonts w:ascii="Calibri" w:hAnsi="Calibri" w:eastAsia="Calibri" w:cs="Calibri"/>
          <w:noProof w:val="0"/>
          <w:sz w:val="22"/>
          <w:szCs w:val="22"/>
          <w:lang w:val="en-GB"/>
        </w:rPr>
        <w:t>[ Accessed on 13 October 2023]</w:t>
      </w:r>
    </w:p>
    <w:p xmlns:wp14="http://schemas.microsoft.com/office/word/2010/wordml" wp14:paraId="100898C5" wp14:textId="098D9984">
      <w:r w:rsidRPr="05DEC8D2" w:rsidR="7B78F119">
        <w:rPr>
          <w:rFonts w:ascii="Calibri" w:hAnsi="Calibri" w:eastAsia="Calibri" w:cs="Calibri"/>
          <w:noProof w:val="0"/>
          <w:sz w:val="22"/>
          <w:szCs w:val="22"/>
          <w:lang w:val="en-GB"/>
        </w:rPr>
        <w:t xml:space="preserve"> </w:t>
      </w:r>
    </w:p>
    <w:p xmlns:wp14="http://schemas.microsoft.com/office/word/2010/wordml" w:rsidP="05DEC8D2" wp14:paraId="01E1B696" wp14:textId="37D71A98">
      <w:pPr>
        <w:spacing w:after="160" w:afterAutospacing="off" w:line="252" w:lineRule="auto"/>
      </w:pPr>
      <w:r w:rsidRPr="05DEC8D2" w:rsidR="7B78F119">
        <w:rPr>
          <w:rFonts w:ascii="Calibri" w:hAnsi="Calibri" w:eastAsia="Calibri" w:cs="Calibri"/>
          <w:noProof w:val="0"/>
          <w:sz w:val="22"/>
          <w:szCs w:val="22"/>
          <w:lang w:val="en-GB"/>
        </w:rPr>
        <w:t xml:space="preserve">Oltman S, (2016) </w:t>
      </w:r>
      <w:r w:rsidRPr="05DEC8D2" w:rsidR="7B78F119">
        <w:rPr>
          <w:rFonts w:ascii="Calibri" w:hAnsi="Calibri" w:eastAsia="Calibri" w:cs="Calibri"/>
          <w:i w:val="1"/>
          <w:iCs w:val="1"/>
          <w:noProof w:val="0"/>
          <w:sz w:val="22"/>
          <w:szCs w:val="22"/>
          <w:lang w:val="en-GB"/>
        </w:rPr>
        <w:t>Qualitative interviews: A methodological discussion of the interview and respondent context.</w:t>
      </w:r>
      <w:r w:rsidRPr="05DEC8D2" w:rsidR="7B78F119">
        <w:rPr>
          <w:rFonts w:ascii="Calibri" w:hAnsi="Calibri" w:eastAsia="Calibri" w:cs="Calibri"/>
          <w:noProof w:val="0"/>
          <w:sz w:val="22"/>
          <w:szCs w:val="22"/>
          <w:lang w:val="en-GB"/>
        </w:rPr>
        <w:t xml:space="preserve"> Available at: </w:t>
      </w:r>
      <w:hyperlink r:id="R3e37ffd98f384825">
        <w:r w:rsidRPr="05DEC8D2" w:rsidR="7B78F119">
          <w:rPr>
            <w:rStyle w:val="Hyperlink"/>
            <w:rFonts w:ascii="Calibri" w:hAnsi="Calibri" w:eastAsia="Calibri" w:cs="Calibri"/>
            <w:strike w:val="0"/>
            <w:dstrike w:val="0"/>
            <w:noProof w:val="0"/>
            <w:color w:val="0563C1"/>
            <w:sz w:val="22"/>
            <w:szCs w:val="22"/>
            <w:u w:val="single"/>
            <w:lang w:val="en-GB"/>
          </w:rPr>
          <w:t>FQS_17_2_Oltmann_Qualitative-Interviews_-A-Methodological-Discussion-of-the-Interviewer-and-Responde....pdf</w:t>
        </w:r>
      </w:hyperlink>
      <w:r w:rsidRPr="05DEC8D2" w:rsidR="7B78F119">
        <w:rPr>
          <w:rFonts w:ascii="Calibri" w:hAnsi="Calibri" w:eastAsia="Calibri" w:cs="Calibri"/>
          <w:strike w:val="0"/>
          <w:dstrike w:val="0"/>
          <w:noProof w:val="0"/>
          <w:color w:val="0563C1"/>
          <w:sz w:val="22"/>
          <w:szCs w:val="22"/>
          <w:u w:val="single"/>
          <w:lang w:val="en-GB"/>
        </w:rPr>
        <w:t xml:space="preserve"> </w:t>
      </w:r>
      <w:r w:rsidRPr="05DEC8D2" w:rsidR="7B78F119">
        <w:rPr>
          <w:rFonts w:ascii="Calibri" w:hAnsi="Calibri" w:eastAsia="Calibri" w:cs="Calibri"/>
          <w:noProof w:val="0"/>
          <w:sz w:val="22"/>
          <w:szCs w:val="22"/>
          <w:lang w:val="en-GB"/>
        </w:rPr>
        <w:t>[Accessed on 19 October 2023]</w:t>
      </w:r>
    </w:p>
    <w:p xmlns:wp14="http://schemas.microsoft.com/office/word/2010/wordml" w:rsidP="05DEC8D2" wp14:paraId="0375344F" wp14:textId="7F2B5DA5">
      <w:pPr>
        <w:spacing w:after="160" w:afterAutospacing="off" w:line="252" w:lineRule="auto"/>
      </w:pPr>
      <w:r w:rsidRPr="05DEC8D2" w:rsidR="7B78F119">
        <w:rPr>
          <w:rFonts w:ascii="Arial" w:hAnsi="Arial" w:eastAsia="Arial" w:cs="Arial"/>
          <w:noProof w:val="0"/>
          <w:color w:val="222222"/>
          <w:sz w:val="20"/>
          <w:szCs w:val="20"/>
          <w:lang w:val="en-GB"/>
        </w:rPr>
        <w:t xml:space="preserve">Patten, M., 2016. </w:t>
      </w:r>
      <w:r w:rsidRPr="05DEC8D2" w:rsidR="7B78F119">
        <w:rPr>
          <w:rFonts w:ascii="Arial" w:hAnsi="Arial" w:eastAsia="Arial" w:cs="Arial"/>
          <w:i w:val="1"/>
          <w:iCs w:val="1"/>
          <w:noProof w:val="0"/>
          <w:color w:val="222222"/>
          <w:sz w:val="20"/>
          <w:szCs w:val="20"/>
          <w:lang w:val="en-GB"/>
        </w:rPr>
        <w:t>Questionnaire research: A practical guide</w:t>
      </w:r>
      <w:r w:rsidRPr="05DEC8D2" w:rsidR="7B78F119">
        <w:rPr>
          <w:rFonts w:ascii="Arial" w:hAnsi="Arial" w:eastAsia="Arial" w:cs="Arial"/>
          <w:noProof w:val="0"/>
          <w:color w:val="222222"/>
          <w:sz w:val="20"/>
          <w:szCs w:val="20"/>
          <w:lang w:val="en-GB"/>
        </w:rPr>
        <w:t xml:space="preserve">. routledge. </w:t>
      </w:r>
      <w:r w:rsidRPr="05DEC8D2" w:rsidR="7B78F119">
        <w:rPr>
          <w:rFonts w:ascii="Calibri" w:hAnsi="Calibri" w:eastAsia="Calibri" w:cs="Calibri"/>
          <w:noProof w:val="0"/>
          <w:sz w:val="22"/>
          <w:szCs w:val="22"/>
          <w:lang w:val="en-GB"/>
        </w:rPr>
        <w:t>[Accessed on 18 October 2023]</w:t>
      </w:r>
    </w:p>
    <w:p xmlns:wp14="http://schemas.microsoft.com/office/word/2010/wordml" w:rsidP="05DEC8D2" wp14:paraId="14030135" wp14:textId="0D455632">
      <w:pPr>
        <w:spacing w:after="160" w:afterAutospacing="off" w:line="252" w:lineRule="auto"/>
      </w:pPr>
      <w:r w:rsidRPr="05DEC8D2" w:rsidR="7B78F119">
        <w:rPr>
          <w:rFonts w:ascii="Calibri" w:hAnsi="Calibri" w:eastAsia="Calibri" w:cs="Calibri"/>
          <w:noProof w:val="0"/>
          <w:sz w:val="22"/>
          <w:szCs w:val="22"/>
          <w:lang w:val="en-GB"/>
        </w:rPr>
        <w:t xml:space="preserve">Seale, C (2012). </w:t>
      </w:r>
      <w:r w:rsidRPr="05DEC8D2" w:rsidR="7B78F119">
        <w:rPr>
          <w:rFonts w:ascii="Calibri" w:hAnsi="Calibri" w:eastAsia="Calibri" w:cs="Calibri"/>
          <w:i w:val="1"/>
          <w:iCs w:val="1"/>
          <w:noProof w:val="0"/>
          <w:sz w:val="22"/>
          <w:szCs w:val="22"/>
          <w:lang w:val="en-GB"/>
        </w:rPr>
        <w:t xml:space="preserve">Researching society and cutler (3ed). </w:t>
      </w:r>
      <w:r w:rsidRPr="05DEC8D2" w:rsidR="7B78F119">
        <w:rPr>
          <w:rFonts w:ascii="Calibri" w:hAnsi="Calibri" w:eastAsia="Calibri" w:cs="Calibri"/>
          <w:noProof w:val="0"/>
          <w:sz w:val="22"/>
          <w:szCs w:val="22"/>
          <w:lang w:val="en-GB"/>
        </w:rPr>
        <w:t xml:space="preserve">Available at: </w:t>
      </w:r>
      <w:hyperlink w:anchor="v=onepage&amp;q=advantages%20questionnaires&amp;f=false" r:id="Refb43ef9772946a4">
        <w:r w:rsidRPr="05DEC8D2" w:rsidR="7B78F119">
          <w:rPr>
            <w:rStyle w:val="Hyperlink"/>
            <w:rFonts w:ascii="Calibri" w:hAnsi="Calibri" w:eastAsia="Calibri" w:cs="Calibri"/>
            <w:strike w:val="0"/>
            <w:dstrike w:val="0"/>
            <w:noProof w:val="0"/>
            <w:color w:val="0563C1"/>
            <w:sz w:val="22"/>
            <w:szCs w:val="22"/>
            <w:u w:val="single"/>
            <w:lang w:val="en-GB"/>
          </w:rPr>
          <w:t>Researching Society and Culture - Google Books</w:t>
        </w:r>
      </w:hyperlink>
      <w:r w:rsidRPr="05DEC8D2" w:rsidR="7B78F119">
        <w:rPr>
          <w:rFonts w:ascii="Calibri" w:hAnsi="Calibri" w:eastAsia="Calibri" w:cs="Calibri"/>
          <w:strike w:val="0"/>
          <w:dstrike w:val="0"/>
          <w:noProof w:val="0"/>
          <w:color w:val="0563C1"/>
          <w:sz w:val="22"/>
          <w:szCs w:val="22"/>
          <w:u w:val="single"/>
          <w:lang w:val="en-GB"/>
        </w:rPr>
        <w:t xml:space="preserve"> </w:t>
      </w:r>
      <w:r w:rsidRPr="05DEC8D2" w:rsidR="7B78F119">
        <w:rPr>
          <w:rFonts w:ascii="Calibri" w:hAnsi="Calibri" w:eastAsia="Calibri" w:cs="Calibri"/>
          <w:noProof w:val="0"/>
          <w:sz w:val="22"/>
          <w:szCs w:val="22"/>
          <w:lang w:val="en-GB"/>
        </w:rPr>
        <w:t>[Accessed on 19 October 2023]</w:t>
      </w:r>
    </w:p>
    <w:p xmlns:wp14="http://schemas.microsoft.com/office/word/2010/wordml" w:rsidP="05DEC8D2" wp14:paraId="4A1E2F6C" wp14:textId="7CA6824B">
      <w:pPr>
        <w:spacing w:after="160" w:afterAutospacing="off" w:line="252" w:lineRule="auto"/>
      </w:pPr>
      <w:r w:rsidRPr="05DEC8D2" w:rsidR="7B78F119">
        <w:rPr>
          <w:rFonts w:ascii="Segoe UI" w:hAnsi="Segoe UI" w:eastAsia="Segoe UI" w:cs="Segoe UI"/>
          <w:noProof w:val="0"/>
          <w:color w:val="333333"/>
          <w:sz w:val="22"/>
          <w:szCs w:val="22"/>
          <w:lang w:val="en-GB"/>
        </w:rPr>
        <w:t xml:space="preserve">Skibbe, L.E., Thompson, J.L. &amp; Plavnick, J.B. (2018) Preschoolers’ Visual Attention during Electronic Storybook Reading as Related to Different Types of Textual Supports. </w:t>
      </w:r>
      <w:r w:rsidRPr="05DEC8D2" w:rsidR="7B78F119">
        <w:rPr>
          <w:rFonts w:ascii="Segoe UI" w:hAnsi="Segoe UI" w:eastAsia="Segoe UI" w:cs="Segoe UI"/>
          <w:i w:val="1"/>
          <w:iCs w:val="1"/>
          <w:noProof w:val="0"/>
          <w:color w:val="333333"/>
          <w:sz w:val="22"/>
          <w:szCs w:val="22"/>
          <w:lang w:val="en-GB"/>
        </w:rPr>
        <w:t>Early Childhood Educ J</w:t>
      </w:r>
      <w:r w:rsidRPr="05DEC8D2" w:rsidR="7B78F119">
        <w:rPr>
          <w:rFonts w:ascii="Segoe UI" w:hAnsi="Segoe UI" w:eastAsia="Segoe UI" w:cs="Segoe UI"/>
          <w:noProof w:val="0"/>
          <w:color w:val="333333"/>
          <w:sz w:val="22"/>
          <w:szCs w:val="22"/>
          <w:lang w:val="en-GB"/>
        </w:rPr>
        <w:t xml:space="preserve"> </w:t>
      </w:r>
      <w:r w:rsidRPr="05DEC8D2" w:rsidR="7B78F119">
        <w:rPr>
          <w:rFonts w:ascii="Segoe UI" w:hAnsi="Segoe UI" w:eastAsia="Segoe UI" w:cs="Segoe UI"/>
          <w:b w:val="1"/>
          <w:bCs w:val="1"/>
          <w:noProof w:val="0"/>
          <w:color w:val="333333"/>
          <w:sz w:val="22"/>
          <w:szCs w:val="22"/>
          <w:lang w:val="en-GB"/>
        </w:rPr>
        <w:t>46</w:t>
      </w:r>
      <w:r w:rsidRPr="05DEC8D2" w:rsidR="7B78F119">
        <w:rPr>
          <w:rFonts w:ascii="Segoe UI" w:hAnsi="Segoe UI" w:eastAsia="Segoe UI" w:cs="Segoe UI"/>
          <w:noProof w:val="0"/>
          <w:color w:val="333333"/>
          <w:sz w:val="22"/>
          <w:szCs w:val="22"/>
          <w:lang w:val="en-GB"/>
        </w:rPr>
        <w:t xml:space="preserve">, 419–426.  Available at: </w:t>
      </w:r>
      <w:hyperlink r:id="R2142a5f73ea04c3f">
        <w:r w:rsidRPr="05DEC8D2" w:rsidR="7B78F119">
          <w:rPr>
            <w:rStyle w:val="Hyperlink"/>
            <w:rFonts w:ascii="Segoe UI" w:hAnsi="Segoe UI" w:eastAsia="Segoe UI" w:cs="Segoe UI"/>
            <w:strike w:val="0"/>
            <w:dstrike w:val="0"/>
            <w:noProof w:val="0"/>
            <w:color w:val="0563C1"/>
            <w:sz w:val="22"/>
            <w:szCs w:val="22"/>
            <w:u w:val="single"/>
            <w:lang w:val="en-GB"/>
          </w:rPr>
          <w:t>https://doi.org/10.1007/s10643-017-0876-4</w:t>
        </w:r>
      </w:hyperlink>
      <w:r w:rsidRPr="05DEC8D2" w:rsidR="7B78F119">
        <w:rPr>
          <w:rFonts w:ascii="Segoe UI" w:hAnsi="Segoe UI" w:eastAsia="Segoe UI" w:cs="Segoe UI"/>
          <w:noProof w:val="0"/>
          <w:color w:val="000000" w:themeColor="text1" w:themeTint="FF" w:themeShade="FF"/>
          <w:sz w:val="22"/>
          <w:szCs w:val="22"/>
          <w:lang w:val="en-GB"/>
        </w:rPr>
        <w:t xml:space="preserve"> </w:t>
      </w:r>
      <w:r w:rsidRPr="05DEC8D2" w:rsidR="7B78F119">
        <w:rPr>
          <w:rFonts w:ascii="Calibri" w:hAnsi="Calibri" w:eastAsia="Calibri" w:cs="Calibri"/>
          <w:noProof w:val="0"/>
          <w:sz w:val="22"/>
          <w:szCs w:val="22"/>
          <w:lang w:val="en-GB"/>
        </w:rPr>
        <w:t>[ Accessed on 15 October 2023]</w:t>
      </w:r>
    </w:p>
    <w:p xmlns:wp14="http://schemas.microsoft.com/office/word/2010/wordml" wp14:paraId="68177C52" wp14:textId="1E85B5AA">
      <w:r w:rsidRPr="05DEC8D2" w:rsidR="7B78F119">
        <w:rPr>
          <w:rFonts w:ascii="Segoe UI" w:hAnsi="Segoe UI" w:eastAsia="Segoe UI" w:cs="Segoe UI"/>
          <w:noProof w:val="0"/>
          <w:color w:val="333333"/>
          <w:sz w:val="22"/>
          <w:szCs w:val="22"/>
          <w:lang w:val="en-GB"/>
        </w:rPr>
        <w:t xml:space="preserve">Tecce DeCarlo, M.J., Grant, A., Lee, V.J. </w:t>
      </w:r>
      <w:r w:rsidRPr="05DEC8D2" w:rsidR="7B78F119">
        <w:rPr>
          <w:rFonts w:ascii="Segoe UI" w:hAnsi="Segoe UI" w:eastAsia="Segoe UI" w:cs="Segoe UI"/>
          <w:i w:val="1"/>
          <w:iCs w:val="1"/>
          <w:noProof w:val="0"/>
          <w:color w:val="333333"/>
          <w:sz w:val="22"/>
          <w:szCs w:val="22"/>
          <w:lang w:val="en-GB"/>
        </w:rPr>
        <w:t>et al.</w:t>
      </w:r>
      <w:r w:rsidRPr="05DEC8D2" w:rsidR="7B78F119">
        <w:rPr>
          <w:rFonts w:ascii="Segoe UI" w:hAnsi="Segoe UI" w:eastAsia="Segoe UI" w:cs="Segoe UI"/>
          <w:noProof w:val="0"/>
          <w:color w:val="333333"/>
          <w:sz w:val="22"/>
          <w:szCs w:val="22"/>
          <w:lang w:val="en-GB"/>
        </w:rPr>
        <w:t xml:space="preserve"> (2018) Information and Digital Literacies in a Kindergarten Classroom: An I-LEARN Case Study. </w:t>
      </w:r>
      <w:r w:rsidRPr="05DEC8D2" w:rsidR="7B78F119">
        <w:rPr>
          <w:rFonts w:ascii="Segoe UI" w:hAnsi="Segoe UI" w:eastAsia="Segoe UI" w:cs="Segoe UI"/>
          <w:i w:val="1"/>
          <w:iCs w:val="1"/>
          <w:noProof w:val="0"/>
          <w:color w:val="333333"/>
          <w:sz w:val="22"/>
          <w:szCs w:val="22"/>
          <w:lang w:val="en-GB"/>
        </w:rPr>
        <w:t>Early Childhood Educ J</w:t>
      </w:r>
      <w:r w:rsidRPr="05DEC8D2" w:rsidR="7B78F119">
        <w:rPr>
          <w:rFonts w:ascii="Segoe UI" w:hAnsi="Segoe UI" w:eastAsia="Segoe UI" w:cs="Segoe UI"/>
          <w:noProof w:val="0"/>
          <w:color w:val="333333"/>
          <w:sz w:val="22"/>
          <w:szCs w:val="22"/>
          <w:lang w:val="en-GB"/>
        </w:rPr>
        <w:t xml:space="preserve"> </w:t>
      </w:r>
      <w:r w:rsidRPr="05DEC8D2" w:rsidR="7B78F119">
        <w:rPr>
          <w:rFonts w:ascii="Segoe UI" w:hAnsi="Segoe UI" w:eastAsia="Segoe UI" w:cs="Segoe UI"/>
          <w:b w:val="1"/>
          <w:bCs w:val="1"/>
          <w:noProof w:val="0"/>
          <w:color w:val="333333"/>
          <w:sz w:val="22"/>
          <w:szCs w:val="22"/>
          <w:lang w:val="en-GB"/>
        </w:rPr>
        <w:t>46</w:t>
      </w:r>
      <w:r w:rsidRPr="05DEC8D2" w:rsidR="7B78F119">
        <w:rPr>
          <w:rFonts w:ascii="Segoe UI" w:hAnsi="Segoe UI" w:eastAsia="Segoe UI" w:cs="Segoe UI"/>
          <w:noProof w:val="0"/>
          <w:color w:val="333333"/>
          <w:sz w:val="22"/>
          <w:szCs w:val="22"/>
          <w:lang w:val="en-GB"/>
        </w:rPr>
        <w:t xml:space="preserve">, 265–275. Available at: </w:t>
      </w:r>
      <w:hyperlink r:id="Rf2fe632634834ec0">
        <w:r w:rsidRPr="05DEC8D2" w:rsidR="7B78F119">
          <w:rPr>
            <w:rStyle w:val="Hyperlink"/>
            <w:rFonts w:ascii="Segoe UI" w:hAnsi="Segoe UI" w:eastAsia="Segoe UI" w:cs="Segoe UI"/>
            <w:strike w:val="0"/>
            <w:dstrike w:val="0"/>
            <w:noProof w:val="0"/>
            <w:color w:val="0563C1"/>
            <w:sz w:val="22"/>
            <w:szCs w:val="22"/>
            <w:u w:val="single"/>
            <w:lang w:val="en-GB"/>
          </w:rPr>
          <w:t>https://doi.org/10.1007/s10643-017-0857-7</w:t>
        </w:r>
      </w:hyperlink>
      <w:r w:rsidRPr="05DEC8D2" w:rsidR="7B78F119">
        <w:rPr>
          <w:rFonts w:ascii="Segoe UI" w:hAnsi="Segoe UI" w:eastAsia="Segoe UI" w:cs="Segoe UI"/>
          <w:noProof w:val="0"/>
          <w:color w:val="333333"/>
          <w:sz w:val="22"/>
          <w:szCs w:val="22"/>
          <w:lang w:val="en-GB"/>
        </w:rPr>
        <w:t xml:space="preserve"> </w:t>
      </w:r>
      <w:r w:rsidRPr="05DEC8D2" w:rsidR="7B78F119">
        <w:rPr>
          <w:rFonts w:ascii="Calibri" w:hAnsi="Calibri" w:eastAsia="Calibri" w:cs="Calibri"/>
          <w:noProof w:val="0"/>
          <w:sz w:val="22"/>
          <w:szCs w:val="22"/>
          <w:lang w:val="en-GB"/>
        </w:rPr>
        <w:t>[ Accessed on 13 October 2023]</w:t>
      </w:r>
    </w:p>
    <w:p xmlns:wp14="http://schemas.microsoft.com/office/word/2010/wordml" wp14:paraId="7EC98512" wp14:textId="668AD7DF">
      <w:r w:rsidRPr="05DEC8D2" w:rsidR="7B78F119">
        <w:rPr>
          <w:rFonts w:ascii="Calibri" w:hAnsi="Calibri" w:eastAsia="Calibri" w:cs="Calibri"/>
          <w:noProof w:val="0"/>
          <w:sz w:val="22"/>
          <w:szCs w:val="22"/>
          <w:lang w:val="en-GB"/>
        </w:rPr>
        <w:t xml:space="preserve"> </w:t>
      </w:r>
    </w:p>
    <w:p xmlns:wp14="http://schemas.microsoft.com/office/word/2010/wordml" w:rsidP="05DEC8D2" wp14:paraId="636C7865" wp14:textId="2AB68FA3">
      <w:pPr>
        <w:spacing w:after="160" w:afterAutospacing="off" w:line="252" w:lineRule="auto"/>
      </w:pPr>
      <w:r w:rsidRPr="05DEC8D2" w:rsidR="7B78F119">
        <w:rPr>
          <w:rFonts w:ascii="Segoe UI" w:hAnsi="Segoe UI" w:eastAsia="Segoe UI" w:cs="Segoe UI"/>
          <w:noProof w:val="0"/>
          <w:color w:val="333333"/>
          <w:sz w:val="22"/>
          <w:szCs w:val="22"/>
          <w:lang w:val="en-GB"/>
        </w:rPr>
        <w:t xml:space="preserve">Torr, J. Infants (2019) Experiences of Shared Reading with Their Educators in Early Childhood Education and Care Centres: An Observational Study. </w:t>
      </w:r>
      <w:r w:rsidRPr="05DEC8D2" w:rsidR="7B78F119">
        <w:rPr>
          <w:rFonts w:ascii="Segoe UI" w:hAnsi="Segoe UI" w:eastAsia="Segoe UI" w:cs="Segoe UI"/>
          <w:i w:val="1"/>
          <w:iCs w:val="1"/>
          <w:noProof w:val="0"/>
          <w:color w:val="333333"/>
          <w:sz w:val="22"/>
          <w:szCs w:val="22"/>
          <w:lang w:val="en-GB"/>
        </w:rPr>
        <w:t>Early Childhood Educ J</w:t>
      </w:r>
      <w:r w:rsidRPr="05DEC8D2" w:rsidR="7B78F119">
        <w:rPr>
          <w:rFonts w:ascii="Segoe UI" w:hAnsi="Segoe UI" w:eastAsia="Segoe UI" w:cs="Segoe UI"/>
          <w:noProof w:val="0"/>
          <w:color w:val="333333"/>
          <w:sz w:val="22"/>
          <w:szCs w:val="22"/>
          <w:lang w:val="en-GB"/>
        </w:rPr>
        <w:t xml:space="preserve"> </w:t>
      </w:r>
      <w:r w:rsidRPr="05DEC8D2" w:rsidR="7B78F119">
        <w:rPr>
          <w:rFonts w:ascii="Segoe UI" w:hAnsi="Segoe UI" w:eastAsia="Segoe UI" w:cs="Segoe UI"/>
          <w:b w:val="1"/>
          <w:bCs w:val="1"/>
          <w:noProof w:val="0"/>
          <w:color w:val="333333"/>
          <w:sz w:val="22"/>
          <w:szCs w:val="22"/>
          <w:lang w:val="en-GB"/>
        </w:rPr>
        <w:t>47</w:t>
      </w:r>
      <w:r w:rsidRPr="05DEC8D2" w:rsidR="7B78F119">
        <w:rPr>
          <w:rFonts w:ascii="Segoe UI" w:hAnsi="Segoe UI" w:eastAsia="Segoe UI" w:cs="Segoe UI"/>
          <w:noProof w:val="0"/>
          <w:color w:val="333333"/>
          <w:sz w:val="22"/>
          <w:szCs w:val="22"/>
          <w:lang w:val="en-GB"/>
        </w:rPr>
        <w:t xml:space="preserve">, 519–529. Available at: </w:t>
      </w:r>
      <w:hyperlink r:id="R788c7e70afe244da">
        <w:r w:rsidRPr="05DEC8D2" w:rsidR="7B78F119">
          <w:rPr>
            <w:rStyle w:val="Hyperlink"/>
            <w:rFonts w:ascii="Segoe UI" w:hAnsi="Segoe UI" w:eastAsia="Segoe UI" w:cs="Segoe UI"/>
            <w:strike w:val="0"/>
            <w:dstrike w:val="0"/>
            <w:noProof w:val="0"/>
            <w:color w:val="0563C1"/>
            <w:sz w:val="22"/>
            <w:szCs w:val="22"/>
            <w:u w:val="single"/>
            <w:lang w:val="en-GB"/>
          </w:rPr>
          <w:t>https://doi.org/10.1007/s10643-019-00948-2</w:t>
        </w:r>
      </w:hyperlink>
      <w:r w:rsidRPr="05DEC8D2" w:rsidR="7B78F119">
        <w:rPr>
          <w:rFonts w:ascii="Segoe UI" w:hAnsi="Segoe UI" w:eastAsia="Segoe UI" w:cs="Segoe UI"/>
          <w:noProof w:val="0"/>
          <w:color w:val="333333"/>
          <w:sz w:val="22"/>
          <w:szCs w:val="22"/>
          <w:lang w:val="en-GB"/>
        </w:rPr>
        <w:t xml:space="preserve"> </w:t>
      </w:r>
      <w:r w:rsidRPr="05DEC8D2" w:rsidR="7B78F119">
        <w:rPr>
          <w:rFonts w:ascii="Calibri" w:hAnsi="Calibri" w:eastAsia="Calibri" w:cs="Calibri"/>
          <w:noProof w:val="0"/>
          <w:sz w:val="22"/>
          <w:szCs w:val="22"/>
          <w:lang w:val="en-GB"/>
        </w:rPr>
        <w:t>[ Accessed on 11 October 2023]</w:t>
      </w:r>
    </w:p>
    <w:p xmlns:wp14="http://schemas.microsoft.com/office/word/2010/wordml" wp14:paraId="3C9B3087" wp14:textId="44C6D8B0">
      <w:r w:rsidRPr="05DEC8D2" w:rsidR="7B78F119">
        <w:rPr>
          <w:rFonts w:ascii="Calibri" w:hAnsi="Calibri" w:eastAsia="Calibri" w:cs="Calibri"/>
          <w:noProof w:val="0"/>
          <w:sz w:val="22"/>
          <w:szCs w:val="22"/>
          <w:lang w:val="en-GB"/>
        </w:rPr>
        <w:t xml:space="preserve">UNICEF (2023), </w:t>
      </w:r>
      <w:r w:rsidRPr="05DEC8D2" w:rsidR="7B78F119">
        <w:rPr>
          <w:rFonts w:ascii="Calibri" w:hAnsi="Calibri" w:eastAsia="Calibri" w:cs="Calibri"/>
          <w:i w:val="1"/>
          <w:iCs w:val="1"/>
          <w:noProof w:val="0"/>
          <w:sz w:val="22"/>
          <w:szCs w:val="22"/>
          <w:lang w:val="en-GB"/>
        </w:rPr>
        <w:t>How we protect children rights</w:t>
      </w:r>
      <w:r w:rsidRPr="05DEC8D2" w:rsidR="7B78F119">
        <w:rPr>
          <w:rFonts w:ascii="Calibri" w:hAnsi="Calibri" w:eastAsia="Calibri" w:cs="Calibri"/>
          <w:noProof w:val="0"/>
          <w:sz w:val="22"/>
          <w:szCs w:val="22"/>
          <w:lang w:val="en-GB"/>
        </w:rPr>
        <w:t xml:space="preserve">. Available at: </w:t>
      </w:r>
      <w:hyperlink r:id="R1ba61eb02c374529">
        <w:r w:rsidRPr="05DEC8D2" w:rsidR="7B78F119">
          <w:rPr>
            <w:rStyle w:val="Hyperlink"/>
            <w:rFonts w:ascii="Calibri" w:hAnsi="Calibri" w:eastAsia="Calibri" w:cs="Calibri"/>
            <w:strike w:val="0"/>
            <w:dstrike w:val="0"/>
            <w:noProof w:val="0"/>
            <w:color w:val="0563C1"/>
            <w:sz w:val="22"/>
            <w:szCs w:val="22"/>
            <w:u w:val="single"/>
            <w:lang w:val="en-GB"/>
          </w:rPr>
          <w:t>UN Convention on the Rights of the Child - UNICEF UK</w:t>
        </w:r>
      </w:hyperlink>
      <w:r w:rsidRPr="05DEC8D2" w:rsidR="7B78F119">
        <w:rPr>
          <w:rFonts w:ascii="Calibri" w:hAnsi="Calibri" w:eastAsia="Calibri" w:cs="Calibri"/>
          <w:noProof w:val="0"/>
          <w:sz w:val="22"/>
          <w:szCs w:val="22"/>
          <w:lang w:val="en-GB"/>
        </w:rPr>
        <w:t xml:space="preserve"> [Accessed on 20 October 2023]</w:t>
      </w:r>
    </w:p>
    <w:p xmlns:wp14="http://schemas.microsoft.com/office/word/2010/wordml" wp14:paraId="4D6B844E" wp14:textId="1A9CF2E7">
      <w:r w:rsidRPr="05DEC8D2" w:rsidR="7B78F119">
        <w:rPr>
          <w:rFonts w:ascii="Calibri" w:hAnsi="Calibri" w:eastAsia="Calibri" w:cs="Calibri"/>
          <w:noProof w:val="0"/>
          <w:sz w:val="22"/>
          <w:szCs w:val="22"/>
          <w:lang w:val="en-GB"/>
        </w:rPr>
        <w:t xml:space="preserve">UWTSD (2023), </w:t>
      </w:r>
      <w:r w:rsidRPr="05DEC8D2" w:rsidR="7B78F119">
        <w:rPr>
          <w:rFonts w:ascii="Calibri" w:hAnsi="Calibri" w:eastAsia="Calibri" w:cs="Calibri"/>
          <w:i w:val="1"/>
          <w:iCs w:val="1"/>
          <w:noProof w:val="0"/>
          <w:sz w:val="22"/>
          <w:szCs w:val="22"/>
          <w:lang w:val="en-GB"/>
        </w:rPr>
        <w:t>Research ethics</w:t>
      </w:r>
      <w:r w:rsidRPr="05DEC8D2" w:rsidR="7B78F119">
        <w:rPr>
          <w:rFonts w:ascii="Calibri" w:hAnsi="Calibri" w:eastAsia="Calibri" w:cs="Calibri"/>
          <w:noProof w:val="0"/>
          <w:sz w:val="22"/>
          <w:szCs w:val="22"/>
          <w:lang w:val="en-GB"/>
        </w:rPr>
        <w:t xml:space="preserve">. Available at: </w:t>
      </w:r>
      <w:hyperlink r:id="R4f860d641f98432d">
        <w:r w:rsidRPr="05DEC8D2" w:rsidR="7B78F119">
          <w:rPr>
            <w:rStyle w:val="Hyperlink"/>
            <w:rFonts w:ascii="Calibri" w:hAnsi="Calibri" w:eastAsia="Calibri" w:cs="Calibri"/>
            <w:strike w:val="0"/>
            <w:dstrike w:val="0"/>
            <w:noProof w:val="0"/>
            <w:color w:val="0563C1"/>
            <w:sz w:val="22"/>
            <w:szCs w:val="22"/>
            <w:u w:val="single"/>
            <w:lang w:val="en-GB"/>
          </w:rPr>
          <w:t>Research Ethics | UWTSD</w:t>
        </w:r>
      </w:hyperlink>
      <w:r w:rsidRPr="05DEC8D2" w:rsidR="7B78F119">
        <w:rPr>
          <w:rFonts w:ascii="Calibri" w:hAnsi="Calibri" w:eastAsia="Calibri" w:cs="Calibri"/>
          <w:noProof w:val="0"/>
          <w:sz w:val="22"/>
          <w:szCs w:val="22"/>
          <w:lang w:val="en-GB"/>
        </w:rPr>
        <w:t xml:space="preserve"> [Accessed on 20 October 2023]</w:t>
      </w:r>
    </w:p>
    <w:p xmlns:wp14="http://schemas.microsoft.com/office/word/2010/wordml" wp14:paraId="1FA8DEA7" wp14:textId="1901BFF8">
      <w:r w:rsidRPr="05DEC8D2" w:rsidR="7B78F119">
        <w:rPr>
          <w:rFonts w:ascii="Calibri" w:hAnsi="Calibri" w:eastAsia="Calibri" w:cs="Calibri"/>
          <w:noProof w:val="0"/>
          <w:sz w:val="22"/>
          <w:szCs w:val="22"/>
          <w:lang w:val="en-GB"/>
        </w:rPr>
        <w:t xml:space="preserve">Van Der Stuyf. R (2002), </w:t>
      </w:r>
      <w:r w:rsidRPr="05DEC8D2" w:rsidR="7B78F119">
        <w:rPr>
          <w:rFonts w:ascii="Calibri" w:hAnsi="Calibri" w:eastAsia="Calibri" w:cs="Calibri"/>
          <w:i w:val="1"/>
          <w:iCs w:val="1"/>
          <w:noProof w:val="0"/>
          <w:sz w:val="22"/>
          <w:szCs w:val="22"/>
          <w:lang w:val="en-GB"/>
        </w:rPr>
        <w:t>Scaffolding as a teacher</w:t>
      </w:r>
      <w:r w:rsidRPr="05DEC8D2" w:rsidR="7B78F119">
        <w:rPr>
          <w:rFonts w:ascii="Calibri" w:hAnsi="Calibri" w:eastAsia="Calibri" w:cs="Calibri"/>
          <w:noProof w:val="0"/>
          <w:sz w:val="22"/>
          <w:szCs w:val="22"/>
          <w:lang w:val="en-GB"/>
        </w:rPr>
        <w:t xml:space="preserve">. Available at: </w:t>
      </w:r>
      <w:hyperlink r:id="Rfb980e885f474924">
        <w:r w:rsidRPr="05DEC8D2" w:rsidR="7B78F119">
          <w:rPr>
            <w:rStyle w:val="Hyperlink"/>
            <w:rFonts w:ascii="Calibri" w:hAnsi="Calibri" w:eastAsia="Calibri" w:cs="Calibri"/>
            <w:strike w:val="0"/>
            <w:dstrike w:val="0"/>
            <w:noProof w:val="0"/>
            <w:color w:val="0563C1"/>
            <w:sz w:val="22"/>
            <w:szCs w:val="22"/>
            <w:u w:val="single"/>
            <w:lang w:val="en-GB"/>
          </w:rPr>
          <w:t>Scaffolding_as_a_Teaching_Strategy20190411-39375-kajifs-libre.pdf (d1wqtxts1xzle7.cloudfront.net)</w:t>
        </w:r>
      </w:hyperlink>
      <w:r w:rsidRPr="05DEC8D2" w:rsidR="7B78F119">
        <w:rPr>
          <w:rFonts w:ascii="Calibri" w:hAnsi="Calibri" w:eastAsia="Calibri" w:cs="Calibri"/>
          <w:noProof w:val="0"/>
          <w:sz w:val="22"/>
          <w:szCs w:val="22"/>
          <w:lang w:val="en-GB"/>
        </w:rPr>
        <w:t xml:space="preserve"> [ Accessed on 11 October 2023]</w:t>
      </w:r>
    </w:p>
    <w:p xmlns:wp14="http://schemas.microsoft.com/office/word/2010/wordml" w:rsidP="05DEC8D2" wp14:paraId="6A428BF8" wp14:textId="48176BF9">
      <w:pPr>
        <w:spacing w:after="160" w:afterAutospacing="off" w:line="252" w:lineRule="auto"/>
      </w:pPr>
      <w:r w:rsidRPr="05DEC8D2" w:rsidR="7B78F119">
        <w:rPr>
          <w:rFonts w:ascii="Calibri" w:hAnsi="Calibri" w:eastAsia="Calibri" w:cs="Calibri"/>
          <w:noProof w:val="0"/>
          <w:sz w:val="22"/>
          <w:szCs w:val="22"/>
          <w:lang w:val="en-GB"/>
        </w:rPr>
        <w:t xml:space="preserve">West Sussex County Council (2021). </w:t>
      </w:r>
      <w:r w:rsidRPr="05DEC8D2" w:rsidR="7B78F119">
        <w:rPr>
          <w:rFonts w:ascii="Calibri" w:hAnsi="Calibri" w:eastAsia="Calibri" w:cs="Calibri"/>
          <w:i w:val="1"/>
          <w:iCs w:val="1"/>
          <w:noProof w:val="0"/>
          <w:sz w:val="22"/>
          <w:szCs w:val="22"/>
          <w:lang w:val="en-GB"/>
        </w:rPr>
        <w:t>Effective practice: observation, assessment and planning.</w:t>
      </w:r>
      <w:r w:rsidRPr="05DEC8D2" w:rsidR="7B78F119">
        <w:rPr>
          <w:rFonts w:ascii="Calibri" w:hAnsi="Calibri" w:eastAsia="Calibri" w:cs="Calibri"/>
          <w:noProof w:val="0"/>
          <w:sz w:val="22"/>
          <w:szCs w:val="22"/>
          <w:lang w:val="en-GB"/>
        </w:rPr>
        <w:t xml:space="preserve"> Available at: </w:t>
      </w:r>
      <w:hyperlink w:anchor=":~:text=Observation%20is%20the%20formal%20term%20for%20one%20of,activities%20of%20a%20child%20or%20group%20of%20children." r:id="R5c29e63bf47145d7">
        <w:r w:rsidRPr="05DEC8D2" w:rsidR="7B78F119">
          <w:rPr>
            <w:rStyle w:val="Hyperlink"/>
            <w:rFonts w:ascii="Calibri" w:hAnsi="Calibri" w:eastAsia="Calibri" w:cs="Calibri"/>
            <w:strike w:val="0"/>
            <w:dstrike w:val="0"/>
            <w:noProof w:val="0"/>
            <w:color w:val="0563C1"/>
            <w:sz w:val="22"/>
            <w:szCs w:val="22"/>
            <w:u w:val="single"/>
            <w:lang w:val="en-GB"/>
          </w:rPr>
          <w:t>effective_poa_and_planning.pdf (westsussex.gov.uk)</w:t>
        </w:r>
      </w:hyperlink>
      <w:r w:rsidRPr="05DEC8D2" w:rsidR="7B78F119">
        <w:rPr>
          <w:rFonts w:ascii="Calibri" w:hAnsi="Calibri" w:eastAsia="Calibri" w:cs="Calibri"/>
          <w:noProof w:val="0"/>
          <w:sz w:val="22"/>
          <w:szCs w:val="22"/>
          <w:lang w:val="en-GB"/>
        </w:rPr>
        <w:t xml:space="preserve"> [Accessed on 18 October 2023]</w:t>
      </w:r>
    </w:p>
    <w:p xmlns:wp14="http://schemas.microsoft.com/office/word/2010/wordml" w:rsidP="05DEC8D2" wp14:paraId="57A723FD" wp14:textId="2A89E6A9">
      <w:pPr>
        <w:spacing w:after="160" w:afterAutospacing="off" w:line="252" w:lineRule="auto"/>
      </w:pPr>
      <w:r w:rsidRPr="05DEC8D2" w:rsidR="7B78F119">
        <w:rPr>
          <w:rFonts w:ascii="Calibri" w:hAnsi="Calibri" w:eastAsia="Calibri" w:cs="Calibri"/>
          <w:noProof w:val="0"/>
          <w:sz w:val="22"/>
          <w:szCs w:val="22"/>
          <w:lang w:val="en-GB"/>
        </w:rPr>
        <w:t xml:space="preserve"> </w:t>
      </w:r>
    </w:p>
    <w:p xmlns:wp14="http://schemas.microsoft.com/office/word/2010/wordml" w:rsidP="05DEC8D2" wp14:paraId="22CBE9C8" wp14:textId="291BFA1D">
      <w:pPr>
        <w:spacing w:after="160" w:afterAutospacing="off" w:line="252" w:lineRule="auto"/>
      </w:pPr>
      <w:r w:rsidRPr="05DEC8D2" w:rsidR="7B78F119">
        <w:rPr>
          <w:rFonts w:ascii="Calibri" w:hAnsi="Calibri" w:eastAsia="Calibri" w:cs="Calibri"/>
          <w:noProof w:val="0"/>
          <w:sz w:val="22"/>
          <w:szCs w:val="22"/>
          <w:lang w:val="en-GB"/>
        </w:rPr>
        <w:t xml:space="preserve">Legislation.gov.uk (2018), </w:t>
      </w:r>
      <w:r w:rsidRPr="05DEC8D2" w:rsidR="7B78F119">
        <w:rPr>
          <w:rFonts w:ascii="Calibri" w:hAnsi="Calibri" w:eastAsia="Calibri" w:cs="Calibri"/>
          <w:i w:val="1"/>
          <w:iCs w:val="1"/>
          <w:noProof w:val="0"/>
          <w:sz w:val="22"/>
          <w:szCs w:val="22"/>
          <w:lang w:val="en-GB"/>
        </w:rPr>
        <w:t>Data protection Act 2018.</w:t>
      </w:r>
      <w:r w:rsidRPr="05DEC8D2" w:rsidR="7B78F119">
        <w:rPr>
          <w:rFonts w:ascii="Calibri" w:hAnsi="Calibri" w:eastAsia="Calibri" w:cs="Calibri"/>
          <w:noProof w:val="0"/>
          <w:sz w:val="22"/>
          <w:szCs w:val="22"/>
          <w:lang w:val="en-GB"/>
        </w:rPr>
        <w:t xml:space="preserve"> Available at: </w:t>
      </w:r>
      <w:hyperlink r:id="Rcfdf857eac6e4035">
        <w:r w:rsidRPr="05DEC8D2" w:rsidR="7B78F119">
          <w:rPr>
            <w:rStyle w:val="Hyperlink"/>
            <w:rFonts w:ascii="Calibri" w:hAnsi="Calibri" w:eastAsia="Calibri" w:cs="Calibri"/>
            <w:strike w:val="0"/>
            <w:dstrike w:val="0"/>
            <w:noProof w:val="0"/>
            <w:color w:val="0563C1"/>
            <w:sz w:val="22"/>
            <w:szCs w:val="22"/>
            <w:u w:val="single"/>
            <w:lang w:val="en-GB"/>
          </w:rPr>
          <w:t>Data Protection Act 2018 (legislation.gov.uk)</w:t>
        </w:r>
      </w:hyperlink>
      <w:r w:rsidRPr="05DEC8D2" w:rsidR="7B78F119">
        <w:rPr>
          <w:rFonts w:ascii="Calibri" w:hAnsi="Calibri" w:eastAsia="Calibri" w:cs="Calibri"/>
          <w:noProof w:val="0"/>
          <w:sz w:val="22"/>
          <w:szCs w:val="22"/>
          <w:lang w:val="en-GB"/>
        </w:rPr>
        <w:t xml:space="preserve"> [Accessed on 22 October 2023]</w:t>
      </w:r>
    </w:p>
    <w:p xmlns:wp14="http://schemas.microsoft.com/office/word/2010/wordml" w:rsidP="05DEC8D2" wp14:paraId="1DA42F18" wp14:textId="301C5E7F">
      <w:pPr>
        <w:spacing w:after="160" w:afterAutospacing="off" w:line="252" w:lineRule="auto"/>
        <w:rPr>
          <w:rFonts w:ascii="Calibri" w:hAnsi="Calibri" w:eastAsia="Calibri" w:cs="Calibri"/>
          <w:noProof w:val="0"/>
          <w:color w:val="FF0000"/>
          <w:sz w:val="22"/>
          <w:szCs w:val="22"/>
          <w:lang w:val="en-GB"/>
        </w:rPr>
      </w:pPr>
    </w:p>
    <w:p xmlns:wp14="http://schemas.microsoft.com/office/word/2010/wordml" w:rsidP="05DEC8D2" wp14:paraId="0A0E2BB5" wp14:textId="4DA9EDB8">
      <w:pPr>
        <w:pStyle w:val="Normal"/>
        <w:spacing w:after="160" w:afterAutospacing="off" w:line="247" w:lineRule="auto"/>
        <w:rPr>
          <w:rFonts w:ascii="Calibri" w:hAnsi="Calibri" w:eastAsia="Calibri" w:cs="Calibri"/>
          <w:noProof w:val="0"/>
          <w:color w:val="FF0000"/>
          <w:sz w:val="22"/>
          <w:szCs w:val="22"/>
          <w:lang w:val="en-GB"/>
        </w:rPr>
      </w:pPr>
    </w:p>
    <w:p xmlns:wp14="http://schemas.microsoft.com/office/word/2010/wordml" w:rsidP="05DEC8D2" wp14:paraId="31599587" wp14:textId="3B5FADDC">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39520CB0" wp14:textId="047ECF9D">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069C9CBF" wp14:textId="7E5CE5F3">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545F2F4A" wp14:textId="48E98DC2">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40B7042E" wp14:textId="35522BEA">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42225CDD" wp14:textId="4464D836">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23768E7E" wp14:textId="65753444">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09AD0EF8" wp14:textId="6E26604C">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3C34AB9C" wp14:textId="1DDC35E6">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6836C353" wp14:textId="64A36EF2">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292956D6" wp14:textId="5365D1C0">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204DEEB2" wp14:textId="6983DF81">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22043D7C" wp14:textId="18553624">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6ECD18FA" wp14:textId="401B66E7">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70BAEEB8" wp14:textId="560B4B91">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106EA893" wp14:textId="0438E2F2">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1126E433" wp14:textId="39251C0E">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58CF6A59" wp14:textId="1D469923">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3E464EDB" wp14:textId="2F73D6EB">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62ED0F30" wp14:textId="0FEFF6DB">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49F35770" wp14:textId="0A46B556">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73AE32AA" wp14:textId="58FE8F5D">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668057CC" wp14:textId="1E106161">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07C7DEB2" wp14:textId="1CA8045B">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57347D50" wp14:textId="4CF2CE1F">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1691D930" wp14:textId="47DC5CF3">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4601CF70" wp14:textId="502782AB">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313957D4" wp14:textId="4366DF7A">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003A4AB4" wp14:textId="4FAF8098">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01138D0B" wp14:textId="7985E8D0">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55DE285D" wp14:textId="6D6572E6">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0BB3D5E5" wp14:textId="21E49E8C">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069D5F2A" wp14:textId="3BAB8B3B">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7CEFBFD6" wp14:textId="6A376C8F">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3AFFD9BA" wp14:textId="7F9AE868">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04579B20" wp14:textId="128997F9">
      <w:pPr>
        <w:spacing w:after="160" w:afterAutospacing="off" w:line="247" w:lineRule="auto"/>
      </w:pPr>
      <w:r w:rsidRPr="05DEC8D2" w:rsidR="7FF4B808">
        <w:rPr>
          <w:rFonts w:ascii="Calibri" w:hAnsi="Calibri" w:eastAsia="Calibri" w:cs="Calibri"/>
          <w:noProof w:val="0"/>
          <w:color w:val="FF0000"/>
          <w:sz w:val="22"/>
          <w:szCs w:val="22"/>
          <w:lang w:val="en-GB"/>
        </w:rPr>
        <w:t xml:space="preserve"> </w:t>
      </w:r>
    </w:p>
    <w:p xmlns:wp14="http://schemas.microsoft.com/office/word/2010/wordml" w:rsidP="05DEC8D2" wp14:paraId="0D0D0130" wp14:textId="06ADF366">
      <w:pPr>
        <w:spacing w:after="160" w:afterAutospacing="off" w:line="247" w:lineRule="auto"/>
        <w:rPr>
          <w:rFonts w:ascii="Calibri" w:hAnsi="Calibri" w:eastAsia="Calibri" w:cs="Calibri"/>
          <w:noProof w:val="0"/>
          <w:color w:val="FF0000"/>
          <w:sz w:val="22"/>
          <w:szCs w:val="22"/>
          <w:lang w:val="en-GB"/>
        </w:rPr>
      </w:pPr>
    </w:p>
    <w:p xmlns:wp14="http://schemas.microsoft.com/office/word/2010/wordml" w:rsidP="05DEC8D2" wp14:paraId="5E5787A5" wp14:textId="4F5A7713">
      <w:pPr>
        <w:pStyle w:val="Normal"/>
      </w:pPr>
    </w:p>
    <w:sectPr>
      <w:pgSz w:w="11906" w:h="16838" w:orient="portrait"/>
      <w:pgMar w:top="1440" w:right="1440" w:bottom="1440" w:left="1440" w:header="720" w:footer="720" w:gutter="0"/>
      <w:cols w:space="720"/>
      <w:docGrid w:linePitch="360"/>
      <w:headerReference w:type="default" r:id="R1e4d83752a6e4a1d"/>
      <w:footerReference w:type="default" r:id="R4c43617257104e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tblGrid>
    <w:tr w:rsidR="05DEC8D2" w:rsidTr="05DEC8D2" w14:paraId="7D1FB44F">
      <w:trPr>
        <w:trHeight w:val="300"/>
      </w:trPr>
      <w:tc>
        <w:tcPr>
          <w:tcW w:w="3005" w:type="dxa"/>
          <w:tcMar/>
        </w:tcPr>
        <w:p w:rsidR="05DEC8D2" w:rsidP="05DEC8D2" w:rsidRDefault="05DEC8D2" w14:paraId="2DD840F2" w14:textId="415D9423">
          <w:pPr>
            <w:pStyle w:val="Header"/>
            <w:bidi w:val="0"/>
            <w:ind w:left="-115"/>
            <w:jc w:val="left"/>
          </w:pPr>
        </w:p>
      </w:tc>
      <w:tc>
        <w:tcPr>
          <w:tcW w:w="3005" w:type="dxa"/>
          <w:tcMar/>
        </w:tcPr>
        <w:p w:rsidR="05DEC8D2" w:rsidP="05DEC8D2" w:rsidRDefault="05DEC8D2" w14:paraId="1B29E121" w14:textId="6E6B88BD">
          <w:pPr>
            <w:pStyle w:val="Header"/>
            <w:bidi w:val="0"/>
            <w:jc w:val="center"/>
          </w:pPr>
          <w:r w:rsidR="05DEC8D2">
            <w:rPr/>
            <w:t>1</w:t>
          </w:r>
        </w:p>
      </w:tc>
    </w:tr>
  </w:tbl>
  <w:p w:rsidR="05DEC8D2" w:rsidP="05DEC8D2" w:rsidRDefault="05DEC8D2" w14:paraId="58701DB3" w14:textId="51EF210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DEC8D2" w:rsidTr="05DEC8D2" w14:paraId="08CD2D8D">
      <w:trPr>
        <w:trHeight w:val="300"/>
      </w:trPr>
      <w:tc>
        <w:tcPr>
          <w:tcW w:w="3005" w:type="dxa"/>
          <w:tcMar/>
        </w:tcPr>
        <w:p w:rsidR="05DEC8D2" w:rsidP="05DEC8D2" w:rsidRDefault="05DEC8D2" w14:paraId="1583A5DA" w14:textId="35BA4A5A">
          <w:pPr>
            <w:pStyle w:val="Header"/>
            <w:bidi w:val="0"/>
            <w:ind w:left="-115"/>
            <w:jc w:val="left"/>
          </w:pPr>
          <w:r w:rsidR="05DEC8D2">
            <w:rPr/>
            <w:t>2203285</w:t>
          </w:r>
        </w:p>
      </w:tc>
      <w:tc>
        <w:tcPr>
          <w:tcW w:w="3005" w:type="dxa"/>
          <w:tcMar/>
        </w:tcPr>
        <w:p w:rsidR="05DEC8D2" w:rsidP="05DEC8D2" w:rsidRDefault="05DEC8D2" w14:paraId="11CCD7D7" w14:textId="27F0D725">
          <w:pPr>
            <w:pStyle w:val="Header"/>
            <w:bidi w:val="0"/>
            <w:jc w:val="center"/>
          </w:pPr>
          <w:r w:rsidR="05DEC8D2">
            <w:rPr/>
            <w:t>ECEY5010</w:t>
          </w:r>
        </w:p>
      </w:tc>
      <w:tc>
        <w:tcPr>
          <w:tcW w:w="3005" w:type="dxa"/>
          <w:tcMar/>
        </w:tcPr>
        <w:p w:rsidR="05DEC8D2" w:rsidP="05DEC8D2" w:rsidRDefault="05DEC8D2" w14:paraId="175AA704" w14:textId="380FED0D">
          <w:pPr>
            <w:pStyle w:val="Header"/>
            <w:bidi w:val="0"/>
            <w:ind w:right="-115"/>
            <w:jc w:val="right"/>
          </w:pPr>
          <w:r w:rsidR="05DEC8D2">
            <w:rPr/>
            <w:t>Words: 3967</w:t>
          </w:r>
        </w:p>
      </w:tc>
    </w:tr>
  </w:tbl>
  <w:p w:rsidR="05DEC8D2" w:rsidP="05DEC8D2" w:rsidRDefault="05DEC8D2" w14:paraId="11152CD0" w14:textId="736EB24A">
    <w:pPr>
      <w:pStyle w:val="Header"/>
      <w:bidi w:val="0"/>
    </w:pPr>
  </w:p>
</w:hdr>
</file>

<file path=word/intelligence2.xml><?xml version="1.0" encoding="utf-8"?>
<int2:intelligence xmlns:int2="http://schemas.microsoft.com/office/intelligence/2020/intelligence">
  <int2:observations>
    <int2:bookmark int2:bookmarkName="_Int_27MtkP2S" int2:invalidationBookmarkName="" int2:hashCode="h/drq0qQwKMP2o" int2:id="X7FXBfIY">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45BBFD"/>
    <w:rsid w:val="05DEC8D2"/>
    <w:rsid w:val="0FC1EF68"/>
    <w:rsid w:val="194D8413"/>
    <w:rsid w:val="2ECDE02E"/>
    <w:rsid w:val="3D50211D"/>
    <w:rsid w:val="3EEBF17E"/>
    <w:rsid w:val="42239240"/>
    <w:rsid w:val="4BB4D7FE"/>
    <w:rsid w:val="5D45BBFD"/>
    <w:rsid w:val="727F6269"/>
    <w:rsid w:val="749B4163"/>
    <w:rsid w:val="7B78F119"/>
    <w:rsid w:val="7FF4B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5BBFD"/>
  <w15:chartTrackingRefBased/>
  <w15:docId w15:val="{008CA798-000C-460F-B0D0-2930D8A36C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ussiechildcarenetwork.com.au/articles/childcare-programming/event-sample-observations-in-childcare" TargetMode="External" Id="R9540003e086148f6" /><Relationship Type="http://schemas.openxmlformats.org/officeDocument/2006/relationships/hyperlink" Target="file:///C:/Users/Student/Downloads/BERA-Ethical-Guidelines-for-Educational-Research_4thEdn_2018.pdf" TargetMode="External" Id="R7e0ab812ce49445f" /><Relationship Type="http://schemas.openxmlformats.org/officeDocument/2006/relationships/hyperlink" Target="file:///C:/Users/Student/Downloads/carter2014.pdf" TargetMode="External" Id="R72032b56eb954a39" /><Relationship Type="http://schemas.openxmlformats.org/officeDocument/2006/relationships/hyperlink" Target="https://www.jstor.org/stable/43940581" TargetMode="External" Id="Rae68f6ed38804665" /><Relationship Type="http://schemas.openxmlformats.org/officeDocument/2006/relationships/hyperlink" Target="https://engagement.uiowa.edu/sites/engagement.uiowa.edu/files/2020-11/Colosi%20-%202002%20-%20Designing%20an%20Effective%20Questionnaire.pdf" TargetMode="External" Id="R7ed89be2319a4f86" /><Relationship Type="http://schemas.openxmlformats.org/officeDocument/2006/relationships/hyperlink" Target="https://doi.org/10.3389/fpsyg.2021.631871" TargetMode="External" Id="Rc03e2cd948ce48fb" /><Relationship Type="http://schemas.openxmlformats.org/officeDocument/2006/relationships/hyperlink" Target="https://help-for-early-years-providers.education.gov.uk/literacy/:~:text=Sit%20in%20a%20cosy%20place%20with%20your%20children,look%20for%20rhymes%2C%20like%20%E2%80%98shark%20in%20the%20park%25E" TargetMode="External" Id="R19f3d75de70747b9" /><Relationship Type="http://schemas.openxmlformats.org/officeDocument/2006/relationships/hyperlink" Target="https://doi.org/10.1007/s10643-017-0884-4" TargetMode="External" Id="Ra61912369258487d" /><Relationship Type="http://schemas.openxmlformats.org/officeDocument/2006/relationships/hyperlink" Target="https://doi.org/10.1007/s10643-016-0782-1" TargetMode="External" Id="Rfc866896c1ea4e04" /><Relationship Type="http://schemas.openxmlformats.org/officeDocument/2006/relationships/hyperlink" Target="https://www.wrightslaw.com/info/read.disability.lyon.pdf" TargetMode="External" Id="R531963bc737b4aac" /><Relationship Type="http://schemas.openxmlformats.org/officeDocument/2006/relationships/hyperlink" Target="https://doi.org/10.1080/19404150509546796" TargetMode="External" Id="Rd5be156045444de0" /><Relationship Type="http://schemas.openxmlformats.org/officeDocument/2006/relationships/hyperlink" Target="https://doi.org/10.1007/s10643-011-0489-2" TargetMode="External" Id="Rf04c2bade92e4a25" /><Relationship Type="http://schemas.openxmlformats.org/officeDocument/2006/relationships/hyperlink" Target="https://doi.org/10.1007/s10643-018-0896-8" TargetMode="External" Id="R27af3be66d034c97" /><Relationship Type="http://schemas.openxmlformats.org/officeDocument/2006/relationships/hyperlink" Target="file:///C:/Users/Student/Downloads/FQS_17_2_Oltmann_Qualitative-Interviews_-A-Methodological-Discussion-of-the-Interviewer-and-Responde....pdf" TargetMode="External" Id="R3e37ffd98f384825" /><Relationship Type="http://schemas.openxmlformats.org/officeDocument/2006/relationships/hyperlink" Target="https://books.google.co.uk/books?hl=en&amp;lr=&amp;id=jLAjZJGNGgAC&amp;oi=fnd&amp;pg=PA181&amp;dq=advantages+questionnaires&amp;ots=vZhiNyUgQj&amp;sig=TPpriwAr62HflSgKtrudqH-34HM" TargetMode="External" Id="Refb43ef9772946a4" /><Relationship Type="http://schemas.openxmlformats.org/officeDocument/2006/relationships/hyperlink" Target="https://doi.org/10.1007/s10643-017-0876-4" TargetMode="External" Id="R2142a5f73ea04c3f" /><Relationship Type="http://schemas.openxmlformats.org/officeDocument/2006/relationships/hyperlink" Target="https://doi.org/10.1007/s10643-017-0857-7" TargetMode="External" Id="Rf2fe632634834ec0" /><Relationship Type="http://schemas.openxmlformats.org/officeDocument/2006/relationships/hyperlink" Target="https://doi.org/10.1007/s10643-019-00948-2" TargetMode="External" Id="R788c7e70afe244da" /><Relationship Type="http://schemas.openxmlformats.org/officeDocument/2006/relationships/hyperlink" Target="https://www.unicef.org.uk/what-we-do/un-convention-child-rights/" TargetMode="External" Id="R1ba61eb02c374529" /><Relationship Type="http://schemas.openxmlformats.org/officeDocument/2006/relationships/hyperlink" Target="https://www.uwtsd.ac.uk/research/research-ethics/" TargetMode="External" Id="R4f860d641f98432d" /><Relationship Type="http://schemas.openxmlformats.org/officeDocument/2006/relationships/hyperlink" Target="https://d1wqtxts1xzle7.cloudfront.net/58867028/Scaffolding_as_a_Teaching_Strategy20190411-39375-kajifs-libre.pdf?1555016824=&amp;response-content-disposition=inline%3B+filename%3DScaffolding_as_a_Teaching_Strategy.pdf&amp;Expires=1697041839&amp;Signature=Uf9~hZ0Agqc-P~7iRuMnate1G6iizkZLrlAf7tZJSiBXlZQAZ5Liv2pEPSFGyZWYNZLTF727BTpjRAuKw2qGGfd4707wVO7JGfOAIL7HU5Z0EZ8EnKHTpSSxwUGHaJaz8XtCojV39FUy3enNSnOgEBeLbbijWW~qolIAE5xN5k4X38LaPRV8fHHSwYaxcCRlacr3qdv-6J1oa4huGf6PjXRr0RcA90eDNI~67gLt37u-FEzc-Nbkr37NSe0auAsWtL1mDpttT5ERf9jjEHQ4dD1RJyjUvyn76dDvaW-7pOXgpS4sUa45K2nVt9SZjtpYfrAgEPxUgOa0oVr~cC3GCA__&amp;Key-Pair-Id=APKAJLOHF5GGSLRBV4ZA" TargetMode="External" Id="Rfb980e885f474924" /><Relationship Type="http://schemas.openxmlformats.org/officeDocument/2006/relationships/hyperlink" Target="https://www.westsussex.gov.uk/media/5555/effective_poa_and_planning.pdf" TargetMode="External" Id="R5c29e63bf47145d7" /><Relationship Type="http://schemas.openxmlformats.org/officeDocument/2006/relationships/hyperlink" Target="https://www.legislation.gov.uk/ukpga/2018/12/schedule/1/paragraph/18/enacted" TargetMode="External" Id="Rcfdf857eac6e4035" /><Relationship Type="http://schemas.openxmlformats.org/officeDocument/2006/relationships/header" Target="/word/header.xml" Id="R1e4d83752a6e4a1d" /><Relationship Type="http://schemas.openxmlformats.org/officeDocument/2006/relationships/footer" Target="/word/footer.xml" Id="R4c43617257104e49" /><Relationship Type="http://schemas.microsoft.com/office/2020/10/relationships/intelligence" Target="/word/intelligence2.xml" Id="Racf2312b7edb4ef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Zoe Griffiths (2203285)</dc:creator>
  <keywords/>
  <dc:description/>
  <lastModifiedBy>Zoe Griffiths (2203285)</lastModifiedBy>
  <revision>2</revision>
  <dcterms:created xsi:type="dcterms:W3CDTF">2023-10-23T12:30:19.3314622Z</dcterms:created>
  <dcterms:modified xsi:type="dcterms:W3CDTF">2023-10-23T14:12:51.4253931Z</dcterms:modified>
</coreProperties>
</file>