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052BDF" w14:textId="56FB20E8" w:rsidR="00436A32" w:rsidRDefault="00436A32">
      <w:r>
        <w:rPr>
          <w:noProof/>
        </w:rPr>
        <w:drawing>
          <wp:inline distT="0" distB="0" distL="0" distR="0" wp14:anchorId="7B2A3CC5" wp14:editId="5419558F">
            <wp:extent cx="2000250" cy="753428"/>
            <wp:effectExtent l="0" t="0" r="0" b="8890"/>
            <wp:docPr id="1335701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701750" name="Picture 1335701750"/>
                    <pic:cNvPicPr/>
                  </pic:nvPicPr>
                  <pic:blipFill>
                    <a:blip r:embed="rId8">
                      <a:extLst>
                        <a:ext uri="{28A0092B-C50C-407E-A947-70E740481C1C}">
                          <a14:useLocalDpi xmlns:a14="http://schemas.microsoft.com/office/drawing/2010/main" val="0"/>
                        </a:ext>
                      </a:extLst>
                    </a:blip>
                    <a:stretch>
                      <a:fillRect/>
                    </a:stretch>
                  </pic:blipFill>
                  <pic:spPr>
                    <a:xfrm>
                      <a:off x="0" y="0"/>
                      <a:ext cx="2010157" cy="757160"/>
                    </a:xfrm>
                    <a:prstGeom prst="rect">
                      <a:avLst/>
                    </a:prstGeom>
                  </pic:spPr>
                </pic:pic>
              </a:graphicData>
            </a:graphic>
          </wp:inline>
        </w:drawing>
      </w:r>
    </w:p>
    <w:p w14:paraId="277FED06" w14:textId="77777777" w:rsidR="00436A32" w:rsidRDefault="00436A32"/>
    <w:p w14:paraId="56FF8C30" w14:textId="77777777" w:rsidR="00436A32" w:rsidRDefault="00436A32"/>
    <w:p w14:paraId="71D4AC7F" w14:textId="77777777" w:rsidR="00973883" w:rsidRDefault="00973883"/>
    <w:p w14:paraId="56F70C7E" w14:textId="77777777" w:rsidR="00436A32" w:rsidRDefault="00436A32"/>
    <w:p w14:paraId="4B221521" w14:textId="40782DFC" w:rsidR="00436A32" w:rsidRPr="00973883" w:rsidRDefault="00973883" w:rsidP="00973883">
      <w:pPr>
        <w:spacing w:line="360" w:lineRule="auto"/>
        <w:jc w:val="center"/>
        <w:rPr>
          <w:rFonts w:ascii="Arial" w:hAnsi="Arial" w:cs="Arial"/>
          <w:sz w:val="40"/>
          <w:szCs w:val="40"/>
        </w:rPr>
      </w:pPr>
      <w:r w:rsidRPr="00973883">
        <w:rPr>
          <w:rFonts w:ascii="Arial" w:hAnsi="Arial" w:cs="Arial"/>
          <w:sz w:val="40"/>
          <w:szCs w:val="40"/>
        </w:rPr>
        <w:t>Health, Wellbeing and Quality Education: A Critical Examination of the Healthy Child Programme as a National Strategy Supporting SDG 3 and SDG 4</w:t>
      </w:r>
    </w:p>
    <w:p w14:paraId="0FC985E7" w14:textId="77777777" w:rsidR="00973883" w:rsidRDefault="00973883"/>
    <w:p w14:paraId="6BE48A05" w14:textId="77777777" w:rsidR="00973883" w:rsidRDefault="00973883"/>
    <w:p w14:paraId="569E969D" w14:textId="77777777" w:rsidR="00973883" w:rsidRDefault="00973883"/>
    <w:p w14:paraId="623FA282" w14:textId="77777777" w:rsidR="00973883" w:rsidRDefault="00973883"/>
    <w:p w14:paraId="3ED9F266" w14:textId="77777777" w:rsidR="00973883" w:rsidRDefault="00973883"/>
    <w:p w14:paraId="4E796073" w14:textId="77777777" w:rsidR="00436A32" w:rsidRPr="001C5520" w:rsidRDefault="00436A32" w:rsidP="00436A32">
      <w:pPr>
        <w:tabs>
          <w:tab w:val="left" w:pos="6540"/>
        </w:tabs>
        <w:spacing w:line="360" w:lineRule="auto"/>
        <w:ind w:left="426"/>
        <w:jc w:val="center"/>
        <w:rPr>
          <w:rFonts w:ascii="Arial" w:hAnsi="Arial" w:cs="Arial"/>
          <w:sz w:val="28"/>
          <w:szCs w:val="28"/>
        </w:rPr>
      </w:pPr>
      <w:r w:rsidRPr="001C5520">
        <w:rPr>
          <w:rFonts w:ascii="Arial" w:hAnsi="Arial" w:cs="Arial"/>
          <w:b/>
          <w:bCs/>
          <w:sz w:val="28"/>
          <w:szCs w:val="28"/>
        </w:rPr>
        <w:t>Student name</w:t>
      </w:r>
      <w:r w:rsidRPr="001C5520">
        <w:rPr>
          <w:rFonts w:ascii="Arial" w:hAnsi="Arial" w:cs="Arial"/>
          <w:sz w:val="28"/>
          <w:szCs w:val="28"/>
        </w:rPr>
        <w:t>: Monika Suba</w:t>
      </w:r>
    </w:p>
    <w:p w14:paraId="2175F851" w14:textId="77777777" w:rsidR="00436A32" w:rsidRPr="001C5520" w:rsidRDefault="00436A32" w:rsidP="00436A32">
      <w:pPr>
        <w:tabs>
          <w:tab w:val="left" w:pos="6540"/>
        </w:tabs>
        <w:spacing w:line="360" w:lineRule="auto"/>
        <w:ind w:left="426"/>
        <w:jc w:val="center"/>
        <w:rPr>
          <w:rFonts w:ascii="Arial" w:hAnsi="Arial" w:cs="Arial"/>
          <w:sz w:val="28"/>
          <w:szCs w:val="28"/>
        </w:rPr>
      </w:pPr>
      <w:r w:rsidRPr="001C5520">
        <w:rPr>
          <w:rFonts w:ascii="Arial" w:hAnsi="Arial" w:cs="Arial"/>
          <w:b/>
          <w:bCs/>
          <w:sz w:val="28"/>
          <w:szCs w:val="28"/>
        </w:rPr>
        <w:t>Student ID</w:t>
      </w:r>
      <w:r w:rsidRPr="001C5520">
        <w:rPr>
          <w:rFonts w:ascii="Arial" w:hAnsi="Arial" w:cs="Arial"/>
          <w:sz w:val="28"/>
          <w:szCs w:val="28"/>
        </w:rPr>
        <w:t>: 2243843</w:t>
      </w:r>
    </w:p>
    <w:p w14:paraId="45C3FB6A" w14:textId="77777777" w:rsidR="00436A32" w:rsidRPr="001C5520" w:rsidRDefault="00436A32" w:rsidP="00436A32">
      <w:pPr>
        <w:tabs>
          <w:tab w:val="left" w:pos="6540"/>
        </w:tabs>
        <w:spacing w:line="360" w:lineRule="auto"/>
        <w:ind w:left="426"/>
        <w:jc w:val="center"/>
        <w:rPr>
          <w:rFonts w:ascii="Arial" w:hAnsi="Arial" w:cs="Arial"/>
          <w:sz w:val="28"/>
          <w:szCs w:val="28"/>
        </w:rPr>
      </w:pPr>
    </w:p>
    <w:p w14:paraId="0A90EFFF" w14:textId="3B31E690" w:rsidR="00436A32" w:rsidRPr="001C5520" w:rsidRDefault="00436A32" w:rsidP="00436A32">
      <w:pPr>
        <w:tabs>
          <w:tab w:val="left" w:pos="6540"/>
        </w:tabs>
        <w:spacing w:line="360" w:lineRule="auto"/>
        <w:ind w:left="426"/>
        <w:jc w:val="center"/>
        <w:rPr>
          <w:rFonts w:ascii="Arial" w:hAnsi="Arial" w:cs="Arial"/>
          <w:sz w:val="28"/>
          <w:szCs w:val="28"/>
        </w:rPr>
      </w:pPr>
      <w:r w:rsidRPr="001C5520">
        <w:rPr>
          <w:rFonts w:ascii="Arial" w:hAnsi="Arial" w:cs="Arial"/>
          <w:b/>
          <w:bCs/>
          <w:sz w:val="28"/>
          <w:szCs w:val="28"/>
        </w:rPr>
        <w:t>Module name</w:t>
      </w:r>
      <w:r w:rsidRPr="001C5520">
        <w:rPr>
          <w:rFonts w:ascii="Arial" w:hAnsi="Arial" w:cs="Arial"/>
          <w:sz w:val="28"/>
          <w:szCs w:val="28"/>
        </w:rPr>
        <w:t xml:space="preserve">: </w:t>
      </w:r>
      <w:r w:rsidRPr="00436A32">
        <w:rPr>
          <w:rFonts w:ascii="Arial" w:hAnsi="Arial" w:cs="Arial"/>
          <w:sz w:val="28"/>
          <w:szCs w:val="28"/>
          <w:lang w:val="en-US"/>
        </w:rPr>
        <w:t>Health, Wellbeing and Sustainable Development</w:t>
      </w:r>
    </w:p>
    <w:p w14:paraId="7553BEFC" w14:textId="70E2F286" w:rsidR="00436A32" w:rsidRDefault="00436A32" w:rsidP="00436A32">
      <w:pPr>
        <w:tabs>
          <w:tab w:val="left" w:pos="6540"/>
        </w:tabs>
        <w:spacing w:line="360" w:lineRule="auto"/>
        <w:ind w:left="426"/>
        <w:jc w:val="center"/>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 xml:space="preserve">: </w:t>
      </w:r>
      <w:r w:rsidRPr="00436A32">
        <w:rPr>
          <w:rFonts w:ascii="Arial" w:hAnsi="Arial" w:cs="Arial"/>
          <w:sz w:val="28"/>
          <w:szCs w:val="28"/>
          <w:lang w:val="en-US"/>
        </w:rPr>
        <w:t>BMHP6030</w:t>
      </w:r>
    </w:p>
    <w:p w14:paraId="28D2AFFA" w14:textId="41043137" w:rsidR="00436A32" w:rsidRDefault="00436A32" w:rsidP="00436A32">
      <w:pPr>
        <w:tabs>
          <w:tab w:val="left" w:pos="6540"/>
        </w:tabs>
        <w:spacing w:line="360" w:lineRule="auto"/>
        <w:ind w:left="426"/>
        <w:jc w:val="center"/>
        <w:rPr>
          <w:rFonts w:ascii="Arial" w:hAnsi="Arial" w:cs="Arial"/>
          <w:sz w:val="28"/>
          <w:szCs w:val="28"/>
        </w:rPr>
      </w:pPr>
      <w:r>
        <w:rPr>
          <w:rFonts w:ascii="Arial" w:hAnsi="Arial" w:cs="Arial"/>
          <w:b/>
          <w:bCs/>
          <w:sz w:val="28"/>
          <w:szCs w:val="28"/>
        </w:rPr>
        <w:t>Lecturer’s</w:t>
      </w:r>
      <w:r w:rsidRPr="00074402">
        <w:rPr>
          <w:rFonts w:ascii="Arial" w:hAnsi="Arial" w:cs="Arial"/>
          <w:b/>
          <w:bCs/>
          <w:sz w:val="28"/>
          <w:szCs w:val="28"/>
        </w:rPr>
        <w:t xml:space="preserve"> name</w:t>
      </w:r>
      <w:r>
        <w:rPr>
          <w:rFonts w:ascii="Arial" w:hAnsi="Arial" w:cs="Arial"/>
          <w:sz w:val="28"/>
          <w:szCs w:val="28"/>
        </w:rPr>
        <w:t xml:space="preserve">: Dr </w:t>
      </w:r>
      <w:r w:rsidRPr="00436A32">
        <w:rPr>
          <w:rFonts w:ascii="Arial" w:hAnsi="Arial" w:cs="Arial"/>
          <w:sz w:val="28"/>
          <w:szCs w:val="28"/>
          <w:lang w:val="en-US"/>
        </w:rPr>
        <w:t xml:space="preserve">Itse Olaoye </w:t>
      </w:r>
    </w:p>
    <w:p w14:paraId="40EDF263" w14:textId="77777777" w:rsidR="00436A32" w:rsidRDefault="00436A32"/>
    <w:p w14:paraId="35725199" w14:textId="77777777" w:rsidR="00436A32" w:rsidRDefault="00436A32"/>
    <w:p w14:paraId="0FDEFFCF" w14:textId="77777777" w:rsidR="00436A32" w:rsidRDefault="00436A32"/>
    <w:p w14:paraId="52A03746" w14:textId="77777777" w:rsidR="00436A32" w:rsidRDefault="00436A32"/>
    <w:sdt>
      <w:sdtPr>
        <w:rPr>
          <w:rFonts w:asciiTheme="minorHAnsi" w:eastAsiaTheme="minorHAnsi" w:hAnsiTheme="minorHAnsi" w:cstheme="minorBidi"/>
          <w:color w:val="auto"/>
          <w:kern w:val="2"/>
          <w:sz w:val="24"/>
          <w:szCs w:val="24"/>
          <w:lang w:val="en-GB"/>
          <w14:ligatures w14:val="standardContextual"/>
        </w:rPr>
        <w:id w:val="-368772667"/>
        <w:docPartObj>
          <w:docPartGallery w:val="Table of Contents"/>
          <w:docPartUnique/>
        </w:docPartObj>
      </w:sdtPr>
      <w:sdtEndPr>
        <w:rPr>
          <w:b/>
          <w:bCs/>
          <w:noProof/>
        </w:rPr>
      </w:sdtEndPr>
      <w:sdtContent>
        <w:p w14:paraId="2059A3C2" w14:textId="0BE1B06E" w:rsidR="00436A32" w:rsidRDefault="00436A32">
          <w:pPr>
            <w:pStyle w:val="TOCHeading"/>
          </w:pPr>
          <w:r>
            <w:t>Table of Contents</w:t>
          </w:r>
        </w:p>
        <w:p w14:paraId="278118F5" w14:textId="13824872" w:rsidR="00026531" w:rsidRDefault="00436A3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7576158" w:history="1">
            <w:r w:rsidR="00026531" w:rsidRPr="004F714C">
              <w:rPr>
                <w:rStyle w:val="Hyperlink"/>
                <w:noProof/>
              </w:rPr>
              <w:t>Introduction</w:t>
            </w:r>
            <w:r w:rsidR="00026531">
              <w:rPr>
                <w:noProof/>
                <w:webHidden/>
              </w:rPr>
              <w:tab/>
            </w:r>
            <w:r w:rsidR="00026531">
              <w:rPr>
                <w:noProof/>
                <w:webHidden/>
              </w:rPr>
              <w:fldChar w:fldCharType="begin"/>
            </w:r>
            <w:r w:rsidR="00026531">
              <w:rPr>
                <w:noProof/>
                <w:webHidden/>
              </w:rPr>
              <w:instrText xml:space="preserve"> PAGEREF _Toc227576158 \h </w:instrText>
            </w:r>
            <w:r w:rsidR="00026531">
              <w:rPr>
                <w:noProof/>
                <w:webHidden/>
              </w:rPr>
            </w:r>
            <w:r w:rsidR="00026531">
              <w:rPr>
                <w:noProof/>
                <w:webHidden/>
              </w:rPr>
              <w:fldChar w:fldCharType="separate"/>
            </w:r>
            <w:r w:rsidR="00026531">
              <w:rPr>
                <w:noProof/>
                <w:webHidden/>
              </w:rPr>
              <w:t>3</w:t>
            </w:r>
            <w:r w:rsidR="00026531">
              <w:rPr>
                <w:noProof/>
                <w:webHidden/>
              </w:rPr>
              <w:fldChar w:fldCharType="end"/>
            </w:r>
          </w:hyperlink>
        </w:p>
        <w:p w14:paraId="1EA736DD" w14:textId="19488AD2" w:rsidR="00026531" w:rsidRDefault="00026531">
          <w:pPr>
            <w:pStyle w:val="TOC1"/>
            <w:tabs>
              <w:tab w:val="right" w:leader="dot" w:pos="9016"/>
            </w:tabs>
            <w:rPr>
              <w:rFonts w:eastAsiaTheme="minorEastAsia"/>
              <w:noProof/>
              <w:lang w:eastAsia="en-GB"/>
            </w:rPr>
          </w:pPr>
          <w:hyperlink w:anchor="_Toc227576159" w:history="1">
            <w:r w:rsidRPr="004F714C">
              <w:rPr>
                <w:rStyle w:val="Hyperlink"/>
                <w:noProof/>
              </w:rPr>
              <w:t>1. SDG 3: Good Health and Well-being</w:t>
            </w:r>
            <w:r>
              <w:rPr>
                <w:noProof/>
                <w:webHidden/>
              </w:rPr>
              <w:tab/>
            </w:r>
            <w:r>
              <w:rPr>
                <w:noProof/>
                <w:webHidden/>
              </w:rPr>
              <w:fldChar w:fldCharType="begin"/>
            </w:r>
            <w:r>
              <w:rPr>
                <w:noProof/>
                <w:webHidden/>
              </w:rPr>
              <w:instrText xml:space="preserve"> PAGEREF _Toc227576159 \h </w:instrText>
            </w:r>
            <w:r>
              <w:rPr>
                <w:noProof/>
                <w:webHidden/>
              </w:rPr>
            </w:r>
            <w:r>
              <w:rPr>
                <w:noProof/>
                <w:webHidden/>
              </w:rPr>
              <w:fldChar w:fldCharType="separate"/>
            </w:r>
            <w:r>
              <w:rPr>
                <w:noProof/>
                <w:webHidden/>
              </w:rPr>
              <w:t>3</w:t>
            </w:r>
            <w:r>
              <w:rPr>
                <w:noProof/>
                <w:webHidden/>
              </w:rPr>
              <w:fldChar w:fldCharType="end"/>
            </w:r>
          </w:hyperlink>
        </w:p>
        <w:p w14:paraId="0FF0772F" w14:textId="69D522B0" w:rsidR="00026531" w:rsidRDefault="00026531">
          <w:pPr>
            <w:pStyle w:val="TOC1"/>
            <w:tabs>
              <w:tab w:val="right" w:leader="dot" w:pos="9016"/>
            </w:tabs>
            <w:rPr>
              <w:rFonts w:eastAsiaTheme="minorEastAsia"/>
              <w:noProof/>
              <w:lang w:eastAsia="en-GB"/>
            </w:rPr>
          </w:pPr>
          <w:hyperlink w:anchor="_Toc227576160" w:history="1">
            <w:r w:rsidRPr="004F714C">
              <w:rPr>
                <w:rStyle w:val="Hyperlink"/>
                <w:noProof/>
              </w:rPr>
              <w:t>2. SDG 4: Quality Education</w:t>
            </w:r>
            <w:r>
              <w:rPr>
                <w:noProof/>
                <w:webHidden/>
              </w:rPr>
              <w:tab/>
            </w:r>
            <w:r>
              <w:rPr>
                <w:noProof/>
                <w:webHidden/>
              </w:rPr>
              <w:fldChar w:fldCharType="begin"/>
            </w:r>
            <w:r>
              <w:rPr>
                <w:noProof/>
                <w:webHidden/>
              </w:rPr>
              <w:instrText xml:space="preserve"> PAGEREF _Toc227576160 \h </w:instrText>
            </w:r>
            <w:r>
              <w:rPr>
                <w:noProof/>
                <w:webHidden/>
              </w:rPr>
            </w:r>
            <w:r>
              <w:rPr>
                <w:noProof/>
                <w:webHidden/>
              </w:rPr>
              <w:fldChar w:fldCharType="separate"/>
            </w:r>
            <w:r>
              <w:rPr>
                <w:noProof/>
                <w:webHidden/>
              </w:rPr>
              <w:t>4</w:t>
            </w:r>
            <w:r>
              <w:rPr>
                <w:noProof/>
                <w:webHidden/>
              </w:rPr>
              <w:fldChar w:fldCharType="end"/>
            </w:r>
          </w:hyperlink>
        </w:p>
        <w:p w14:paraId="1718F0B6" w14:textId="1DD8CDDE" w:rsidR="00026531" w:rsidRDefault="00026531">
          <w:pPr>
            <w:pStyle w:val="TOC1"/>
            <w:tabs>
              <w:tab w:val="right" w:leader="dot" w:pos="9016"/>
            </w:tabs>
            <w:rPr>
              <w:rFonts w:eastAsiaTheme="minorEastAsia"/>
              <w:noProof/>
              <w:lang w:eastAsia="en-GB"/>
            </w:rPr>
          </w:pPr>
          <w:hyperlink w:anchor="_Toc227576161" w:history="1">
            <w:r w:rsidRPr="004F714C">
              <w:rPr>
                <w:rStyle w:val="Hyperlink"/>
                <w:noProof/>
              </w:rPr>
              <w:t>3. National Wellbeing Initiatives</w:t>
            </w:r>
            <w:r>
              <w:rPr>
                <w:noProof/>
                <w:webHidden/>
              </w:rPr>
              <w:tab/>
            </w:r>
            <w:r>
              <w:rPr>
                <w:noProof/>
                <w:webHidden/>
              </w:rPr>
              <w:fldChar w:fldCharType="begin"/>
            </w:r>
            <w:r>
              <w:rPr>
                <w:noProof/>
                <w:webHidden/>
              </w:rPr>
              <w:instrText xml:space="preserve"> PAGEREF _Toc227576161 \h </w:instrText>
            </w:r>
            <w:r>
              <w:rPr>
                <w:noProof/>
                <w:webHidden/>
              </w:rPr>
            </w:r>
            <w:r>
              <w:rPr>
                <w:noProof/>
                <w:webHidden/>
              </w:rPr>
              <w:fldChar w:fldCharType="separate"/>
            </w:r>
            <w:r>
              <w:rPr>
                <w:noProof/>
                <w:webHidden/>
              </w:rPr>
              <w:t>5</w:t>
            </w:r>
            <w:r>
              <w:rPr>
                <w:noProof/>
                <w:webHidden/>
              </w:rPr>
              <w:fldChar w:fldCharType="end"/>
            </w:r>
          </w:hyperlink>
        </w:p>
        <w:p w14:paraId="32D73728" w14:textId="43DB141C" w:rsidR="00026531" w:rsidRDefault="00026531">
          <w:pPr>
            <w:pStyle w:val="TOC1"/>
            <w:tabs>
              <w:tab w:val="right" w:leader="dot" w:pos="9016"/>
            </w:tabs>
            <w:rPr>
              <w:rFonts w:eastAsiaTheme="minorEastAsia"/>
              <w:noProof/>
              <w:lang w:eastAsia="en-GB"/>
            </w:rPr>
          </w:pPr>
          <w:hyperlink w:anchor="_Toc227576162" w:history="1">
            <w:r w:rsidRPr="004F714C">
              <w:rPr>
                <w:rStyle w:val="Hyperlink"/>
                <w:noProof/>
              </w:rPr>
              <w:t>4. Local Wellbeing Initiatives</w:t>
            </w:r>
            <w:r>
              <w:rPr>
                <w:noProof/>
                <w:webHidden/>
              </w:rPr>
              <w:tab/>
            </w:r>
            <w:r>
              <w:rPr>
                <w:noProof/>
                <w:webHidden/>
              </w:rPr>
              <w:fldChar w:fldCharType="begin"/>
            </w:r>
            <w:r>
              <w:rPr>
                <w:noProof/>
                <w:webHidden/>
              </w:rPr>
              <w:instrText xml:space="preserve"> PAGEREF _Toc227576162 \h </w:instrText>
            </w:r>
            <w:r>
              <w:rPr>
                <w:noProof/>
                <w:webHidden/>
              </w:rPr>
            </w:r>
            <w:r>
              <w:rPr>
                <w:noProof/>
                <w:webHidden/>
              </w:rPr>
              <w:fldChar w:fldCharType="separate"/>
            </w:r>
            <w:r>
              <w:rPr>
                <w:noProof/>
                <w:webHidden/>
              </w:rPr>
              <w:t>7</w:t>
            </w:r>
            <w:r>
              <w:rPr>
                <w:noProof/>
                <w:webHidden/>
              </w:rPr>
              <w:fldChar w:fldCharType="end"/>
            </w:r>
          </w:hyperlink>
        </w:p>
        <w:p w14:paraId="056BC67D" w14:textId="68ADB62F" w:rsidR="00026531" w:rsidRDefault="00026531">
          <w:pPr>
            <w:pStyle w:val="TOC1"/>
            <w:tabs>
              <w:tab w:val="right" w:leader="dot" w:pos="9016"/>
            </w:tabs>
            <w:rPr>
              <w:rFonts w:eastAsiaTheme="minorEastAsia"/>
              <w:noProof/>
              <w:lang w:eastAsia="en-GB"/>
            </w:rPr>
          </w:pPr>
          <w:hyperlink w:anchor="_Toc227576163" w:history="1">
            <w:r w:rsidRPr="004F714C">
              <w:rPr>
                <w:rStyle w:val="Hyperlink"/>
                <w:noProof/>
              </w:rPr>
              <w:t>Conclusion</w:t>
            </w:r>
            <w:r>
              <w:rPr>
                <w:noProof/>
                <w:webHidden/>
              </w:rPr>
              <w:tab/>
            </w:r>
            <w:r>
              <w:rPr>
                <w:noProof/>
                <w:webHidden/>
              </w:rPr>
              <w:fldChar w:fldCharType="begin"/>
            </w:r>
            <w:r>
              <w:rPr>
                <w:noProof/>
                <w:webHidden/>
              </w:rPr>
              <w:instrText xml:space="preserve"> PAGEREF _Toc227576163 \h </w:instrText>
            </w:r>
            <w:r>
              <w:rPr>
                <w:noProof/>
                <w:webHidden/>
              </w:rPr>
            </w:r>
            <w:r>
              <w:rPr>
                <w:noProof/>
                <w:webHidden/>
              </w:rPr>
              <w:fldChar w:fldCharType="separate"/>
            </w:r>
            <w:r>
              <w:rPr>
                <w:noProof/>
                <w:webHidden/>
              </w:rPr>
              <w:t>9</w:t>
            </w:r>
            <w:r>
              <w:rPr>
                <w:noProof/>
                <w:webHidden/>
              </w:rPr>
              <w:fldChar w:fldCharType="end"/>
            </w:r>
          </w:hyperlink>
        </w:p>
        <w:p w14:paraId="12AA4B6E" w14:textId="1FFDB16E" w:rsidR="00026531" w:rsidRDefault="00026531">
          <w:pPr>
            <w:pStyle w:val="TOC1"/>
            <w:tabs>
              <w:tab w:val="right" w:leader="dot" w:pos="9016"/>
            </w:tabs>
            <w:rPr>
              <w:rFonts w:eastAsiaTheme="minorEastAsia"/>
              <w:noProof/>
              <w:lang w:eastAsia="en-GB"/>
            </w:rPr>
          </w:pPr>
          <w:hyperlink w:anchor="_Toc227576164" w:history="1">
            <w:r w:rsidRPr="004F714C">
              <w:rPr>
                <w:rStyle w:val="Hyperlink"/>
                <w:noProof/>
              </w:rPr>
              <w:t>References</w:t>
            </w:r>
            <w:r>
              <w:rPr>
                <w:noProof/>
                <w:webHidden/>
              </w:rPr>
              <w:tab/>
            </w:r>
            <w:r>
              <w:rPr>
                <w:noProof/>
                <w:webHidden/>
              </w:rPr>
              <w:fldChar w:fldCharType="begin"/>
            </w:r>
            <w:r>
              <w:rPr>
                <w:noProof/>
                <w:webHidden/>
              </w:rPr>
              <w:instrText xml:space="preserve"> PAGEREF _Toc227576164 \h </w:instrText>
            </w:r>
            <w:r>
              <w:rPr>
                <w:noProof/>
                <w:webHidden/>
              </w:rPr>
            </w:r>
            <w:r>
              <w:rPr>
                <w:noProof/>
                <w:webHidden/>
              </w:rPr>
              <w:fldChar w:fldCharType="separate"/>
            </w:r>
            <w:r>
              <w:rPr>
                <w:noProof/>
                <w:webHidden/>
              </w:rPr>
              <w:t>10</w:t>
            </w:r>
            <w:r>
              <w:rPr>
                <w:noProof/>
                <w:webHidden/>
              </w:rPr>
              <w:fldChar w:fldCharType="end"/>
            </w:r>
          </w:hyperlink>
        </w:p>
        <w:p w14:paraId="29EBFD54" w14:textId="2A1C8045" w:rsidR="00436A32" w:rsidRDefault="00436A32">
          <w:r>
            <w:rPr>
              <w:b/>
              <w:bCs/>
              <w:noProof/>
            </w:rPr>
            <w:fldChar w:fldCharType="end"/>
          </w:r>
        </w:p>
      </w:sdtContent>
    </w:sdt>
    <w:p w14:paraId="1DD8D099" w14:textId="77777777" w:rsidR="00436A32" w:rsidRDefault="00436A32"/>
    <w:p w14:paraId="513A19F9" w14:textId="77777777" w:rsidR="00436A32" w:rsidRPr="00436A32" w:rsidRDefault="00436A32" w:rsidP="00436A32"/>
    <w:p w14:paraId="444C0DFE" w14:textId="77777777" w:rsidR="00436A32" w:rsidRDefault="00436A32" w:rsidP="00436A32"/>
    <w:p w14:paraId="02CF4A65" w14:textId="77777777" w:rsidR="00436A32" w:rsidRDefault="00436A32" w:rsidP="00436A32">
      <w:pPr>
        <w:jc w:val="center"/>
      </w:pPr>
    </w:p>
    <w:p w14:paraId="0820D4C7" w14:textId="77777777" w:rsidR="00436A32" w:rsidRDefault="00436A32" w:rsidP="00436A32">
      <w:pPr>
        <w:jc w:val="center"/>
      </w:pPr>
    </w:p>
    <w:p w14:paraId="12352CCC" w14:textId="77777777" w:rsidR="00436A32" w:rsidRDefault="00436A32" w:rsidP="00436A32">
      <w:pPr>
        <w:jc w:val="center"/>
      </w:pPr>
    </w:p>
    <w:p w14:paraId="45D97A3C" w14:textId="77777777" w:rsidR="00436A32" w:rsidRDefault="00436A32" w:rsidP="00436A32">
      <w:pPr>
        <w:jc w:val="center"/>
      </w:pPr>
    </w:p>
    <w:p w14:paraId="1DC858C4" w14:textId="77777777" w:rsidR="00436A32" w:rsidRDefault="00436A32" w:rsidP="00436A32">
      <w:pPr>
        <w:jc w:val="center"/>
      </w:pPr>
    </w:p>
    <w:p w14:paraId="2FB05539" w14:textId="77777777" w:rsidR="00436A32" w:rsidRDefault="00436A32" w:rsidP="00436A32">
      <w:pPr>
        <w:jc w:val="center"/>
      </w:pPr>
    </w:p>
    <w:p w14:paraId="2871AEDD" w14:textId="77777777" w:rsidR="00436A32" w:rsidRDefault="00436A32" w:rsidP="00436A32">
      <w:pPr>
        <w:jc w:val="center"/>
      </w:pPr>
    </w:p>
    <w:p w14:paraId="4ABFFC2A" w14:textId="77777777" w:rsidR="00436A32" w:rsidRDefault="00436A32" w:rsidP="00436A32">
      <w:pPr>
        <w:jc w:val="center"/>
      </w:pPr>
    </w:p>
    <w:p w14:paraId="39EA2227" w14:textId="77777777" w:rsidR="00436A32" w:rsidRDefault="00436A32" w:rsidP="00436A32">
      <w:pPr>
        <w:jc w:val="center"/>
      </w:pPr>
    </w:p>
    <w:p w14:paraId="67219231" w14:textId="77777777" w:rsidR="00436A32" w:rsidRDefault="00436A32" w:rsidP="00436A32">
      <w:pPr>
        <w:jc w:val="center"/>
      </w:pPr>
    </w:p>
    <w:p w14:paraId="253C6255" w14:textId="77777777" w:rsidR="00436A32" w:rsidRDefault="00436A32" w:rsidP="00436A32">
      <w:pPr>
        <w:jc w:val="center"/>
      </w:pPr>
    </w:p>
    <w:p w14:paraId="79DD4E9A" w14:textId="77777777" w:rsidR="00310432" w:rsidRDefault="00310432" w:rsidP="00436A32">
      <w:pPr>
        <w:jc w:val="center"/>
      </w:pPr>
    </w:p>
    <w:p w14:paraId="174FB09A" w14:textId="77777777" w:rsidR="00310432" w:rsidRDefault="00310432" w:rsidP="00436A32">
      <w:pPr>
        <w:jc w:val="center"/>
      </w:pPr>
    </w:p>
    <w:p w14:paraId="62E59C50" w14:textId="77777777" w:rsidR="00436A32" w:rsidRDefault="00436A32" w:rsidP="00422C66"/>
    <w:p w14:paraId="75DFA038" w14:textId="77777777" w:rsidR="00422C66" w:rsidRPr="00422C66" w:rsidRDefault="00422C66" w:rsidP="00422C66">
      <w:pPr>
        <w:pStyle w:val="Heading1"/>
      </w:pPr>
      <w:bookmarkStart w:id="0" w:name="_Toc227576158"/>
      <w:r w:rsidRPr="00422C66">
        <w:lastRenderedPageBreak/>
        <w:t>Introduction</w:t>
      </w:r>
      <w:bookmarkEnd w:id="0"/>
    </w:p>
    <w:p w14:paraId="6EFD24B4" w14:textId="34A7AF50" w:rsidR="00B02BC9" w:rsidRPr="00CE5659" w:rsidRDefault="00192513" w:rsidP="00973883">
      <w:pPr>
        <w:spacing w:line="360" w:lineRule="auto"/>
        <w:jc w:val="both"/>
        <w:rPr>
          <w:rFonts w:ascii="Arial" w:hAnsi="Arial" w:cs="Arial"/>
          <w:sz w:val="22"/>
          <w:szCs w:val="22"/>
        </w:rPr>
      </w:pPr>
      <w:r w:rsidRPr="00192513">
        <w:rPr>
          <w:rFonts w:ascii="Arial" w:hAnsi="Arial" w:cs="Arial"/>
          <w:sz w:val="22"/>
          <w:szCs w:val="22"/>
        </w:rPr>
        <w:t>Health, well-being, and education are deeply interconnected determinants of human development, shaping life chances across the life course. The United Nations Sustainable Development Goals (SDGs) recognise this relationship, particularly through SDG 3 (Good Health and Well-being) and SDG 4 (Quality Education), which aim to reduce inequalities and promote equitable development globally. This report critically examines the relationship between these goals at global, national, and local levels, drawing on the social determinants of health, Bronfenbrenner’s ecological systems theory, and contemporary research. The analysis evaluates two national wellbeing initiatives</w:t>
      </w:r>
      <w:r>
        <w:rPr>
          <w:rFonts w:ascii="Arial" w:hAnsi="Arial" w:cs="Arial"/>
          <w:sz w:val="22"/>
          <w:szCs w:val="22"/>
        </w:rPr>
        <w:t xml:space="preserve">, </w:t>
      </w:r>
      <w:r w:rsidRPr="00192513">
        <w:rPr>
          <w:rFonts w:ascii="Arial" w:hAnsi="Arial" w:cs="Arial"/>
          <w:sz w:val="22"/>
          <w:szCs w:val="22"/>
        </w:rPr>
        <w:t>the Healthy Child Programme (HCP) and the NHS Long Term Plan</w:t>
      </w:r>
      <w:r>
        <w:rPr>
          <w:rFonts w:ascii="Arial" w:hAnsi="Arial" w:cs="Arial"/>
          <w:sz w:val="22"/>
          <w:szCs w:val="22"/>
        </w:rPr>
        <w:t xml:space="preserve">, </w:t>
      </w:r>
      <w:r w:rsidRPr="00192513">
        <w:rPr>
          <w:rFonts w:ascii="Arial" w:hAnsi="Arial" w:cs="Arial"/>
          <w:sz w:val="22"/>
          <w:szCs w:val="22"/>
        </w:rPr>
        <w:t>and two local initiatives</w:t>
      </w:r>
      <w:r>
        <w:rPr>
          <w:rFonts w:ascii="Arial" w:hAnsi="Arial" w:cs="Arial"/>
          <w:sz w:val="22"/>
          <w:szCs w:val="22"/>
        </w:rPr>
        <w:t xml:space="preserve">, </w:t>
      </w:r>
      <w:r w:rsidRPr="00192513">
        <w:rPr>
          <w:rFonts w:ascii="Arial" w:hAnsi="Arial" w:cs="Arial"/>
          <w:sz w:val="22"/>
          <w:szCs w:val="22"/>
        </w:rPr>
        <w:t>local implementation of Making Every Contact Count (MECC) and local delivery of the Early Years Foundation Stage (EYFS). Recommendations are integrated within each section to strengthen alignment with SDG 3 and SDG 4</w:t>
      </w:r>
      <w:r>
        <w:rPr>
          <w:rFonts w:ascii="Arial" w:hAnsi="Arial" w:cs="Arial"/>
          <w:sz w:val="22"/>
          <w:szCs w:val="22"/>
        </w:rPr>
        <w:t>.</w:t>
      </w:r>
    </w:p>
    <w:p w14:paraId="2570B53A" w14:textId="7CB5D6E1" w:rsidR="00422C66" w:rsidRPr="004632F3" w:rsidRDefault="0035327B" w:rsidP="0035327B">
      <w:pPr>
        <w:pStyle w:val="Heading1"/>
        <w:ind w:left="360"/>
      </w:pPr>
      <w:bookmarkStart w:id="1" w:name="_Toc227576159"/>
      <w:r>
        <w:t xml:space="preserve">1. </w:t>
      </w:r>
      <w:r w:rsidR="00FC2E82" w:rsidRPr="00FC2E82">
        <w:t>SDG 3: Good Health and Well-being</w:t>
      </w:r>
      <w:bookmarkEnd w:id="1"/>
    </w:p>
    <w:p w14:paraId="78517F28" w14:textId="77777777" w:rsidR="004030C2" w:rsidRPr="004030C2" w:rsidRDefault="004030C2" w:rsidP="004030C2">
      <w:pPr>
        <w:spacing w:line="360" w:lineRule="auto"/>
        <w:jc w:val="both"/>
        <w:rPr>
          <w:rFonts w:ascii="Arial" w:hAnsi="Arial" w:cs="Arial"/>
          <w:sz w:val="22"/>
          <w:szCs w:val="22"/>
        </w:rPr>
      </w:pPr>
      <w:r w:rsidRPr="004030C2">
        <w:rPr>
          <w:rFonts w:ascii="Arial" w:hAnsi="Arial" w:cs="Arial"/>
          <w:sz w:val="22"/>
          <w:szCs w:val="22"/>
        </w:rPr>
        <w:t>SDG 3 aims to ensure healthy lives and promote well-being for all ages, yet global health inequalities remain profound. Maternal mortality in low-income countries is fourteen times higher than in high-income countries (WHO, 2023), reflecting persistent disparities in access to skilled birth attendants, emergency obstetric care, and basic health services. Many regions continue to face infectious diseases, malnutrition, and limited healthcare access, all of which undermine development and widen inequality. These challenges demonstrate that achieving SDG 3 requires more than clinical interventions; it demands structural change addressing poverty, food systems, and global economic forces (Marmot, 2020).</w:t>
      </w:r>
    </w:p>
    <w:p w14:paraId="69881299" w14:textId="77777777" w:rsidR="004030C2" w:rsidRPr="004030C2" w:rsidRDefault="004030C2" w:rsidP="004030C2">
      <w:pPr>
        <w:spacing w:line="360" w:lineRule="auto"/>
        <w:jc w:val="both"/>
        <w:rPr>
          <w:rFonts w:ascii="Arial" w:hAnsi="Arial" w:cs="Arial"/>
          <w:sz w:val="22"/>
          <w:szCs w:val="22"/>
        </w:rPr>
      </w:pPr>
      <w:r w:rsidRPr="004030C2">
        <w:rPr>
          <w:rFonts w:ascii="Arial" w:hAnsi="Arial" w:cs="Arial"/>
          <w:sz w:val="22"/>
          <w:szCs w:val="22"/>
        </w:rPr>
        <w:t>Global health outcomes are shaped by broader structural determinants such as globalisation, trade, and food systems. Cuevas García-Dorado et al. (2019) highlight that globalisation has mixed effects on population health. In many low- and middle-income countries, rapid dietary transitions driven by foreign direct investment, processed food availability, and shifting cultural norms have created a double burden of malnutrition, where undernutrition coexists with rising obesity and non-communicable diseases (NCDs). This means SDG 3 must address both infectious and chronic disease prevention simultaneously. While trade liberalisation can improve dietary quality in some contexts, it may also increase exposure to unhealthy food environments, particularly for vulnerable groups.</w:t>
      </w:r>
    </w:p>
    <w:p w14:paraId="243E552B" w14:textId="77777777" w:rsidR="004030C2" w:rsidRPr="004030C2" w:rsidRDefault="004030C2" w:rsidP="004030C2">
      <w:pPr>
        <w:spacing w:line="360" w:lineRule="auto"/>
        <w:jc w:val="both"/>
        <w:rPr>
          <w:rFonts w:ascii="Arial" w:hAnsi="Arial" w:cs="Arial"/>
          <w:sz w:val="22"/>
          <w:szCs w:val="22"/>
        </w:rPr>
      </w:pPr>
      <w:r w:rsidRPr="004030C2">
        <w:rPr>
          <w:rFonts w:ascii="Arial" w:hAnsi="Arial" w:cs="Arial"/>
          <w:sz w:val="22"/>
          <w:szCs w:val="22"/>
        </w:rPr>
        <w:t xml:space="preserve">Education is also a key determinant of health, reinforcing the interdependence between SDG 3 and SDG 4. Higher educational attainment is associated with longer life expectancy, </w:t>
      </w:r>
      <w:r w:rsidRPr="004030C2">
        <w:rPr>
          <w:rFonts w:ascii="Arial" w:hAnsi="Arial" w:cs="Arial"/>
          <w:sz w:val="22"/>
          <w:szCs w:val="22"/>
        </w:rPr>
        <w:lastRenderedPageBreak/>
        <w:t>improved mental health, and reduced engagement in high-risk behaviours. Moga Rogoz et al. (2022) demonstrate that education has a stronger and more sustained impact on life expectancy than economic freedom, both in the short and long term. Education improves health through multiple pathways, including better employment opportunities, higher income, improved access to healthcare, and increased health literacy.</w:t>
      </w:r>
    </w:p>
    <w:p w14:paraId="06562772" w14:textId="4F3711E5" w:rsidR="004030C2" w:rsidRPr="004030C2" w:rsidRDefault="004030C2" w:rsidP="004030C2">
      <w:pPr>
        <w:spacing w:line="360" w:lineRule="auto"/>
        <w:jc w:val="both"/>
        <w:rPr>
          <w:rFonts w:ascii="Arial" w:hAnsi="Arial" w:cs="Arial"/>
          <w:sz w:val="22"/>
          <w:szCs w:val="22"/>
        </w:rPr>
      </w:pPr>
      <w:r w:rsidRPr="004030C2">
        <w:rPr>
          <w:rFonts w:ascii="Arial" w:hAnsi="Arial" w:cs="Arial"/>
          <w:sz w:val="22"/>
          <w:szCs w:val="22"/>
        </w:rPr>
        <w:t>Bronfenbrenner’s ecological systems theory</w:t>
      </w:r>
      <w:r w:rsidR="007D1CC4">
        <w:rPr>
          <w:rFonts w:ascii="Arial" w:hAnsi="Arial" w:cs="Arial"/>
          <w:sz w:val="22"/>
          <w:szCs w:val="22"/>
        </w:rPr>
        <w:t xml:space="preserve"> (1979)</w:t>
      </w:r>
      <w:r w:rsidR="00D079BD">
        <w:rPr>
          <w:rFonts w:ascii="Arial" w:hAnsi="Arial" w:cs="Arial"/>
          <w:sz w:val="22"/>
          <w:szCs w:val="22"/>
        </w:rPr>
        <w:t xml:space="preserve"> </w:t>
      </w:r>
      <w:r w:rsidRPr="004030C2">
        <w:rPr>
          <w:rFonts w:ascii="Arial" w:hAnsi="Arial" w:cs="Arial"/>
          <w:sz w:val="22"/>
          <w:szCs w:val="22"/>
        </w:rPr>
        <w:t>helps explain how health outcomes are shaped by interactions across multiple systems, including family, school, community, and wider policy environments. Children’s health is influenced by proximal processes within microsystems such as families and schools, which shape their sense of belonging, engagement, and capacity to thrive (El Zaatari and Maalouf, 2022). This reinforces the need for integrated approaches that address the social determinants of health rather than relying solely on clinical services.</w:t>
      </w:r>
    </w:p>
    <w:p w14:paraId="3233E534" w14:textId="77777777" w:rsidR="004030C2" w:rsidRPr="004030C2" w:rsidRDefault="004030C2" w:rsidP="004030C2">
      <w:pPr>
        <w:spacing w:line="360" w:lineRule="auto"/>
        <w:jc w:val="both"/>
        <w:rPr>
          <w:rFonts w:ascii="Arial" w:hAnsi="Arial" w:cs="Arial"/>
          <w:sz w:val="22"/>
          <w:szCs w:val="22"/>
        </w:rPr>
      </w:pPr>
      <w:r w:rsidRPr="004030C2">
        <w:rPr>
          <w:rFonts w:ascii="Arial" w:hAnsi="Arial" w:cs="Arial"/>
          <w:sz w:val="22"/>
          <w:szCs w:val="22"/>
        </w:rPr>
        <w:t>Breuer et al. (2023) further emphasise that the SDGs are interconnected and that progress in one area depends on progress in others. SDG 3 shares strong “synergistic interlinkages” with SDG 4, meaning that improvements in education directly support health outcomes, while investments in health systems enhance educational participation and attainment. Policymakers must therefore adopt integrated strategies that consider these cross-sector relationships, as siloed approaches risk undermining long-term development goals.</w:t>
      </w:r>
    </w:p>
    <w:p w14:paraId="0BECDCDA" w14:textId="68EA2E7C" w:rsidR="004030C2" w:rsidRPr="004030C2" w:rsidRDefault="004030C2" w:rsidP="004030C2">
      <w:pPr>
        <w:spacing w:line="360" w:lineRule="auto"/>
        <w:jc w:val="both"/>
        <w:rPr>
          <w:rFonts w:ascii="Arial" w:hAnsi="Arial" w:cs="Arial"/>
          <w:sz w:val="22"/>
          <w:szCs w:val="22"/>
        </w:rPr>
      </w:pPr>
      <w:r w:rsidRPr="004030C2">
        <w:rPr>
          <w:rFonts w:ascii="Arial" w:hAnsi="Arial" w:cs="Arial"/>
          <w:sz w:val="22"/>
          <w:szCs w:val="22"/>
        </w:rPr>
        <w:t>Overall, SDG 3 highlights the importance of universal health coverage, strong health systems, and multisectoral collaboration. Achieving good health and wellbeing requires addressing structural inequalities, improving access to services, and recognising the reciprocal relationship between health and education (Holttum, 2021).</w:t>
      </w:r>
    </w:p>
    <w:p w14:paraId="7B6BACDC" w14:textId="77777777" w:rsidR="004246EC" w:rsidRPr="004246EC" w:rsidRDefault="004246EC" w:rsidP="004246EC"/>
    <w:p w14:paraId="6E5D144F" w14:textId="0F69D01D" w:rsidR="00422C66" w:rsidRPr="00422C66" w:rsidRDefault="00422C66" w:rsidP="00422C66">
      <w:pPr>
        <w:pStyle w:val="Heading1"/>
      </w:pPr>
      <w:bookmarkStart w:id="2" w:name="_Toc227576160"/>
      <w:r w:rsidRPr="00422C66">
        <w:t xml:space="preserve">2. </w:t>
      </w:r>
      <w:r w:rsidR="008E6D3E" w:rsidRPr="008E6D3E">
        <w:t>SDG 4: Quality Education</w:t>
      </w:r>
      <w:bookmarkEnd w:id="2"/>
    </w:p>
    <w:p w14:paraId="7913D420" w14:textId="77777777" w:rsidR="000332EF" w:rsidRPr="000332EF" w:rsidRDefault="000332EF" w:rsidP="000332EF">
      <w:pPr>
        <w:spacing w:line="360" w:lineRule="auto"/>
        <w:jc w:val="both"/>
        <w:rPr>
          <w:rFonts w:ascii="Arial" w:hAnsi="Arial" w:cs="Arial"/>
          <w:sz w:val="22"/>
          <w:szCs w:val="22"/>
        </w:rPr>
      </w:pPr>
      <w:r w:rsidRPr="000332EF">
        <w:rPr>
          <w:rFonts w:ascii="Arial" w:hAnsi="Arial" w:cs="Arial"/>
          <w:sz w:val="22"/>
          <w:szCs w:val="22"/>
        </w:rPr>
        <w:t>SDG 4 aims to ensure inclusive and equitable quality education for all, yet global inequalities persist. UNESCO (2023) reports that 244 million children remain out of school worldwide, reflecting barriers linked to poverty, gender, conflict, disability, and geography. Education is widely recognised as a key social determinant of health, influencing employment opportunities, income, health literacy, and long-term wellbeing.</w:t>
      </w:r>
    </w:p>
    <w:p w14:paraId="08BDC351" w14:textId="77777777" w:rsidR="000332EF" w:rsidRPr="000332EF" w:rsidRDefault="000332EF" w:rsidP="000332EF">
      <w:pPr>
        <w:spacing w:line="360" w:lineRule="auto"/>
        <w:jc w:val="both"/>
        <w:rPr>
          <w:rFonts w:ascii="Arial" w:hAnsi="Arial" w:cs="Arial"/>
          <w:sz w:val="22"/>
          <w:szCs w:val="22"/>
        </w:rPr>
      </w:pPr>
      <w:r w:rsidRPr="000332EF">
        <w:rPr>
          <w:rFonts w:ascii="Arial" w:hAnsi="Arial" w:cs="Arial"/>
          <w:sz w:val="22"/>
          <w:szCs w:val="22"/>
        </w:rPr>
        <w:t xml:space="preserve">Research consistently demonstrates the strong relationship between education and health. Moga Rogoz et al. (2022) show that educational attainment has a significant and sustained impact on life expectancy across new EU member states. Higher levels of education improve individuals’ ability to make informed decisions about lifestyle, disease prevention, and </w:t>
      </w:r>
      <w:r w:rsidRPr="000332EF">
        <w:rPr>
          <w:rFonts w:ascii="Arial" w:hAnsi="Arial" w:cs="Arial"/>
          <w:sz w:val="22"/>
          <w:szCs w:val="22"/>
        </w:rPr>
        <w:lastRenderedPageBreak/>
        <w:t>healthcare utilisation. Education also enhances mental well-being by increasing social inclusion, self-efficacy, and resilience.</w:t>
      </w:r>
    </w:p>
    <w:p w14:paraId="72FABF48" w14:textId="77777777" w:rsidR="000332EF" w:rsidRPr="000332EF" w:rsidRDefault="000332EF" w:rsidP="000332EF">
      <w:pPr>
        <w:spacing w:line="360" w:lineRule="auto"/>
        <w:jc w:val="both"/>
        <w:rPr>
          <w:rFonts w:ascii="Arial" w:hAnsi="Arial" w:cs="Arial"/>
          <w:sz w:val="22"/>
          <w:szCs w:val="22"/>
        </w:rPr>
      </w:pPr>
      <w:r w:rsidRPr="000332EF">
        <w:rPr>
          <w:rFonts w:ascii="Arial" w:hAnsi="Arial" w:cs="Arial"/>
          <w:sz w:val="22"/>
          <w:szCs w:val="22"/>
        </w:rPr>
        <w:t>The relationship between SDG 3 and SDG 4 is reciprocal. Good health is essential for educational participation and achievement, while education supports healthier behaviours and improved life outcomes. UNICEF’s global school-based nutrition programmes illustrate this relationship: children receiving adequate nutrition demonstrate better concentration, improved attendance, and higher academic performance. Conversely, poor health, such as untreated infections, chronic malnutrition, or unaddressed mental health needs, disrupts learning and perpetuates cycles of poverty (Whittaker, 2017).</w:t>
      </w:r>
    </w:p>
    <w:p w14:paraId="18892A97" w14:textId="37710431" w:rsidR="000332EF" w:rsidRPr="000332EF" w:rsidRDefault="000332EF" w:rsidP="000332EF">
      <w:pPr>
        <w:spacing w:line="360" w:lineRule="auto"/>
        <w:jc w:val="both"/>
        <w:rPr>
          <w:rFonts w:ascii="Arial" w:hAnsi="Arial" w:cs="Arial"/>
          <w:sz w:val="22"/>
          <w:szCs w:val="22"/>
        </w:rPr>
      </w:pPr>
      <w:r w:rsidRPr="000332EF">
        <w:rPr>
          <w:rFonts w:ascii="Arial" w:hAnsi="Arial" w:cs="Arial"/>
          <w:sz w:val="22"/>
          <w:szCs w:val="22"/>
        </w:rPr>
        <w:t xml:space="preserve">Bronfenbrenner’s </w:t>
      </w:r>
      <w:r w:rsidR="00B9213B">
        <w:rPr>
          <w:rFonts w:ascii="Arial" w:hAnsi="Arial" w:cs="Arial"/>
          <w:sz w:val="22"/>
          <w:szCs w:val="22"/>
        </w:rPr>
        <w:t>(1</w:t>
      </w:r>
      <w:r w:rsidR="00724456">
        <w:rPr>
          <w:rFonts w:ascii="Arial" w:hAnsi="Arial" w:cs="Arial"/>
          <w:sz w:val="22"/>
          <w:szCs w:val="22"/>
        </w:rPr>
        <w:t xml:space="preserve">979) </w:t>
      </w:r>
      <w:r w:rsidRPr="000332EF">
        <w:rPr>
          <w:rFonts w:ascii="Arial" w:hAnsi="Arial" w:cs="Arial"/>
          <w:sz w:val="22"/>
          <w:szCs w:val="22"/>
        </w:rPr>
        <w:t>ecological systems theory again provides a useful framework for understanding how interactions across multiple systems shape educational outcomes. Children’s learning is influenced by family environments, school quality, community resources, and national policies. El Zaatari and Maalouf (2022) emphasise that supportive microsystems, such as nurturing families and inclusive schools, play a significant role in shaping children’s sense of belonging and engagement.</w:t>
      </w:r>
    </w:p>
    <w:p w14:paraId="61339907" w14:textId="77777777" w:rsidR="000332EF" w:rsidRPr="000332EF" w:rsidRDefault="000332EF" w:rsidP="000332EF">
      <w:pPr>
        <w:spacing w:line="360" w:lineRule="auto"/>
        <w:jc w:val="both"/>
        <w:rPr>
          <w:rFonts w:ascii="Arial" w:hAnsi="Arial" w:cs="Arial"/>
          <w:sz w:val="22"/>
          <w:szCs w:val="22"/>
        </w:rPr>
      </w:pPr>
      <w:r w:rsidRPr="000332EF">
        <w:rPr>
          <w:rFonts w:ascii="Arial" w:hAnsi="Arial" w:cs="Arial"/>
          <w:sz w:val="22"/>
          <w:szCs w:val="22"/>
        </w:rPr>
        <w:t xml:space="preserve">Breuer et al. (2023) argue that SDG 4 cannot be achieved in isolation, as educational outcomes are shaped by health, economic policy, and social inequality. Their work highlights the need for integrated policy design that addresses the root causes of educational disadvantage. </w:t>
      </w:r>
      <w:r w:rsidRPr="000332EF">
        <w:rPr>
          <w:rFonts w:ascii="Arial" w:hAnsi="Arial" w:cs="Arial"/>
          <w:sz w:val="22"/>
          <w:szCs w:val="22"/>
          <w:lang w:val="nl-NL"/>
        </w:rPr>
        <w:t xml:space="preserve">Cuevas García-Dorado et al. (2019) and Moga Rogoz et al. </w:t>
      </w:r>
      <w:r w:rsidRPr="000332EF">
        <w:rPr>
          <w:rFonts w:ascii="Arial" w:hAnsi="Arial" w:cs="Arial"/>
          <w:sz w:val="22"/>
          <w:szCs w:val="22"/>
        </w:rPr>
        <w:t>(2022) similarly demonstrate that globalisation, economic structures, and social determinants shape both health and education outcomes.</w:t>
      </w:r>
    </w:p>
    <w:p w14:paraId="138287E6" w14:textId="034950E5" w:rsidR="000332EF" w:rsidRPr="000332EF" w:rsidRDefault="000332EF" w:rsidP="000332EF">
      <w:pPr>
        <w:spacing w:line="360" w:lineRule="auto"/>
        <w:jc w:val="both"/>
        <w:rPr>
          <w:rFonts w:ascii="Arial" w:hAnsi="Arial" w:cs="Arial"/>
          <w:sz w:val="22"/>
          <w:szCs w:val="22"/>
        </w:rPr>
      </w:pPr>
      <w:r w:rsidRPr="000332EF">
        <w:rPr>
          <w:rFonts w:ascii="Arial" w:hAnsi="Arial" w:cs="Arial"/>
          <w:sz w:val="22"/>
          <w:szCs w:val="22"/>
        </w:rPr>
        <w:t>Overall, SDG 4 highlights the importance of equitable access to quality education, early childhood development, and lifelong learning. Achieving this goal requires addressing structural inequalities, improving school readiness, and ensuring that health and education systems work together to support children’s development (Montez and Bisesti, 2024)</w:t>
      </w:r>
      <w:r>
        <w:rPr>
          <w:rFonts w:ascii="Arial" w:hAnsi="Arial" w:cs="Arial"/>
          <w:sz w:val="22"/>
          <w:szCs w:val="22"/>
        </w:rPr>
        <w:t>.</w:t>
      </w:r>
    </w:p>
    <w:p w14:paraId="1881BB37" w14:textId="77777777" w:rsidR="00DC04B9" w:rsidRPr="00422C66" w:rsidRDefault="00DC04B9" w:rsidP="00422C66">
      <w:pPr>
        <w:spacing w:line="360" w:lineRule="auto"/>
        <w:rPr>
          <w:rFonts w:ascii="Arial" w:hAnsi="Arial" w:cs="Arial"/>
          <w:sz w:val="22"/>
          <w:szCs w:val="22"/>
        </w:rPr>
      </w:pPr>
    </w:p>
    <w:p w14:paraId="2208DB75" w14:textId="18EA2C07" w:rsidR="00422C66" w:rsidRDefault="00422C66" w:rsidP="00422C66">
      <w:pPr>
        <w:pStyle w:val="Heading1"/>
      </w:pPr>
      <w:bookmarkStart w:id="3" w:name="_Toc227576161"/>
      <w:r w:rsidRPr="00422C66">
        <w:t xml:space="preserve">3. </w:t>
      </w:r>
      <w:r w:rsidR="00924CB6" w:rsidRPr="00924CB6">
        <w:t>National Wellbeing Initiatives</w:t>
      </w:r>
      <w:bookmarkEnd w:id="3"/>
    </w:p>
    <w:p w14:paraId="0AE027DD" w14:textId="69808288" w:rsidR="00A22FE4" w:rsidRPr="00A22FE4" w:rsidRDefault="00A22FE4" w:rsidP="00A22FE4">
      <w:pPr>
        <w:spacing w:line="360" w:lineRule="auto"/>
        <w:jc w:val="both"/>
        <w:rPr>
          <w:rFonts w:ascii="Arial" w:hAnsi="Arial" w:cs="Arial"/>
          <w:sz w:val="22"/>
          <w:szCs w:val="22"/>
        </w:rPr>
      </w:pPr>
      <w:r w:rsidRPr="00A22FE4">
        <w:rPr>
          <w:rFonts w:ascii="Arial" w:hAnsi="Arial" w:cs="Arial"/>
          <w:sz w:val="22"/>
          <w:szCs w:val="22"/>
        </w:rPr>
        <w:t xml:space="preserve">National </w:t>
      </w:r>
      <w:r>
        <w:rPr>
          <w:rFonts w:ascii="Arial" w:hAnsi="Arial" w:cs="Arial"/>
          <w:sz w:val="22"/>
          <w:szCs w:val="22"/>
        </w:rPr>
        <w:t>well-being</w:t>
      </w:r>
      <w:r w:rsidRPr="00A22FE4">
        <w:rPr>
          <w:rFonts w:ascii="Arial" w:hAnsi="Arial" w:cs="Arial"/>
          <w:sz w:val="22"/>
          <w:szCs w:val="22"/>
        </w:rPr>
        <w:t xml:space="preserve"> initiatives play a crucial role in supporting SDG 3 and SDG 4 in the United Kingdom. This section evaluates the effectiveness of two major national initiatives: the Healthy Child Programme (HCP) and the NHS Long Term Plan. Both initiatives aim to reduce inequalities, improve early development, and strengthen the integration of health and education systems.</w:t>
      </w:r>
    </w:p>
    <w:p w14:paraId="5465FC63" w14:textId="77777777" w:rsidR="00A22FE4" w:rsidRPr="00A22FE4" w:rsidRDefault="00A22FE4" w:rsidP="00A22FE4">
      <w:pPr>
        <w:spacing w:line="360" w:lineRule="auto"/>
        <w:jc w:val="both"/>
        <w:rPr>
          <w:rFonts w:ascii="Arial" w:hAnsi="Arial" w:cs="Arial"/>
          <w:sz w:val="22"/>
          <w:szCs w:val="22"/>
        </w:rPr>
      </w:pPr>
      <w:r w:rsidRPr="00A22FE4">
        <w:rPr>
          <w:rFonts w:ascii="Arial" w:hAnsi="Arial" w:cs="Arial"/>
          <w:sz w:val="22"/>
          <w:szCs w:val="22"/>
        </w:rPr>
        <w:lastRenderedPageBreak/>
        <w:t>The Healthy Child Programme (HCP) is England’s universal public health framework for children and families from pregnancy to age 19. Its core purpose is to improve early development, reduce inequalities, and support school readiness through universal and targeted interventions (Department of Health, 2009). The programme includes developmental reviews, immunisations, safeguarding, breastfeeding support, and early identification of developmental concerns. By promoting physical and mental health, the HCP contributes directly to SDG 3. It also supports SDG 4 by improving school readiness, identifying special educational needs early, and strengthening cognitive and social development. For example, identifying delayed speech at the 2–2.5-year review enables timely referral to speech and language therapy, reducing later educational disadvantage.</w:t>
      </w:r>
    </w:p>
    <w:p w14:paraId="67903728" w14:textId="77777777" w:rsidR="00A22FE4" w:rsidRPr="00A22FE4" w:rsidRDefault="00A22FE4" w:rsidP="00A22FE4">
      <w:pPr>
        <w:spacing w:line="360" w:lineRule="auto"/>
        <w:jc w:val="both"/>
        <w:rPr>
          <w:rFonts w:ascii="Arial" w:hAnsi="Arial" w:cs="Arial"/>
          <w:sz w:val="22"/>
          <w:szCs w:val="22"/>
        </w:rPr>
      </w:pPr>
      <w:r w:rsidRPr="00A22FE4">
        <w:rPr>
          <w:rFonts w:ascii="Arial" w:hAnsi="Arial" w:cs="Arial"/>
          <w:sz w:val="22"/>
          <w:szCs w:val="22"/>
        </w:rPr>
        <w:t>A key strength of the HCP is its holistic, whole-family approach, which aligns with the social determinants of health and Bronfenbrenner’s ecological systems theory. Health visitors and school nurses work across homes, early years settings, and schools, supporting transitions and safeguarding vulnerable children. However, several challenges limit its effectiveness. Health visiting numbers have declined significantly since 2015, resulting in reduced home visits and inconsistent delivery across regions. These shortages disproportionately affect deprived communities and risk widening inequalities (Horne et al., 2024). Local authority budget cuts have reduced access to children’s centres and integrated services, while gaps in national data make long-term evaluation difficult.</w:t>
      </w:r>
    </w:p>
    <w:p w14:paraId="22A0E787" w14:textId="77777777" w:rsidR="00A22FE4" w:rsidRPr="00A22FE4" w:rsidRDefault="00A22FE4" w:rsidP="00A22FE4">
      <w:pPr>
        <w:spacing w:line="360" w:lineRule="auto"/>
        <w:jc w:val="both"/>
        <w:rPr>
          <w:rFonts w:ascii="Arial" w:hAnsi="Arial" w:cs="Arial"/>
          <w:sz w:val="22"/>
          <w:szCs w:val="22"/>
        </w:rPr>
      </w:pPr>
      <w:r w:rsidRPr="00A22FE4">
        <w:rPr>
          <w:rFonts w:ascii="Arial" w:hAnsi="Arial" w:cs="Arial"/>
          <w:sz w:val="22"/>
          <w:szCs w:val="22"/>
        </w:rPr>
        <w:t>The NHS Long Term Plan (2019) is another key national initiative supporting SDG 3 and SDG 4. It prioritises prevention, mental health expansion, maternity safety, and children’s services. The plan strengthens perinatal mental health support, expands school-based mental health teams, and promotes early intervention for childhood obesity. These priorities align with SDG 3’s focus on universal health coverage and SDG 4’s emphasis on early childhood development. The plan also reinforces the HCP by improving access to specialist services and promoting integrated care models. However, progress varies across regions due to workforce shortages, funding constraints, and uneven implementation (NHS England, 2019).</w:t>
      </w:r>
    </w:p>
    <w:p w14:paraId="11DEF266" w14:textId="353EF943" w:rsidR="00A22FE4" w:rsidRPr="00A22FE4" w:rsidRDefault="00A22FE4" w:rsidP="00A22FE4">
      <w:pPr>
        <w:spacing w:line="360" w:lineRule="auto"/>
        <w:jc w:val="both"/>
        <w:rPr>
          <w:rFonts w:ascii="Arial" w:hAnsi="Arial" w:cs="Arial"/>
          <w:sz w:val="22"/>
          <w:szCs w:val="22"/>
        </w:rPr>
      </w:pPr>
      <w:r w:rsidRPr="00A22FE4">
        <w:rPr>
          <w:rFonts w:ascii="Arial" w:hAnsi="Arial" w:cs="Arial"/>
          <w:b/>
          <w:bCs/>
          <w:sz w:val="22"/>
          <w:szCs w:val="22"/>
        </w:rPr>
        <w:t>National Recommendations:</w:t>
      </w:r>
      <w:r w:rsidRPr="00A22FE4">
        <w:rPr>
          <w:rFonts w:ascii="Arial" w:hAnsi="Arial" w:cs="Arial"/>
          <w:sz w:val="22"/>
          <w:szCs w:val="22"/>
        </w:rPr>
        <w:t xml:space="preserve"> To strengthen national wellbeing initiatives, rebuilding the health visiting workforce is essential to restore universal home visits and reduce inequalities (Horne et al., 2024). Improving integration between health and education services through shared data systems and joint training would support earlier identification of developmental needs (Goldberg et al., 2023). Strengthening national evaluation systems, including consistent data collection, would improve accountability and help assess long-term impact on child health and educational outcomes (Mooney et al., 2025)</w:t>
      </w:r>
      <w:r>
        <w:rPr>
          <w:rFonts w:ascii="Arial" w:hAnsi="Arial" w:cs="Arial"/>
          <w:sz w:val="22"/>
          <w:szCs w:val="22"/>
        </w:rPr>
        <w:t>.</w:t>
      </w:r>
    </w:p>
    <w:p w14:paraId="01C5B44F" w14:textId="77777777" w:rsidR="00A22FE4" w:rsidRPr="00A22FE4" w:rsidRDefault="00A22FE4" w:rsidP="00A22FE4">
      <w:pPr>
        <w:spacing w:line="360" w:lineRule="auto"/>
        <w:jc w:val="both"/>
        <w:rPr>
          <w:rFonts w:ascii="Arial" w:hAnsi="Arial" w:cs="Arial"/>
          <w:sz w:val="22"/>
          <w:szCs w:val="22"/>
        </w:rPr>
      </w:pPr>
    </w:p>
    <w:p w14:paraId="4A27AD54" w14:textId="6B17587A" w:rsidR="00422C66" w:rsidRDefault="00422C66" w:rsidP="00422C66">
      <w:pPr>
        <w:pStyle w:val="Heading1"/>
      </w:pPr>
      <w:bookmarkStart w:id="4" w:name="_Toc227576162"/>
      <w:r w:rsidRPr="00422C66">
        <w:lastRenderedPageBreak/>
        <w:t xml:space="preserve">4. </w:t>
      </w:r>
      <w:r w:rsidR="00744C0B" w:rsidRPr="00744C0B">
        <w:t>Local Wellbeing Initiatives</w:t>
      </w:r>
      <w:bookmarkEnd w:id="4"/>
    </w:p>
    <w:p w14:paraId="4CF33E29" w14:textId="2182B390" w:rsidR="00352264" w:rsidRPr="00352264" w:rsidRDefault="00352264" w:rsidP="00352264">
      <w:pPr>
        <w:spacing w:line="360" w:lineRule="auto"/>
        <w:rPr>
          <w:rFonts w:ascii="Arial" w:hAnsi="Arial" w:cs="Arial"/>
          <w:sz w:val="22"/>
          <w:szCs w:val="22"/>
        </w:rPr>
      </w:pPr>
      <w:r w:rsidRPr="00352264">
        <w:rPr>
          <w:rFonts w:ascii="Arial" w:hAnsi="Arial" w:cs="Arial"/>
          <w:sz w:val="22"/>
          <w:szCs w:val="22"/>
        </w:rPr>
        <w:t xml:space="preserve">Local </w:t>
      </w:r>
      <w:r w:rsidR="00B0555A">
        <w:rPr>
          <w:rFonts w:ascii="Arial" w:hAnsi="Arial" w:cs="Arial"/>
          <w:sz w:val="22"/>
          <w:szCs w:val="22"/>
        </w:rPr>
        <w:t>well-being</w:t>
      </w:r>
      <w:r w:rsidRPr="00352264">
        <w:rPr>
          <w:rFonts w:ascii="Arial" w:hAnsi="Arial" w:cs="Arial"/>
          <w:sz w:val="22"/>
          <w:szCs w:val="22"/>
        </w:rPr>
        <w:t xml:space="preserve"> initiatives play a critical role in translating national policy into practice. This section evaluates two local initiatives: the local implementation of Making Every Contact Count (MECC) and the local delivery of the Early Years Foundation Stage (EYFS). Both initiatives demonstrate how local authorities contribute to SDG 3 and SDG 4, but also highlight challenges related to funding, workforce capacity, and local inequalities.</w:t>
      </w:r>
    </w:p>
    <w:p w14:paraId="2AA48F73" w14:textId="77777777" w:rsidR="00352264" w:rsidRPr="00352264" w:rsidRDefault="00352264" w:rsidP="00352264">
      <w:pPr>
        <w:spacing w:line="360" w:lineRule="auto"/>
        <w:rPr>
          <w:rFonts w:ascii="Arial" w:hAnsi="Arial" w:cs="Arial"/>
          <w:sz w:val="22"/>
          <w:szCs w:val="22"/>
        </w:rPr>
      </w:pPr>
    </w:p>
    <w:p w14:paraId="061FFF7B" w14:textId="77777777" w:rsidR="00352264" w:rsidRPr="00352264" w:rsidRDefault="00352264" w:rsidP="00352264">
      <w:pPr>
        <w:spacing w:line="360" w:lineRule="auto"/>
        <w:rPr>
          <w:rFonts w:ascii="Arial" w:hAnsi="Arial" w:cs="Arial"/>
          <w:sz w:val="22"/>
          <w:szCs w:val="22"/>
        </w:rPr>
      </w:pPr>
      <w:r w:rsidRPr="00352264">
        <w:rPr>
          <w:rFonts w:ascii="Arial" w:hAnsi="Arial" w:cs="Arial"/>
          <w:sz w:val="22"/>
          <w:szCs w:val="22"/>
        </w:rPr>
        <w:t>Local implementation of MECC varies widely across England. MECC aims to embed behaviour-change conversations across the workforce, improving population health literacy and supporting early intervention (Public Health England, 2016). In some local authorities, MECC is embedded across health, education, and social care settings, enabling professionals to provide consistent health promotion messages. This supports SDG 3 by improving health literacy and SDG 4 by strengthening children’s capacity to learn. However, other areas face funding constraints, limited training capacity, and competing priorities, resulting in inconsistent implementation. These variations highlight the need for place-based approaches that address local needs and strengthen alignment between health and education systems (University of Edinburgh, 2023).</w:t>
      </w:r>
    </w:p>
    <w:p w14:paraId="1498B6DA" w14:textId="77777777" w:rsidR="00352264" w:rsidRPr="00352264" w:rsidRDefault="00352264" w:rsidP="00352264">
      <w:pPr>
        <w:spacing w:line="360" w:lineRule="auto"/>
        <w:rPr>
          <w:rFonts w:ascii="Arial" w:hAnsi="Arial" w:cs="Arial"/>
          <w:sz w:val="22"/>
          <w:szCs w:val="22"/>
        </w:rPr>
      </w:pPr>
    </w:p>
    <w:p w14:paraId="41AB8045" w14:textId="77777777" w:rsidR="00352264" w:rsidRPr="00352264" w:rsidRDefault="00352264" w:rsidP="00352264">
      <w:pPr>
        <w:spacing w:line="360" w:lineRule="auto"/>
        <w:rPr>
          <w:rFonts w:ascii="Arial" w:hAnsi="Arial" w:cs="Arial"/>
          <w:sz w:val="22"/>
          <w:szCs w:val="22"/>
        </w:rPr>
      </w:pPr>
      <w:r w:rsidRPr="00352264">
        <w:rPr>
          <w:rFonts w:ascii="Arial" w:hAnsi="Arial" w:cs="Arial"/>
          <w:sz w:val="22"/>
          <w:szCs w:val="22"/>
        </w:rPr>
        <w:t>Local delivery of the Early Years Foundation Stage (EYFS) also varies significantly. EYFS sets statutory standards for learning, development, and school readiness for children from birth to age five (Department for Education, 2021). Local authorities support early years settings in implementing EYFS, but disparities in funding, staff qualifications, and access to specialist support create uneven outcomes. Children in deprived areas are more likely to start school below expected developmental levels, have lower attendance, and achieve poorer educational outcomes (Sandeepa, Longford and Dougal, 2025). These disparities reinforce the close relationship between SDG 3 and SDG 4: poor health reduces school engagement, while lower educational attainment increases long-term health risks.</w:t>
      </w:r>
    </w:p>
    <w:p w14:paraId="6B649DF2" w14:textId="77777777" w:rsidR="00352264" w:rsidRPr="00352264" w:rsidRDefault="00352264" w:rsidP="00352264">
      <w:pPr>
        <w:spacing w:line="360" w:lineRule="auto"/>
        <w:rPr>
          <w:rFonts w:ascii="Arial" w:hAnsi="Arial" w:cs="Arial"/>
          <w:sz w:val="22"/>
          <w:szCs w:val="22"/>
        </w:rPr>
      </w:pPr>
    </w:p>
    <w:p w14:paraId="0E0C46AD" w14:textId="5E554337" w:rsidR="00352264" w:rsidRPr="00352264" w:rsidRDefault="00352264" w:rsidP="00352264">
      <w:pPr>
        <w:spacing w:line="360" w:lineRule="auto"/>
        <w:rPr>
          <w:rFonts w:ascii="Arial" w:hAnsi="Arial" w:cs="Arial"/>
          <w:sz w:val="22"/>
          <w:szCs w:val="22"/>
        </w:rPr>
      </w:pPr>
      <w:r w:rsidRPr="00352264">
        <w:rPr>
          <w:rFonts w:ascii="Arial" w:hAnsi="Arial" w:cs="Arial"/>
          <w:sz w:val="22"/>
          <w:szCs w:val="22"/>
        </w:rPr>
        <w:t xml:space="preserve">Digital exclusion also affects </w:t>
      </w:r>
      <w:r w:rsidR="000A56FD">
        <w:rPr>
          <w:rFonts w:ascii="Arial" w:hAnsi="Arial" w:cs="Arial"/>
          <w:sz w:val="22"/>
          <w:szCs w:val="22"/>
        </w:rPr>
        <w:t xml:space="preserve">the </w:t>
      </w:r>
      <w:r w:rsidRPr="00352264">
        <w:rPr>
          <w:rFonts w:ascii="Arial" w:hAnsi="Arial" w:cs="Arial"/>
          <w:sz w:val="22"/>
          <w:szCs w:val="22"/>
        </w:rPr>
        <w:t>local delivery of both MECC and EYFS. Families without access to digital devices or internet connectivity face barriers to engaging with online health information, remote services, and early learning resources. Girmay (2024) highlights that digital inequalities disproportionately affect vulnerable families, limiting their ability to benefit from digital health and education initiatives.</w:t>
      </w:r>
    </w:p>
    <w:p w14:paraId="080014C5" w14:textId="77777777" w:rsidR="00352264" w:rsidRPr="00352264" w:rsidRDefault="00352264" w:rsidP="00352264">
      <w:pPr>
        <w:spacing w:line="360" w:lineRule="auto"/>
        <w:rPr>
          <w:rFonts w:ascii="Arial" w:hAnsi="Arial" w:cs="Arial"/>
          <w:sz w:val="22"/>
          <w:szCs w:val="22"/>
        </w:rPr>
      </w:pPr>
    </w:p>
    <w:p w14:paraId="06298CB5" w14:textId="77777777" w:rsidR="00352264" w:rsidRPr="00352264" w:rsidRDefault="00352264" w:rsidP="00352264">
      <w:pPr>
        <w:spacing w:line="360" w:lineRule="auto"/>
        <w:rPr>
          <w:rFonts w:ascii="Arial" w:hAnsi="Arial" w:cs="Arial"/>
          <w:b/>
          <w:bCs/>
          <w:sz w:val="22"/>
          <w:szCs w:val="22"/>
        </w:rPr>
      </w:pPr>
      <w:r w:rsidRPr="00352264">
        <w:rPr>
          <w:rFonts w:ascii="Arial" w:hAnsi="Arial" w:cs="Arial"/>
          <w:b/>
          <w:bCs/>
          <w:sz w:val="22"/>
          <w:szCs w:val="22"/>
        </w:rPr>
        <w:t xml:space="preserve">Local Recommendations:  </w:t>
      </w:r>
    </w:p>
    <w:p w14:paraId="08B2F374" w14:textId="27E5C9C2" w:rsidR="00162790" w:rsidRPr="00162790" w:rsidRDefault="00352264" w:rsidP="00352264">
      <w:pPr>
        <w:spacing w:line="360" w:lineRule="auto"/>
        <w:rPr>
          <w:rFonts w:ascii="Arial" w:hAnsi="Arial" w:cs="Arial"/>
          <w:sz w:val="22"/>
          <w:szCs w:val="22"/>
        </w:rPr>
      </w:pPr>
      <w:r w:rsidRPr="00352264">
        <w:rPr>
          <w:rFonts w:ascii="Arial" w:hAnsi="Arial" w:cs="Arial"/>
          <w:sz w:val="22"/>
          <w:szCs w:val="22"/>
        </w:rPr>
        <w:t xml:space="preserve">To strengthen local wellbeing initiatives, increasing local authority funding is essential to ensure consistent delivery of MECC and EYFS. Expanding MECC training across health, education, and community settings would improve health literacy and early intervention. Improving digital inclusion through </w:t>
      </w:r>
      <w:r w:rsidR="00642B20">
        <w:rPr>
          <w:rFonts w:ascii="Arial" w:hAnsi="Arial" w:cs="Arial"/>
          <w:sz w:val="22"/>
          <w:szCs w:val="22"/>
        </w:rPr>
        <w:t xml:space="preserve">the </w:t>
      </w:r>
      <w:r w:rsidRPr="00352264">
        <w:rPr>
          <w:rFonts w:ascii="Arial" w:hAnsi="Arial" w:cs="Arial"/>
          <w:sz w:val="22"/>
          <w:szCs w:val="22"/>
        </w:rPr>
        <w:t>provision of devices, internet access, and digital literacy support would ensure families can benefit from online services (Girmay, 2024). Developing place-based strategies tailored to the needs of deprived communities would further reduce inequalities and strengthen alignment with SDG 3 and SDG 4 (University of Edinburgh, 2023)</w:t>
      </w:r>
      <w:r>
        <w:rPr>
          <w:rFonts w:ascii="Arial" w:hAnsi="Arial" w:cs="Arial"/>
          <w:sz w:val="22"/>
          <w:szCs w:val="22"/>
        </w:rPr>
        <w:t>.</w:t>
      </w:r>
    </w:p>
    <w:p w14:paraId="1FF12246" w14:textId="77777777" w:rsidR="008A4A73" w:rsidRDefault="008A4A73" w:rsidP="008A4A73"/>
    <w:p w14:paraId="6B496B83" w14:textId="77777777" w:rsidR="00454E2A" w:rsidRDefault="00454E2A" w:rsidP="008A4A73"/>
    <w:p w14:paraId="5EC04C43" w14:textId="77777777" w:rsidR="00454E2A" w:rsidRDefault="00454E2A" w:rsidP="008A4A73"/>
    <w:p w14:paraId="4D306954" w14:textId="77777777" w:rsidR="00454E2A" w:rsidRDefault="00454E2A" w:rsidP="008A4A73"/>
    <w:p w14:paraId="3375D2F2" w14:textId="77777777" w:rsidR="00454E2A" w:rsidRDefault="00454E2A" w:rsidP="008A4A73"/>
    <w:p w14:paraId="5FBD81B4" w14:textId="77777777" w:rsidR="006A5FC7" w:rsidRDefault="006A5FC7" w:rsidP="008A4A73"/>
    <w:p w14:paraId="368D2618" w14:textId="77777777" w:rsidR="006A5FC7" w:rsidRDefault="006A5FC7" w:rsidP="008A4A73"/>
    <w:p w14:paraId="460AD28F" w14:textId="77777777" w:rsidR="006A5FC7" w:rsidRDefault="006A5FC7" w:rsidP="008A4A73"/>
    <w:p w14:paraId="377DDAE0" w14:textId="77777777" w:rsidR="006A5FC7" w:rsidRDefault="006A5FC7" w:rsidP="008A4A73"/>
    <w:p w14:paraId="7CEA22F0" w14:textId="77777777" w:rsidR="006A5FC7" w:rsidRDefault="006A5FC7" w:rsidP="008A4A73"/>
    <w:p w14:paraId="0E2AB352" w14:textId="77777777" w:rsidR="006A5FC7" w:rsidRDefault="006A5FC7" w:rsidP="008A4A73"/>
    <w:p w14:paraId="59D1289C" w14:textId="77777777" w:rsidR="006A5FC7" w:rsidRDefault="006A5FC7" w:rsidP="008A4A73"/>
    <w:p w14:paraId="206C4457" w14:textId="77777777" w:rsidR="006A5FC7" w:rsidRDefault="006A5FC7" w:rsidP="008A4A73"/>
    <w:p w14:paraId="67FCFE26" w14:textId="77777777" w:rsidR="006A5FC7" w:rsidRDefault="006A5FC7" w:rsidP="008A4A73"/>
    <w:p w14:paraId="226824B3" w14:textId="77777777" w:rsidR="006A5FC7" w:rsidRDefault="006A5FC7" w:rsidP="008A4A73"/>
    <w:p w14:paraId="1B477B0D" w14:textId="77777777" w:rsidR="006A5FC7" w:rsidRDefault="006A5FC7" w:rsidP="008A4A73"/>
    <w:p w14:paraId="14D3765A" w14:textId="77777777" w:rsidR="006A5FC7" w:rsidRDefault="006A5FC7" w:rsidP="008A4A73"/>
    <w:p w14:paraId="5CE75119" w14:textId="77777777" w:rsidR="006A5FC7" w:rsidRDefault="006A5FC7" w:rsidP="008A4A73"/>
    <w:p w14:paraId="5A37AFEF" w14:textId="77777777" w:rsidR="00454E2A" w:rsidRPr="008A4A73" w:rsidRDefault="00454E2A" w:rsidP="008A4A73"/>
    <w:p w14:paraId="2EFBFA13" w14:textId="77777777" w:rsidR="00422C66" w:rsidRDefault="00422C66" w:rsidP="00422C66">
      <w:pPr>
        <w:pStyle w:val="Heading1"/>
      </w:pPr>
      <w:bookmarkStart w:id="5" w:name="_Toc227576163"/>
      <w:r w:rsidRPr="00422C66">
        <w:lastRenderedPageBreak/>
        <w:t>Conclusion</w:t>
      </w:r>
      <w:bookmarkEnd w:id="5"/>
    </w:p>
    <w:p w14:paraId="1CEDF562" w14:textId="273DFFFF" w:rsidR="00F775E4" w:rsidRDefault="00B357D7" w:rsidP="00E33C6E">
      <w:pPr>
        <w:spacing w:line="360" w:lineRule="auto"/>
        <w:jc w:val="both"/>
        <w:rPr>
          <w:rFonts w:ascii="Arial" w:hAnsi="Arial" w:cs="Arial"/>
          <w:sz w:val="22"/>
          <w:szCs w:val="22"/>
        </w:rPr>
      </w:pPr>
      <w:r w:rsidRPr="00B357D7">
        <w:rPr>
          <w:rFonts w:ascii="Arial" w:hAnsi="Arial" w:cs="Arial"/>
          <w:sz w:val="22"/>
          <w:szCs w:val="22"/>
        </w:rPr>
        <w:t xml:space="preserve">SDG 3 and SDG 4 are closely interconnected goals that shape children’s health, development, and life chances. In England, national initiatives such as the Healthy Child Programme and the NHS Long Term Plan play a vital role in supporting early development, improving school readiness, and reducing inequalities. Local initiatives, including the local implementation of MECC and the delivery of EYFS, further demonstrate how </w:t>
      </w:r>
      <w:r>
        <w:rPr>
          <w:rFonts w:ascii="Arial" w:hAnsi="Arial" w:cs="Arial"/>
          <w:sz w:val="22"/>
          <w:szCs w:val="22"/>
        </w:rPr>
        <w:t>well-being</w:t>
      </w:r>
      <w:r w:rsidRPr="00B357D7">
        <w:rPr>
          <w:rFonts w:ascii="Arial" w:hAnsi="Arial" w:cs="Arial"/>
          <w:sz w:val="22"/>
          <w:szCs w:val="22"/>
        </w:rPr>
        <w:t xml:space="preserve"> strategies are implemented in practice. While these initiatives have clear strengths, workforce shortages, local disparities, and fragmented services limit their full potential. Strengthening integration, rebuilding the workforce, improving digital inclusion, and enhancing evaluation systems would enhance their ability to contribute to SDG 3 and SDG 4 and improve outcomes for children and families across England</w:t>
      </w:r>
      <w:r>
        <w:rPr>
          <w:rFonts w:ascii="Arial" w:hAnsi="Arial" w:cs="Arial"/>
          <w:sz w:val="22"/>
          <w:szCs w:val="22"/>
        </w:rPr>
        <w:t>.</w:t>
      </w:r>
    </w:p>
    <w:p w14:paraId="7BE6EC3C" w14:textId="77777777" w:rsidR="00F775E4" w:rsidRDefault="00F775E4" w:rsidP="00E33C6E">
      <w:pPr>
        <w:spacing w:line="360" w:lineRule="auto"/>
        <w:jc w:val="both"/>
        <w:rPr>
          <w:rFonts w:ascii="Arial" w:hAnsi="Arial" w:cs="Arial"/>
          <w:sz w:val="22"/>
          <w:szCs w:val="22"/>
        </w:rPr>
      </w:pPr>
    </w:p>
    <w:p w14:paraId="57FD0E1D" w14:textId="77777777" w:rsidR="00F775E4" w:rsidRDefault="00F775E4" w:rsidP="00E33C6E">
      <w:pPr>
        <w:spacing w:line="360" w:lineRule="auto"/>
        <w:jc w:val="both"/>
        <w:rPr>
          <w:rFonts w:ascii="Arial" w:hAnsi="Arial" w:cs="Arial"/>
          <w:sz w:val="22"/>
          <w:szCs w:val="22"/>
        </w:rPr>
      </w:pPr>
    </w:p>
    <w:p w14:paraId="0C777ED7" w14:textId="77777777" w:rsidR="00F775E4" w:rsidRDefault="00F775E4" w:rsidP="00E33C6E">
      <w:pPr>
        <w:spacing w:line="360" w:lineRule="auto"/>
        <w:jc w:val="both"/>
        <w:rPr>
          <w:rFonts w:ascii="Arial" w:hAnsi="Arial" w:cs="Arial"/>
          <w:sz w:val="22"/>
          <w:szCs w:val="22"/>
        </w:rPr>
      </w:pPr>
    </w:p>
    <w:p w14:paraId="77F2FE22" w14:textId="77777777" w:rsidR="00F775E4" w:rsidRDefault="00F775E4" w:rsidP="00E33C6E">
      <w:pPr>
        <w:spacing w:line="360" w:lineRule="auto"/>
        <w:jc w:val="both"/>
        <w:rPr>
          <w:rFonts w:ascii="Arial" w:hAnsi="Arial" w:cs="Arial"/>
          <w:sz w:val="22"/>
          <w:szCs w:val="22"/>
        </w:rPr>
      </w:pPr>
    </w:p>
    <w:p w14:paraId="0EEB4C2A" w14:textId="77777777" w:rsidR="00F775E4" w:rsidRDefault="00F775E4" w:rsidP="00E33C6E">
      <w:pPr>
        <w:spacing w:line="360" w:lineRule="auto"/>
        <w:jc w:val="both"/>
        <w:rPr>
          <w:rFonts w:ascii="Arial" w:hAnsi="Arial" w:cs="Arial"/>
          <w:sz w:val="22"/>
          <w:szCs w:val="22"/>
        </w:rPr>
      </w:pPr>
    </w:p>
    <w:p w14:paraId="51DEEDF8" w14:textId="77777777" w:rsidR="00F775E4" w:rsidRDefault="00F775E4" w:rsidP="00E33C6E">
      <w:pPr>
        <w:spacing w:line="360" w:lineRule="auto"/>
        <w:jc w:val="both"/>
        <w:rPr>
          <w:rFonts w:ascii="Arial" w:hAnsi="Arial" w:cs="Arial"/>
          <w:sz w:val="22"/>
          <w:szCs w:val="22"/>
        </w:rPr>
      </w:pPr>
    </w:p>
    <w:p w14:paraId="12ABB8ED" w14:textId="77777777" w:rsidR="00F775E4" w:rsidRDefault="00F775E4" w:rsidP="00E33C6E">
      <w:pPr>
        <w:spacing w:line="360" w:lineRule="auto"/>
        <w:jc w:val="both"/>
        <w:rPr>
          <w:rFonts w:ascii="Arial" w:hAnsi="Arial" w:cs="Arial"/>
          <w:sz w:val="22"/>
          <w:szCs w:val="22"/>
        </w:rPr>
      </w:pPr>
    </w:p>
    <w:p w14:paraId="345C303C" w14:textId="77777777" w:rsidR="00F775E4" w:rsidRDefault="00F775E4" w:rsidP="00E33C6E">
      <w:pPr>
        <w:spacing w:line="360" w:lineRule="auto"/>
        <w:jc w:val="both"/>
        <w:rPr>
          <w:rFonts w:ascii="Arial" w:hAnsi="Arial" w:cs="Arial"/>
          <w:sz w:val="22"/>
          <w:szCs w:val="22"/>
        </w:rPr>
      </w:pPr>
    </w:p>
    <w:p w14:paraId="52E8C156" w14:textId="77777777" w:rsidR="00F775E4" w:rsidRDefault="00F775E4" w:rsidP="00E33C6E">
      <w:pPr>
        <w:spacing w:line="360" w:lineRule="auto"/>
        <w:jc w:val="both"/>
        <w:rPr>
          <w:rFonts w:ascii="Arial" w:hAnsi="Arial" w:cs="Arial"/>
          <w:sz w:val="22"/>
          <w:szCs w:val="22"/>
        </w:rPr>
      </w:pPr>
    </w:p>
    <w:p w14:paraId="32B73E55" w14:textId="77777777" w:rsidR="00454E2A" w:rsidRDefault="00454E2A" w:rsidP="00E33C6E">
      <w:pPr>
        <w:spacing w:line="360" w:lineRule="auto"/>
        <w:jc w:val="both"/>
        <w:rPr>
          <w:rFonts w:ascii="Arial" w:hAnsi="Arial" w:cs="Arial"/>
          <w:sz w:val="22"/>
          <w:szCs w:val="22"/>
        </w:rPr>
      </w:pPr>
    </w:p>
    <w:p w14:paraId="1F6819BA" w14:textId="77777777" w:rsidR="00454E2A" w:rsidRDefault="00454E2A" w:rsidP="00E33C6E">
      <w:pPr>
        <w:spacing w:line="360" w:lineRule="auto"/>
        <w:jc w:val="both"/>
        <w:rPr>
          <w:rFonts w:ascii="Arial" w:hAnsi="Arial" w:cs="Arial"/>
          <w:sz w:val="22"/>
          <w:szCs w:val="22"/>
        </w:rPr>
      </w:pPr>
    </w:p>
    <w:p w14:paraId="0D982737" w14:textId="77777777" w:rsidR="00F775E4" w:rsidRDefault="00F775E4" w:rsidP="00E33C6E">
      <w:pPr>
        <w:spacing w:line="360" w:lineRule="auto"/>
        <w:jc w:val="both"/>
        <w:rPr>
          <w:rFonts w:ascii="Arial" w:hAnsi="Arial" w:cs="Arial"/>
          <w:sz w:val="22"/>
          <w:szCs w:val="22"/>
        </w:rPr>
      </w:pPr>
    </w:p>
    <w:p w14:paraId="0B77EF3D" w14:textId="77777777" w:rsidR="00F775E4" w:rsidRDefault="00F775E4" w:rsidP="00E33C6E">
      <w:pPr>
        <w:spacing w:line="360" w:lineRule="auto"/>
        <w:jc w:val="both"/>
        <w:rPr>
          <w:rFonts w:ascii="Arial" w:hAnsi="Arial" w:cs="Arial"/>
          <w:sz w:val="22"/>
          <w:szCs w:val="22"/>
        </w:rPr>
      </w:pPr>
    </w:p>
    <w:p w14:paraId="66786D78" w14:textId="77777777" w:rsidR="00F775E4" w:rsidRDefault="00F775E4" w:rsidP="00E33C6E">
      <w:pPr>
        <w:spacing w:line="360" w:lineRule="auto"/>
        <w:jc w:val="both"/>
        <w:rPr>
          <w:rFonts w:ascii="Arial" w:hAnsi="Arial" w:cs="Arial"/>
          <w:sz w:val="22"/>
          <w:szCs w:val="22"/>
        </w:rPr>
      </w:pPr>
    </w:p>
    <w:p w14:paraId="4D8269E0" w14:textId="77777777" w:rsidR="00F775E4" w:rsidRPr="00E33C6E" w:rsidRDefault="00F775E4" w:rsidP="00E33C6E">
      <w:pPr>
        <w:spacing w:line="360" w:lineRule="auto"/>
        <w:jc w:val="both"/>
        <w:rPr>
          <w:rFonts w:ascii="Arial" w:hAnsi="Arial" w:cs="Arial"/>
          <w:sz w:val="22"/>
          <w:szCs w:val="22"/>
        </w:rPr>
      </w:pPr>
    </w:p>
    <w:p w14:paraId="34F06C93" w14:textId="5ABC681B" w:rsidR="00436A32" w:rsidRDefault="00422C66" w:rsidP="00DE17C2">
      <w:pPr>
        <w:pStyle w:val="Heading1"/>
      </w:pPr>
      <w:bookmarkStart w:id="6" w:name="_Toc227576164"/>
      <w:r>
        <w:lastRenderedPageBreak/>
        <w:t>References</w:t>
      </w:r>
      <w:bookmarkEnd w:id="6"/>
    </w:p>
    <w:p w14:paraId="0C70BB52" w14:textId="0EEE8855" w:rsidR="00F775E4" w:rsidRDefault="00F775E4" w:rsidP="00454E2A">
      <w:pPr>
        <w:tabs>
          <w:tab w:val="left" w:pos="1870"/>
        </w:tabs>
        <w:jc w:val="both"/>
      </w:pPr>
      <w:r w:rsidRPr="00C8088B">
        <w:t>Adjei, N.K. </w:t>
      </w:r>
      <w:r w:rsidRPr="00C8088B">
        <w:rPr>
          <w:i/>
          <w:iCs/>
        </w:rPr>
        <w:t>et al.</w:t>
      </w:r>
      <w:r w:rsidRPr="00C8088B">
        <w:t> </w:t>
      </w:r>
      <w:r w:rsidRPr="00C36DB1">
        <w:t>(2024) “Impact of poverty and adversity on perceived family support in adolescence: findings from the UK Millennium Cohort Study,” </w:t>
      </w:r>
      <w:r w:rsidRPr="00C36DB1">
        <w:rPr>
          <w:i/>
          <w:iCs/>
        </w:rPr>
        <w:t>European child &amp; adolescent psychiatry</w:t>
      </w:r>
      <w:r w:rsidRPr="00C36DB1">
        <w:t xml:space="preserve">, 33(9), pp. 3123–3132. Available at: </w:t>
      </w:r>
      <w:hyperlink r:id="rId9" w:history="1">
        <w:r w:rsidRPr="00C36DB1">
          <w:rPr>
            <w:rStyle w:val="Hyperlink"/>
          </w:rPr>
          <w:t>https://doi.org/10.1007/s00787-024-02389-8.</w:t>
        </w:r>
      </w:hyperlink>
      <w:r>
        <w:t xml:space="preserve"> (Accessed: 13 Apr. 26).</w:t>
      </w:r>
    </w:p>
    <w:p w14:paraId="5BCEFF38" w14:textId="0F8EC1B0" w:rsidR="00F775E4" w:rsidRDefault="00F775E4" w:rsidP="00D63E0C">
      <w:r w:rsidRPr="00DA6AA3">
        <w:t xml:space="preserve">Arora Sandeepa, Longford, </w:t>
      </w:r>
      <w:r w:rsidR="00BB5AC4" w:rsidRPr="00DA6AA3">
        <w:t>N.,</w:t>
      </w:r>
      <w:r w:rsidRPr="00DA6AA3">
        <w:t xml:space="preserve"> and Hargreaves Dougal (2025) “8066</w:t>
      </w:r>
      <w:r w:rsidRPr="00DA6AA3">
        <w:rPr>
          <w:rFonts w:ascii="Arial" w:hAnsi="Arial" w:cs="Arial"/>
        </w:rPr>
        <w:t> </w:t>
      </w:r>
      <w:r w:rsidRPr="00DA6AA3">
        <w:t>Household size, deprivation, child health and social care outcomes: a population-level study using linked data from Northwest London,</w:t>
      </w:r>
      <w:r w:rsidRPr="00DA6AA3">
        <w:rPr>
          <w:rFonts w:ascii="Aptos" w:hAnsi="Aptos" w:cs="Aptos"/>
        </w:rPr>
        <w:t>” </w:t>
      </w:r>
      <w:r w:rsidRPr="00DA6AA3">
        <w:rPr>
          <w:i/>
          <w:iCs/>
        </w:rPr>
        <w:t>Archives of disease in childhood</w:t>
      </w:r>
      <w:r w:rsidRPr="00DA6AA3">
        <w:t xml:space="preserve">, 110(Suppl 1), pp. A353–A355. Available at: </w:t>
      </w:r>
      <w:hyperlink r:id="rId10" w:history="1">
        <w:r w:rsidRPr="00DA6AA3">
          <w:rPr>
            <w:rStyle w:val="Hyperlink"/>
          </w:rPr>
          <w:t>https://doi.org/10.1136/archdischild-2025-rcpch.477.</w:t>
        </w:r>
      </w:hyperlink>
      <w:r>
        <w:t xml:space="preserve"> (Accessed: 12 Apr.26).</w:t>
      </w:r>
    </w:p>
    <w:p w14:paraId="2F21FDA8" w14:textId="77777777" w:rsidR="00F775E4" w:rsidRDefault="00F775E4" w:rsidP="00DE17C2">
      <w:r w:rsidRPr="001113DC">
        <w:t>Breuer, A. </w:t>
      </w:r>
      <w:r w:rsidRPr="001113DC">
        <w:rPr>
          <w:i/>
          <w:iCs/>
        </w:rPr>
        <w:t>et al.</w:t>
      </w:r>
      <w:r w:rsidRPr="001113DC">
        <w:t> (2023) </w:t>
      </w:r>
      <w:r w:rsidRPr="001113DC">
        <w:rPr>
          <w:i/>
          <w:iCs/>
        </w:rPr>
        <w:t>Governing the Interlinkages between the SDGs: Approaches, Opportunities and Challenges</w:t>
      </w:r>
      <w:r w:rsidRPr="001113DC">
        <w:t xml:space="preserve">. 1st ed. Edited by D. Malerba et al. London: Taylor &amp; Francis. Available at: </w:t>
      </w:r>
      <w:hyperlink r:id="rId11" w:history="1">
        <w:r w:rsidRPr="001113DC">
          <w:rPr>
            <w:rStyle w:val="Hyperlink"/>
          </w:rPr>
          <w:t>https://doi.org/10.4324/9781003254683.</w:t>
        </w:r>
      </w:hyperlink>
      <w:r>
        <w:t xml:space="preserve"> (Accessed: 10 Apr.26).</w:t>
      </w:r>
    </w:p>
    <w:p w14:paraId="460CE89A" w14:textId="77777777" w:rsidR="00F775E4" w:rsidRDefault="00F775E4" w:rsidP="00DE17C2">
      <w:r w:rsidRPr="001113DC">
        <w:t>Cuevas García-Dorado, S. </w:t>
      </w:r>
      <w:r w:rsidRPr="001113DC">
        <w:rPr>
          <w:i/>
          <w:iCs/>
        </w:rPr>
        <w:t>et al.</w:t>
      </w:r>
      <w:r w:rsidRPr="001113DC">
        <w:t> (2019) “Economic globalization, nutrition and health: a review of quantitative evidence,” </w:t>
      </w:r>
      <w:r w:rsidRPr="001113DC">
        <w:rPr>
          <w:i/>
          <w:iCs/>
        </w:rPr>
        <w:t>Globalization and health</w:t>
      </w:r>
      <w:r w:rsidRPr="001113DC">
        <w:t xml:space="preserve">, 15(1). Available at: </w:t>
      </w:r>
      <w:hyperlink r:id="rId12" w:history="1">
        <w:r w:rsidRPr="001113DC">
          <w:rPr>
            <w:rStyle w:val="Hyperlink"/>
          </w:rPr>
          <w:t>https://doi.org/10.1186/s12992-019-0456-z.</w:t>
        </w:r>
      </w:hyperlink>
      <w:r>
        <w:t xml:space="preserve"> (Accessed: 12 Apr.26).</w:t>
      </w:r>
    </w:p>
    <w:p w14:paraId="78443C3A" w14:textId="4D38DCA8" w:rsidR="00F775E4" w:rsidRDefault="00F775E4" w:rsidP="00D63E0C">
      <w:r w:rsidRPr="00D63E0C">
        <w:t xml:space="preserve">Department for Education (2021) </w:t>
      </w:r>
      <w:r w:rsidRPr="00D63E0C">
        <w:rPr>
          <w:i/>
          <w:iCs/>
        </w:rPr>
        <w:t xml:space="preserve">Statutory framework for the Early Years Foundation Stage: Setting the standards for learning, </w:t>
      </w:r>
      <w:r w:rsidR="00BB5AC4" w:rsidRPr="00D63E0C">
        <w:rPr>
          <w:i/>
          <w:iCs/>
        </w:rPr>
        <w:t>development,</w:t>
      </w:r>
      <w:r w:rsidRPr="00D63E0C">
        <w:rPr>
          <w:i/>
          <w:iCs/>
        </w:rPr>
        <w:t xml:space="preserve"> and care for children from birth to five</w:t>
      </w:r>
      <w:r w:rsidRPr="00D63E0C">
        <w:t>. London: Department for Education.</w:t>
      </w:r>
      <w:r>
        <w:t xml:space="preserve"> Available at: </w:t>
      </w:r>
      <w:hyperlink r:id="rId13" w:history="1">
        <w:r w:rsidRPr="00D63E0C">
          <w:rPr>
            <w:rStyle w:val="Hyperlink"/>
          </w:rPr>
          <w:t>https://www.gov.uk/government/publications/early-years-foundation-stage-framework--2</w:t>
        </w:r>
      </w:hyperlink>
      <w:r>
        <w:t xml:space="preserve"> (Accessed: 11 Apr.26).</w:t>
      </w:r>
    </w:p>
    <w:p w14:paraId="6CC76691" w14:textId="77777777" w:rsidR="00F775E4" w:rsidRDefault="00F775E4" w:rsidP="00D63E0C">
      <w:r w:rsidRPr="00D63E0C">
        <w:t xml:space="preserve">Department of Health (2009) </w:t>
      </w:r>
      <w:r w:rsidRPr="00D63E0C">
        <w:rPr>
          <w:i/>
          <w:iCs/>
        </w:rPr>
        <w:t>Healthy Child Programme: Pregnancy and the first five years of life</w:t>
      </w:r>
      <w:r w:rsidRPr="00D63E0C">
        <w:t>. London: Department of Health.</w:t>
      </w:r>
      <w:r>
        <w:t xml:space="preserve"> Available at: </w:t>
      </w:r>
      <w:hyperlink r:id="rId14" w:history="1">
        <w:r w:rsidRPr="00D63E0C">
          <w:rPr>
            <w:rStyle w:val="Hyperlink"/>
          </w:rPr>
          <w:t>https://www.gov.uk/government/publications/healthy-child-programme-pregnancy-and-the-first-5-years-of-life</w:t>
        </w:r>
      </w:hyperlink>
      <w:r>
        <w:t xml:space="preserve"> (Accessed: 13 Apr.26).</w:t>
      </w:r>
    </w:p>
    <w:p w14:paraId="38B6BF4A" w14:textId="77777777" w:rsidR="00F775E4" w:rsidRDefault="00F775E4" w:rsidP="00DE17C2">
      <w:r w:rsidRPr="00366A5F">
        <w:t>El Zaatari, W. and Maalouf, I. (2022) “How the Bronfenbrenner Bio-ecological System Theory Explains the Development of Students’ Sense of Belonging to School?,” </w:t>
      </w:r>
      <w:r w:rsidRPr="00366A5F">
        <w:rPr>
          <w:i/>
          <w:iCs/>
        </w:rPr>
        <w:t>SAGE Open</w:t>
      </w:r>
      <w:r w:rsidRPr="00366A5F">
        <w:t xml:space="preserve">, 12(4). Available at: </w:t>
      </w:r>
      <w:hyperlink r:id="rId15" w:history="1">
        <w:r w:rsidRPr="00366A5F">
          <w:rPr>
            <w:rStyle w:val="Hyperlink"/>
          </w:rPr>
          <w:t>https://doi.org/10.1177/21582440221134089.</w:t>
        </w:r>
      </w:hyperlink>
      <w:r>
        <w:t xml:space="preserve"> (Accessed: 09 Apr.26).</w:t>
      </w:r>
    </w:p>
    <w:p w14:paraId="55D5420A" w14:textId="77777777" w:rsidR="00F775E4" w:rsidRDefault="00F775E4" w:rsidP="00D63E0C">
      <w:r w:rsidRPr="003F124D">
        <w:t>Girmay, M. (2024) “Digital Health Divide: Opportunities for Reducing Health Disparities and Promoting Equitable Care for Maternal and Child Health Populations,” </w:t>
      </w:r>
      <w:r w:rsidRPr="003F124D">
        <w:rPr>
          <w:i/>
          <w:iCs/>
        </w:rPr>
        <w:t>International journal of MCH and AIDS</w:t>
      </w:r>
      <w:r w:rsidRPr="003F124D">
        <w:t xml:space="preserve">, 13. Available at: </w:t>
      </w:r>
      <w:hyperlink r:id="rId16" w:history="1">
        <w:r w:rsidRPr="003F124D">
          <w:rPr>
            <w:rStyle w:val="Hyperlink"/>
          </w:rPr>
          <w:t>https://doi.org/10.25259/IJMA_41_2024.</w:t>
        </w:r>
      </w:hyperlink>
      <w:r>
        <w:t xml:space="preserve"> (Accessed: 13 Apr. 26).</w:t>
      </w:r>
    </w:p>
    <w:p w14:paraId="71535066" w14:textId="6511AC23" w:rsidR="00F775E4" w:rsidRDefault="00F775E4" w:rsidP="00D63E0C">
      <w:r w:rsidRPr="004F16AE">
        <w:t>Goldberg, L. </w:t>
      </w:r>
      <w:r w:rsidRPr="004F16AE">
        <w:rPr>
          <w:i/>
          <w:iCs/>
        </w:rPr>
        <w:t>et al.</w:t>
      </w:r>
      <w:r w:rsidRPr="004F16AE">
        <w:t xml:space="preserve"> (2023) “School Nurse Perspectives on Collaboration </w:t>
      </w:r>
      <w:r w:rsidR="00A21B2E" w:rsidRPr="004F16AE">
        <w:t>with</w:t>
      </w:r>
      <w:r w:rsidRPr="004F16AE">
        <w:t xml:space="preserve"> Primary Care Providers,” </w:t>
      </w:r>
      <w:r w:rsidRPr="004F16AE">
        <w:rPr>
          <w:i/>
          <w:iCs/>
        </w:rPr>
        <w:t>The Journal of school health</w:t>
      </w:r>
      <w:r w:rsidRPr="004F16AE">
        <w:t xml:space="preserve">, 93(8), pp. 717–725. Available at: </w:t>
      </w:r>
      <w:hyperlink r:id="rId17" w:history="1">
        <w:r w:rsidRPr="004F16AE">
          <w:rPr>
            <w:rStyle w:val="Hyperlink"/>
          </w:rPr>
          <w:t>https://doi.org/10.1111/josh.13325.</w:t>
        </w:r>
      </w:hyperlink>
      <w:r>
        <w:t xml:space="preserve"> (Accessed: 13 Apr. 26).</w:t>
      </w:r>
    </w:p>
    <w:p w14:paraId="24403FEF" w14:textId="77777777" w:rsidR="00F775E4" w:rsidRDefault="00F775E4" w:rsidP="00D63E0C">
      <w:r w:rsidRPr="00DC04B9">
        <w:lastRenderedPageBreak/>
        <w:t xml:space="preserve">HM Government (2016) </w:t>
      </w:r>
      <w:r w:rsidRPr="00DC04B9">
        <w:rPr>
          <w:i/>
          <w:iCs/>
        </w:rPr>
        <w:t>Childhood Obesity: A Plan for Action</w:t>
      </w:r>
      <w:r w:rsidRPr="00DC04B9">
        <w:t>. London: HM Government.</w:t>
      </w:r>
      <w:r>
        <w:t xml:space="preserve"> Available at: </w:t>
      </w:r>
      <w:hyperlink r:id="rId18" w:history="1">
        <w:r w:rsidRPr="00DC04B9">
          <w:rPr>
            <w:rStyle w:val="Hyperlink"/>
          </w:rPr>
          <w:t>https://www.gov.uk/government/publications/childhood-obesity-a-plan-for-action</w:t>
        </w:r>
      </w:hyperlink>
      <w:r>
        <w:t xml:space="preserve"> (Accessed: 12 Apr.26).</w:t>
      </w:r>
    </w:p>
    <w:p w14:paraId="4FE1766F" w14:textId="77777777" w:rsidR="00F775E4" w:rsidRDefault="00F775E4" w:rsidP="00DE17C2">
      <w:r w:rsidRPr="00DE17C2">
        <w:t>Holttum, S. (2021) “Research watch: exclusion and health inequality in England and what can be done to reverse it – discussing the Marmot review 10 years on,” </w:t>
      </w:r>
      <w:r w:rsidRPr="00DE17C2">
        <w:rPr>
          <w:i/>
          <w:iCs/>
        </w:rPr>
        <w:t>A life in the day</w:t>
      </w:r>
      <w:r w:rsidRPr="00DE17C2">
        <w:t xml:space="preserve">, 25(1), pp. 7–15. Available at: </w:t>
      </w:r>
      <w:hyperlink r:id="rId19" w:history="1">
        <w:r w:rsidRPr="00DE17C2">
          <w:rPr>
            <w:rStyle w:val="Hyperlink"/>
          </w:rPr>
          <w:t>https://doi.org/10.1108/MHSI-11-2020-0074.</w:t>
        </w:r>
      </w:hyperlink>
      <w:r>
        <w:t xml:space="preserve"> (Accessed: 12 Apr.26).</w:t>
      </w:r>
    </w:p>
    <w:p w14:paraId="17896C86" w14:textId="77777777" w:rsidR="00F775E4" w:rsidRPr="00D63E0C" w:rsidRDefault="00F775E4" w:rsidP="00D63E0C">
      <w:r w:rsidRPr="002B3594">
        <w:t>Horne, M. </w:t>
      </w:r>
      <w:r w:rsidRPr="002B3594">
        <w:rPr>
          <w:i/>
          <w:iCs/>
        </w:rPr>
        <w:t>et al.</w:t>
      </w:r>
      <w:r w:rsidRPr="002B3594">
        <w:t> (2024) “Development of an outcome indicator framework for a universal health visiting programme using routinely collected data,” </w:t>
      </w:r>
      <w:r w:rsidRPr="002B3594">
        <w:rPr>
          <w:i/>
          <w:iCs/>
        </w:rPr>
        <w:t>BMC health services research</w:t>
      </w:r>
      <w:r w:rsidRPr="002B3594">
        <w:t xml:space="preserve">, 24(1). Available at: </w:t>
      </w:r>
      <w:hyperlink r:id="rId20" w:history="1">
        <w:r w:rsidRPr="002B3594">
          <w:rPr>
            <w:rStyle w:val="Hyperlink"/>
          </w:rPr>
          <w:t>https://doi.org/10.1186/s12913-024-11178-7.</w:t>
        </w:r>
      </w:hyperlink>
      <w:r>
        <w:t xml:space="preserve"> (Accessed: 13 Apr. 26).</w:t>
      </w:r>
    </w:p>
    <w:p w14:paraId="0E150F40" w14:textId="77777777" w:rsidR="00F775E4" w:rsidRDefault="00F775E4" w:rsidP="00DE17C2">
      <w:r w:rsidRPr="00DE17C2">
        <w:t xml:space="preserve">Marmot, M. (2020) “Health equity in England: </w:t>
      </w:r>
      <w:r>
        <w:t>T</w:t>
      </w:r>
      <w:r w:rsidRPr="00DE17C2">
        <w:t>he Marmot review 10 years on,” </w:t>
      </w:r>
      <w:r w:rsidRPr="00DE17C2">
        <w:rPr>
          <w:i/>
          <w:iCs/>
        </w:rPr>
        <w:t>BMJ (Online)</w:t>
      </w:r>
      <w:r w:rsidRPr="00DE17C2">
        <w:t xml:space="preserve">, 368, pp. m693-4. Available at: </w:t>
      </w:r>
      <w:hyperlink r:id="rId21" w:history="1">
        <w:r w:rsidRPr="00DE17C2">
          <w:rPr>
            <w:rStyle w:val="Hyperlink"/>
          </w:rPr>
          <w:t>https://doi.org/10.1136/bmj.m693.</w:t>
        </w:r>
      </w:hyperlink>
      <w:r>
        <w:t xml:space="preserve"> (Accessed: 13 Apr. 26).</w:t>
      </w:r>
    </w:p>
    <w:p w14:paraId="2F0582FB" w14:textId="3330DF14" w:rsidR="00DA7E4F" w:rsidRDefault="00DA7E4F" w:rsidP="00DE17C2">
      <w:r w:rsidRPr="00DA7E4F">
        <w:t>Montez, J.K. and Bisesti, E.M. (2024) “Widening Educational Disparities in Health and Longevity,” </w:t>
      </w:r>
      <w:r w:rsidRPr="00DA7E4F">
        <w:rPr>
          <w:i/>
          <w:iCs/>
        </w:rPr>
        <w:t>Annual review of sociology</w:t>
      </w:r>
      <w:r w:rsidRPr="00DA7E4F">
        <w:t xml:space="preserve">, 50(1), pp. 547–564. Available at: </w:t>
      </w:r>
      <w:hyperlink r:id="rId22" w:history="1">
        <w:r w:rsidRPr="00DA7E4F">
          <w:rPr>
            <w:rStyle w:val="Hyperlink"/>
          </w:rPr>
          <w:t>https://doi.org/10.1146/annurev-soc-071723-080605.</w:t>
        </w:r>
      </w:hyperlink>
      <w:r>
        <w:t xml:space="preserve"> (Accessed: 11 Apr.26).</w:t>
      </w:r>
    </w:p>
    <w:p w14:paraId="58F6B110" w14:textId="60A9FD80" w:rsidR="00F775E4" w:rsidRDefault="00F775E4" w:rsidP="00DE17C2">
      <w:r w:rsidRPr="00CE5659">
        <w:t>Moga Rogoz, A.T. </w:t>
      </w:r>
      <w:r w:rsidRPr="00CE5659">
        <w:rPr>
          <w:i/>
          <w:iCs/>
        </w:rPr>
        <w:t>et al.</w:t>
      </w:r>
      <w:r w:rsidRPr="00CE5659">
        <w:t> </w:t>
      </w:r>
      <w:r w:rsidRPr="00E43799">
        <w:t xml:space="preserve">(2022) “Impact of Economic Freedom and Educational Attainment on Life Expectancy: Evidence </w:t>
      </w:r>
      <w:r w:rsidR="00A21B2E" w:rsidRPr="00E43799">
        <w:t>from</w:t>
      </w:r>
      <w:r w:rsidRPr="00E43799">
        <w:t xml:space="preserve"> the New EU Member States,” </w:t>
      </w:r>
      <w:r w:rsidRPr="00E43799">
        <w:rPr>
          <w:i/>
          <w:iCs/>
        </w:rPr>
        <w:t>Frontiers in public health</w:t>
      </w:r>
      <w:r w:rsidRPr="00E43799">
        <w:t xml:space="preserve">, 10, p. 907138. Available at: </w:t>
      </w:r>
      <w:hyperlink r:id="rId23" w:history="1">
        <w:r w:rsidRPr="00E43799">
          <w:rPr>
            <w:rStyle w:val="Hyperlink"/>
          </w:rPr>
          <w:t>https://doi.org/10.3389/fpubh.2022.907138.</w:t>
        </w:r>
      </w:hyperlink>
      <w:r>
        <w:t xml:space="preserve"> (Accessed: 10 Apr.26).</w:t>
      </w:r>
    </w:p>
    <w:p w14:paraId="0AF3901A" w14:textId="77777777" w:rsidR="00F775E4" w:rsidRDefault="00F775E4" w:rsidP="00D63E0C">
      <w:r w:rsidRPr="00C8088B">
        <w:t>Mooney, K.E. </w:t>
      </w:r>
      <w:r w:rsidRPr="00C8088B">
        <w:rPr>
          <w:i/>
          <w:iCs/>
        </w:rPr>
        <w:t>et al.</w:t>
      </w:r>
      <w:r w:rsidRPr="00C8088B">
        <w:t> </w:t>
      </w:r>
      <w:r w:rsidRPr="00F82AED">
        <w:t>(2025) “An assessment of the teacher completed ‘Early Years Foundation Stage Profile’ as a routine measure of child developmental health,” </w:t>
      </w:r>
      <w:r w:rsidRPr="00F82AED">
        <w:rPr>
          <w:i/>
          <w:iCs/>
        </w:rPr>
        <w:t>PloS one</w:t>
      </w:r>
      <w:r w:rsidRPr="00F82AED">
        <w:t xml:space="preserve">, 20(3), p. e0302771. Available at: </w:t>
      </w:r>
      <w:hyperlink r:id="rId24" w:history="1">
        <w:r w:rsidRPr="00F82AED">
          <w:rPr>
            <w:rStyle w:val="Hyperlink"/>
          </w:rPr>
          <w:t>https://doi.org/10.1371/journal.pone.0302771.</w:t>
        </w:r>
      </w:hyperlink>
      <w:r>
        <w:t xml:space="preserve"> (Accessed: 13 Apr. 26).</w:t>
      </w:r>
    </w:p>
    <w:p w14:paraId="3CEBEE64" w14:textId="77777777" w:rsidR="00F775E4" w:rsidRDefault="00F775E4" w:rsidP="00D63E0C">
      <w:r w:rsidRPr="00D63E0C">
        <w:t xml:space="preserve">NHS England (2019) </w:t>
      </w:r>
      <w:r w:rsidRPr="00D63E0C">
        <w:rPr>
          <w:i/>
          <w:iCs/>
        </w:rPr>
        <w:t>The NHS Long Term Plan</w:t>
      </w:r>
      <w:r w:rsidRPr="00D63E0C">
        <w:t xml:space="preserve">. London: NHS England. Available at: </w:t>
      </w:r>
      <w:hyperlink r:id="rId25" w:history="1">
        <w:r w:rsidRPr="00D63E0C">
          <w:rPr>
            <w:rStyle w:val="Hyperlink"/>
          </w:rPr>
          <w:t>https://www.england.nhs.uk/2019/01/long-term-plan/</w:t>
        </w:r>
      </w:hyperlink>
      <w:r>
        <w:t xml:space="preserve"> (Accessed: 12 Apr.26).</w:t>
      </w:r>
    </w:p>
    <w:p w14:paraId="42254DF7" w14:textId="77777777" w:rsidR="00F775E4" w:rsidRDefault="00F775E4" w:rsidP="00D63E0C">
      <w:r w:rsidRPr="00D63E0C">
        <w:t xml:space="preserve">Public Health England (2016) </w:t>
      </w:r>
      <w:r w:rsidRPr="00D63E0C">
        <w:rPr>
          <w:i/>
          <w:iCs/>
        </w:rPr>
        <w:t>Making Every Contact Count: Implementation guide</w:t>
      </w:r>
      <w:r w:rsidRPr="00D63E0C">
        <w:t>. London: Public Health England</w:t>
      </w:r>
      <w:r>
        <w:t xml:space="preserve">. Available at: </w:t>
      </w:r>
      <w:hyperlink r:id="rId26" w:history="1">
        <w:r w:rsidRPr="00D63E0C">
          <w:rPr>
            <w:rStyle w:val="Hyperlink"/>
          </w:rPr>
          <w:t>https://www.gov.uk/government/publications/making-every-contact-count-mecc-practical-resources</w:t>
        </w:r>
      </w:hyperlink>
      <w:r>
        <w:t xml:space="preserve"> (Accessed: 10 Apr.26).</w:t>
      </w:r>
    </w:p>
    <w:p w14:paraId="2C2CDC31" w14:textId="77777777" w:rsidR="00F775E4" w:rsidRDefault="00F775E4" w:rsidP="00DE17C2">
      <w:r w:rsidRPr="004246EC">
        <w:t xml:space="preserve">UNESCO (2023) </w:t>
      </w:r>
      <w:r w:rsidRPr="004246EC">
        <w:rPr>
          <w:i/>
          <w:iCs/>
        </w:rPr>
        <w:t>Global Education Monitoring Report</w:t>
      </w:r>
      <w:r w:rsidRPr="004246EC">
        <w:t>. Paris: UNESCO.</w:t>
      </w:r>
      <w:r>
        <w:t xml:space="preserve"> Available at: </w:t>
      </w:r>
      <w:hyperlink r:id="rId27" w:history="1">
        <w:r w:rsidRPr="004246EC">
          <w:rPr>
            <w:rStyle w:val="Hyperlink"/>
          </w:rPr>
          <w:t>https://gem-report-2023.unesco.org/</w:t>
        </w:r>
      </w:hyperlink>
      <w:r>
        <w:t xml:space="preserve"> (Accessed: 10 Apr.26).</w:t>
      </w:r>
    </w:p>
    <w:p w14:paraId="50080703" w14:textId="77777777" w:rsidR="00F775E4" w:rsidRDefault="00F775E4" w:rsidP="00DE17C2">
      <w:r w:rsidRPr="00DD42C5">
        <w:t>Whittaker, S.M. (2017) </w:t>
      </w:r>
      <w:r w:rsidRPr="00DD42C5">
        <w:rPr>
          <w:i/>
          <w:iCs/>
        </w:rPr>
        <w:t>Higher education students crossing internal UK borders: student and country differences and their contribution to higher education inequalities</w:t>
      </w:r>
      <w:r w:rsidRPr="00DD42C5">
        <w:t xml:space="preserve">. The </w:t>
      </w:r>
      <w:r w:rsidRPr="00DD42C5">
        <w:lastRenderedPageBreak/>
        <w:t>University of Edinburgh.</w:t>
      </w:r>
      <w:r>
        <w:t xml:space="preserve"> Available at: </w:t>
      </w:r>
      <w:hyperlink r:id="rId28" w:history="1">
        <w:r w:rsidRPr="00DD42C5">
          <w:rPr>
            <w:rStyle w:val="Hyperlink"/>
          </w:rPr>
          <w:t>https://era.ed.ac.uk/items/1d8a82fc-28d0-45ce-8734-19b35755faf4</w:t>
        </w:r>
      </w:hyperlink>
      <w:r>
        <w:t xml:space="preserve"> (Accessed: 13 Apr. 26).</w:t>
      </w:r>
    </w:p>
    <w:p w14:paraId="5F01D54E" w14:textId="77777777" w:rsidR="00F775E4" w:rsidRDefault="00F775E4" w:rsidP="00DE17C2">
      <w:r w:rsidRPr="004246EC">
        <w:t xml:space="preserve">World Health </w:t>
      </w:r>
      <w:r>
        <w:t>Organisation</w:t>
      </w:r>
      <w:r w:rsidRPr="004246EC">
        <w:t xml:space="preserve"> (2023) </w:t>
      </w:r>
      <w:r w:rsidRPr="004246EC">
        <w:rPr>
          <w:i/>
          <w:iCs/>
        </w:rPr>
        <w:t>World Health Statistics Report</w:t>
      </w:r>
      <w:r w:rsidRPr="004246EC">
        <w:t>. Geneva: WHO.</w:t>
      </w:r>
      <w:r>
        <w:t xml:space="preserve"> Available at: </w:t>
      </w:r>
      <w:hyperlink r:id="rId29" w:history="1">
        <w:r w:rsidRPr="004246EC">
          <w:rPr>
            <w:rStyle w:val="Hyperlink"/>
          </w:rPr>
          <w:t>https://www.who.int/publications/b/69040</w:t>
        </w:r>
      </w:hyperlink>
      <w:r>
        <w:t xml:space="preserve"> (Accessed: 11 Apr.26).</w:t>
      </w:r>
    </w:p>
    <w:p w14:paraId="1006E5C6" w14:textId="77777777" w:rsidR="00D63E0C" w:rsidRPr="00D63E0C" w:rsidRDefault="00D63E0C" w:rsidP="00D63E0C"/>
    <w:p w14:paraId="141E49A0" w14:textId="77777777" w:rsidR="00DC04B9" w:rsidRDefault="00DC04B9" w:rsidP="00DE17C2"/>
    <w:p w14:paraId="3E98662A" w14:textId="77777777" w:rsidR="004246EC" w:rsidRPr="00DE17C2" w:rsidRDefault="004246EC" w:rsidP="00DE17C2"/>
    <w:sectPr w:rsidR="004246EC" w:rsidRPr="00DE17C2" w:rsidSect="006A5FC7">
      <w:footerReference w:type="default" r:id="rId30"/>
      <w:pgSz w:w="11906" w:h="16838"/>
      <w:pgMar w:top="1440" w:right="1440" w:bottom="1440" w:left="1440" w:header="708" w:footer="708" w:gutter="0"/>
      <w:pgBorders w:offsetFrom="page">
        <w:top w:val="single" w:sz="4" w:space="24" w:color="0070C0"/>
        <w:left w:val="single" w:sz="4" w:space="24" w:color="0070C0"/>
        <w:bottom w:val="single" w:sz="4" w:space="24" w:color="0070C0"/>
        <w:right w:val="single" w:sz="4" w:space="24" w:color="0070C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294681" w14:textId="77777777" w:rsidR="003D0F92" w:rsidRDefault="003D0F92" w:rsidP="00422C66">
      <w:pPr>
        <w:spacing w:after="0" w:line="240" w:lineRule="auto"/>
      </w:pPr>
      <w:r>
        <w:separator/>
      </w:r>
    </w:p>
  </w:endnote>
  <w:endnote w:type="continuationSeparator" w:id="0">
    <w:p w14:paraId="638EE4E6" w14:textId="77777777" w:rsidR="003D0F92" w:rsidRDefault="003D0F92" w:rsidP="00422C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8947203"/>
      <w:docPartObj>
        <w:docPartGallery w:val="Page Numbers (Bottom of Page)"/>
        <w:docPartUnique/>
      </w:docPartObj>
    </w:sdtPr>
    <w:sdtEndPr>
      <w:rPr>
        <w:noProof/>
      </w:rPr>
    </w:sdtEndPr>
    <w:sdtContent>
      <w:p w14:paraId="3F9CC524" w14:textId="78BF6B5E" w:rsidR="00422C66" w:rsidRDefault="00422C6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6516E3" w14:textId="77777777" w:rsidR="00422C66" w:rsidRDefault="00422C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2BAE4C" w14:textId="77777777" w:rsidR="003D0F92" w:rsidRDefault="003D0F92" w:rsidP="00422C66">
      <w:pPr>
        <w:spacing w:after="0" w:line="240" w:lineRule="auto"/>
      </w:pPr>
      <w:r>
        <w:separator/>
      </w:r>
    </w:p>
  </w:footnote>
  <w:footnote w:type="continuationSeparator" w:id="0">
    <w:p w14:paraId="4AE4C0AE" w14:textId="77777777" w:rsidR="003D0F92" w:rsidRDefault="003D0F92" w:rsidP="00422C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C3EE2"/>
    <w:multiLevelType w:val="multilevel"/>
    <w:tmpl w:val="55B8E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B7560D"/>
    <w:multiLevelType w:val="multilevel"/>
    <w:tmpl w:val="FB78D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F272D0"/>
    <w:multiLevelType w:val="multilevel"/>
    <w:tmpl w:val="E7428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AE37B1"/>
    <w:multiLevelType w:val="multilevel"/>
    <w:tmpl w:val="8A3EE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560549"/>
    <w:multiLevelType w:val="multilevel"/>
    <w:tmpl w:val="D2127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AF3377"/>
    <w:multiLevelType w:val="multilevel"/>
    <w:tmpl w:val="3A7AD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FB7228"/>
    <w:multiLevelType w:val="multilevel"/>
    <w:tmpl w:val="69C88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934FF4"/>
    <w:multiLevelType w:val="multilevel"/>
    <w:tmpl w:val="315C0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17C645E"/>
    <w:multiLevelType w:val="multilevel"/>
    <w:tmpl w:val="77626F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6F1540C"/>
    <w:multiLevelType w:val="multilevel"/>
    <w:tmpl w:val="4E988B7A"/>
    <w:lvl w:ilvl="0">
      <w:start w:val="1"/>
      <w:numFmt w:val="decimal"/>
      <w:lvlText w:val="%1."/>
      <w:lvlJc w:val="left"/>
      <w:pPr>
        <w:ind w:left="740" w:hanging="380"/>
      </w:pPr>
      <w:rPr>
        <w:rFonts w:hint="default"/>
      </w:rPr>
    </w:lvl>
    <w:lvl w:ilvl="1">
      <w:start w:val="3"/>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D6E46DD"/>
    <w:multiLevelType w:val="multilevel"/>
    <w:tmpl w:val="8368A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FE42E34"/>
    <w:multiLevelType w:val="multilevel"/>
    <w:tmpl w:val="9FA87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1090315"/>
    <w:multiLevelType w:val="multilevel"/>
    <w:tmpl w:val="F650D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34D66AF"/>
    <w:multiLevelType w:val="multilevel"/>
    <w:tmpl w:val="3C12E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532F92"/>
    <w:multiLevelType w:val="multilevel"/>
    <w:tmpl w:val="50788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72A0509"/>
    <w:multiLevelType w:val="multilevel"/>
    <w:tmpl w:val="D54C5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8C769BE"/>
    <w:multiLevelType w:val="hybridMultilevel"/>
    <w:tmpl w:val="F160B3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DEF27A5"/>
    <w:multiLevelType w:val="hybridMultilevel"/>
    <w:tmpl w:val="274C1C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EBE3DE9"/>
    <w:multiLevelType w:val="multilevel"/>
    <w:tmpl w:val="BC2C8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3A30890"/>
    <w:multiLevelType w:val="multilevel"/>
    <w:tmpl w:val="4320B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57851F3"/>
    <w:multiLevelType w:val="multilevel"/>
    <w:tmpl w:val="40BE3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05195832">
    <w:abstractNumId w:val="4"/>
  </w:num>
  <w:num w:numId="2" w16cid:durableId="1585794140">
    <w:abstractNumId w:val="0"/>
  </w:num>
  <w:num w:numId="3" w16cid:durableId="1953052441">
    <w:abstractNumId w:val="3"/>
  </w:num>
  <w:num w:numId="4" w16cid:durableId="1436049091">
    <w:abstractNumId w:val="20"/>
  </w:num>
  <w:num w:numId="5" w16cid:durableId="1636256237">
    <w:abstractNumId w:val="5"/>
  </w:num>
  <w:num w:numId="6" w16cid:durableId="4090024">
    <w:abstractNumId w:val="13"/>
  </w:num>
  <w:num w:numId="7" w16cid:durableId="1142236267">
    <w:abstractNumId w:val="12"/>
  </w:num>
  <w:num w:numId="8" w16cid:durableId="959916236">
    <w:abstractNumId w:val="15"/>
  </w:num>
  <w:num w:numId="9" w16cid:durableId="464396340">
    <w:abstractNumId w:val="11"/>
  </w:num>
  <w:num w:numId="10" w16cid:durableId="941572023">
    <w:abstractNumId w:val="2"/>
  </w:num>
  <w:num w:numId="11" w16cid:durableId="937640356">
    <w:abstractNumId w:val="1"/>
  </w:num>
  <w:num w:numId="12" w16cid:durableId="1138718238">
    <w:abstractNumId w:val="19"/>
  </w:num>
  <w:num w:numId="13" w16cid:durableId="1812550274">
    <w:abstractNumId w:val="9"/>
  </w:num>
  <w:num w:numId="14" w16cid:durableId="1594044890">
    <w:abstractNumId w:val="7"/>
  </w:num>
  <w:num w:numId="15" w16cid:durableId="56558636">
    <w:abstractNumId w:val="6"/>
  </w:num>
  <w:num w:numId="16" w16cid:durableId="1186410086">
    <w:abstractNumId w:val="14"/>
  </w:num>
  <w:num w:numId="17" w16cid:durableId="1665426134">
    <w:abstractNumId w:val="10"/>
  </w:num>
  <w:num w:numId="18" w16cid:durableId="2026012355">
    <w:abstractNumId w:val="18"/>
  </w:num>
  <w:num w:numId="19" w16cid:durableId="831606160">
    <w:abstractNumId w:val="8"/>
  </w:num>
  <w:num w:numId="20" w16cid:durableId="1281840396">
    <w:abstractNumId w:val="17"/>
  </w:num>
  <w:num w:numId="21" w16cid:durableId="67122108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A32"/>
    <w:rsid w:val="00026531"/>
    <w:rsid w:val="000332EF"/>
    <w:rsid w:val="000523E7"/>
    <w:rsid w:val="00091EF3"/>
    <w:rsid w:val="000A56FD"/>
    <w:rsid w:val="000B2BFD"/>
    <w:rsid w:val="000B2D7F"/>
    <w:rsid w:val="000E2D50"/>
    <w:rsid w:val="001113DC"/>
    <w:rsid w:val="00112C8F"/>
    <w:rsid w:val="00162790"/>
    <w:rsid w:val="00177A59"/>
    <w:rsid w:val="00185D96"/>
    <w:rsid w:val="00192513"/>
    <w:rsid w:val="001C5957"/>
    <w:rsid w:val="001C78F1"/>
    <w:rsid w:val="001D3F64"/>
    <w:rsid w:val="001E05F2"/>
    <w:rsid w:val="001F3CD0"/>
    <w:rsid w:val="00220521"/>
    <w:rsid w:val="00256766"/>
    <w:rsid w:val="002748B3"/>
    <w:rsid w:val="002B3594"/>
    <w:rsid w:val="002F1702"/>
    <w:rsid w:val="00310432"/>
    <w:rsid w:val="00324A4F"/>
    <w:rsid w:val="00337E28"/>
    <w:rsid w:val="00342B7A"/>
    <w:rsid w:val="00352264"/>
    <w:rsid w:val="0035327B"/>
    <w:rsid w:val="00366A5F"/>
    <w:rsid w:val="003675B8"/>
    <w:rsid w:val="00394F7C"/>
    <w:rsid w:val="003D0F92"/>
    <w:rsid w:val="003F124D"/>
    <w:rsid w:val="004030C2"/>
    <w:rsid w:val="00422C66"/>
    <w:rsid w:val="004246EC"/>
    <w:rsid w:val="00436A32"/>
    <w:rsid w:val="00454E2A"/>
    <w:rsid w:val="004632F3"/>
    <w:rsid w:val="00480B6B"/>
    <w:rsid w:val="004F16AE"/>
    <w:rsid w:val="00622863"/>
    <w:rsid w:val="00642B20"/>
    <w:rsid w:val="00675173"/>
    <w:rsid w:val="0069120D"/>
    <w:rsid w:val="006A5FC7"/>
    <w:rsid w:val="006C5FCB"/>
    <w:rsid w:val="00724456"/>
    <w:rsid w:val="00737AAA"/>
    <w:rsid w:val="00744C0B"/>
    <w:rsid w:val="007D1CC4"/>
    <w:rsid w:val="007D5780"/>
    <w:rsid w:val="007E12A5"/>
    <w:rsid w:val="008108B3"/>
    <w:rsid w:val="008237F2"/>
    <w:rsid w:val="00887897"/>
    <w:rsid w:val="008A4A73"/>
    <w:rsid w:val="008C26C6"/>
    <w:rsid w:val="008E6D3E"/>
    <w:rsid w:val="00924CB6"/>
    <w:rsid w:val="00947281"/>
    <w:rsid w:val="00973883"/>
    <w:rsid w:val="009853ED"/>
    <w:rsid w:val="0099633D"/>
    <w:rsid w:val="009E3E59"/>
    <w:rsid w:val="00A04AF1"/>
    <w:rsid w:val="00A079AD"/>
    <w:rsid w:val="00A21B2E"/>
    <w:rsid w:val="00A22FE4"/>
    <w:rsid w:val="00A65938"/>
    <w:rsid w:val="00AD6B05"/>
    <w:rsid w:val="00AE6E26"/>
    <w:rsid w:val="00AE7435"/>
    <w:rsid w:val="00B02BC9"/>
    <w:rsid w:val="00B0555A"/>
    <w:rsid w:val="00B11B51"/>
    <w:rsid w:val="00B357D7"/>
    <w:rsid w:val="00B56A16"/>
    <w:rsid w:val="00B7551D"/>
    <w:rsid w:val="00B9213B"/>
    <w:rsid w:val="00B9433F"/>
    <w:rsid w:val="00BB18CF"/>
    <w:rsid w:val="00BB5AC4"/>
    <w:rsid w:val="00BD1BE2"/>
    <w:rsid w:val="00C159FD"/>
    <w:rsid w:val="00C305D0"/>
    <w:rsid w:val="00C36DB1"/>
    <w:rsid w:val="00C379B5"/>
    <w:rsid w:val="00C41847"/>
    <w:rsid w:val="00C8088B"/>
    <w:rsid w:val="00C82EE2"/>
    <w:rsid w:val="00CB311E"/>
    <w:rsid w:val="00CD66AC"/>
    <w:rsid w:val="00CE5507"/>
    <w:rsid w:val="00CE5659"/>
    <w:rsid w:val="00D06658"/>
    <w:rsid w:val="00D079BD"/>
    <w:rsid w:val="00D35B38"/>
    <w:rsid w:val="00D63E0C"/>
    <w:rsid w:val="00D96FC3"/>
    <w:rsid w:val="00DA6AA3"/>
    <w:rsid w:val="00DA7E4F"/>
    <w:rsid w:val="00DC04B9"/>
    <w:rsid w:val="00DD42C5"/>
    <w:rsid w:val="00DE17C2"/>
    <w:rsid w:val="00E052A6"/>
    <w:rsid w:val="00E33C6E"/>
    <w:rsid w:val="00E43799"/>
    <w:rsid w:val="00E53BC7"/>
    <w:rsid w:val="00E57CE4"/>
    <w:rsid w:val="00EB1504"/>
    <w:rsid w:val="00EC702B"/>
    <w:rsid w:val="00F12BB1"/>
    <w:rsid w:val="00F43EE8"/>
    <w:rsid w:val="00F55A89"/>
    <w:rsid w:val="00F63855"/>
    <w:rsid w:val="00F775E4"/>
    <w:rsid w:val="00F82AED"/>
    <w:rsid w:val="00FC2E82"/>
    <w:rsid w:val="00FD7E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A1C096"/>
  <w15:chartTrackingRefBased/>
  <w15:docId w15:val="{DAFE33A8-BB5D-4AFA-AD8B-77F786DEA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6A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6A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6A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6A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6A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6A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6A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6A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6A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6A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6A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6A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6A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6A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6A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6A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6A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6A32"/>
    <w:rPr>
      <w:rFonts w:eastAsiaTheme="majorEastAsia" w:cstheme="majorBidi"/>
      <w:color w:val="272727" w:themeColor="text1" w:themeTint="D8"/>
    </w:rPr>
  </w:style>
  <w:style w:type="paragraph" w:styleId="Title">
    <w:name w:val="Title"/>
    <w:basedOn w:val="Normal"/>
    <w:next w:val="Normal"/>
    <w:link w:val="TitleChar"/>
    <w:uiPriority w:val="10"/>
    <w:qFormat/>
    <w:rsid w:val="00436A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6A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6A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6A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6A32"/>
    <w:pPr>
      <w:spacing w:before="160"/>
      <w:jc w:val="center"/>
    </w:pPr>
    <w:rPr>
      <w:i/>
      <w:iCs/>
      <w:color w:val="404040" w:themeColor="text1" w:themeTint="BF"/>
    </w:rPr>
  </w:style>
  <w:style w:type="character" w:customStyle="1" w:styleId="QuoteChar">
    <w:name w:val="Quote Char"/>
    <w:basedOn w:val="DefaultParagraphFont"/>
    <w:link w:val="Quote"/>
    <w:uiPriority w:val="29"/>
    <w:rsid w:val="00436A32"/>
    <w:rPr>
      <w:i/>
      <w:iCs/>
      <w:color w:val="404040" w:themeColor="text1" w:themeTint="BF"/>
    </w:rPr>
  </w:style>
  <w:style w:type="paragraph" w:styleId="ListParagraph">
    <w:name w:val="List Paragraph"/>
    <w:basedOn w:val="Normal"/>
    <w:uiPriority w:val="34"/>
    <w:qFormat/>
    <w:rsid w:val="00436A32"/>
    <w:pPr>
      <w:ind w:left="720"/>
      <w:contextualSpacing/>
    </w:pPr>
  </w:style>
  <w:style w:type="character" w:styleId="IntenseEmphasis">
    <w:name w:val="Intense Emphasis"/>
    <w:basedOn w:val="DefaultParagraphFont"/>
    <w:uiPriority w:val="21"/>
    <w:qFormat/>
    <w:rsid w:val="00436A32"/>
    <w:rPr>
      <w:i/>
      <w:iCs/>
      <w:color w:val="0F4761" w:themeColor="accent1" w:themeShade="BF"/>
    </w:rPr>
  </w:style>
  <w:style w:type="paragraph" w:styleId="IntenseQuote">
    <w:name w:val="Intense Quote"/>
    <w:basedOn w:val="Normal"/>
    <w:next w:val="Normal"/>
    <w:link w:val="IntenseQuoteChar"/>
    <w:uiPriority w:val="30"/>
    <w:qFormat/>
    <w:rsid w:val="00436A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6A32"/>
    <w:rPr>
      <w:i/>
      <w:iCs/>
      <w:color w:val="0F4761" w:themeColor="accent1" w:themeShade="BF"/>
    </w:rPr>
  </w:style>
  <w:style w:type="character" w:styleId="IntenseReference">
    <w:name w:val="Intense Reference"/>
    <w:basedOn w:val="DefaultParagraphFont"/>
    <w:uiPriority w:val="32"/>
    <w:qFormat/>
    <w:rsid w:val="00436A32"/>
    <w:rPr>
      <w:b/>
      <w:bCs/>
      <w:smallCaps/>
      <w:color w:val="0F4761" w:themeColor="accent1" w:themeShade="BF"/>
      <w:spacing w:val="5"/>
    </w:rPr>
  </w:style>
  <w:style w:type="paragraph" w:styleId="TOCHeading">
    <w:name w:val="TOC Heading"/>
    <w:basedOn w:val="Heading1"/>
    <w:next w:val="Normal"/>
    <w:uiPriority w:val="39"/>
    <w:unhideWhenUsed/>
    <w:qFormat/>
    <w:rsid w:val="00436A32"/>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422C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2C66"/>
  </w:style>
  <w:style w:type="paragraph" w:styleId="Footer">
    <w:name w:val="footer"/>
    <w:basedOn w:val="Normal"/>
    <w:link w:val="FooterChar"/>
    <w:uiPriority w:val="99"/>
    <w:unhideWhenUsed/>
    <w:rsid w:val="00422C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2C66"/>
  </w:style>
  <w:style w:type="paragraph" w:styleId="TOC1">
    <w:name w:val="toc 1"/>
    <w:basedOn w:val="Normal"/>
    <w:next w:val="Normal"/>
    <w:autoRedefine/>
    <w:uiPriority w:val="39"/>
    <w:unhideWhenUsed/>
    <w:rsid w:val="00422C66"/>
    <w:pPr>
      <w:spacing w:after="100"/>
    </w:pPr>
  </w:style>
  <w:style w:type="character" w:styleId="Hyperlink">
    <w:name w:val="Hyperlink"/>
    <w:basedOn w:val="DefaultParagraphFont"/>
    <w:uiPriority w:val="99"/>
    <w:unhideWhenUsed/>
    <w:rsid w:val="00422C66"/>
    <w:rPr>
      <w:color w:val="467886" w:themeColor="hyperlink"/>
      <w:u w:val="single"/>
    </w:rPr>
  </w:style>
  <w:style w:type="character" w:styleId="UnresolvedMention">
    <w:name w:val="Unresolved Mention"/>
    <w:basedOn w:val="DefaultParagraphFont"/>
    <w:uiPriority w:val="99"/>
    <w:semiHidden/>
    <w:unhideWhenUsed/>
    <w:rsid w:val="00DE17C2"/>
    <w:rPr>
      <w:color w:val="605E5C"/>
      <w:shd w:val="clear" w:color="auto" w:fill="E1DFDD"/>
    </w:rPr>
  </w:style>
  <w:style w:type="paragraph" w:styleId="NormalWeb">
    <w:name w:val="Normal (Web)"/>
    <w:basedOn w:val="Normal"/>
    <w:uiPriority w:val="99"/>
    <w:semiHidden/>
    <w:unhideWhenUsed/>
    <w:rsid w:val="00737AA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737A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gov.uk/government/publications/early-years-foundation-stage-framework--2" TargetMode="External"/><Relationship Id="rId18" Type="http://schemas.openxmlformats.org/officeDocument/2006/relationships/hyperlink" Target="https://www.gov.uk/government/publications/childhood-obesity-a-plan-for-action" TargetMode="External"/><Relationship Id="rId26" Type="http://schemas.openxmlformats.org/officeDocument/2006/relationships/hyperlink" Target="https://www.gov.uk/government/publications/making-every-contact-count-mecc-practical-resources" TargetMode="External"/><Relationship Id="rId3" Type="http://schemas.openxmlformats.org/officeDocument/2006/relationships/styles" Target="styles.xml"/><Relationship Id="rId21" Type="http://schemas.openxmlformats.org/officeDocument/2006/relationships/hyperlink" Target="https://doi.org/10.1136/bmj.m693." TargetMode="External"/><Relationship Id="rId7" Type="http://schemas.openxmlformats.org/officeDocument/2006/relationships/endnotes" Target="endnotes.xml"/><Relationship Id="rId12" Type="http://schemas.openxmlformats.org/officeDocument/2006/relationships/hyperlink" Target="https://doi.org/10.1186/s12992-019-0456-z." TargetMode="External"/><Relationship Id="rId17" Type="http://schemas.openxmlformats.org/officeDocument/2006/relationships/hyperlink" Target="https://doi.org/10.1111/josh.13325." TargetMode="External"/><Relationship Id="rId25" Type="http://schemas.openxmlformats.org/officeDocument/2006/relationships/hyperlink" Target="https://www.england.nhs.uk/2019/01/long-term-plan/" TargetMode="External"/><Relationship Id="rId2" Type="http://schemas.openxmlformats.org/officeDocument/2006/relationships/numbering" Target="numbering.xml"/><Relationship Id="rId16" Type="http://schemas.openxmlformats.org/officeDocument/2006/relationships/hyperlink" Target="https://doi.org/10.25259/IJMA_41_2024." TargetMode="External"/><Relationship Id="rId20" Type="http://schemas.openxmlformats.org/officeDocument/2006/relationships/hyperlink" Target="https://doi.org/10.1186/s12913-024-11178-7." TargetMode="External"/><Relationship Id="rId29" Type="http://schemas.openxmlformats.org/officeDocument/2006/relationships/hyperlink" Target="https://www.who.int/publications/b/6904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4324/9781003254683." TargetMode="External"/><Relationship Id="rId24" Type="http://schemas.openxmlformats.org/officeDocument/2006/relationships/hyperlink" Target="https://doi.org/10.1371/journal.pone.0302771."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177/21582440221134089." TargetMode="External"/><Relationship Id="rId23" Type="http://schemas.openxmlformats.org/officeDocument/2006/relationships/hyperlink" Target="https://doi.org/10.3389/fpubh.2022.907138." TargetMode="External"/><Relationship Id="rId28" Type="http://schemas.openxmlformats.org/officeDocument/2006/relationships/hyperlink" Target="https://era.ed.ac.uk/items/1d8a82fc-28d0-45ce-8734-19b35755faf4" TargetMode="External"/><Relationship Id="rId10" Type="http://schemas.openxmlformats.org/officeDocument/2006/relationships/hyperlink" Target="https://doi.org/10.1136/archdischild-2025-rcpch.477." TargetMode="External"/><Relationship Id="rId19" Type="http://schemas.openxmlformats.org/officeDocument/2006/relationships/hyperlink" Target="https://doi.org/10.1108/MHSI-11-2020-0074."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007/s00787-024-02389-8." TargetMode="External"/><Relationship Id="rId14" Type="http://schemas.openxmlformats.org/officeDocument/2006/relationships/hyperlink" Target="https://www.gov.uk/government/publications/healthy-child-programme-pregnancy-and-the-first-5-years-of-life" TargetMode="External"/><Relationship Id="rId22" Type="http://schemas.openxmlformats.org/officeDocument/2006/relationships/hyperlink" Target="https://doi.org/10.1146/annurev-soc-071723-080605." TargetMode="External"/><Relationship Id="rId27" Type="http://schemas.openxmlformats.org/officeDocument/2006/relationships/hyperlink" Target="https://gem-report-2023.unesco.org/"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636DAE-0251-41E7-943E-A5ED1F1FC9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280</TotalTime>
  <Pages>12</Pages>
  <Words>2679</Words>
  <Characters>17807</Characters>
  <Application>Microsoft Office Word</Application>
  <DocSecurity>0</DocSecurity>
  <Lines>347</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Monika Suba</dc:creator>
  <cp:keywords/>
  <dc:description/>
  <cp:lastModifiedBy>Monika Suba</cp:lastModifiedBy>
  <cp:revision>92</cp:revision>
  <dcterms:created xsi:type="dcterms:W3CDTF">2026-04-13T09:15:00Z</dcterms:created>
  <dcterms:modified xsi:type="dcterms:W3CDTF">2026-04-20T10:22:00Z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96caf2ee-d8a5-4d10-acac-a9d2261cfd01</vt:lpwstr>
  </property>
</Properties>
</file>