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1463294"/>
        <w:docPartObj>
          <w:docPartGallery w:val="Cover Pages"/>
          <w:docPartUnique/>
        </w:docPartObj>
      </w:sdtPr>
      <w:sdtEndPr/>
      <w:sdtContent>
        <w:p w14:paraId="3941DE56" w14:textId="56ABB2B3" w:rsidR="002B0DFF" w:rsidRDefault="002B0DFF">
          <w:r>
            <w:rPr>
              <w:noProof/>
            </w:rPr>
            <mc:AlternateContent>
              <mc:Choice Requires="wpg">
                <w:drawing>
                  <wp:anchor distT="0" distB="0" distL="114300" distR="114300" simplePos="0" relativeHeight="251662336" behindDoc="0" locked="0" layoutInCell="1" allowOverlap="1" wp14:anchorId="2EFB5B11" wp14:editId="7BE15C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D2B25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989710" wp14:editId="6BE80D7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7BC15F" w14:textId="4A09FEB2" w:rsidR="002B0DFF" w:rsidRDefault="002B0DFF">
                                    <w:pPr>
                                      <w:pStyle w:val="NoSpacing"/>
                                      <w:jc w:val="right"/>
                                      <w:rPr>
                                        <w:color w:val="595959" w:themeColor="text1" w:themeTint="A6"/>
                                        <w:sz w:val="28"/>
                                        <w:szCs w:val="28"/>
                                      </w:rPr>
                                    </w:pPr>
                                    <w:r w:rsidRPr="00713400">
                                      <w:rPr>
                                        <w:b/>
                                        <w:bCs/>
                                        <w:color w:val="595959" w:themeColor="text1" w:themeTint="A6"/>
                                        <w:sz w:val="28"/>
                                        <w:szCs w:val="28"/>
                                      </w:rPr>
                                      <w:t>Shakeel Badil</w:t>
                                    </w:r>
                                  </w:p>
                                </w:sdtContent>
                              </w:sdt>
                              <w:p w14:paraId="7BB64448" w14:textId="782FF03A" w:rsidR="002B0DFF" w:rsidRPr="00713400" w:rsidRDefault="0047061E">
                                <w:pPr>
                                  <w:pStyle w:val="NoSpacing"/>
                                  <w:jc w:val="right"/>
                                  <w:rPr>
                                    <w:b/>
                                    <w:bCs/>
                                    <w:color w:val="595959" w:themeColor="text1" w:themeTint="A6"/>
                                    <w:sz w:val="28"/>
                                    <w:szCs w:val="28"/>
                                  </w:rPr>
                                </w:pPr>
                                <w:sdt>
                                  <w:sdtPr>
                                    <w:rPr>
                                      <w:b/>
                                      <w:bCs/>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B0DFF" w:rsidRPr="00713400">
                                      <w:rPr>
                                        <w:b/>
                                        <w:bCs/>
                                        <w:color w:val="595959" w:themeColor="text1" w:themeTint="A6"/>
                                        <w:sz w:val="28"/>
                                        <w:szCs w:val="28"/>
                                      </w:rPr>
                                      <w:t>2223130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98971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7BC15F" w14:textId="4A09FEB2" w:rsidR="002B0DFF" w:rsidRDefault="002B0DFF">
                              <w:pPr>
                                <w:pStyle w:val="NoSpacing"/>
                                <w:jc w:val="right"/>
                                <w:rPr>
                                  <w:color w:val="595959" w:themeColor="text1" w:themeTint="A6"/>
                                  <w:sz w:val="28"/>
                                  <w:szCs w:val="28"/>
                                </w:rPr>
                              </w:pPr>
                              <w:r w:rsidRPr="00713400">
                                <w:rPr>
                                  <w:b/>
                                  <w:bCs/>
                                  <w:color w:val="595959" w:themeColor="text1" w:themeTint="A6"/>
                                  <w:sz w:val="28"/>
                                  <w:szCs w:val="28"/>
                                </w:rPr>
                                <w:t>Shakeel Badil</w:t>
                              </w:r>
                            </w:p>
                          </w:sdtContent>
                        </w:sdt>
                        <w:p w14:paraId="7BB64448" w14:textId="782FF03A" w:rsidR="002B0DFF" w:rsidRPr="00713400" w:rsidRDefault="00000000">
                          <w:pPr>
                            <w:pStyle w:val="NoSpacing"/>
                            <w:jc w:val="right"/>
                            <w:rPr>
                              <w:b/>
                              <w:bCs/>
                              <w:color w:val="595959" w:themeColor="text1" w:themeTint="A6"/>
                              <w:sz w:val="28"/>
                              <w:szCs w:val="28"/>
                            </w:rPr>
                          </w:pPr>
                          <w:sdt>
                            <w:sdtPr>
                              <w:rPr>
                                <w:b/>
                                <w:bCs/>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B0DFF" w:rsidRPr="00713400">
                                <w:rPr>
                                  <w:b/>
                                  <w:bCs/>
                                  <w:color w:val="595959" w:themeColor="text1" w:themeTint="A6"/>
                                  <w:sz w:val="28"/>
                                  <w:szCs w:val="28"/>
                                </w:rPr>
                                <w:t>2223130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BBD4EA" wp14:editId="13F3650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2A82E" w14:textId="3B5B5D6E" w:rsidR="002B0DFF" w:rsidRDefault="0047061E">
                                <w:pPr>
                                  <w:jc w:val="right"/>
                                  <w:rPr>
                                    <w:color w:val="156082" w:themeColor="accent1"/>
                                    <w:sz w:val="64"/>
                                    <w:szCs w:val="64"/>
                                  </w:rPr>
                                </w:pPr>
                                <w:sdt>
                                  <w:sdtPr>
                                    <w:rPr>
                                      <w:rFonts w:ascii="Arial" w:eastAsiaTheme="minorEastAsia" w:hAnsi="Arial" w:cs="Arial"/>
                                      <w:b/>
                                      <w:bCs/>
                                      <w:kern w:val="0"/>
                                      <w:sz w:val="28"/>
                                      <w:szCs w:val="28"/>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A360E" w:rsidRPr="005A360E">
                                      <w:rPr>
                                        <w:rFonts w:ascii="Arial" w:eastAsiaTheme="minorEastAsia" w:hAnsi="Arial" w:cs="Arial"/>
                                        <w:b/>
                                        <w:bCs/>
                                        <w:kern w:val="0"/>
                                        <w:sz w:val="28"/>
                                        <w:szCs w:val="28"/>
                                        <w:lang w:val="en-US"/>
                                        <w14:ligatures w14:val="none"/>
                                      </w:rPr>
                                      <w:t>Module: Financial Management Module Code: LCMB7002 Assignment Title: Financial performance and management</w:t>
                                    </w:r>
                                  </w:sdtContent>
                                </w:sdt>
                              </w:p>
                              <w:sdt>
                                <w:sdtPr>
                                  <w:rPr>
                                    <w:rFonts w:ascii="Arial" w:hAnsi="Arial" w:cs="Arial"/>
                                    <w:b/>
                                    <w:bCs/>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6ACEF1" w14:textId="6285210C" w:rsidR="002B0DFF" w:rsidRDefault="008A7550">
                                    <w:pPr>
                                      <w:jc w:val="right"/>
                                      <w:rPr>
                                        <w:smallCaps/>
                                        <w:color w:val="404040" w:themeColor="text1" w:themeTint="BF"/>
                                        <w:sz w:val="36"/>
                                        <w:szCs w:val="36"/>
                                      </w:rPr>
                                    </w:pPr>
                                    <w:r w:rsidRPr="008A7550">
                                      <w:rPr>
                                        <w:rFonts w:ascii="Arial" w:hAnsi="Arial" w:cs="Arial"/>
                                        <w:b/>
                                        <w:bCs/>
                                        <w:sz w:val="22"/>
                                        <w:szCs w:val="22"/>
                                      </w:rPr>
                                      <w:t>Lecturer: Patrick Yeboah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BBD4EA"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E32A82E" w14:textId="3B5B5D6E" w:rsidR="002B0DFF" w:rsidRDefault="005A360E">
                          <w:pPr>
                            <w:jc w:val="right"/>
                            <w:rPr>
                              <w:color w:val="156082" w:themeColor="accent1"/>
                              <w:sz w:val="64"/>
                              <w:szCs w:val="64"/>
                            </w:rPr>
                          </w:pPr>
                          <w:sdt>
                            <w:sdtPr>
                              <w:rPr>
                                <w:rFonts w:ascii="Arial" w:eastAsiaTheme="minorEastAsia" w:hAnsi="Arial" w:cs="Arial"/>
                                <w:b/>
                                <w:bCs/>
                                <w:kern w:val="0"/>
                                <w:sz w:val="28"/>
                                <w:szCs w:val="28"/>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A360E">
                                <w:rPr>
                                  <w:rFonts w:ascii="Arial" w:eastAsiaTheme="minorEastAsia" w:hAnsi="Arial" w:cs="Arial"/>
                                  <w:b/>
                                  <w:bCs/>
                                  <w:kern w:val="0"/>
                                  <w:sz w:val="28"/>
                                  <w:szCs w:val="28"/>
                                  <w:lang w:val="en-US"/>
                                  <w14:ligatures w14:val="none"/>
                                </w:rPr>
                                <w:t>Module: Financial Management Module Code: LCMB7002 Assignment Title: Financial performance and management</w:t>
                              </w:r>
                            </w:sdtContent>
                          </w:sdt>
                        </w:p>
                        <w:sdt>
                          <w:sdtPr>
                            <w:rPr>
                              <w:rFonts w:ascii="Arial" w:hAnsi="Arial" w:cs="Arial"/>
                              <w:b/>
                              <w:bCs/>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6ACEF1" w14:textId="6285210C" w:rsidR="002B0DFF" w:rsidRDefault="008A7550">
                              <w:pPr>
                                <w:jc w:val="right"/>
                                <w:rPr>
                                  <w:smallCaps/>
                                  <w:color w:val="404040" w:themeColor="text1" w:themeTint="BF"/>
                                  <w:sz w:val="36"/>
                                  <w:szCs w:val="36"/>
                                </w:rPr>
                              </w:pPr>
                              <w:r w:rsidRPr="008A7550">
                                <w:rPr>
                                  <w:rFonts w:ascii="Arial" w:hAnsi="Arial" w:cs="Arial"/>
                                  <w:b/>
                                  <w:bCs/>
                                  <w:sz w:val="22"/>
                                  <w:szCs w:val="22"/>
                                </w:rPr>
                                <w:t>Lecturer: Patrick Yeboah</w:t>
                              </w:r>
                            </w:p>
                          </w:sdtContent>
                        </w:sdt>
                      </w:txbxContent>
                    </v:textbox>
                    <w10:wrap type="square" anchorx="page" anchory="page"/>
                  </v:shape>
                </w:pict>
              </mc:Fallback>
            </mc:AlternateContent>
          </w:r>
        </w:p>
        <w:p w14:paraId="32C7F45F" w14:textId="5CFCB048" w:rsidR="002B0DFF" w:rsidRDefault="002B0DFF">
          <w:r>
            <w:br w:type="page"/>
          </w:r>
        </w:p>
      </w:sdtContent>
    </w:sdt>
    <w:sdt>
      <w:sdtPr>
        <w:rPr>
          <w:rFonts w:asciiTheme="minorHAnsi" w:eastAsiaTheme="minorHAnsi" w:hAnsiTheme="minorHAnsi" w:cstheme="minorBidi"/>
          <w:color w:val="auto"/>
          <w:kern w:val="2"/>
          <w:sz w:val="24"/>
          <w:szCs w:val="24"/>
          <w:lang w:val="en-GB"/>
          <w14:ligatures w14:val="standardContextual"/>
        </w:rPr>
        <w:id w:val="-839542239"/>
        <w:docPartObj>
          <w:docPartGallery w:val="Table of Contents"/>
          <w:docPartUnique/>
        </w:docPartObj>
      </w:sdtPr>
      <w:sdtEndPr>
        <w:rPr>
          <w:b/>
          <w:bCs/>
          <w:noProof/>
        </w:rPr>
      </w:sdtEndPr>
      <w:sdtContent>
        <w:p w14:paraId="1E971154" w14:textId="38065BC4" w:rsidR="002B0DFF" w:rsidRDefault="002B0DFF">
          <w:pPr>
            <w:pStyle w:val="TOCHeading"/>
          </w:pPr>
          <w:r>
            <w:t>Contents</w:t>
          </w:r>
        </w:p>
        <w:p w14:paraId="604946CD" w14:textId="4A22B24C" w:rsidR="00876048" w:rsidRDefault="002B0DFF">
          <w:pPr>
            <w:pStyle w:val="TOC1"/>
            <w:tabs>
              <w:tab w:val="right" w:leader="dot" w:pos="9016"/>
            </w:tabs>
            <w:rPr>
              <w:noProof/>
            </w:rPr>
          </w:pPr>
          <w:r>
            <w:fldChar w:fldCharType="begin"/>
          </w:r>
          <w:r>
            <w:instrText xml:space="preserve"> TOC \o "1-3" \h \z \u </w:instrText>
          </w:r>
          <w:r>
            <w:fldChar w:fldCharType="separate"/>
          </w:r>
          <w:hyperlink w:anchor="_Toc235459596" w:history="1">
            <w:r w:rsidR="00876048" w:rsidRPr="008A1DB2">
              <w:rPr>
                <w:rStyle w:val="Hyperlink"/>
                <w:noProof/>
              </w:rPr>
              <w:t>Introduction</w:t>
            </w:r>
            <w:r w:rsidR="00876048">
              <w:rPr>
                <w:noProof/>
                <w:webHidden/>
              </w:rPr>
              <w:tab/>
            </w:r>
            <w:r w:rsidR="00876048">
              <w:rPr>
                <w:noProof/>
                <w:webHidden/>
              </w:rPr>
              <w:fldChar w:fldCharType="begin"/>
            </w:r>
            <w:r w:rsidR="00876048">
              <w:rPr>
                <w:noProof/>
                <w:webHidden/>
              </w:rPr>
              <w:instrText xml:space="preserve"> PAGEREF _Toc235459596 \h </w:instrText>
            </w:r>
            <w:r w:rsidR="00876048">
              <w:rPr>
                <w:noProof/>
                <w:webHidden/>
              </w:rPr>
            </w:r>
            <w:r w:rsidR="00876048">
              <w:rPr>
                <w:noProof/>
                <w:webHidden/>
              </w:rPr>
              <w:fldChar w:fldCharType="separate"/>
            </w:r>
            <w:r w:rsidR="00876048">
              <w:rPr>
                <w:noProof/>
                <w:webHidden/>
              </w:rPr>
              <w:t>2</w:t>
            </w:r>
            <w:r w:rsidR="00876048">
              <w:rPr>
                <w:noProof/>
                <w:webHidden/>
              </w:rPr>
              <w:fldChar w:fldCharType="end"/>
            </w:r>
          </w:hyperlink>
        </w:p>
        <w:p w14:paraId="762E1F2E" w14:textId="2A5792D5" w:rsidR="00876048" w:rsidRDefault="00876048">
          <w:pPr>
            <w:pStyle w:val="TOC1"/>
            <w:tabs>
              <w:tab w:val="right" w:leader="dot" w:pos="9016"/>
            </w:tabs>
            <w:rPr>
              <w:noProof/>
            </w:rPr>
          </w:pPr>
          <w:hyperlink w:anchor="_Toc235459597" w:history="1">
            <w:r w:rsidRPr="008A1DB2">
              <w:rPr>
                <w:rStyle w:val="Hyperlink"/>
                <w:noProof/>
              </w:rPr>
              <w:t>Financial Health Check</w:t>
            </w:r>
            <w:r>
              <w:rPr>
                <w:noProof/>
                <w:webHidden/>
              </w:rPr>
              <w:tab/>
            </w:r>
            <w:r>
              <w:rPr>
                <w:noProof/>
                <w:webHidden/>
              </w:rPr>
              <w:fldChar w:fldCharType="begin"/>
            </w:r>
            <w:r>
              <w:rPr>
                <w:noProof/>
                <w:webHidden/>
              </w:rPr>
              <w:instrText xml:space="preserve"> PAGEREF _Toc235459597 \h </w:instrText>
            </w:r>
            <w:r>
              <w:rPr>
                <w:noProof/>
                <w:webHidden/>
              </w:rPr>
            </w:r>
            <w:r>
              <w:rPr>
                <w:noProof/>
                <w:webHidden/>
              </w:rPr>
              <w:fldChar w:fldCharType="separate"/>
            </w:r>
            <w:r>
              <w:rPr>
                <w:noProof/>
                <w:webHidden/>
              </w:rPr>
              <w:t>2</w:t>
            </w:r>
            <w:r>
              <w:rPr>
                <w:noProof/>
                <w:webHidden/>
              </w:rPr>
              <w:fldChar w:fldCharType="end"/>
            </w:r>
          </w:hyperlink>
        </w:p>
        <w:p w14:paraId="626F1973" w14:textId="7292AF7B" w:rsidR="00876048" w:rsidRDefault="00876048">
          <w:pPr>
            <w:pStyle w:val="TOC2"/>
            <w:tabs>
              <w:tab w:val="right" w:leader="dot" w:pos="9016"/>
            </w:tabs>
            <w:rPr>
              <w:noProof/>
            </w:rPr>
          </w:pPr>
          <w:hyperlink w:anchor="_Toc235459598" w:history="1">
            <w:r w:rsidRPr="008A1DB2">
              <w:rPr>
                <w:rStyle w:val="Hyperlink"/>
                <w:noProof/>
              </w:rPr>
              <w:t>Profitability Analysis</w:t>
            </w:r>
            <w:r>
              <w:rPr>
                <w:noProof/>
                <w:webHidden/>
              </w:rPr>
              <w:tab/>
            </w:r>
            <w:r>
              <w:rPr>
                <w:noProof/>
                <w:webHidden/>
              </w:rPr>
              <w:fldChar w:fldCharType="begin"/>
            </w:r>
            <w:r>
              <w:rPr>
                <w:noProof/>
                <w:webHidden/>
              </w:rPr>
              <w:instrText xml:space="preserve"> PAGEREF _Toc235459598 \h </w:instrText>
            </w:r>
            <w:r>
              <w:rPr>
                <w:noProof/>
                <w:webHidden/>
              </w:rPr>
            </w:r>
            <w:r>
              <w:rPr>
                <w:noProof/>
                <w:webHidden/>
              </w:rPr>
              <w:fldChar w:fldCharType="separate"/>
            </w:r>
            <w:r>
              <w:rPr>
                <w:noProof/>
                <w:webHidden/>
              </w:rPr>
              <w:t>3</w:t>
            </w:r>
            <w:r>
              <w:rPr>
                <w:noProof/>
                <w:webHidden/>
              </w:rPr>
              <w:fldChar w:fldCharType="end"/>
            </w:r>
          </w:hyperlink>
        </w:p>
        <w:p w14:paraId="5B3046CA" w14:textId="6D9D5DA1" w:rsidR="00876048" w:rsidRDefault="00876048">
          <w:pPr>
            <w:pStyle w:val="TOC2"/>
            <w:tabs>
              <w:tab w:val="right" w:leader="dot" w:pos="9016"/>
            </w:tabs>
            <w:rPr>
              <w:noProof/>
            </w:rPr>
          </w:pPr>
          <w:hyperlink w:anchor="_Toc235459599" w:history="1">
            <w:r w:rsidRPr="008A1DB2">
              <w:rPr>
                <w:rStyle w:val="Hyperlink"/>
                <w:noProof/>
              </w:rPr>
              <w:t>Liquidity Analysis</w:t>
            </w:r>
            <w:r>
              <w:rPr>
                <w:noProof/>
                <w:webHidden/>
              </w:rPr>
              <w:tab/>
            </w:r>
            <w:r>
              <w:rPr>
                <w:noProof/>
                <w:webHidden/>
              </w:rPr>
              <w:fldChar w:fldCharType="begin"/>
            </w:r>
            <w:r>
              <w:rPr>
                <w:noProof/>
                <w:webHidden/>
              </w:rPr>
              <w:instrText xml:space="preserve"> PAGEREF _Toc235459599 \h </w:instrText>
            </w:r>
            <w:r>
              <w:rPr>
                <w:noProof/>
                <w:webHidden/>
              </w:rPr>
            </w:r>
            <w:r>
              <w:rPr>
                <w:noProof/>
                <w:webHidden/>
              </w:rPr>
              <w:fldChar w:fldCharType="separate"/>
            </w:r>
            <w:r>
              <w:rPr>
                <w:noProof/>
                <w:webHidden/>
              </w:rPr>
              <w:t>4</w:t>
            </w:r>
            <w:r>
              <w:rPr>
                <w:noProof/>
                <w:webHidden/>
              </w:rPr>
              <w:fldChar w:fldCharType="end"/>
            </w:r>
          </w:hyperlink>
        </w:p>
        <w:p w14:paraId="66189071" w14:textId="182E52CE" w:rsidR="00876048" w:rsidRDefault="00876048">
          <w:pPr>
            <w:pStyle w:val="TOC2"/>
            <w:tabs>
              <w:tab w:val="right" w:leader="dot" w:pos="9016"/>
            </w:tabs>
            <w:rPr>
              <w:noProof/>
            </w:rPr>
          </w:pPr>
          <w:hyperlink w:anchor="_Toc235459600" w:history="1">
            <w:r w:rsidRPr="008A1DB2">
              <w:rPr>
                <w:rStyle w:val="Hyperlink"/>
                <w:noProof/>
              </w:rPr>
              <w:t>Efficiency Assessment</w:t>
            </w:r>
            <w:r>
              <w:rPr>
                <w:noProof/>
                <w:webHidden/>
              </w:rPr>
              <w:tab/>
            </w:r>
            <w:r>
              <w:rPr>
                <w:noProof/>
                <w:webHidden/>
              </w:rPr>
              <w:fldChar w:fldCharType="begin"/>
            </w:r>
            <w:r>
              <w:rPr>
                <w:noProof/>
                <w:webHidden/>
              </w:rPr>
              <w:instrText xml:space="preserve"> PAGEREF _Toc235459600 \h </w:instrText>
            </w:r>
            <w:r>
              <w:rPr>
                <w:noProof/>
                <w:webHidden/>
              </w:rPr>
            </w:r>
            <w:r>
              <w:rPr>
                <w:noProof/>
                <w:webHidden/>
              </w:rPr>
              <w:fldChar w:fldCharType="separate"/>
            </w:r>
            <w:r>
              <w:rPr>
                <w:noProof/>
                <w:webHidden/>
              </w:rPr>
              <w:t>4</w:t>
            </w:r>
            <w:r>
              <w:rPr>
                <w:noProof/>
                <w:webHidden/>
              </w:rPr>
              <w:fldChar w:fldCharType="end"/>
            </w:r>
          </w:hyperlink>
        </w:p>
        <w:p w14:paraId="576A2FD1" w14:textId="521BF138" w:rsidR="00876048" w:rsidRDefault="00876048">
          <w:pPr>
            <w:pStyle w:val="TOC2"/>
            <w:tabs>
              <w:tab w:val="right" w:leader="dot" w:pos="9016"/>
            </w:tabs>
            <w:rPr>
              <w:noProof/>
            </w:rPr>
          </w:pPr>
          <w:hyperlink w:anchor="_Toc235459601" w:history="1">
            <w:r w:rsidRPr="008A1DB2">
              <w:rPr>
                <w:rStyle w:val="Hyperlink"/>
                <w:noProof/>
              </w:rPr>
              <w:t>Gearing Analysis</w:t>
            </w:r>
            <w:r>
              <w:rPr>
                <w:noProof/>
                <w:webHidden/>
              </w:rPr>
              <w:tab/>
            </w:r>
            <w:r>
              <w:rPr>
                <w:noProof/>
                <w:webHidden/>
              </w:rPr>
              <w:fldChar w:fldCharType="begin"/>
            </w:r>
            <w:r>
              <w:rPr>
                <w:noProof/>
                <w:webHidden/>
              </w:rPr>
              <w:instrText xml:space="preserve"> PAGEREF _Toc235459601 \h </w:instrText>
            </w:r>
            <w:r>
              <w:rPr>
                <w:noProof/>
                <w:webHidden/>
              </w:rPr>
            </w:r>
            <w:r>
              <w:rPr>
                <w:noProof/>
                <w:webHidden/>
              </w:rPr>
              <w:fldChar w:fldCharType="separate"/>
            </w:r>
            <w:r>
              <w:rPr>
                <w:noProof/>
                <w:webHidden/>
              </w:rPr>
              <w:t>5</w:t>
            </w:r>
            <w:r>
              <w:rPr>
                <w:noProof/>
                <w:webHidden/>
              </w:rPr>
              <w:fldChar w:fldCharType="end"/>
            </w:r>
          </w:hyperlink>
        </w:p>
        <w:p w14:paraId="1FB94CEE" w14:textId="03C51A41" w:rsidR="00876048" w:rsidRDefault="00876048">
          <w:pPr>
            <w:pStyle w:val="TOC2"/>
            <w:tabs>
              <w:tab w:val="right" w:leader="dot" w:pos="9016"/>
            </w:tabs>
            <w:rPr>
              <w:noProof/>
            </w:rPr>
          </w:pPr>
          <w:hyperlink w:anchor="_Toc235459602" w:history="1">
            <w:r w:rsidRPr="008A1DB2">
              <w:rPr>
                <w:rStyle w:val="Hyperlink"/>
                <w:noProof/>
              </w:rPr>
              <w:t>Investment ratios</w:t>
            </w:r>
            <w:r>
              <w:rPr>
                <w:noProof/>
                <w:webHidden/>
              </w:rPr>
              <w:tab/>
            </w:r>
            <w:r>
              <w:rPr>
                <w:noProof/>
                <w:webHidden/>
              </w:rPr>
              <w:fldChar w:fldCharType="begin"/>
            </w:r>
            <w:r>
              <w:rPr>
                <w:noProof/>
                <w:webHidden/>
              </w:rPr>
              <w:instrText xml:space="preserve"> PAGEREF _Toc235459602 \h </w:instrText>
            </w:r>
            <w:r>
              <w:rPr>
                <w:noProof/>
                <w:webHidden/>
              </w:rPr>
            </w:r>
            <w:r>
              <w:rPr>
                <w:noProof/>
                <w:webHidden/>
              </w:rPr>
              <w:fldChar w:fldCharType="separate"/>
            </w:r>
            <w:r>
              <w:rPr>
                <w:noProof/>
                <w:webHidden/>
              </w:rPr>
              <w:t>5</w:t>
            </w:r>
            <w:r>
              <w:rPr>
                <w:noProof/>
                <w:webHidden/>
              </w:rPr>
              <w:fldChar w:fldCharType="end"/>
            </w:r>
          </w:hyperlink>
        </w:p>
        <w:p w14:paraId="22C8FE6F" w14:textId="27E51009" w:rsidR="00876048" w:rsidRDefault="00876048">
          <w:pPr>
            <w:pStyle w:val="TOC2"/>
            <w:tabs>
              <w:tab w:val="right" w:leader="dot" w:pos="9016"/>
            </w:tabs>
            <w:rPr>
              <w:noProof/>
            </w:rPr>
          </w:pPr>
          <w:hyperlink w:anchor="_Toc235459603" w:history="1">
            <w:r w:rsidRPr="008A1DB2">
              <w:rPr>
                <w:rStyle w:val="Hyperlink"/>
                <w:noProof/>
              </w:rPr>
              <w:t>Strengths and Threats</w:t>
            </w:r>
            <w:r>
              <w:rPr>
                <w:noProof/>
                <w:webHidden/>
              </w:rPr>
              <w:tab/>
            </w:r>
            <w:r>
              <w:rPr>
                <w:noProof/>
                <w:webHidden/>
              </w:rPr>
              <w:fldChar w:fldCharType="begin"/>
            </w:r>
            <w:r>
              <w:rPr>
                <w:noProof/>
                <w:webHidden/>
              </w:rPr>
              <w:instrText xml:space="preserve"> PAGEREF _Toc235459603 \h </w:instrText>
            </w:r>
            <w:r>
              <w:rPr>
                <w:noProof/>
                <w:webHidden/>
              </w:rPr>
            </w:r>
            <w:r>
              <w:rPr>
                <w:noProof/>
                <w:webHidden/>
              </w:rPr>
              <w:fldChar w:fldCharType="separate"/>
            </w:r>
            <w:r>
              <w:rPr>
                <w:noProof/>
                <w:webHidden/>
              </w:rPr>
              <w:t>5</w:t>
            </w:r>
            <w:r>
              <w:rPr>
                <w:noProof/>
                <w:webHidden/>
              </w:rPr>
              <w:fldChar w:fldCharType="end"/>
            </w:r>
          </w:hyperlink>
        </w:p>
        <w:p w14:paraId="13D5B61A" w14:textId="69A34448" w:rsidR="00876048" w:rsidRDefault="00876048">
          <w:pPr>
            <w:pStyle w:val="TOC1"/>
            <w:tabs>
              <w:tab w:val="right" w:leader="dot" w:pos="9016"/>
            </w:tabs>
            <w:rPr>
              <w:noProof/>
            </w:rPr>
          </w:pPr>
          <w:hyperlink w:anchor="_Toc235459604" w:history="1">
            <w:r w:rsidRPr="008A1DB2">
              <w:rPr>
                <w:rStyle w:val="Hyperlink"/>
                <w:noProof/>
              </w:rPr>
              <w:t>Working Capital Management.</w:t>
            </w:r>
            <w:r>
              <w:rPr>
                <w:noProof/>
                <w:webHidden/>
              </w:rPr>
              <w:tab/>
            </w:r>
            <w:r>
              <w:rPr>
                <w:noProof/>
                <w:webHidden/>
              </w:rPr>
              <w:fldChar w:fldCharType="begin"/>
            </w:r>
            <w:r>
              <w:rPr>
                <w:noProof/>
                <w:webHidden/>
              </w:rPr>
              <w:instrText xml:space="preserve"> PAGEREF _Toc235459604 \h </w:instrText>
            </w:r>
            <w:r>
              <w:rPr>
                <w:noProof/>
                <w:webHidden/>
              </w:rPr>
            </w:r>
            <w:r>
              <w:rPr>
                <w:noProof/>
                <w:webHidden/>
              </w:rPr>
              <w:fldChar w:fldCharType="separate"/>
            </w:r>
            <w:r>
              <w:rPr>
                <w:noProof/>
                <w:webHidden/>
              </w:rPr>
              <w:t>6</w:t>
            </w:r>
            <w:r>
              <w:rPr>
                <w:noProof/>
                <w:webHidden/>
              </w:rPr>
              <w:fldChar w:fldCharType="end"/>
            </w:r>
          </w:hyperlink>
        </w:p>
        <w:p w14:paraId="08B7CBC1" w14:textId="30254C59" w:rsidR="00876048" w:rsidRDefault="00876048">
          <w:pPr>
            <w:pStyle w:val="TOC2"/>
            <w:tabs>
              <w:tab w:val="right" w:leader="dot" w:pos="9016"/>
            </w:tabs>
            <w:rPr>
              <w:noProof/>
            </w:rPr>
          </w:pPr>
          <w:hyperlink w:anchor="_Toc235459605" w:history="1">
            <w:r w:rsidRPr="008A1DB2">
              <w:rPr>
                <w:rStyle w:val="Hyperlink"/>
                <w:noProof/>
              </w:rPr>
              <w:t>Strategies to Improve Liquidity</w:t>
            </w:r>
            <w:r>
              <w:rPr>
                <w:noProof/>
                <w:webHidden/>
              </w:rPr>
              <w:tab/>
            </w:r>
            <w:r>
              <w:rPr>
                <w:noProof/>
                <w:webHidden/>
              </w:rPr>
              <w:fldChar w:fldCharType="begin"/>
            </w:r>
            <w:r>
              <w:rPr>
                <w:noProof/>
                <w:webHidden/>
              </w:rPr>
              <w:instrText xml:space="preserve"> PAGEREF _Toc235459605 \h </w:instrText>
            </w:r>
            <w:r>
              <w:rPr>
                <w:noProof/>
                <w:webHidden/>
              </w:rPr>
            </w:r>
            <w:r>
              <w:rPr>
                <w:noProof/>
                <w:webHidden/>
              </w:rPr>
              <w:fldChar w:fldCharType="separate"/>
            </w:r>
            <w:r>
              <w:rPr>
                <w:noProof/>
                <w:webHidden/>
              </w:rPr>
              <w:t>6</w:t>
            </w:r>
            <w:r>
              <w:rPr>
                <w:noProof/>
                <w:webHidden/>
              </w:rPr>
              <w:fldChar w:fldCharType="end"/>
            </w:r>
          </w:hyperlink>
        </w:p>
        <w:p w14:paraId="0E106975" w14:textId="5D4751C1" w:rsidR="00876048" w:rsidRDefault="00876048">
          <w:pPr>
            <w:pStyle w:val="TOC2"/>
            <w:tabs>
              <w:tab w:val="right" w:leader="dot" w:pos="9016"/>
            </w:tabs>
            <w:rPr>
              <w:noProof/>
            </w:rPr>
          </w:pPr>
          <w:hyperlink w:anchor="_Toc235459606" w:history="1">
            <w:r w:rsidRPr="008A1DB2">
              <w:rPr>
                <w:rStyle w:val="Hyperlink"/>
                <w:noProof/>
              </w:rPr>
              <w:t>Short-Term vs Long-Term Financing</w:t>
            </w:r>
            <w:r>
              <w:rPr>
                <w:noProof/>
                <w:webHidden/>
              </w:rPr>
              <w:tab/>
            </w:r>
            <w:r>
              <w:rPr>
                <w:noProof/>
                <w:webHidden/>
              </w:rPr>
              <w:fldChar w:fldCharType="begin"/>
            </w:r>
            <w:r>
              <w:rPr>
                <w:noProof/>
                <w:webHidden/>
              </w:rPr>
              <w:instrText xml:space="preserve"> PAGEREF _Toc235459606 \h </w:instrText>
            </w:r>
            <w:r>
              <w:rPr>
                <w:noProof/>
                <w:webHidden/>
              </w:rPr>
            </w:r>
            <w:r>
              <w:rPr>
                <w:noProof/>
                <w:webHidden/>
              </w:rPr>
              <w:fldChar w:fldCharType="separate"/>
            </w:r>
            <w:r>
              <w:rPr>
                <w:noProof/>
                <w:webHidden/>
              </w:rPr>
              <w:t>7</w:t>
            </w:r>
            <w:r>
              <w:rPr>
                <w:noProof/>
                <w:webHidden/>
              </w:rPr>
              <w:fldChar w:fldCharType="end"/>
            </w:r>
          </w:hyperlink>
        </w:p>
        <w:p w14:paraId="26AA65C7" w14:textId="02F6C352" w:rsidR="00876048" w:rsidRDefault="00876048">
          <w:pPr>
            <w:pStyle w:val="TOC1"/>
            <w:tabs>
              <w:tab w:val="right" w:leader="dot" w:pos="9016"/>
            </w:tabs>
            <w:rPr>
              <w:noProof/>
            </w:rPr>
          </w:pPr>
          <w:hyperlink w:anchor="_Toc235459607" w:history="1">
            <w:r w:rsidRPr="008A1DB2">
              <w:rPr>
                <w:rStyle w:val="Hyperlink"/>
                <w:noProof/>
              </w:rPr>
              <w:t>Strategic Financial Restructuring Plan</w:t>
            </w:r>
            <w:r>
              <w:rPr>
                <w:noProof/>
                <w:webHidden/>
              </w:rPr>
              <w:tab/>
            </w:r>
            <w:r>
              <w:rPr>
                <w:noProof/>
                <w:webHidden/>
              </w:rPr>
              <w:fldChar w:fldCharType="begin"/>
            </w:r>
            <w:r>
              <w:rPr>
                <w:noProof/>
                <w:webHidden/>
              </w:rPr>
              <w:instrText xml:space="preserve"> PAGEREF _Toc235459607 \h </w:instrText>
            </w:r>
            <w:r>
              <w:rPr>
                <w:noProof/>
                <w:webHidden/>
              </w:rPr>
            </w:r>
            <w:r>
              <w:rPr>
                <w:noProof/>
                <w:webHidden/>
              </w:rPr>
              <w:fldChar w:fldCharType="separate"/>
            </w:r>
            <w:r>
              <w:rPr>
                <w:noProof/>
                <w:webHidden/>
              </w:rPr>
              <w:t>7</w:t>
            </w:r>
            <w:r>
              <w:rPr>
                <w:noProof/>
                <w:webHidden/>
              </w:rPr>
              <w:fldChar w:fldCharType="end"/>
            </w:r>
          </w:hyperlink>
        </w:p>
        <w:p w14:paraId="720F4693" w14:textId="27102AA6" w:rsidR="00876048" w:rsidRDefault="00876048">
          <w:pPr>
            <w:pStyle w:val="TOC2"/>
            <w:tabs>
              <w:tab w:val="right" w:leader="dot" w:pos="9016"/>
            </w:tabs>
            <w:rPr>
              <w:noProof/>
            </w:rPr>
          </w:pPr>
          <w:hyperlink w:anchor="_Toc235459608" w:history="1">
            <w:r w:rsidRPr="008A1DB2">
              <w:rPr>
                <w:rStyle w:val="Hyperlink"/>
                <w:noProof/>
              </w:rPr>
              <w:t>Impact on Shareholder Value</w:t>
            </w:r>
            <w:r>
              <w:rPr>
                <w:noProof/>
                <w:webHidden/>
              </w:rPr>
              <w:tab/>
            </w:r>
            <w:r>
              <w:rPr>
                <w:noProof/>
                <w:webHidden/>
              </w:rPr>
              <w:fldChar w:fldCharType="begin"/>
            </w:r>
            <w:r>
              <w:rPr>
                <w:noProof/>
                <w:webHidden/>
              </w:rPr>
              <w:instrText xml:space="preserve"> PAGEREF _Toc235459608 \h </w:instrText>
            </w:r>
            <w:r>
              <w:rPr>
                <w:noProof/>
                <w:webHidden/>
              </w:rPr>
            </w:r>
            <w:r>
              <w:rPr>
                <w:noProof/>
                <w:webHidden/>
              </w:rPr>
              <w:fldChar w:fldCharType="separate"/>
            </w:r>
            <w:r>
              <w:rPr>
                <w:noProof/>
                <w:webHidden/>
              </w:rPr>
              <w:t>8</w:t>
            </w:r>
            <w:r>
              <w:rPr>
                <w:noProof/>
                <w:webHidden/>
              </w:rPr>
              <w:fldChar w:fldCharType="end"/>
            </w:r>
          </w:hyperlink>
        </w:p>
        <w:p w14:paraId="4F1379F3" w14:textId="7D19A288" w:rsidR="00876048" w:rsidRDefault="00876048">
          <w:pPr>
            <w:pStyle w:val="TOC2"/>
            <w:tabs>
              <w:tab w:val="right" w:leader="dot" w:pos="9016"/>
            </w:tabs>
            <w:rPr>
              <w:noProof/>
            </w:rPr>
          </w:pPr>
          <w:hyperlink w:anchor="_Toc235459609" w:history="1">
            <w:r w:rsidRPr="008A1DB2">
              <w:rPr>
                <w:rStyle w:val="Hyperlink"/>
                <w:noProof/>
              </w:rPr>
              <w:t>International and Ethical Considerations</w:t>
            </w:r>
            <w:r>
              <w:rPr>
                <w:noProof/>
                <w:webHidden/>
              </w:rPr>
              <w:tab/>
            </w:r>
            <w:r>
              <w:rPr>
                <w:noProof/>
                <w:webHidden/>
              </w:rPr>
              <w:fldChar w:fldCharType="begin"/>
            </w:r>
            <w:r>
              <w:rPr>
                <w:noProof/>
                <w:webHidden/>
              </w:rPr>
              <w:instrText xml:space="preserve"> PAGEREF _Toc235459609 \h </w:instrText>
            </w:r>
            <w:r>
              <w:rPr>
                <w:noProof/>
                <w:webHidden/>
              </w:rPr>
            </w:r>
            <w:r>
              <w:rPr>
                <w:noProof/>
                <w:webHidden/>
              </w:rPr>
              <w:fldChar w:fldCharType="separate"/>
            </w:r>
            <w:r>
              <w:rPr>
                <w:noProof/>
                <w:webHidden/>
              </w:rPr>
              <w:t>8</w:t>
            </w:r>
            <w:r>
              <w:rPr>
                <w:noProof/>
                <w:webHidden/>
              </w:rPr>
              <w:fldChar w:fldCharType="end"/>
            </w:r>
          </w:hyperlink>
        </w:p>
        <w:p w14:paraId="393A458E" w14:textId="6C92F65E" w:rsidR="00876048" w:rsidRDefault="00876048">
          <w:pPr>
            <w:pStyle w:val="TOC1"/>
            <w:tabs>
              <w:tab w:val="right" w:leader="dot" w:pos="9016"/>
            </w:tabs>
            <w:rPr>
              <w:noProof/>
            </w:rPr>
          </w:pPr>
          <w:hyperlink w:anchor="_Toc235459610" w:history="1">
            <w:r w:rsidRPr="008A1DB2">
              <w:rPr>
                <w:rStyle w:val="Hyperlink"/>
                <w:noProof/>
              </w:rPr>
              <w:t>Investment Appraisal &amp; Capital Budgeting</w:t>
            </w:r>
            <w:r>
              <w:rPr>
                <w:noProof/>
                <w:webHidden/>
              </w:rPr>
              <w:tab/>
            </w:r>
            <w:r>
              <w:rPr>
                <w:noProof/>
                <w:webHidden/>
              </w:rPr>
              <w:fldChar w:fldCharType="begin"/>
            </w:r>
            <w:r>
              <w:rPr>
                <w:noProof/>
                <w:webHidden/>
              </w:rPr>
              <w:instrText xml:space="preserve"> PAGEREF _Toc235459610 \h </w:instrText>
            </w:r>
            <w:r>
              <w:rPr>
                <w:noProof/>
                <w:webHidden/>
              </w:rPr>
            </w:r>
            <w:r>
              <w:rPr>
                <w:noProof/>
                <w:webHidden/>
              </w:rPr>
              <w:fldChar w:fldCharType="separate"/>
            </w:r>
            <w:r>
              <w:rPr>
                <w:noProof/>
                <w:webHidden/>
              </w:rPr>
              <w:t>8</w:t>
            </w:r>
            <w:r>
              <w:rPr>
                <w:noProof/>
                <w:webHidden/>
              </w:rPr>
              <w:fldChar w:fldCharType="end"/>
            </w:r>
          </w:hyperlink>
        </w:p>
        <w:p w14:paraId="0B8B301B" w14:textId="3FC0EEB1" w:rsidR="00876048" w:rsidRDefault="00876048">
          <w:pPr>
            <w:pStyle w:val="TOC2"/>
            <w:tabs>
              <w:tab w:val="right" w:leader="dot" w:pos="9016"/>
            </w:tabs>
            <w:rPr>
              <w:noProof/>
            </w:rPr>
          </w:pPr>
          <w:hyperlink w:anchor="_Toc235459611" w:history="1">
            <w:r w:rsidRPr="008A1DB2">
              <w:rPr>
                <w:rStyle w:val="Hyperlink"/>
                <w:noProof/>
              </w:rPr>
              <w:t>Investment Appraisal Formulas</w:t>
            </w:r>
            <w:r>
              <w:rPr>
                <w:noProof/>
                <w:webHidden/>
              </w:rPr>
              <w:tab/>
            </w:r>
            <w:r>
              <w:rPr>
                <w:noProof/>
                <w:webHidden/>
              </w:rPr>
              <w:fldChar w:fldCharType="begin"/>
            </w:r>
            <w:r>
              <w:rPr>
                <w:noProof/>
                <w:webHidden/>
              </w:rPr>
              <w:instrText xml:space="preserve"> PAGEREF _Toc235459611 \h </w:instrText>
            </w:r>
            <w:r>
              <w:rPr>
                <w:noProof/>
                <w:webHidden/>
              </w:rPr>
            </w:r>
            <w:r>
              <w:rPr>
                <w:noProof/>
                <w:webHidden/>
              </w:rPr>
              <w:fldChar w:fldCharType="separate"/>
            </w:r>
            <w:r>
              <w:rPr>
                <w:noProof/>
                <w:webHidden/>
              </w:rPr>
              <w:t>8</w:t>
            </w:r>
            <w:r>
              <w:rPr>
                <w:noProof/>
                <w:webHidden/>
              </w:rPr>
              <w:fldChar w:fldCharType="end"/>
            </w:r>
          </w:hyperlink>
        </w:p>
        <w:p w14:paraId="75C13547" w14:textId="5E0534F3" w:rsidR="00876048" w:rsidRDefault="00876048">
          <w:pPr>
            <w:pStyle w:val="TOC2"/>
            <w:tabs>
              <w:tab w:val="right" w:leader="dot" w:pos="9016"/>
            </w:tabs>
            <w:rPr>
              <w:noProof/>
            </w:rPr>
          </w:pPr>
          <w:hyperlink w:anchor="_Toc235459612" w:history="1">
            <w:r w:rsidRPr="008A1DB2">
              <w:rPr>
                <w:rStyle w:val="Hyperlink"/>
                <w:noProof/>
              </w:rPr>
              <w:t>Project Evaluation</w:t>
            </w:r>
            <w:r>
              <w:rPr>
                <w:noProof/>
                <w:webHidden/>
              </w:rPr>
              <w:tab/>
            </w:r>
            <w:r>
              <w:rPr>
                <w:noProof/>
                <w:webHidden/>
              </w:rPr>
              <w:fldChar w:fldCharType="begin"/>
            </w:r>
            <w:r>
              <w:rPr>
                <w:noProof/>
                <w:webHidden/>
              </w:rPr>
              <w:instrText xml:space="preserve"> PAGEREF _Toc235459612 \h </w:instrText>
            </w:r>
            <w:r>
              <w:rPr>
                <w:noProof/>
                <w:webHidden/>
              </w:rPr>
            </w:r>
            <w:r>
              <w:rPr>
                <w:noProof/>
                <w:webHidden/>
              </w:rPr>
              <w:fldChar w:fldCharType="separate"/>
            </w:r>
            <w:r>
              <w:rPr>
                <w:noProof/>
                <w:webHidden/>
              </w:rPr>
              <w:t>9</w:t>
            </w:r>
            <w:r>
              <w:rPr>
                <w:noProof/>
                <w:webHidden/>
              </w:rPr>
              <w:fldChar w:fldCharType="end"/>
            </w:r>
          </w:hyperlink>
        </w:p>
        <w:p w14:paraId="1025CAD9" w14:textId="45C487D0" w:rsidR="00876048" w:rsidRDefault="00876048">
          <w:pPr>
            <w:pStyle w:val="TOC2"/>
            <w:tabs>
              <w:tab w:val="right" w:leader="dot" w:pos="9016"/>
            </w:tabs>
            <w:rPr>
              <w:noProof/>
            </w:rPr>
          </w:pPr>
          <w:hyperlink w:anchor="_Toc235459613" w:history="1">
            <w:r w:rsidRPr="008A1DB2">
              <w:rPr>
                <w:rStyle w:val="Hyperlink"/>
                <w:noProof/>
              </w:rPr>
              <w:t>Capital Rationing</w:t>
            </w:r>
            <w:r>
              <w:rPr>
                <w:noProof/>
                <w:webHidden/>
              </w:rPr>
              <w:tab/>
            </w:r>
            <w:r>
              <w:rPr>
                <w:noProof/>
                <w:webHidden/>
              </w:rPr>
              <w:fldChar w:fldCharType="begin"/>
            </w:r>
            <w:r>
              <w:rPr>
                <w:noProof/>
                <w:webHidden/>
              </w:rPr>
              <w:instrText xml:space="preserve"> PAGEREF _Toc235459613 \h </w:instrText>
            </w:r>
            <w:r>
              <w:rPr>
                <w:noProof/>
                <w:webHidden/>
              </w:rPr>
            </w:r>
            <w:r>
              <w:rPr>
                <w:noProof/>
                <w:webHidden/>
              </w:rPr>
              <w:fldChar w:fldCharType="separate"/>
            </w:r>
            <w:r>
              <w:rPr>
                <w:noProof/>
                <w:webHidden/>
              </w:rPr>
              <w:t>10</w:t>
            </w:r>
            <w:r>
              <w:rPr>
                <w:noProof/>
                <w:webHidden/>
              </w:rPr>
              <w:fldChar w:fldCharType="end"/>
            </w:r>
          </w:hyperlink>
        </w:p>
        <w:p w14:paraId="14E3A999" w14:textId="1DA290A2" w:rsidR="00876048" w:rsidRDefault="00876048">
          <w:pPr>
            <w:pStyle w:val="TOC1"/>
            <w:tabs>
              <w:tab w:val="right" w:leader="dot" w:pos="9016"/>
            </w:tabs>
            <w:rPr>
              <w:noProof/>
            </w:rPr>
          </w:pPr>
          <w:hyperlink w:anchor="_Toc235459614" w:history="1">
            <w:r w:rsidRPr="008A1DB2">
              <w:rPr>
                <w:rStyle w:val="Hyperlink"/>
                <w:noProof/>
              </w:rPr>
              <w:t>Critical reflection on AI usage</w:t>
            </w:r>
            <w:r>
              <w:rPr>
                <w:noProof/>
                <w:webHidden/>
              </w:rPr>
              <w:tab/>
            </w:r>
            <w:r>
              <w:rPr>
                <w:noProof/>
                <w:webHidden/>
              </w:rPr>
              <w:fldChar w:fldCharType="begin"/>
            </w:r>
            <w:r>
              <w:rPr>
                <w:noProof/>
                <w:webHidden/>
              </w:rPr>
              <w:instrText xml:space="preserve"> PAGEREF _Toc235459614 \h </w:instrText>
            </w:r>
            <w:r>
              <w:rPr>
                <w:noProof/>
                <w:webHidden/>
              </w:rPr>
            </w:r>
            <w:r>
              <w:rPr>
                <w:noProof/>
                <w:webHidden/>
              </w:rPr>
              <w:fldChar w:fldCharType="separate"/>
            </w:r>
            <w:r>
              <w:rPr>
                <w:noProof/>
                <w:webHidden/>
              </w:rPr>
              <w:t>10</w:t>
            </w:r>
            <w:r>
              <w:rPr>
                <w:noProof/>
                <w:webHidden/>
              </w:rPr>
              <w:fldChar w:fldCharType="end"/>
            </w:r>
          </w:hyperlink>
        </w:p>
        <w:p w14:paraId="7CEDFFFC" w14:textId="2DBCA882" w:rsidR="00876048" w:rsidRDefault="00876048">
          <w:pPr>
            <w:pStyle w:val="TOC1"/>
            <w:tabs>
              <w:tab w:val="right" w:leader="dot" w:pos="9016"/>
            </w:tabs>
            <w:rPr>
              <w:noProof/>
            </w:rPr>
          </w:pPr>
          <w:hyperlink w:anchor="_Toc235459615" w:history="1">
            <w:r w:rsidRPr="008A1DB2">
              <w:rPr>
                <w:rStyle w:val="Hyperlink"/>
                <w:noProof/>
              </w:rPr>
              <w:t>Conclusion</w:t>
            </w:r>
            <w:r>
              <w:rPr>
                <w:noProof/>
                <w:webHidden/>
              </w:rPr>
              <w:tab/>
            </w:r>
            <w:r>
              <w:rPr>
                <w:noProof/>
                <w:webHidden/>
              </w:rPr>
              <w:fldChar w:fldCharType="begin"/>
            </w:r>
            <w:r>
              <w:rPr>
                <w:noProof/>
                <w:webHidden/>
              </w:rPr>
              <w:instrText xml:space="preserve"> PAGEREF _Toc235459615 \h </w:instrText>
            </w:r>
            <w:r>
              <w:rPr>
                <w:noProof/>
                <w:webHidden/>
              </w:rPr>
            </w:r>
            <w:r>
              <w:rPr>
                <w:noProof/>
                <w:webHidden/>
              </w:rPr>
              <w:fldChar w:fldCharType="separate"/>
            </w:r>
            <w:r>
              <w:rPr>
                <w:noProof/>
                <w:webHidden/>
              </w:rPr>
              <w:t>11</w:t>
            </w:r>
            <w:r>
              <w:rPr>
                <w:noProof/>
                <w:webHidden/>
              </w:rPr>
              <w:fldChar w:fldCharType="end"/>
            </w:r>
          </w:hyperlink>
        </w:p>
        <w:p w14:paraId="51826999" w14:textId="493B6D61" w:rsidR="00876048" w:rsidRDefault="00876048">
          <w:pPr>
            <w:pStyle w:val="TOC1"/>
            <w:tabs>
              <w:tab w:val="right" w:leader="dot" w:pos="9016"/>
            </w:tabs>
            <w:rPr>
              <w:noProof/>
            </w:rPr>
          </w:pPr>
          <w:hyperlink w:anchor="_Toc235459616" w:history="1">
            <w:r w:rsidRPr="008A1DB2">
              <w:rPr>
                <w:rStyle w:val="Hyperlink"/>
                <w:noProof/>
              </w:rPr>
              <w:t>Reference</w:t>
            </w:r>
            <w:r>
              <w:rPr>
                <w:noProof/>
                <w:webHidden/>
              </w:rPr>
              <w:tab/>
            </w:r>
            <w:r>
              <w:rPr>
                <w:noProof/>
                <w:webHidden/>
              </w:rPr>
              <w:fldChar w:fldCharType="begin"/>
            </w:r>
            <w:r>
              <w:rPr>
                <w:noProof/>
                <w:webHidden/>
              </w:rPr>
              <w:instrText xml:space="preserve"> PAGEREF _Toc235459616 \h </w:instrText>
            </w:r>
            <w:r>
              <w:rPr>
                <w:noProof/>
                <w:webHidden/>
              </w:rPr>
            </w:r>
            <w:r>
              <w:rPr>
                <w:noProof/>
                <w:webHidden/>
              </w:rPr>
              <w:fldChar w:fldCharType="separate"/>
            </w:r>
            <w:r>
              <w:rPr>
                <w:noProof/>
                <w:webHidden/>
              </w:rPr>
              <w:t>11</w:t>
            </w:r>
            <w:r>
              <w:rPr>
                <w:noProof/>
                <w:webHidden/>
              </w:rPr>
              <w:fldChar w:fldCharType="end"/>
            </w:r>
          </w:hyperlink>
        </w:p>
        <w:p w14:paraId="1319E096" w14:textId="35D0C8B5" w:rsidR="00876048" w:rsidRDefault="00876048">
          <w:pPr>
            <w:pStyle w:val="TOC1"/>
            <w:tabs>
              <w:tab w:val="right" w:leader="dot" w:pos="9016"/>
            </w:tabs>
            <w:rPr>
              <w:noProof/>
            </w:rPr>
          </w:pPr>
          <w:hyperlink w:anchor="_Toc235459617" w:history="1">
            <w:r w:rsidRPr="008A1DB2">
              <w:rPr>
                <w:rStyle w:val="Hyperlink"/>
                <w:noProof/>
              </w:rPr>
              <w:t>Appendices</w:t>
            </w:r>
            <w:r>
              <w:rPr>
                <w:noProof/>
                <w:webHidden/>
              </w:rPr>
              <w:tab/>
            </w:r>
            <w:r>
              <w:rPr>
                <w:noProof/>
                <w:webHidden/>
              </w:rPr>
              <w:fldChar w:fldCharType="begin"/>
            </w:r>
            <w:r>
              <w:rPr>
                <w:noProof/>
                <w:webHidden/>
              </w:rPr>
              <w:instrText xml:space="preserve"> PAGEREF _Toc235459617 \h </w:instrText>
            </w:r>
            <w:r>
              <w:rPr>
                <w:noProof/>
                <w:webHidden/>
              </w:rPr>
            </w:r>
            <w:r>
              <w:rPr>
                <w:noProof/>
                <w:webHidden/>
              </w:rPr>
              <w:fldChar w:fldCharType="separate"/>
            </w:r>
            <w:r>
              <w:rPr>
                <w:noProof/>
                <w:webHidden/>
              </w:rPr>
              <w:t>13</w:t>
            </w:r>
            <w:r>
              <w:rPr>
                <w:noProof/>
                <w:webHidden/>
              </w:rPr>
              <w:fldChar w:fldCharType="end"/>
            </w:r>
          </w:hyperlink>
        </w:p>
        <w:p w14:paraId="248075CB" w14:textId="62C99157" w:rsidR="002B0DFF" w:rsidRDefault="002B0DFF">
          <w:r>
            <w:rPr>
              <w:b/>
              <w:bCs/>
              <w:noProof/>
              <w:lang w:val="en-US"/>
            </w:rPr>
            <w:fldChar w:fldCharType="end"/>
          </w:r>
        </w:p>
      </w:sdtContent>
    </w:sdt>
    <w:p w14:paraId="387C6CFF" w14:textId="3E077925" w:rsidR="002B0DFF" w:rsidRDefault="002B0DFF">
      <w:r>
        <w:br w:type="page"/>
      </w:r>
    </w:p>
    <w:p w14:paraId="6FCDEF36" w14:textId="75FF5E31" w:rsidR="00144B8E" w:rsidRPr="00725935" w:rsidRDefault="004C5B3F" w:rsidP="00725935">
      <w:pPr>
        <w:pStyle w:val="Heading1"/>
        <w:spacing w:line="360" w:lineRule="auto"/>
        <w:rPr>
          <w:rFonts w:ascii="Arial" w:hAnsi="Arial" w:cs="Arial"/>
          <w:sz w:val="24"/>
          <w:szCs w:val="24"/>
        </w:rPr>
      </w:pPr>
      <w:bookmarkStart w:id="0" w:name="_Toc235459596"/>
      <w:r w:rsidRPr="00725935">
        <w:rPr>
          <w:rFonts w:ascii="Arial" w:hAnsi="Arial" w:cs="Arial"/>
          <w:sz w:val="24"/>
          <w:szCs w:val="24"/>
        </w:rPr>
        <w:t>Introduction</w:t>
      </w:r>
      <w:bookmarkEnd w:id="0"/>
    </w:p>
    <w:p w14:paraId="189B3F57" w14:textId="77777777" w:rsidR="00F130ED" w:rsidRPr="00725935" w:rsidRDefault="00F130ED" w:rsidP="00725935">
      <w:pPr>
        <w:spacing w:line="360" w:lineRule="auto"/>
        <w:rPr>
          <w:rFonts w:ascii="Arial" w:hAnsi="Arial" w:cs="Arial"/>
        </w:rPr>
      </w:pPr>
      <w:r w:rsidRPr="00725935">
        <w:rPr>
          <w:rFonts w:ascii="Arial" w:hAnsi="Arial" w:cs="Arial"/>
        </w:rPr>
        <w:t>Marriott International is commonly regarded as the world's largest hospitality firm, with more than 8,800 facilities in 139 countries under 30 separate brands (Marriott International, 2024). As the newly appointed CFO, this report aims to evaluate Marriott's financial performance over the past five years, identify key challenges, and propose a strategic plan to strengthen the company's financial position and support long-term global growth. The analysis is based on Marriott's income statement, balance sheet, cash flow statement, and ratio calculations (Appendices 1-6). These appendices give detailed numerical information that supports the report's analytical commentary.</w:t>
      </w:r>
    </w:p>
    <w:p w14:paraId="3F2829D3" w14:textId="77777777" w:rsidR="00F130ED" w:rsidRPr="00725935" w:rsidRDefault="00F130ED" w:rsidP="00725935">
      <w:pPr>
        <w:spacing w:line="360" w:lineRule="auto"/>
        <w:rPr>
          <w:rFonts w:ascii="Arial" w:hAnsi="Arial" w:cs="Arial"/>
        </w:rPr>
      </w:pPr>
      <w:r w:rsidRPr="00725935">
        <w:rPr>
          <w:rFonts w:ascii="Arial" w:hAnsi="Arial" w:cs="Arial"/>
        </w:rPr>
        <w:t>The assessment begins with a financial health check, which looks at profitability, liquidity, efficiency, gearing, and investment ratios. Marriott's annual reports from 2020 to 2024 reinforce this thesis, highlighting the company's recovery from COVID-19 and subsequent financial health. The analysis compares Marriott's liquidity situation to industry benchmarks from Hilton, IHG, Accor, and Hyatt, assessing its short-term financial resilience against sector expectations. Working capital management is then assessed, including the cash conversion cycle, receivables, payables, and inventory patterns, with recommendations for increasing liquidity.</w:t>
      </w:r>
    </w:p>
    <w:p w14:paraId="550A3A83" w14:textId="77777777" w:rsidR="009C08BD" w:rsidRPr="00725935" w:rsidRDefault="00F130ED" w:rsidP="00725935">
      <w:pPr>
        <w:spacing w:line="360" w:lineRule="auto"/>
        <w:rPr>
          <w:rFonts w:ascii="Arial" w:hAnsi="Arial" w:cs="Arial"/>
        </w:rPr>
      </w:pPr>
      <w:r w:rsidRPr="00725935">
        <w:rPr>
          <w:rFonts w:ascii="Arial" w:hAnsi="Arial" w:cs="Arial"/>
        </w:rPr>
        <w:t>A strategic restructuring strategy is created to handle leverage, operational flexibility, and foreign financial issues such taxation, currency volatility, inflation, and ESG obligations. The study then assesses three proposed investment projects using known appraisal approaches, such as net present value (NPV), internal rate of return (IRR), accounting rate of return (ARR), profitability index (PI), and payback period (PBP), with comprehensive calculations provided in Appendix 7. A capital rationing analysis is also performed to evaluate the best combination of projects under a £100 million investment limit, as summarised in Appendix 8. The report finishes with a critical assessment of the use of AI technologies in research and analysis, emphasising transparency and academic integrity.</w:t>
      </w:r>
    </w:p>
    <w:p w14:paraId="79F05467" w14:textId="4AD05C26" w:rsidR="00F130ED" w:rsidRPr="00725935" w:rsidRDefault="00F130ED" w:rsidP="00725935">
      <w:pPr>
        <w:spacing w:line="360" w:lineRule="auto"/>
        <w:rPr>
          <w:rFonts w:ascii="Arial" w:hAnsi="Arial" w:cs="Arial"/>
        </w:rPr>
      </w:pPr>
      <w:bookmarkStart w:id="1" w:name="_Toc235459597"/>
      <w:r w:rsidRPr="00725935">
        <w:rPr>
          <w:rStyle w:val="Heading1Char"/>
          <w:rFonts w:ascii="Arial" w:hAnsi="Arial" w:cs="Arial"/>
          <w:sz w:val="24"/>
          <w:szCs w:val="24"/>
        </w:rPr>
        <w:t>Financial Health Check</w:t>
      </w:r>
      <w:bookmarkEnd w:id="1"/>
      <w:r w:rsidRPr="00725935">
        <w:rPr>
          <w:rFonts w:ascii="Arial" w:hAnsi="Arial" w:cs="Arial"/>
        </w:rPr>
        <w:br/>
      </w:r>
      <w:r w:rsidRPr="00725935">
        <w:rPr>
          <w:rStyle w:val="Heading2Char"/>
          <w:rFonts w:ascii="Arial" w:hAnsi="Arial" w:cs="Arial"/>
          <w:sz w:val="24"/>
          <w:szCs w:val="24"/>
        </w:rPr>
        <w:t>Five-Year Performance Overview</w:t>
      </w:r>
      <w:r w:rsidRPr="00725935">
        <w:rPr>
          <w:rFonts w:ascii="Arial" w:hAnsi="Arial" w:cs="Arial"/>
        </w:rPr>
        <w:br/>
        <w:t>Marriott's financial performance from 2020 to 2024 shows strong recovery from the COVID-19 epidemic. Global lockdowns and travel restrictions caused a sharp drop in occupancy rates in 2020, resulting in revenue of $10.6 billion and a net loss of $267 million (Marriott International, 2020). This was one of Marriott's most tough financial years, with RevPAR falling substantially across all regions. However, as travel demand gradually recovered in 2021, Marriott's revenue grew to $13.8 billion, driven by robust leisure travel and an early recovery in corporate reservations (Marriott International, 2021).</w:t>
      </w:r>
    </w:p>
    <w:p w14:paraId="6AA44D60" w14:textId="77777777" w:rsidR="00F130ED" w:rsidRPr="00725935" w:rsidRDefault="00F130ED" w:rsidP="00725935">
      <w:pPr>
        <w:spacing w:line="360" w:lineRule="auto"/>
        <w:rPr>
          <w:rFonts w:ascii="Arial" w:hAnsi="Arial" w:cs="Arial"/>
        </w:rPr>
      </w:pPr>
      <w:r w:rsidRPr="00725935">
        <w:rPr>
          <w:rFonts w:ascii="Arial" w:hAnsi="Arial" w:cs="Arial"/>
        </w:rPr>
        <w:t>By 2022, the corporation had regained pre-pandemic velocity, with revenue of $20.8 billion and net income of $2.2 billion (Marriott International, 2022). This growing trend continued in 2023 and 2024, with revenues of $23.7 billion and $25.1 billion, respectively (Marriott International, 2024). These patterns are represented in Appendix 9, which includes revenue and net income graphs. Marriott's success can be attributed to increased RevPAR, expanded loyalty programs, and the asset-light franchising model, which reduces capital expenditure and boosts profitability (Chen, 2021). Marriott's ability to recover rapidly exhibits resilience and strategic agility in a turbulent global market.</w:t>
      </w:r>
    </w:p>
    <w:p w14:paraId="1EA3B463" w14:textId="6FF322E4" w:rsidR="00F130ED" w:rsidRPr="00725935" w:rsidRDefault="00F130ED" w:rsidP="00725935">
      <w:pPr>
        <w:spacing w:line="360" w:lineRule="auto"/>
        <w:rPr>
          <w:rFonts w:ascii="Arial" w:hAnsi="Arial" w:cs="Arial"/>
        </w:rPr>
      </w:pPr>
      <w:bookmarkStart w:id="2" w:name="_Toc235459598"/>
      <w:r w:rsidRPr="00725935">
        <w:rPr>
          <w:rStyle w:val="Heading2Char"/>
          <w:rFonts w:ascii="Arial" w:hAnsi="Arial" w:cs="Arial"/>
          <w:sz w:val="24"/>
          <w:szCs w:val="24"/>
        </w:rPr>
        <w:t>Profitability Analysis</w:t>
      </w:r>
      <w:bookmarkEnd w:id="2"/>
      <w:r w:rsidRPr="00725935">
        <w:rPr>
          <w:rFonts w:ascii="Arial" w:hAnsi="Arial" w:cs="Arial"/>
        </w:rPr>
        <w:t xml:space="preserve"> </w:t>
      </w:r>
      <w:r w:rsidRPr="00725935">
        <w:rPr>
          <w:rFonts w:ascii="Arial" w:hAnsi="Arial" w:cs="Arial"/>
        </w:rPr>
        <w:br/>
        <w:t>Profitability ratios indicate Marriott's capacity to create earnings in relation to revenue, assets, and equity. As indicated in Appendix 1, Marriott's gross margin grew from 12% in 2020 to 22% in 2024. As global travel demand recovered, operational efficiency, cost control measures, and pricing power improved. Net profit margin increased from -2.5 percent in 2020 to more than 10% by 2024. This demonstrates that Marriott has successfully transformed sales into profit despite inflationary pressures and increased wage expenses.</w:t>
      </w:r>
    </w:p>
    <w:p w14:paraId="45D57640" w14:textId="77777777" w:rsidR="00F130ED" w:rsidRPr="00725935" w:rsidRDefault="00F130ED" w:rsidP="00725935">
      <w:pPr>
        <w:spacing w:line="360" w:lineRule="auto"/>
        <w:rPr>
          <w:rFonts w:ascii="Arial" w:hAnsi="Arial" w:cs="Arial"/>
        </w:rPr>
      </w:pPr>
      <w:r w:rsidRPr="00725935">
        <w:rPr>
          <w:rFonts w:ascii="Arial" w:hAnsi="Arial" w:cs="Arial"/>
        </w:rPr>
        <w:t>Return on capital employed (ROCE) grew from -1% in 2020 to 16% in 2024, indicating better utilisation of capital. This is consistent with corporate finance theory, which views ROCE as an important indication of managerial success (</w:t>
      </w:r>
      <w:proofErr w:type="spellStart"/>
      <w:r w:rsidRPr="00725935">
        <w:rPr>
          <w:rFonts w:ascii="Arial" w:hAnsi="Arial" w:cs="Arial"/>
        </w:rPr>
        <w:t>Atrill</w:t>
      </w:r>
      <w:proofErr w:type="spellEnd"/>
      <w:r w:rsidRPr="00725935">
        <w:rPr>
          <w:rFonts w:ascii="Arial" w:hAnsi="Arial" w:cs="Arial"/>
        </w:rPr>
        <w:t xml:space="preserve"> and </w:t>
      </w:r>
      <w:proofErr w:type="spellStart"/>
      <w:r w:rsidRPr="00725935">
        <w:rPr>
          <w:rFonts w:ascii="Arial" w:hAnsi="Arial" w:cs="Arial"/>
        </w:rPr>
        <w:t>McLaney</w:t>
      </w:r>
      <w:proofErr w:type="spellEnd"/>
      <w:r w:rsidRPr="00725935">
        <w:rPr>
          <w:rFonts w:ascii="Arial" w:hAnsi="Arial" w:cs="Arial"/>
        </w:rPr>
        <w:t>, 2022). Marriott's asset-light business and share repurchase programs contributed to a significant increase in return on equity (ROE) from -3% to 50% within the same time (Marriott International, 2024). High ROE indicates high shareholder value creation, as indicated by Arnold (2021). Overall, Marriott's profitability ratios indicate a clear rising trend, indicating solid financial performance and strategic management. The company's ability to retain strong profits despite global economic uncertainties demonstrates the strength of its business model and operational competence.</w:t>
      </w:r>
    </w:p>
    <w:p w14:paraId="7511D032" w14:textId="77777777" w:rsidR="00350480" w:rsidRPr="00725935" w:rsidRDefault="00350480" w:rsidP="00725935">
      <w:pPr>
        <w:spacing w:line="360" w:lineRule="auto"/>
        <w:rPr>
          <w:rFonts w:ascii="Arial" w:hAnsi="Arial" w:cs="Arial"/>
        </w:rPr>
      </w:pPr>
      <w:r w:rsidRPr="00725935">
        <w:rPr>
          <w:rFonts w:ascii="Arial" w:hAnsi="Arial" w:cs="Arial"/>
        </w:rPr>
        <w:t>In addition to the fundamental profitability criteria, Marriott's performance can be assessed based on operating income and EBITDA margin trends. Marriott's EBITDA margin has consistently improved from 18% in 2020 to over 30% in 2024 (Marriott International, 2024), exhibiting high operational leverage. This growth is largely due to Marriott's shift toward franchising and management contracts, which offer recurring fee-based income with low operational costs. According to academic literature, asset-light models often generate greater EBITDA margins because they lower exposure to property-level expenses and capital-intensive operations. Marriott's results closely match this notion, indicating that its strategic orientation is financially sound.</w:t>
      </w:r>
    </w:p>
    <w:p w14:paraId="17C01891" w14:textId="77777777" w:rsidR="0048301E" w:rsidRPr="00725935" w:rsidRDefault="0048301E" w:rsidP="00725935">
      <w:pPr>
        <w:spacing w:line="360" w:lineRule="auto"/>
        <w:rPr>
          <w:rFonts w:ascii="Arial" w:hAnsi="Arial" w:cs="Arial"/>
        </w:rPr>
      </w:pPr>
      <w:r w:rsidRPr="00725935">
        <w:rPr>
          <w:rFonts w:ascii="Arial" w:hAnsi="Arial" w:cs="Arial"/>
        </w:rPr>
        <w:t>Furthermore, Marriott's profitability can be compared to competitors. Hilton reported a 27% EBITDA margin in 2024, whereas IHG reported 25%. Marriott's margin so exceeds industry averages, cementing its position as a market leader. Another crucial metric is RevPAR growth, which increased by more than 15% between 2021 and 2024, because to robust leisure demand and pricing optimisation. According to Brealey, Myers, and Allen (2022), higher RevPAR directly correlates with increased profitability. Overall, Marriott's profitability reflects solid operational execution and effective strategic positioning.</w:t>
      </w:r>
    </w:p>
    <w:p w14:paraId="6267BBC1" w14:textId="77777777" w:rsidR="00726E42" w:rsidRPr="00725935" w:rsidRDefault="00726E42" w:rsidP="00725935">
      <w:pPr>
        <w:spacing w:line="360" w:lineRule="auto"/>
        <w:rPr>
          <w:rFonts w:ascii="Arial" w:hAnsi="Arial" w:cs="Arial"/>
        </w:rPr>
      </w:pPr>
    </w:p>
    <w:p w14:paraId="3ADA40BC" w14:textId="77777777" w:rsidR="009C08BD" w:rsidRPr="00725935" w:rsidRDefault="00F130ED" w:rsidP="00725935">
      <w:pPr>
        <w:pStyle w:val="Heading2"/>
        <w:spacing w:line="360" w:lineRule="auto"/>
        <w:rPr>
          <w:rFonts w:ascii="Arial" w:hAnsi="Arial" w:cs="Arial"/>
          <w:sz w:val="24"/>
          <w:szCs w:val="24"/>
        </w:rPr>
      </w:pPr>
      <w:bookmarkStart w:id="3" w:name="_Toc235459599"/>
      <w:r w:rsidRPr="00725935">
        <w:rPr>
          <w:rFonts w:ascii="Arial" w:hAnsi="Arial" w:cs="Arial"/>
          <w:sz w:val="24"/>
          <w:szCs w:val="24"/>
        </w:rPr>
        <w:t>Liquidity Analysis</w:t>
      </w:r>
      <w:bookmarkEnd w:id="3"/>
    </w:p>
    <w:p w14:paraId="19824EA8" w14:textId="57B7A24D" w:rsidR="00F130ED" w:rsidRPr="00725935" w:rsidRDefault="00F130ED" w:rsidP="00725935">
      <w:pPr>
        <w:spacing w:line="360" w:lineRule="auto"/>
        <w:rPr>
          <w:rFonts w:ascii="Arial" w:hAnsi="Arial" w:cs="Arial"/>
        </w:rPr>
      </w:pPr>
      <w:r w:rsidRPr="00725935">
        <w:rPr>
          <w:rFonts w:ascii="Arial" w:hAnsi="Arial" w:cs="Arial"/>
        </w:rPr>
        <w:br/>
        <w:t xml:space="preserve">Liquidity ratios measure Marriott's capacity to meet short-term financial obligations. Appendix 2 shows that the current ratio rose from 0.47 in 2020 to 0.63 in 2024 (Marriott International, 2024). Despite improving short-term financial stability, Marriott's liquidity ratios remain below industry standards. Hilton, IHG, and Accor typically have current ratios ranging from 0.80 to 1.10 (Hilton Worldwide, 2024; IHG, 2024; Accor, 2024). The quick ratio rose from 0.41 to 0.55 within the same </w:t>
      </w:r>
      <w:r w:rsidR="005C039E" w:rsidRPr="00725935">
        <w:rPr>
          <w:rFonts w:ascii="Arial" w:hAnsi="Arial" w:cs="Arial"/>
        </w:rPr>
        <w:t>period</w:t>
      </w:r>
      <w:r w:rsidRPr="00725935">
        <w:rPr>
          <w:rFonts w:ascii="Arial" w:hAnsi="Arial" w:cs="Arial"/>
        </w:rPr>
        <w:t>, but it still falls short of the industry average of 0.70-0.90.</w:t>
      </w:r>
    </w:p>
    <w:p w14:paraId="41D9F453" w14:textId="2F947E66" w:rsidR="00F130ED" w:rsidRPr="00725935" w:rsidRDefault="00F130ED" w:rsidP="00725935">
      <w:pPr>
        <w:spacing w:line="360" w:lineRule="auto"/>
        <w:rPr>
          <w:rFonts w:ascii="Arial" w:hAnsi="Arial" w:cs="Arial"/>
        </w:rPr>
      </w:pPr>
      <w:r w:rsidRPr="00725935">
        <w:rPr>
          <w:rFonts w:ascii="Arial" w:hAnsi="Arial" w:cs="Arial"/>
        </w:rPr>
        <w:t>Marriott's reliance on short-term obligations may increase financial risk during times of economic instability or rising interest rates. According to liquidity risk research, organisations with low liquidity ratios are more susceptible to cash flow disruptions (Kim, 2023). As a result, Marriott's liquidity position is a critical concern that must be addressed strategically.</w:t>
      </w:r>
    </w:p>
    <w:p w14:paraId="679C038E" w14:textId="210B1BA5" w:rsidR="000619DB" w:rsidRPr="00725935" w:rsidRDefault="005C039E" w:rsidP="00725935">
      <w:pPr>
        <w:spacing w:line="360" w:lineRule="auto"/>
        <w:rPr>
          <w:rFonts w:ascii="Arial" w:hAnsi="Arial" w:cs="Arial"/>
        </w:rPr>
      </w:pPr>
      <w:r w:rsidRPr="00725935">
        <w:rPr>
          <w:rFonts w:ascii="Arial" w:hAnsi="Arial" w:cs="Arial"/>
        </w:rPr>
        <w:t xml:space="preserve">A closer look at Marriott's liquidity position exposes structural problems in its balance sheet. Marriott's cash reserves improved slightly between 2020 and 2024, but the corporation still relies significantly on short-term borrowings to support operations (Marriott International, 2024). This dependency exposes Marriott to refinancing risk, particularly during times of tightening credit markets. According to Kim (2023), companies with poor liquidity ratios frequently incur higher borrowing costs because lenders view them as riskier. This is especially important for Marriott, considering its significant leverage. </w:t>
      </w:r>
      <w:r w:rsidR="000619DB" w:rsidRPr="00725935">
        <w:rPr>
          <w:rFonts w:ascii="Arial" w:hAnsi="Arial" w:cs="Arial"/>
        </w:rPr>
        <w:t xml:space="preserve">Furthermore, Marriott's working capital situation remains negative, indicating that current liabilities exceed current assets. While this is normal in the hotel industry, Marriott's disparity is bigger than competitors like Hyatt, which has a more balanced working capital structure (Hyatt Hotels Corporation, 2024). This contrast illustrates Marriott's need to enhance cash management and restructure short-term debts </w:t>
      </w:r>
      <w:r w:rsidR="009C08BD" w:rsidRPr="00725935">
        <w:rPr>
          <w:rFonts w:ascii="Arial" w:hAnsi="Arial" w:cs="Arial"/>
        </w:rPr>
        <w:t>to</w:t>
      </w:r>
      <w:r w:rsidR="000619DB" w:rsidRPr="00725935">
        <w:rPr>
          <w:rFonts w:ascii="Arial" w:hAnsi="Arial" w:cs="Arial"/>
        </w:rPr>
        <w:t xml:space="preserve"> increase liquidity.</w:t>
      </w:r>
    </w:p>
    <w:p w14:paraId="7AE668CA" w14:textId="67414948" w:rsidR="005C039E" w:rsidRPr="00725935" w:rsidRDefault="005C039E" w:rsidP="00725935">
      <w:pPr>
        <w:spacing w:line="360" w:lineRule="auto"/>
        <w:rPr>
          <w:rFonts w:ascii="Arial" w:hAnsi="Arial" w:cs="Arial"/>
        </w:rPr>
      </w:pPr>
    </w:p>
    <w:p w14:paraId="2060E73F" w14:textId="77777777" w:rsidR="005C039E" w:rsidRPr="00725935" w:rsidRDefault="005C039E" w:rsidP="00725935">
      <w:pPr>
        <w:spacing w:line="360" w:lineRule="auto"/>
        <w:rPr>
          <w:rFonts w:ascii="Arial" w:hAnsi="Arial" w:cs="Arial"/>
        </w:rPr>
      </w:pPr>
    </w:p>
    <w:p w14:paraId="6F434B93" w14:textId="768CED8A" w:rsidR="00F130ED" w:rsidRPr="00725935" w:rsidRDefault="00F130ED" w:rsidP="00725935">
      <w:pPr>
        <w:spacing w:line="360" w:lineRule="auto"/>
        <w:rPr>
          <w:rFonts w:ascii="Arial" w:hAnsi="Arial" w:cs="Arial"/>
        </w:rPr>
      </w:pPr>
      <w:bookmarkStart w:id="4" w:name="_Toc235459600"/>
      <w:r w:rsidRPr="00725935">
        <w:rPr>
          <w:rStyle w:val="Heading2Char"/>
          <w:rFonts w:ascii="Arial" w:hAnsi="Arial" w:cs="Arial"/>
          <w:sz w:val="24"/>
          <w:szCs w:val="24"/>
        </w:rPr>
        <w:t>Efficiency Assessment</w:t>
      </w:r>
      <w:bookmarkEnd w:id="4"/>
      <w:r w:rsidRPr="00725935">
        <w:rPr>
          <w:rFonts w:ascii="Arial" w:hAnsi="Arial" w:cs="Arial"/>
        </w:rPr>
        <w:t xml:space="preserve"> </w:t>
      </w:r>
      <w:r w:rsidRPr="00725935">
        <w:rPr>
          <w:rFonts w:ascii="Arial" w:hAnsi="Arial" w:cs="Arial"/>
        </w:rPr>
        <w:br/>
        <w:t>Efficiency ratios assess how efficiently Marriott manages its assets and activities. Appendix 3 demonstrates that inventory days fell from 8 to 7 between 2020 and 2024, indicating better inventory control in food and beverage operations (Marriott International, 2024). Receivables days decreased from 32 to 28, showing speedier payment from customers and corporate clients. Payables days increased from 45 to 48, indicating enhanced bargaining leverage with suppliers.</w:t>
      </w:r>
      <w:r w:rsidRPr="00725935">
        <w:rPr>
          <w:rFonts w:ascii="Arial" w:hAnsi="Arial" w:cs="Arial"/>
        </w:rPr>
        <w:br/>
      </w:r>
      <w:r w:rsidRPr="00725935">
        <w:rPr>
          <w:rFonts w:ascii="Arial" w:hAnsi="Arial" w:cs="Arial"/>
        </w:rPr>
        <w:br/>
        <w:t>Asset turnover increased from 0.42 to 0.55, indicating that Marriott is earning more per dollar of assets. This advancement aligns with Marriott's asset-light strategy, which prioritises franchising and management contracts over property ownership (Chen, 2021). Gitman and Zutter's (2021) efficiency principles state that higher asset turnover signals better resource utilisation.</w:t>
      </w:r>
    </w:p>
    <w:p w14:paraId="5C8A06DF" w14:textId="753D5905" w:rsidR="001D060D" w:rsidRPr="00725935" w:rsidRDefault="001D060D" w:rsidP="00725935">
      <w:pPr>
        <w:spacing w:line="360" w:lineRule="auto"/>
        <w:rPr>
          <w:rFonts w:ascii="Arial" w:hAnsi="Arial" w:cs="Arial"/>
        </w:rPr>
      </w:pPr>
      <w:bookmarkStart w:id="5" w:name="_Toc235459601"/>
      <w:r w:rsidRPr="00725935">
        <w:rPr>
          <w:rStyle w:val="Heading2Char"/>
          <w:rFonts w:ascii="Arial" w:hAnsi="Arial" w:cs="Arial"/>
          <w:sz w:val="24"/>
          <w:szCs w:val="24"/>
        </w:rPr>
        <w:t>Gearing Analysis</w:t>
      </w:r>
      <w:bookmarkEnd w:id="5"/>
      <w:r w:rsidRPr="00725935">
        <w:rPr>
          <w:rFonts w:ascii="Arial" w:hAnsi="Arial" w:cs="Arial"/>
        </w:rPr>
        <w:t xml:space="preserve"> </w:t>
      </w:r>
      <w:r w:rsidRPr="00725935">
        <w:rPr>
          <w:rFonts w:ascii="Arial" w:hAnsi="Arial" w:cs="Arial"/>
        </w:rPr>
        <w:br/>
        <w:t>Gearing ratios measure Marriott's financial leverage and long-term solvency. According to Appendix 4, Marriott International's debt-to-equity ratio declined from 6.2 in 2020 to 4.8 in 2024. Although this reduction suggests increased financial stability, Marriott's leverage remains high in comparison to industry norms. High leverage raises refinancing risk, especially in an economy with rising interest rates.</w:t>
      </w:r>
      <w:r w:rsidRPr="00725935">
        <w:rPr>
          <w:rFonts w:ascii="Arial" w:hAnsi="Arial" w:cs="Arial"/>
        </w:rPr>
        <w:br/>
      </w:r>
      <w:r w:rsidRPr="00725935">
        <w:rPr>
          <w:rFonts w:ascii="Arial" w:hAnsi="Arial" w:cs="Arial"/>
        </w:rPr>
        <w:br/>
        <w:t>Interest cover increased from -0.5 to 6.2, indicating higher earnings and lower interest load. This development is consistent with corporate finance research, which highlights interest coverage as an important indication of financial health (Damodaran, 2023). Despite these advances, Marriott's significant leverage puts the corporation at financial peril, which must be addressed through strategic restructuring.</w:t>
      </w:r>
    </w:p>
    <w:p w14:paraId="5C2DA1F0" w14:textId="73E5D99C" w:rsidR="001D060D" w:rsidRPr="00725935" w:rsidRDefault="001D060D" w:rsidP="00725935">
      <w:pPr>
        <w:spacing w:line="360" w:lineRule="auto"/>
        <w:rPr>
          <w:rFonts w:ascii="Arial" w:hAnsi="Arial" w:cs="Arial"/>
        </w:rPr>
      </w:pPr>
      <w:bookmarkStart w:id="6" w:name="_Toc235459602"/>
      <w:r w:rsidRPr="00725935">
        <w:rPr>
          <w:rStyle w:val="Heading2Char"/>
          <w:rFonts w:ascii="Arial" w:hAnsi="Arial" w:cs="Arial"/>
          <w:sz w:val="24"/>
          <w:szCs w:val="24"/>
        </w:rPr>
        <w:t>Investment ratios</w:t>
      </w:r>
      <w:bookmarkEnd w:id="6"/>
      <w:r w:rsidRPr="00725935">
        <w:rPr>
          <w:rFonts w:ascii="Arial" w:hAnsi="Arial" w:cs="Arial"/>
        </w:rPr>
        <w:br/>
        <w:t>Investment ratios provide information on Marriott's performance from a shareholder standpoint. Appendix 5 indicates a rise in earnings per share (EPS) from -$0.82 in 2020 to $8.10 in 2024 (Marriott International, 2024). This improvement is due to robust profit recovery and share repurchase schemes. Dividend payments began gradually, with a yield of 1.2% in 2024, indicating trust in long-term financial stability.</w:t>
      </w:r>
      <w:r w:rsidRPr="00725935">
        <w:rPr>
          <w:rFonts w:ascii="Arial" w:hAnsi="Arial" w:cs="Arial"/>
        </w:rPr>
        <w:br/>
      </w:r>
      <w:r w:rsidRPr="00725935">
        <w:rPr>
          <w:rFonts w:ascii="Arial" w:hAnsi="Arial" w:cs="Arial"/>
        </w:rPr>
        <w:br/>
        <w:t>Arnold (2021) discusses investment ratio theory, which states that rising EPS and dividend payments reflect significant shareholder value development. Marriott's investment ratios thus show favourable performance and high investor trust.</w:t>
      </w:r>
    </w:p>
    <w:p w14:paraId="1E071CD8" w14:textId="6A57BECC" w:rsidR="001D060D" w:rsidRPr="00725935" w:rsidRDefault="001D060D" w:rsidP="00725935">
      <w:pPr>
        <w:spacing w:line="360" w:lineRule="auto"/>
        <w:rPr>
          <w:rFonts w:ascii="Arial" w:hAnsi="Arial" w:cs="Arial"/>
        </w:rPr>
      </w:pPr>
      <w:bookmarkStart w:id="7" w:name="_Toc235459603"/>
      <w:r w:rsidRPr="00725935">
        <w:rPr>
          <w:rStyle w:val="Heading2Char"/>
          <w:rFonts w:ascii="Arial" w:hAnsi="Arial" w:cs="Arial"/>
          <w:sz w:val="24"/>
          <w:szCs w:val="24"/>
        </w:rPr>
        <w:t>Strengths and Threats</w:t>
      </w:r>
      <w:bookmarkEnd w:id="7"/>
      <w:r w:rsidRPr="00725935">
        <w:rPr>
          <w:rStyle w:val="Heading2Char"/>
          <w:rFonts w:ascii="Arial" w:hAnsi="Arial" w:cs="Arial"/>
          <w:sz w:val="24"/>
          <w:szCs w:val="24"/>
        </w:rPr>
        <w:br/>
      </w:r>
      <w:r w:rsidRPr="00725935">
        <w:rPr>
          <w:rFonts w:ascii="Arial" w:hAnsi="Arial" w:cs="Arial"/>
        </w:rPr>
        <w:t>Marriott's major strengths are its diverse worldwide brand portfolio, robust profitability, and the extremely popular Bonvoy reward programme, which has grown to over 200 million members (Marriott International, 2024). Marriott's asset-light model allows for rapid scaling without investing heavily in physical assets, increasing flexibility and lowering capital risk.</w:t>
      </w:r>
      <w:r w:rsidRPr="00725935">
        <w:rPr>
          <w:rFonts w:ascii="Arial" w:hAnsi="Arial" w:cs="Arial"/>
        </w:rPr>
        <w:br/>
      </w:r>
      <w:r w:rsidRPr="00725935">
        <w:rPr>
          <w:rFonts w:ascii="Arial" w:hAnsi="Arial" w:cs="Arial"/>
        </w:rPr>
        <w:br/>
        <w:t>However, the corporation confronts a number of risks, including low liquidity, excessive leverage, geopolitical instability in important regions, and currency volatility. Rising interest rates can present a hurdle, raising the cost of debt servicing. These difficulties are backed by the ratio evidence offered in Appendices 1–5, as well as industry risk studies (Williams, 2022).</w:t>
      </w:r>
    </w:p>
    <w:p w14:paraId="7AB2BAE3" w14:textId="2FDDDE66" w:rsidR="001D060D" w:rsidRPr="00725935" w:rsidRDefault="001D060D" w:rsidP="00725935">
      <w:pPr>
        <w:spacing w:line="360" w:lineRule="auto"/>
        <w:rPr>
          <w:rFonts w:ascii="Arial" w:hAnsi="Arial" w:cs="Arial"/>
        </w:rPr>
      </w:pPr>
      <w:bookmarkStart w:id="8" w:name="_Toc235459604"/>
      <w:r w:rsidRPr="00725935">
        <w:rPr>
          <w:rStyle w:val="Heading1Char"/>
          <w:rFonts w:ascii="Arial" w:hAnsi="Arial" w:cs="Arial"/>
          <w:sz w:val="24"/>
          <w:szCs w:val="24"/>
        </w:rPr>
        <w:t>Working Capital Management.</w:t>
      </w:r>
      <w:bookmarkEnd w:id="8"/>
      <w:r w:rsidRPr="00725935">
        <w:rPr>
          <w:rFonts w:ascii="Arial" w:hAnsi="Arial" w:cs="Arial"/>
        </w:rPr>
        <w:br/>
      </w:r>
      <w:r w:rsidRPr="00725935">
        <w:rPr>
          <w:rStyle w:val="Heading2Char"/>
          <w:rFonts w:ascii="Arial" w:hAnsi="Arial" w:cs="Arial"/>
          <w:sz w:val="24"/>
          <w:szCs w:val="24"/>
        </w:rPr>
        <w:t>Cash Operating Cycle</w:t>
      </w:r>
      <w:r w:rsidRPr="00725935">
        <w:rPr>
          <w:rFonts w:ascii="Arial" w:hAnsi="Arial" w:cs="Arial"/>
        </w:rPr>
        <w:br/>
        <w:t>Marriott's cash conversion cycle (CCC) displays high working capital efficiency. According to Appendix 6, the CCC for 2024 was -13 days (Marriott International, 2024). A negative CCC means that Marriott obtains cash from customers before paying suppliers, so increasing liquidity and reducing the need for external financing. This performance demonstrates good supplier negotiations, efficient inventory management, and better receivables collection procedures.</w:t>
      </w:r>
      <w:r w:rsidRPr="00725935">
        <w:rPr>
          <w:rFonts w:ascii="Arial" w:hAnsi="Arial" w:cs="Arial"/>
        </w:rPr>
        <w:br/>
      </w:r>
      <w:r w:rsidRPr="00725935">
        <w:rPr>
          <w:rFonts w:ascii="Arial" w:hAnsi="Arial" w:cs="Arial"/>
        </w:rPr>
        <w:br/>
        <w:t>According to working capital theory, having a negative CCC benefits service-based industries by reducing dependency on working capital and increasing cash flow stability (Pike and Neale, 2020). Marriott's negative CCC hence shows a significant strength in its financial performance.</w:t>
      </w:r>
    </w:p>
    <w:p w14:paraId="4DB27468" w14:textId="4F00D0B0" w:rsidR="001D060D" w:rsidRPr="00725935" w:rsidRDefault="001D060D" w:rsidP="00725935">
      <w:pPr>
        <w:spacing w:line="360" w:lineRule="auto"/>
        <w:rPr>
          <w:rFonts w:ascii="Arial" w:hAnsi="Arial" w:cs="Arial"/>
        </w:rPr>
      </w:pPr>
      <w:bookmarkStart w:id="9" w:name="_Toc235459605"/>
      <w:r w:rsidRPr="00725935">
        <w:rPr>
          <w:rStyle w:val="Heading2Char"/>
          <w:rFonts w:ascii="Arial" w:hAnsi="Arial" w:cs="Arial"/>
          <w:sz w:val="24"/>
          <w:szCs w:val="24"/>
        </w:rPr>
        <w:t>Strategies to Improve Liquidity</w:t>
      </w:r>
      <w:bookmarkEnd w:id="9"/>
      <w:r w:rsidRPr="00725935">
        <w:rPr>
          <w:rFonts w:ascii="Arial" w:hAnsi="Arial" w:cs="Arial"/>
        </w:rPr>
        <w:t xml:space="preserve"> </w:t>
      </w:r>
      <w:r w:rsidRPr="00725935">
        <w:rPr>
          <w:rFonts w:ascii="Arial" w:hAnsi="Arial" w:cs="Arial"/>
        </w:rPr>
        <w:br/>
        <w:t>Although Marriott's CCC is positive, the company's overall liquidity ratios are still below industry standards. Marriott might enhance liquidity by refinancing some of its short-term debt into long-term bonds. This would minimise refinancing pressure while improving the current ratio. Improved receivables management through digital payment systems and early settlement incentives could boost cash inflows.</w:t>
      </w:r>
      <w:r w:rsidRPr="00725935">
        <w:rPr>
          <w:rFonts w:ascii="Arial" w:hAnsi="Arial" w:cs="Arial"/>
        </w:rPr>
        <w:br/>
      </w:r>
      <w:r w:rsidRPr="00725935">
        <w:rPr>
          <w:rFonts w:ascii="Arial" w:hAnsi="Arial" w:cs="Arial"/>
        </w:rPr>
        <w:br/>
        <w:t>Marriott might also negotiate longer payment terms with suppliers to increase payables days. AI-powered inventory forecasting can reduce waste and improve stock levels, especially in food and beverage operations. These recommendations immediately address the issues identified in Appendix 2 and are consistent with best practice guidelines (Moyer, McGuigan, and Kretlow, 2020).</w:t>
      </w:r>
    </w:p>
    <w:p w14:paraId="2DE21A01" w14:textId="77777777" w:rsidR="00CB6CFF" w:rsidRPr="00725935" w:rsidRDefault="00C94758" w:rsidP="00725935">
      <w:pPr>
        <w:spacing w:line="360" w:lineRule="auto"/>
        <w:rPr>
          <w:rFonts w:ascii="Arial" w:hAnsi="Arial" w:cs="Arial"/>
        </w:rPr>
      </w:pPr>
      <w:r w:rsidRPr="00725935">
        <w:rPr>
          <w:rFonts w:ascii="Arial" w:hAnsi="Arial" w:cs="Arial"/>
        </w:rPr>
        <w:t>Another option Marriott might use is to optimise its loyalty program cash flows. Marriott Bonvoy produces significant delayed revenue from point sales to partners such as airlines and credit card issuers. Marriott might enhance liquidity without changing its operational structure by renegotiating contracts with these partners to speed up cash receipts. Williams (2022) supports this strategy, arguing that modifying deferred revenue agreements can help service organisations improve liquidity.</w:t>
      </w:r>
      <w:r w:rsidR="00CB6CFF" w:rsidRPr="00725935">
        <w:rPr>
          <w:rFonts w:ascii="Arial" w:hAnsi="Arial" w:cs="Arial"/>
        </w:rPr>
        <w:t xml:space="preserve"> Marriott may also consider supply chain finance agreements that allow suppliers to get early payments from banking institutions while Marriott extends its own payment periods. This strategy is becoming more common in worldwide organisations and can greatly improve cash flow stability. Additionally, Marriott could impose stricter capital spending constraints, prioritising high-return initiatives and deferring non-essential improvements. This would save funds during times of financial stress and lessen dependency on short-term borrowing. These measures, taken together, provide Marriott with a holistic approach to improving liquidity.</w:t>
      </w:r>
    </w:p>
    <w:p w14:paraId="2DC2E384" w14:textId="560C6FCE" w:rsidR="00C94758" w:rsidRPr="00725935" w:rsidRDefault="00C94758" w:rsidP="00725935">
      <w:pPr>
        <w:spacing w:line="360" w:lineRule="auto"/>
        <w:rPr>
          <w:rFonts w:ascii="Arial" w:hAnsi="Arial" w:cs="Arial"/>
        </w:rPr>
      </w:pPr>
    </w:p>
    <w:p w14:paraId="60EAA35C" w14:textId="77777777" w:rsidR="009C08BD" w:rsidRPr="00725935" w:rsidRDefault="001D060D" w:rsidP="00725935">
      <w:pPr>
        <w:pStyle w:val="Heading2"/>
        <w:spacing w:line="360" w:lineRule="auto"/>
        <w:rPr>
          <w:rFonts w:ascii="Arial" w:hAnsi="Arial" w:cs="Arial"/>
          <w:sz w:val="24"/>
          <w:szCs w:val="24"/>
        </w:rPr>
      </w:pPr>
      <w:bookmarkStart w:id="10" w:name="_Toc235459606"/>
      <w:r w:rsidRPr="00725935">
        <w:rPr>
          <w:rFonts w:ascii="Arial" w:hAnsi="Arial" w:cs="Arial"/>
          <w:sz w:val="24"/>
          <w:szCs w:val="24"/>
        </w:rPr>
        <w:t>Short-Term vs</w:t>
      </w:r>
      <w:r w:rsidR="009C08BD" w:rsidRPr="00725935">
        <w:rPr>
          <w:rFonts w:ascii="Arial" w:hAnsi="Arial" w:cs="Arial"/>
          <w:sz w:val="24"/>
          <w:szCs w:val="24"/>
        </w:rPr>
        <w:t xml:space="preserve"> </w:t>
      </w:r>
      <w:r w:rsidRPr="00725935">
        <w:rPr>
          <w:rFonts w:ascii="Arial" w:hAnsi="Arial" w:cs="Arial"/>
          <w:sz w:val="24"/>
          <w:szCs w:val="24"/>
        </w:rPr>
        <w:t>Long-Term Financing</w:t>
      </w:r>
      <w:bookmarkEnd w:id="10"/>
    </w:p>
    <w:p w14:paraId="668DA277" w14:textId="168AABB9" w:rsidR="001D060D" w:rsidRPr="00725935" w:rsidRDefault="001D060D" w:rsidP="00725935">
      <w:pPr>
        <w:spacing w:line="360" w:lineRule="auto"/>
        <w:rPr>
          <w:rFonts w:ascii="Arial" w:hAnsi="Arial" w:cs="Arial"/>
        </w:rPr>
      </w:pPr>
      <w:r w:rsidRPr="00725935">
        <w:rPr>
          <w:rFonts w:ascii="Arial" w:hAnsi="Arial" w:cs="Arial"/>
        </w:rPr>
        <w:br/>
        <w:t>Short-term financing options, such as revolving credit lines, commercial paper, and trade credit, provide flexibility and lower immediate costs, but can pose liquidity risk. Long-term financing solutions, such as corporate bonds, stock issues, and loans, offer stability and lower refinancing risk, but may result in increased interest payments or shareholder dilution.</w:t>
      </w:r>
      <w:r w:rsidRPr="00725935">
        <w:rPr>
          <w:rFonts w:ascii="Arial" w:hAnsi="Arial" w:cs="Arial"/>
        </w:rPr>
        <w:br/>
      </w:r>
      <w:r w:rsidRPr="00725935">
        <w:rPr>
          <w:rFonts w:ascii="Arial" w:hAnsi="Arial" w:cs="Arial"/>
        </w:rPr>
        <w:br/>
        <w:t>Long-term funding would improve Marriott's financial resilience and promote sustainable growth, given its current cash situation. This recommendation is consistent with financial structure theory (Brigham and Ehrhardt, 2021).</w:t>
      </w:r>
    </w:p>
    <w:p w14:paraId="62840D6A" w14:textId="0DF1953F" w:rsidR="002601EE" w:rsidRPr="00725935" w:rsidRDefault="001D060D" w:rsidP="00725935">
      <w:pPr>
        <w:spacing w:line="360" w:lineRule="auto"/>
        <w:rPr>
          <w:rFonts w:ascii="Arial" w:hAnsi="Arial" w:cs="Arial"/>
        </w:rPr>
      </w:pPr>
      <w:bookmarkStart w:id="11" w:name="_Toc235459607"/>
      <w:r w:rsidRPr="00725935">
        <w:rPr>
          <w:rStyle w:val="Heading1Char"/>
          <w:rFonts w:ascii="Arial" w:hAnsi="Arial" w:cs="Arial"/>
          <w:sz w:val="24"/>
          <w:szCs w:val="24"/>
        </w:rPr>
        <w:t>Strategic Financial Restructuring Plan</w:t>
      </w:r>
      <w:bookmarkEnd w:id="11"/>
      <w:r w:rsidRPr="00725935">
        <w:rPr>
          <w:rFonts w:ascii="Arial" w:hAnsi="Arial" w:cs="Arial"/>
        </w:rPr>
        <w:br/>
      </w:r>
      <w:r w:rsidRPr="00725935">
        <w:rPr>
          <w:rStyle w:val="Heading2Char"/>
          <w:rFonts w:ascii="Arial" w:hAnsi="Arial" w:cs="Arial"/>
          <w:sz w:val="24"/>
          <w:szCs w:val="24"/>
        </w:rPr>
        <w:t>Restructuring Options</w:t>
      </w:r>
      <w:r w:rsidRPr="00725935">
        <w:rPr>
          <w:rFonts w:ascii="Arial" w:hAnsi="Arial" w:cs="Arial"/>
        </w:rPr>
        <w:br/>
        <w:t>Marriott has numerous restructuring alternatives to improve financial stability. Divesting non-core or underperforming assets in low-growth regions can free up cash and boost ROCE. An equity infusion through new share issuance would improve liquidity, but it could decrease EPS. Debt refinancing can lower interest expenses and increase coverage, especially if high-interest debt is substituted with fixed-rate bonds.</w:t>
      </w:r>
      <w:r w:rsidRPr="00725935">
        <w:rPr>
          <w:rFonts w:ascii="Arial" w:hAnsi="Arial" w:cs="Arial"/>
        </w:rPr>
        <w:br/>
      </w:r>
      <w:r w:rsidRPr="00725935">
        <w:rPr>
          <w:rFonts w:ascii="Arial" w:hAnsi="Arial" w:cs="Arial"/>
        </w:rPr>
        <w:br/>
        <w:t>Marriott might potentially make targeted purchases of boutique hotel companies to broaden its lifestyle category, which is becoming increasingly popular among younger visitors. These choices are intended to reduce leverage, boost liquidity, and increase operational flexibility. The gearing ratios provided in Appendix 4 support the necessity for restructuring, as does hospitality restructuring studies.</w:t>
      </w:r>
      <w:r w:rsidR="002601EE" w:rsidRPr="00725935">
        <w:rPr>
          <w:rFonts w:ascii="Arial" w:hAnsi="Arial" w:cs="Arial"/>
        </w:rPr>
        <w:t xml:space="preserve"> Marriott may also explore modifying its loan maturity profile. A considerable amount of Marriott's debt is due to maturity within the next five years, putting pressure on refinancing (Marriott International, 2024). Extending maturities through bond issuance or loan renegotiation would lower short-term obligations while improving liquidity ratios. Damodaran (2023) believes that extending loan maturities is an appropriate strategy for highly leveraged corporations looking to reduce financial risk.</w:t>
      </w:r>
    </w:p>
    <w:p w14:paraId="1A643771" w14:textId="77777777" w:rsidR="003831CC" w:rsidRPr="00725935" w:rsidRDefault="003831CC" w:rsidP="00725935">
      <w:pPr>
        <w:spacing w:line="360" w:lineRule="auto"/>
        <w:rPr>
          <w:rFonts w:ascii="Arial" w:hAnsi="Arial" w:cs="Arial"/>
        </w:rPr>
      </w:pPr>
      <w:r w:rsidRPr="00725935">
        <w:rPr>
          <w:rFonts w:ascii="Arial" w:hAnsi="Arial" w:cs="Arial"/>
        </w:rPr>
        <w:t>Another option for restructuring is to sell and leaseback selected owned properties. Although Marriott controls a small number of hotels, divesting these assets could result in rapid cash inflows while keeping operational control through long-term leases. Other hospitality companies, including Accor Hotels, have successfully employed this method to bolster their balance sheets. Marriott might also look into joint ventures in emerging regions to reduce capital requirements while retaining development prospects. These restructuring options increase Marriott's financial flexibility while decreasing exposure to leverage-related risks.</w:t>
      </w:r>
    </w:p>
    <w:p w14:paraId="1245C1B9" w14:textId="7F0386F4" w:rsidR="001D060D" w:rsidRPr="00725935" w:rsidRDefault="001D060D" w:rsidP="00725935">
      <w:pPr>
        <w:spacing w:line="360" w:lineRule="auto"/>
        <w:rPr>
          <w:rFonts w:ascii="Arial" w:hAnsi="Arial" w:cs="Arial"/>
        </w:rPr>
      </w:pPr>
    </w:p>
    <w:p w14:paraId="1E4AED8D" w14:textId="12FD2CF0" w:rsidR="001D060D" w:rsidRPr="00725935" w:rsidRDefault="001D060D" w:rsidP="00725935">
      <w:pPr>
        <w:spacing w:line="360" w:lineRule="auto"/>
        <w:rPr>
          <w:rFonts w:ascii="Arial" w:hAnsi="Arial" w:cs="Arial"/>
        </w:rPr>
      </w:pPr>
      <w:bookmarkStart w:id="12" w:name="_Toc235459608"/>
      <w:r w:rsidRPr="00725935">
        <w:rPr>
          <w:rStyle w:val="Heading2Char"/>
          <w:rFonts w:ascii="Arial" w:hAnsi="Arial" w:cs="Arial"/>
          <w:sz w:val="24"/>
          <w:szCs w:val="24"/>
        </w:rPr>
        <w:t>Impact on Shareholder Value</w:t>
      </w:r>
      <w:bookmarkEnd w:id="12"/>
      <w:r w:rsidRPr="00725935">
        <w:rPr>
          <w:rFonts w:ascii="Arial" w:hAnsi="Arial" w:cs="Arial"/>
        </w:rPr>
        <w:br/>
        <w:t>Each restructuring option affects shareholder value. Divestiture improves operational focus and capital efficiency, resulting in higher ROCE and long-term profitability. Equity injection enhances liquidity but may affect EPS in the short term. Debt refinancing enhances interest coverage and lowers financial risk, boosting long-term shareholder trust. Strategic acquisitions increase market share and diversify revenue streams, potentially raising brand value and consumer loyalty.</w:t>
      </w:r>
      <w:r w:rsidRPr="00725935">
        <w:rPr>
          <w:rFonts w:ascii="Arial" w:hAnsi="Arial" w:cs="Arial"/>
        </w:rPr>
        <w:br/>
      </w:r>
      <w:r w:rsidRPr="00725935">
        <w:rPr>
          <w:rFonts w:ascii="Arial" w:hAnsi="Arial" w:cs="Arial"/>
        </w:rPr>
        <w:br/>
        <w:t>These effects are consistent with the financial trends described in Appendices 1 and 4, as well as shareholder value theory (Arnold, 2021). Overall, restructuring is critical for improving Marriott's financial condition and promoting long-term growth.</w:t>
      </w:r>
    </w:p>
    <w:p w14:paraId="5C1270B4" w14:textId="4127713D" w:rsidR="00D373CC" w:rsidRPr="00725935" w:rsidRDefault="001D060D" w:rsidP="00725935">
      <w:pPr>
        <w:pStyle w:val="Heading2"/>
        <w:spacing w:line="360" w:lineRule="auto"/>
        <w:rPr>
          <w:rFonts w:ascii="Arial" w:hAnsi="Arial" w:cs="Arial"/>
          <w:sz w:val="24"/>
          <w:szCs w:val="24"/>
        </w:rPr>
      </w:pPr>
      <w:bookmarkStart w:id="13" w:name="_Toc235459609"/>
      <w:r w:rsidRPr="00725935">
        <w:rPr>
          <w:rFonts w:ascii="Arial" w:hAnsi="Arial" w:cs="Arial"/>
          <w:sz w:val="24"/>
          <w:szCs w:val="24"/>
        </w:rPr>
        <w:t>International and Ethical Considerations</w:t>
      </w:r>
      <w:bookmarkEnd w:id="13"/>
    </w:p>
    <w:p w14:paraId="64D76E8D" w14:textId="02626B08" w:rsidR="001D060D" w:rsidRPr="00725935" w:rsidRDefault="001D060D" w:rsidP="00725935">
      <w:pPr>
        <w:spacing w:line="360" w:lineRule="auto"/>
        <w:rPr>
          <w:rFonts w:ascii="Arial" w:hAnsi="Arial" w:cs="Arial"/>
        </w:rPr>
      </w:pPr>
      <w:r w:rsidRPr="00725935">
        <w:rPr>
          <w:rFonts w:ascii="Arial" w:hAnsi="Arial" w:cs="Arial"/>
        </w:rPr>
        <w:t>Marriott must address foreign financial concerns when undertaking restructuring plans. Taxation rules differ between jurisdictions, necessitating careful planning to ensure conformity with OECD BEPS standards (OECD, 2023). Marriott's global activities expose it to severe currency risk, necessitating the implementation of hedging methods. Inflation influences operating expenses and pricing strategies, necessitating dynamic pricing models. Ethical factors include Marriott's ESG commitments, which include lowering carbon emissions, improving labour standards, and increasing sustainability reporting. These factors impact long-term financial stability and stakeholder trust, aligning with ethical finance principles (Singh, 2023).</w:t>
      </w:r>
    </w:p>
    <w:p w14:paraId="11FCBD2C" w14:textId="6C15437D" w:rsidR="00332D29" w:rsidRPr="00725935" w:rsidRDefault="001D060D" w:rsidP="00725935">
      <w:pPr>
        <w:pStyle w:val="Heading1"/>
        <w:spacing w:line="360" w:lineRule="auto"/>
        <w:rPr>
          <w:rFonts w:ascii="Arial" w:hAnsi="Arial" w:cs="Arial"/>
          <w:sz w:val="24"/>
          <w:szCs w:val="24"/>
        </w:rPr>
      </w:pPr>
      <w:bookmarkStart w:id="14" w:name="_Toc235459610"/>
      <w:r w:rsidRPr="00725935">
        <w:rPr>
          <w:rFonts w:ascii="Arial" w:hAnsi="Arial" w:cs="Arial"/>
          <w:sz w:val="24"/>
          <w:szCs w:val="24"/>
        </w:rPr>
        <w:t>Investment Appraisal &amp; Capital Budgeting</w:t>
      </w:r>
      <w:bookmarkEnd w:id="14"/>
      <w:r w:rsidRPr="00725935">
        <w:rPr>
          <w:rFonts w:ascii="Arial" w:hAnsi="Arial" w:cs="Arial"/>
          <w:sz w:val="24"/>
          <w:szCs w:val="24"/>
        </w:rPr>
        <w:t xml:space="preserve"> </w:t>
      </w:r>
    </w:p>
    <w:p w14:paraId="5DFFFF1E" w14:textId="71EFA794" w:rsidR="00332D29" w:rsidRPr="00725935" w:rsidRDefault="00332D29" w:rsidP="00725935">
      <w:pPr>
        <w:pStyle w:val="Heading2"/>
        <w:spacing w:line="360" w:lineRule="auto"/>
        <w:rPr>
          <w:rFonts w:ascii="Arial" w:hAnsi="Arial" w:cs="Arial"/>
          <w:sz w:val="24"/>
          <w:szCs w:val="24"/>
        </w:rPr>
      </w:pPr>
      <w:bookmarkStart w:id="15" w:name="_Toc235459611"/>
      <w:r w:rsidRPr="00725935">
        <w:rPr>
          <w:rFonts w:ascii="Arial" w:hAnsi="Arial" w:cs="Arial"/>
          <w:sz w:val="24"/>
          <w:szCs w:val="24"/>
        </w:rPr>
        <w:t>Investment Appraisal Formulas</w:t>
      </w:r>
      <w:bookmarkEnd w:id="15"/>
    </w:p>
    <w:p w14:paraId="2A8F437A" w14:textId="77777777" w:rsidR="00876048" w:rsidRPr="00725935" w:rsidRDefault="00876048" w:rsidP="00725935">
      <w:pPr>
        <w:spacing w:line="360" w:lineRule="auto"/>
        <w:rPr>
          <w:rFonts w:ascii="Arial" w:hAnsi="Arial" w:cs="Arial"/>
        </w:rPr>
      </w:pPr>
    </w:p>
    <w:p w14:paraId="40EB1716" w14:textId="77777777" w:rsidR="00332D29" w:rsidRPr="00725935" w:rsidRDefault="00332D29" w:rsidP="00725935">
      <w:pPr>
        <w:spacing w:line="360" w:lineRule="auto"/>
        <w:rPr>
          <w:rFonts w:ascii="Arial" w:hAnsi="Arial" w:cs="Arial"/>
        </w:rPr>
      </w:pPr>
      <w:r w:rsidRPr="00725935">
        <w:rPr>
          <w:rFonts w:ascii="Arial" w:hAnsi="Arial" w:cs="Arial"/>
        </w:rPr>
        <w:t>To support the evaluation of Projects A, B, and C, the following standard investment appraisal formulas were applied:</w:t>
      </w:r>
    </w:p>
    <w:p w14:paraId="15E18422" w14:textId="77777777" w:rsidR="00332D29" w:rsidRPr="00725935" w:rsidRDefault="00332D29" w:rsidP="00725935">
      <w:pPr>
        <w:spacing w:line="360" w:lineRule="auto"/>
        <w:rPr>
          <w:rFonts w:ascii="Arial" w:hAnsi="Arial" w:cs="Arial"/>
        </w:rPr>
      </w:pPr>
      <w:r w:rsidRPr="00725935">
        <w:rPr>
          <w:rFonts w:ascii="Arial" w:hAnsi="Arial" w:cs="Arial"/>
          <w:b/>
          <w:bCs/>
        </w:rPr>
        <w:t>Net Present Value (NPV)</w:t>
      </w:r>
      <w:r w:rsidRPr="00725935">
        <w:rPr>
          <w:rFonts w:ascii="Arial" w:hAnsi="Arial" w:cs="Arial"/>
        </w:rPr>
        <w:t xml:space="preserve"> NPV = Total Present Value of Cash Inflows – Initial Investment NPV measures the present value of future cash inflows compared to the initial cost.</w:t>
      </w:r>
    </w:p>
    <w:p w14:paraId="0796B75D" w14:textId="77777777" w:rsidR="00332D29" w:rsidRPr="00725935" w:rsidRDefault="00332D29" w:rsidP="00725935">
      <w:pPr>
        <w:spacing w:line="360" w:lineRule="auto"/>
        <w:rPr>
          <w:rFonts w:ascii="Arial" w:hAnsi="Arial" w:cs="Arial"/>
        </w:rPr>
      </w:pPr>
      <w:r w:rsidRPr="00725935">
        <w:rPr>
          <w:rFonts w:ascii="Arial" w:hAnsi="Arial" w:cs="Arial"/>
          <w:b/>
          <w:bCs/>
        </w:rPr>
        <w:t>Internal Rate of Return (IRR)</w:t>
      </w:r>
      <w:r w:rsidRPr="00725935">
        <w:rPr>
          <w:rFonts w:ascii="Arial" w:hAnsi="Arial" w:cs="Arial"/>
        </w:rPr>
        <w:t xml:space="preserve"> IRR = The discount rate at which NPV becomes zero IRR identifies the rate of return where the project breaks even in present value terms.</w:t>
      </w:r>
    </w:p>
    <w:p w14:paraId="0ABD691A" w14:textId="77777777" w:rsidR="00717869" w:rsidRPr="00725935" w:rsidRDefault="00717869" w:rsidP="00725935">
      <w:pPr>
        <w:spacing w:line="360" w:lineRule="auto"/>
        <w:rPr>
          <w:rFonts w:ascii="Arial" w:hAnsi="Arial" w:cs="Arial"/>
        </w:rPr>
      </w:pPr>
      <w:r w:rsidRPr="00725935">
        <w:rPr>
          <w:rFonts w:ascii="Arial" w:hAnsi="Arial" w:cs="Arial"/>
          <w:b/>
          <w:bCs/>
        </w:rPr>
        <w:t>Accounting Rate of Return (ARR)</w:t>
      </w:r>
      <w:r w:rsidRPr="00725935">
        <w:rPr>
          <w:rFonts w:ascii="Arial" w:hAnsi="Arial" w:cs="Arial"/>
        </w:rPr>
        <w:t xml:space="preserve"> ARR = (Average Annual Profit ÷ Initial Investment) × 100 ARR shows the average yearly return as a percentage of the initial investment.</w:t>
      </w:r>
    </w:p>
    <w:p w14:paraId="1F75B801" w14:textId="77777777" w:rsidR="00717869" w:rsidRPr="00725935" w:rsidRDefault="00717869" w:rsidP="00725935">
      <w:pPr>
        <w:spacing w:line="360" w:lineRule="auto"/>
        <w:rPr>
          <w:rFonts w:ascii="Arial" w:hAnsi="Arial" w:cs="Arial"/>
        </w:rPr>
      </w:pPr>
      <w:r w:rsidRPr="00725935">
        <w:rPr>
          <w:rFonts w:ascii="Arial" w:hAnsi="Arial" w:cs="Arial"/>
          <w:b/>
          <w:bCs/>
        </w:rPr>
        <w:t>Profitability Index (PI)</w:t>
      </w:r>
      <w:r w:rsidRPr="00725935">
        <w:rPr>
          <w:rFonts w:ascii="Arial" w:hAnsi="Arial" w:cs="Arial"/>
        </w:rPr>
        <w:t xml:space="preserve"> PI = Total Present Value of Cash Inflows ÷ Initial Investment PI indicates how much value is created per £1 invested.</w:t>
      </w:r>
    </w:p>
    <w:p w14:paraId="0220C2A1" w14:textId="77777777" w:rsidR="00717869" w:rsidRPr="00725935" w:rsidRDefault="00717869" w:rsidP="00725935">
      <w:pPr>
        <w:spacing w:line="360" w:lineRule="auto"/>
        <w:rPr>
          <w:rFonts w:ascii="Arial" w:hAnsi="Arial" w:cs="Arial"/>
        </w:rPr>
      </w:pPr>
      <w:r w:rsidRPr="00725935">
        <w:rPr>
          <w:rFonts w:ascii="Arial" w:hAnsi="Arial" w:cs="Arial"/>
          <w:b/>
          <w:bCs/>
        </w:rPr>
        <w:t>Payback Period (PBP)</w:t>
      </w:r>
      <w:r w:rsidRPr="00725935">
        <w:rPr>
          <w:rFonts w:ascii="Arial" w:hAnsi="Arial" w:cs="Arial"/>
        </w:rPr>
        <w:t xml:space="preserve"> For equal cash flows: PBP = Initial Investment ÷ Annual Cash Inflow</w:t>
      </w:r>
    </w:p>
    <w:p w14:paraId="3DD739CF" w14:textId="77777777" w:rsidR="00717869" w:rsidRPr="00725935" w:rsidRDefault="00717869" w:rsidP="00725935">
      <w:pPr>
        <w:spacing w:line="360" w:lineRule="auto"/>
        <w:rPr>
          <w:rFonts w:ascii="Arial" w:hAnsi="Arial" w:cs="Arial"/>
        </w:rPr>
      </w:pPr>
      <w:r w:rsidRPr="00725935">
        <w:rPr>
          <w:rFonts w:ascii="Arial" w:hAnsi="Arial" w:cs="Arial"/>
        </w:rPr>
        <w:t>For unequal cash flows: PBP = Year before recovery + (Amount left to recover ÷ Cash inflow in recovery year) Payback measures how long it takes to recover the initial investment.</w:t>
      </w:r>
    </w:p>
    <w:p w14:paraId="5958D724" w14:textId="62C80EE1" w:rsidR="00AE6E56" w:rsidRPr="00725935" w:rsidRDefault="001D060D" w:rsidP="00725935">
      <w:pPr>
        <w:pStyle w:val="Heading2"/>
        <w:spacing w:line="360" w:lineRule="auto"/>
        <w:rPr>
          <w:rFonts w:ascii="Arial" w:hAnsi="Arial" w:cs="Arial"/>
          <w:sz w:val="24"/>
          <w:szCs w:val="24"/>
        </w:rPr>
      </w:pPr>
      <w:bookmarkStart w:id="16" w:name="_Toc235459612"/>
      <w:r w:rsidRPr="00725935">
        <w:rPr>
          <w:rFonts w:ascii="Arial" w:hAnsi="Arial" w:cs="Arial"/>
          <w:sz w:val="24"/>
          <w:szCs w:val="24"/>
        </w:rPr>
        <w:t>Project Evaluation</w:t>
      </w:r>
      <w:bookmarkEnd w:id="16"/>
      <w:r w:rsidRPr="00725935">
        <w:rPr>
          <w:rFonts w:ascii="Arial" w:hAnsi="Arial" w:cs="Arial"/>
          <w:sz w:val="24"/>
          <w:szCs w:val="24"/>
        </w:rPr>
        <w:t xml:space="preserve"> </w:t>
      </w:r>
    </w:p>
    <w:p w14:paraId="26CE8333" w14:textId="65880BDA" w:rsidR="001D060D" w:rsidRPr="00725935" w:rsidRDefault="001D060D" w:rsidP="00725935">
      <w:pPr>
        <w:spacing w:line="360" w:lineRule="auto"/>
        <w:rPr>
          <w:rFonts w:ascii="Arial" w:hAnsi="Arial" w:cs="Arial"/>
        </w:rPr>
      </w:pPr>
      <w:r w:rsidRPr="00725935">
        <w:rPr>
          <w:rFonts w:ascii="Arial" w:hAnsi="Arial" w:cs="Arial"/>
        </w:rPr>
        <w:t>Appendix 7 includes investment appraisal calculations for projects A, B, and C. Project A had an NPV of £6.21 million, an IRR of 11.4%, a PI of 1.12, a 12% ARR, and a 4.2-year payback period. Project B generated an NPV of £4.89 million, an IRR of 10.2%, a PI of 1.09, an ARR of 11%, and a 4.5-year payback period. Project C had the best results, with an NPV of £7.55 million, an IRR of 13.8%, a PI of 1.15, an ARR of 13%, and a 4.0-year payback period.</w:t>
      </w:r>
    </w:p>
    <w:p w14:paraId="067EF24F" w14:textId="77777777" w:rsidR="002966ED" w:rsidRPr="00725935" w:rsidRDefault="001D060D" w:rsidP="00725935">
      <w:pPr>
        <w:spacing w:line="360" w:lineRule="auto"/>
        <w:rPr>
          <w:rFonts w:ascii="Arial" w:hAnsi="Arial" w:cs="Arial"/>
        </w:rPr>
      </w:pPr>
      <w:r w:rsidRPr="00725935">
        <w:rPr>
          <w:rFonts w:ascii="Arial" w:hAnsi="Arial" w:cs="Arial"/>
        </w:rPr>
        <w:t>Based on these findings, Project C is the most financially viable choice, providing the largest yields and the quickest return on investment. These results are consistent with the investment appraisal standards given by Brealey, Myers, and Allen (2022). Project C's good performance is due to larger cash inflows in years 3 and 4, which greatly increase its NPV and IRR.</w:t>
      </w:r>
      <w:r w:rsidR="002966ED" w:rsidRPr="00725935">
        <w:rPr>
          <w:rFonts w:ascii="Arial" w:hAnsi="Arial" w:cs="Arial"/>
        </w:rPr>
        <w:t xml:space="preserve"> Beyond the numerical outcomes, each project has strategic consequences that affect Marriott's long-term position. Project A's moderate returns may complement Marriott's expansion into stable, mature areas with predictable demand. Although its net present value is lower than Project C, its cash flows are more reliable, lowering risk. Project B has regular annual inflows, but its lack of growth reduces strategic value. According to Singh (2023), projects with flat cash flows frequently underperform in dynamic industries like hospitality, where demand varies dramatically.</w:t>
      </w:r>
    </w:p>
    <w:p w14:paraId="3887B8C8" w14:textId="77777777" w:rsidR="00B73465" w:rsidRPr="00725935" w:rsidRDefault="00B73465" w:rsidP="00725935">
      <w:pPr>
        <w:spacing w:line="360" w:lineRule="auto"/>
        <w:rPr>
          <w:rFonts w:ascii="Arial" w:hAnsi="Arial" w:cs="Arial"/>
        </w:rPr>
      </w:pPr>
      <w:r w:rsidRPr="00725935">
        <w:rPr>
          <w:rFonts w:ascii="Arial" w:hAnsi="Arial" w:cs="Arial"/>
        </w:rPr>
        <w:t>Project C, albeit having more erratic cash flows, is strongly aligned with Marriott's growth strategy. The increased inflows in years 3 and 4 indicate that the project aims for a high-growth market or a premium sector, both of which are consistent with Marriott's previous expansion tendencies. Furthermore, Project C's larger IRR implies that it generates more value relative to its cost of capital, which is an important factor in capital budgeting (Ross, Westerfield, and Jordan, 2022). When strategy alignment is combined with financial indicators, Project C emerges as the most appealing alternative.</w:t>
      </w:r>
    </w:p>
    <w:p w14:paraId="611504AD" w14:textId="4F226BDB" w:rsidR="001D060D" w:rsidRPr="00725935" w:rsidRDefault="001D060D" w:rsidP="00725935">
      <w:pPr>
        <w:spacing w:line="360" w:lineRule="auto"/>
        <w:rPr>
          <w:rFonts w:ascii="Arial" w:hAnsi="Arial" w:cs="Arial"/>
        </w:rPr>
      </w:pPr>
    </w:p>
    <w:p w14:paraId="54B5E5F5" w14:textId="0A7F45A3" w:rsidR="00F45CE3" w:rsidRPr="00725935" w:rsidRDefault="00F45CE3" w:rsidP="00725935">
      <w:pPr>
        <w:spacing w:line="360" w:lineRule="auto"/>
        <w:rPr>
          <w:rFonts w:ascii="Arial" w:hAnsi="Arial" w:cs="Arial"/>
        </w:rPr>
      </w:pPr>
      <w:bookmarkStart w:id="17" w:name="_Toc235459613"/>
      <w:r w:rsidRPr="00725935">
        <w:rPr>
          <w:rStyle w:val="Heading2Char"/>
          <w:rFonts w:ascii="Arial" w:hAnsi="Arial" w:cs="Arial"/>
          <w:sz w:val="24"/>
          <w:szCs w:val="24"/>
        </w:rPr>
        <w:t>Capital Rationing</w:t>
      </w:r>
      <w:bookmarkEnd w:id="17"/>
      <w:r w:rsidRPr="00725935">
        <w:rPr>
          <w:rFonts w:ascii="Arial" w:hAnsi="Arial" w:cs="Arial"/>
        </w:rPr>
        <w:br/>
        <w:t>Under a capital rationing constraint of £100 million, project combinations were considered. Appendix 8 shows that combining Projects A and B resulted in a combined NPV of £11.1 million, while Projects B and C generated £12.44 million. Projects A and C had the highest combined NPV at £13.76 million.</w:t>
      </w:r>
      <w:r w:rsidRPr="00725935">
        <w:rPr>
          <w:rFonts w:ascii="Arial" w:hAnsi="Arial" w:cs="Arial"/>
        </w:rPr>
        <w:br/>
      </w:r>
      <w:r w:rsidRPr="00725935">
        <w:rPr>
          <w:rFonts w:ascii="Arial" w:hAnsi="Arial" w:cs="Arial"/>
        </w:rPr>
        <w:br/>
        <w:t>As a result, the best investment decision under capital rationing is to choose Projects A and C, which maximise total value creation. This recommendation is consistent with capital budgeting theory (Ross, Westerfield, and Jordan, 2022). Selecting A and C guarantees that Marriott invests in projects that provide the best financial returns while remaining under budget.</w:t>
      </w:r>
    </w:p>
    <w:p w14:paraId="012F6C2C" w14:textId="77777777" w:rsidR="00BB2F8F" w:rsidRPr="00725935" w:rsidRDefault="00F45CE3" w:rsidP="00725935">
      <w:pPr>
        <w:spacing w:line="360" w:lineRule="auto"/>
        <w:rPr>
          <w:rFonts w:ascii="Arial" w:hAnsi="Arial" w:cs="Arial"/>
        </w:rPr>
      </w:pPr>
      <w:bookmarkStart w:id="18" w:name="_Toc235459614"/>
      <w:r w:rsidRPr="00725935">
        <w:rPr>
          <w:rStyle w:val="Heading1Char"/>
          <w:rFonts w:ascii="Arial" w:hAnsi="Arial" w:cs="Arial"/>
          <w:sz w:val="24"/>
          <w:szCs w:val="24"/>
        </w:rPr>
        <w:t>Critical reflection on AI usage</w:t>
      </w:r>
      <w:bookmarkEnd w:id="18"/>
      <w:r w:rsidRPr="00725935">
        <w:rPr>
          <w:rFonts w:ascii="Arial" w:hAnsi="Arial" w:cs="Arial"/>
        </w:rPr>
        <w:br/>
      </w:r>
      <w:r w:rsidR="00E90987" w:rsidRPr="00725935">
        <w:rPr>
          <w:rFonts w:ascii="Arial" w:hAnsi="Arial" w:cs="Arial"/>
        </w:rPr>
        <w:t>AI was utilised simply to assist the research process by identifying pertinent facts and background data about Marriott International's financial performance and the larger hotel sector. To ensure accuracy and dependability, all AI-generated data was cross-checked against Marriott International's official annual reports (2020-2024), peer-reviewed journal papers, academic books, and other relevant sources. Any information that could not be verified using these sources was removed from the report.</w:t>
      </w:r>
      <w:r w:rsidR="00E90987" w:rsidRPr="00725935">
        <w:rPr>
          <w:rFonts w:ascii="Arial" w:hAnsi="Arial" w:cs="Arial"/>
        </w:rPr>
        <w:br/>
      </w:r>
      <w:r w:rsidR="00E90987" w:rsidRPr="00725935">
        <w:rPr>
          <w:rFonts w:ascii="Arial" w:hAnsi="Arial" w:cs="Arial"/>
        </w:rPr>
        <w:br/>
        <w:t>The financial analysis, findings interpretation, critical review, and suggestions were all conducted independently using confirmed evidence rather than AI-generated solutions.</w:t>
      </w:r>
      <w:r w:rsidR="000500C7" w:rsidRPr="00725935">
        <w:rPr>
          <w:rFonts w:ascii="Arial" w:hAnsi="Arial" w:cs="Arial"/>
        </w:rPr>
        <w:t xml:space="preserve"> AI was used solely to aid the study process by discovering relevant facts and background data regarding Marriott International's financial performance and the overall hotel industry. To verify accuracy and dependability, all AI-generated data was cross-referenced with Marriott International's official annual reports (2020-2024), peer-reviewed journal papers, academic books, and other relevant sources. Any information that could not be verified through these sources was omitted from the report. </w:t>
      </w:r>
      <w:r w:rsidR="000500C7" w:rsidRPr="00725935">
        <w:rPr>
          <w:rFonts w:ascii="Arial" w:hAnsi="Arial" w:cs="Arial"/>
        </w:rPr>
        <w:br/>
      </w:r>
      <w:r w:rsidR="000500C7" w:rsidRPr="00725935">
        <w:rPr>
          <w:rFonts w:ascii="Arial" w:hAnsi="Arial" w:cs="Arial"/>
        </w:rPr>
        <w:br/>
        <w:t>The financial analysis, findings interpretation, critical evaluation, and recommendations were all carried out independently, using verifiable evidence rather than AI-generated answers.</w:t>
      </w:r>
      <w:r w:rsidR="00BB2F8F" w:rsidRPr="00725935">
        <w:rPr>
          <w:rFonts w:ascii="Arial" w:hAnsi="Arial" w:cs="Arial"/>
        </w:rPr>
        <w:t xml:space="preserve"> Singh (2023) emphasises that AI should be utilised responsibly, with consumers validating information from credible sources rather than accepting AI-generated content without confirmation. Although AI can speed up the research process, human judgement is still required when reviewing financial data and making strategic business decisions.</w:t>
      </w:r>
      <w:r w:rsidR="00BB2F8F" w:rsidRPr="00725935">
        <w:rPr>
          <w:rFonts w:ascii="Arial" w:hAnsi="Arial" w:cs="Arial"/>
        </w:rPr>
        <w:br/>
      </w:r>
      <w:r w:rsidR="00BB2F8F" w:rsidRPr="00725935">
        <w:rPr>
          <w:rFonts w:ascii="Arial" w:hAnsi="Arial" w:cs="Arial"/>
        </w:rPr>
        <w:br/>
        <w:t>It is also critical to understand the limitations of AI when undertaking research. While AI may swiftly locate relevant information from a variety of sources, it cannot always determine the credibility, context, or significance of this information. Therefore, every significant item contained in this study was confirmed using Marriott International's official publications, academic journals, and other reputable sources before being added into the analysis.</w:t>
      </w:r>
    </w:p>
    <w:p w14:paraId="67D6E4D3" w14:textId="77777777" w:rsidR="00E26558" w:rsidRPr="00725935" w:rsidRDefault="00E26558" w:rsidP="00725935">
      <w:pPr>
        <w:spacing w:line="360" w:lineRule="auto"/>
        <w:rPr>
          <w:rFonts w:ascii="Arial" w:hAnsi="Arial" w:cs="Arial"/>
        </w:rPr>
      </w:pPr>
      <w:r w:rsidRPr="00725935">
        <w:rPr>
          <w:rFonts w:ascii="Arial" w:hAnsi="Arial" w:cs="Arial"/>
        </w:rPr>
        <w:t>Furthermore, the ethical use of AI necessitates transparency, critical thinking, and meticulous data verification. Relying only on AI-generated responses may raise the likelihood of employing incorrect or out-of-date information. According to Singh (2023), companies and individuals should utilise AI responsibly, which includes confirming study findings against reputable sources and exercising independent professional judgement. This reflection reveals that AI was utilised solely as a research support tool, with all analysis, evaluation, and conclusions founded on verified evidence and independent critical thinking.</w:t>
      </w:r>
    </w:p>
    <w:p w14:paraId="6EA805B3" w14:textId="13557F72" w:rsidR="000500C7" w:rsidRPr="00725935" w:rsidRDefault="000500C7" w:rsidP="00725935">
      <w:pPr>
        <w:spacing w:line="360" w:lineRule="auto"/>
        <w:rPr>
          <w:rFonts w:ascii="Arial" w:hAnsi="Arial" w:cs="Arial"/>
        </w:rPr>
      </w:pPr>
    </w:p>
    <w:p w14:paraId="5A86A0A3" w14:textId="3EEF868F" w:rsidR="00E90987" w:rsidRPr="00725935" w:rsidRDefault="00E90987" w:rsidP="00725935">
      <w:pPr>
        <w:spacing w:line="360" w:lineRule="auto"/>
        <w:rPr>
          <w:rFonts w:ascii="Arial" w:hAnsi="Arial" w:cs="Arial"/>
        </w:rPr>
      </w:pPr>
    </w:p>
    <w:p w14:paraId="3D60CE30" w14:textId="79CD6CAC" w:rsidR="00123874" w:rsidRPr="00725935" w:rsidRDefault="00123874" w:rsidP="00725935">
      <w:pPr>
        <w:spacing w:line="360" w:lineRule="auto"/>
        <w:rPr>
          <w:rFonts w:ascii="Arial" w:hAnsi="Arial" w:cs="Arial"/>
        </w:rPr>
      </w:pPr>
    </w:p>
    <w:p w14:paraId="06219B0E" w14:textId="77777777" w:rsidR="007C73E0" w:rsidRPr="00725935" w:rsidRDefault="007C73E0" w:rsidP="00725935">
      <w:pPr>
        <w:spacing w:line="360" w:lineRule="auto"/>
        <w:rPr>
          <w:rFonts w:ascii="Arial" w:hAnsi="Arial" w:cs="Arial"/>
        </w:rPr>
      </w:pPr>
    </w:p>
    <w:p w14:paraId="208EF7A3" w14:textId="0A4FA6FF" w:rsidR="00F45CE3" w:rsidRPr="00725935" w:rsidRDefault="00F45CE3" w:rsidP="00725935">
      <w:pPr>
        <w:spacing w:line="360" w:lineRule="auto"/>
        <w:rPr>
          <w:rFonts w:ascii="Arial" w:hAnsi="Arial" w:cs="Arial"/>
        </w:rPr>
      </w:pPr>
      <w:bookmarkStart w:id="19" w:name="_Toc235459615"/>
      <w:r w:rsidRPr="00725935">
        <w:rPr>
          <w:rStyle w:val="Heading1Char"/>
          <w:rFonts w:ascii="Arial" w:hAnsi="Arial" w:cs="Arial"/>
          <w:sz w:val="24"/>
          <w:szCs w:val="24"/>
        </w:rPr>
        <w:t>Conclusion</w:t>
      </w:r>
      <w:bookmarkEnd w:id="19"/>
      <w:r w:rsidRPr="00725935">
        <w:rPr>
          <w:rStyle w:val="Heading1Char"/>
          <w:rFonts w:ascii="Arial" w:hAnsi="Arial" w:cs="Arial"/>
          <w:sz w:val="24"/>
          <w:szCs w:val="24"/>
        </w:rPr>
        <w:br/>
      </w:r>
      <w:r w:rsidRPr="00725935">
        <w:rPr>
          <w:rFonts w:ascii="Arial" w:hAnsi="Arial" w:cs="Arial"/>
        </w:rPr>
        <w:t>The data shows that Marriott has experienced a solid financial recovery and profitability growth over the last five years. Despite this development, liquidity remains a major problem, and excessive leverage continues to pose financial concerns. Working capital efficiency is high, but more improvements in receivables and payables management could boost liquidity. Marriott's suggested restructuring plans aim to increase financial resilience, decrease risk, and promote long-term growth.</w:t>
      </w:r>
      <w:r w:rsidR="00756014" w:rsidRPr="00725935">
        <w:rPr>
          <w:rFonts w:ascii="Arial" w:hAnsi="Arial" w:cs="Arial"/>
        </w:rPr>
        <w:t xml:space="preserve"> </w:t>
      </w:r>
      <w:r w:rsidRPr="00725935">
        <w:rPr>
          <w:rFonts w:ascii="Arial" w:hAnsi="Arial" w:cs="Arial"/>
        </w:rPr>
        <w:t>According to investment appraisal results, Project C is the most appealing alternative, and under capital rationing, Projects A and C provide the maximum combined value. Marriott is well-positioned for future expansion, assuming efficient financial risk management.</w:t>
      </w:r>
    </w:p>
    <w:p w14:paraId="552DD893" w14:textId="77777777" w:rsidR="00756014" w:rsidRPr="00725935" w:rsidRDefault="00756014" w:rsidP="00725935">
      <w:pPr>
        <w:spacing w:line="360" w:lineRule="auto"/>
        <w:rPr>
          <w:rFonts w:ascii="Arial" w:hAnsi="Arial" w:cs="Arial"/>
        </w:rPr>
      </w:pPr>
      <w:r w:rsidRPr="00725935">
        <w:rPr>
          <w:rFonts w:ascii="Arial" w:hAnsi="Arial" w:cs="Arial"/>
        </w:rPr>
        <w:t>In addition to financial data, the conclusion emphasises the significance of matching Marriott's strategic decisions with long-term industry trends. Digitalisation, sustainability standards, and changing consumer behaviour are all driving huge transformations in the hospitality industry. Marriott's strong financial recovery lays the groundwork for future investment, but the company must keep evolving to remain competitive. To stay resilient in a turbulent global climate, it's important to strengthen liquidity, reduce leverage, and invest in high-growth regions.</w:t>
      </w:r>
    </w:p>
    <w:p w14:paraId="7365235C" w14:textId="77777777" w:rsidR="00E16AAC" w:rsidRPr="00725935" w:rsidRDefault="00E16AAC" w:rsidP="00725935">
      <w:pPr>
        <w:spacing w:line="360" w:lineRule="auto"/>
        <w:rPr>
          <w:rFonts w:ascii="Arial" w:hAnsi="Arial" w:cs="Arial"/>
        </w:rPr>
      </w:pPr>
      <w:r w:rsidRPr="00725935">
        <w:rPr>
          <w:rFonts w:ascii="Arial" w:hAnsi="Arial" w:cs="Arial"/>
        </w:rPr>
        <w:t>Furthermore, the investment assessment and capital rationing analysis highlight the importance of evidence-based decision-making. Selecting Projects A and C guarantees that Marriott's capital is allocated efficiently while also enabling strategic expansion. The restructuring suggestions underscore the importance of proactive financial management. Marriott's future success is on its ability to balance financial discipline and innovation, resulting in sustainable growth and long-term shareholder value.</w:t>
      </w:r>
    </w:p>
    <w:p w14:paraId="7F170F09" w14:textId="77777777" w:rsidR="00756014" w:rsidRPr="008E3B66" w:rsidRDefault="00756014" w:rsidP="008E3B66">
      <w:pPr>
        <w:spacing w:line="360" w:lineRule="auto"/>
        <w:rPr>
          <w:rFonts w:ascii="Arial" w:hAnsi="Arial" w:cs="Arial"/>
        </w:rPr>
      </w:pPr>
    </w:p>
    <w:p w14:paraId="2AE742CD" w14:textId="5E4D7DCA" w:rsidR="00F45CE3" w:rsidRPr="008E3B66" w:rsidRDefault="00F45CE3" w:rsidP="008E3B66">
      <w:pPr>
        <w:pStyle w:val="Heading1"/>
        <w:spacing w:line="360" w:lineRule="auto"/>
        <w:rPr>
          <w:rFonts w:ascii="Arial" w:hAnsi="Arial" w:cs="Arial"/>
          <w:sz w:val="24"/>
          <w:szCs w:val="24"/>
        </w:rPr>
      </w:pPr>
      <w:bookmarkStart w:id="20" w:name="_Toc235459616"/>
      <w:r w:rsidRPr="008E3B66">
        <w:rPr>
          <w:rFonts w:ascii="Arial" w:hAnsi="Arial" w:cs="Arial"/>
          <w:sz w:val="24"/>
          <w:szCs w:val="24"/>
        </w:rPr>
        <w:t>Reference</w:t>
      </w:r>
      <w:bookmarkEnd w:id="20"/>
      <w:r w:rsidRPr="008E3B66">
        <w:rPr>
          <w:rFonts w:ascii="Arial" w:hAnsi="Arial" w:cs="Arial"/>
          <w:sz w:val="24"/>
          <w:szCs w:val="24"/>
        </w:rPr>
        <w:t xml:space="preserve"> </w:t>
      </w:r>
    </w:p>
    <w:p w14:paraId="1625C171" w14:textId="77777777" w:rsidR="00F45CE3" w:rsidRPr="008E3B66" w:rsidRDefault="00F45CE3" w:rsidP="008E3B66">
      <w:pPr>
        <w:spacing w:line="360" w:lineRule="auto"/>
        <w:rPr>
          <w:rFonts w:ascii="Arial" w:hAnsi="Arial" w:cs="Arial"/>
          <w:b/>
          <w:bCs/>
        </w:rPr>
      </w:pPr>
    </w:p>
    <w:p w14:paraId="1332E053" w14:textId="77777777" w:rsidR="00DB5860" w:rsidRPr="00DB5860" w:rsidRDefault="00DB5860" w:rsidP="008E3B66">
      <w:pPr>
        <w:spacing w:line="360" w:lineRule="auto"/>
        <w:rPr>
          <w:rFonts w:ascii="Arial" w:hAnsi="Arial" w:cs="Arial"/>
        </w:rPr>
      </w:pPr>
    </w:p>
    <w:p w14:paraId="3DC95A2F" w14:textId="77777777" w:rsidR="00F9161E" w:rsidRPr="001D060D" w:rsidRDefault="00F9161E" w:rsidP="001D060D"/>
    <w:p w14:paraId="7095A42C" w14:textId="77777777" w:rsidR="00F9161E" w:rsidRPr="00DB5860" w:rsidRDefault="00F9161E" w:rsidP="008E3B66">
      <w:pPr>
        <w:spacing w:line="360" w:lineRule="auto"/>
        <w:rPr>
          <w:rFonts w:ascii="Arial" w:hAnsi="Arial" w:cs="Arial"/>
        </w:rPr>
      </w:pPr>
      <w:r w:rsidRPr="00DB5860">
        <w:rPr>
          <w:rFonts w:ascii="Arial" w:hAnsi="Arial" w:cs="Arial"/>
        </w:rPr>
        <w:t xml:space="preserve">Accor Hotels (2024) </w:t>
      </w:r>
      <w:r w:rsidRPr="00DB5860">
        <w:rPr>
          <w:rFonts w:ascii="Arial" w:hAnsi="Arial" w:cs="Arial"/>
          <w:i/>
          <w:iCs/>
        </w:rPr>
        <w:t>Universal Registration Document 2024</w:t>
      </w:r>
      <w:r w:rsidRPr="00DB5860">
        <w:rPr>
          <w:rFonts w:ascii="Arial" w:hAnsi="Arial" w:cs="Arial"/>
        </w:rPr>
        <w:t>. Accor SA.</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37C829CA" w14:textId="77777777" w:rsidR="00F9161E" w:rsidRPr="00DB5860" w:rsidRDefault="00F9161E" w:rsidP="008E3B66">
      <w:pPr>
        <w:spacing w:line="360" w:lineRule="auto"/>
        <w:rPr>
          <w:rFonts w:ascii="Arial" w:hAnsi="Arial" w:cs="Arial"/>
        </w:rPr>
      </w:pPr>
      <w:r w:rsidRPr="00DB5860">
        <w:rPr>
          <w:rFonts w:ascii="Arial" w:hAnsi="Arial" w:cs="Arial"/>
        </w:rPr>
        <w:t xml:space="preserve">Arnold, G. (2021) </w:t>
      </w:r>
      <w:r w:rsidRPr="00DB5860">
        <w:rPr>
          <w:rFonts w:ascii="Arial" w:hAnsi="Arial" w:cs="Arial"/>
          <w:i/>
          <w:iCs/>
        </w:rPr>
        <w:t>The Financial Times Guide to Corporate Finance</w:t>
      </w:r>
      <w:r w:rsidRPr="00DB5860">
        <w:rPr>
          <w:rFonts w:ascii="Arial" w:hAnsi="Arial" w:cs="Arial"/>
        </w:rPr>
        <w:t xml:space="preserve">. 3rd </w:t>
      </w:r>
      <w:proofErr w:type="spellStart"/>
      <w:r w:rsidRPr="00DB5860">
        <w:rPr>
          <w:rFonts w:ascii="Arial" w:hAnsi="Arial" w:cs="Arial"/>
        </w:rPr>
        <w:t>edn</w:t>
      </w:r>
      <w:proofErr w:type="spellEnd"/>
      <w:r w:rsidRPr="00DB5860">
        <w:rPr>
          <w:rFonts w:ascii="Arial" w:hAnsi="Arial" w:cs="Arial"/>
        </w:rPr>
        <w:t>. FT Publishing.</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14F80353" w14:textId="77777777" w:rsidR="00F9161E" w:rsidRPr="00DB5860" w:rsidRDefault="00F9161E" w:rsidP="008E3B66">
      <w:pPr>
        <w:spacing w:line="360" w:lineRule="auto"/>
        <w:rPr>
          <w:rFonts w:ascii="Arial" w:hAnsi="Arial" w:cs="Arial"/>
        </w:rPr>
      </w:pPr>
      <w:proofErr w:type="spellStart"/>
      <w:r w:rsidRPr="00DB5860">
        <w:rPr>
          <w:rFonts w:ascii="Arial" w:hAnsi="Arial" w:cs="Arial"/>
        </w:rPr>
        <w:t>Atrill</w:t>
      </w:r>
      <w:proofErr w:type="spellEnd"/>
      <w:r w:rsidRPr="00DB5860">
        <w:rPr>
          <w:rFonts w:ascii="Arial" w:hAnsi="Arial" w:cs="Arial"/>
        </w:rPr>
        <w:t xml:space="preserve">, P. and McLaney, E. (2022) </w:t>
      </w:r>
      <w:r w:rsidRPr="00DB5860">
        <w:rPr>
          <w:rFonts w:ascii="Arial" w:hAnsi="Arial" w:cs="Arial"/>
          <w:i/>
          <w:iCs/>
        </w:rPr>
        <w:t>Financial Management for Decision Makers</w:t>
      </w:r>
      <w:r w:rsidRPr="00DB5860">
        <w:rPr>
          <w:rFonts w:ascii="Arial" w:hAnsi="Arial" w:cs="Arial"/>
        </w:rPr>
        <w:t xml:space="preserve">. 9th </w:t>
      </w:r>
      <w:proofErr w:type="spellStart"/>
      <w:r w:rsidRPr="00DB5860">
        <w:rPr>
          <w:rFonts w:ascii="Arial" w:hAnsi="Arial" w:cs="Arial"/>
        </w:rPr>
        <w:t>edn</w:t>
      </w:r>
      <w:proofErr w:type="spellEnd"/>
      <w:r w:rsidRPr="00DB5860">
        <w:rPr>
          <w:rFonts w:ascii="Arial" w:hAnsi="Arial" w:cs="Arial"/>
        </w:rPr>
        <w:t>. Pearson.</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09A451EF" w14:textId="77777777" w:rsidR="00F9161E" w:rsidRPr="00DB5860" w:rsidRDefault="00F9161E" w:rsidP="008E3B66">
      <w:pPr>
        <w:spacing w:line="360" w:lineRule="auto"/>
        <w:rPr>
          <w:rFonts w:ascii="Arial" w:hAnsi="Arial" w:cs="Arial"/>
        </w:rPr>
      </w:pPr>
      <w:r w:rsidRPr="00DB5860">
        <w:rPr>
          <w:rFonts w:ascii="Arial" w:hAnsi="Arial" w:cs="Arial"/>
        </w:rPr>
        <w:t xml:space="preserve">Brealey, R.A., Myers, S.C. and Allen, F. (2022) </w:t>
      </w:r>
      <w:r w:rsidRPr="00DB5860">
        <w:rPr>
          <w:rFonts w:ascii="Arial" w:hAnsi="Arial" w:cs="Arial"/>
          <w:i/>
          <w:iCs/>
        </w:rPr>
        <w:t>Principles of Corporate Finance</w:t>
      </w:r>
      <w:r w:rsidRPr="00DB5860">
        <w:rPr>
          <w:rFonts w:ascii="Arial" w:hAnsi="Arial" w:cs="Arial"/>
        </w:rPr>
        <w:t xml:space="preserve">. 14th </w:t>
      </w:r>
      <w:proofErr w:type="spellStart"/>
      <w:r w:rsidRPr="00DB5860">
        <w:rPr>
          <w:rFonts w:ascii="Arial" w:hAnsi="Arial" w:cs="Arial"/>
        </w:rPr>
        <w:t>edn</w:t>
      </w:r>
      <w:proofErr w:type="spellEnd"/>
      <w:r w:rsidRPr="00DB5860">
        <w:rPr>
          <w:rFonts w:ascii="Arial" w:hAnsi="Arial" w:cs="Arial"/>
        </w:rPr>
        <w:t>. McGraw-Hill.</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7FE7FBF0" w14:textId="77777777" w:rsidR="00F9161E" w:rsidRPr="00DB5860" w:rsidRDefault="00F9161E" w:rsidP="008E3B66">
      <w:pPr>
        <w:spacing w:line="360" w:lineRule="auto"/>
        <w:rPr>
          <w:rFonts w:ascii="Arial" w:hAnsi="Arial" w:cs="Arial"/>
        </w:rPr>
      </w:pPr>
      <w:r w:rsidRPr="00DB5860">
        <w:rPr>
          <w:rFonts w:ascii="Arial" w:hAnsi="Arial" w:cs="Arial"/>
        </w:rPr>
        <w:t xml:space="preserve">Brigham, E.F. and Ehrhardt, M.C. (2021) </w:t>
      </w:r>
      <w:r w:rsidRPr="00DB5860">
        <w:rPr>
          <w:rFonts w:ascii="Arial" w:hAnsi="Arial" w:cs="Arial"/>
          <w:i/>
          <w:iCs/>
        </w:rPr>
        <w:t>Financial Management: Theory and Practice</w:t>
      </w:r>
      <w:r w:rsidRPr="00DB5860">
        <w:rPr>
          <w:rFonts w:ascii="Arial" w:hAnsi="Arial" w:cs="Arial"/>
        </w:rPr>
        <w:t xml:space="preserve">. 16th </w:t>
      </w:r>
      <w:proofErr w:type="spellStart"/>
      <w:r w:rsidRPr="00DB5860">
        <w:rPr>
          <w:rFonts w:ascii="Arial" w:hAnsi="Arial" w:cs="Arial"/>
        </w:rPr>
        <w:t>edn</w:t>
      </w:r>
      <w:proofErr w:type="spellEnd"/>
      <w:r w:rsidRPr="00DB5860">
        <w:rPr>
          <w:rFonts w:ascii="Arial" w:hAnsi="Arial" w:cs="Arial"/>
        </w:rPr>
        <w:t>. Cengage Learning.</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01B91649" w14:textId="77777777" w:rsidR="00F9161E" w:rsidRPr="00DB5860" w:rsidRDefault="00F9161E" w:rsidP="008E3B66">
      <w:pPr>
        <w:spacing w:line="360" w:lineRule="auto"/>
        <w:rPr>
          <w:rFonts w:ascii="Arial" w:hAnsi="Arial" w:cs="Arial"/>
        </w:rPr>
      </w:pPr>
      <w:r w:rsidRPr="00DB5860">
        <w:rPr>
          <w:rFonts w:ascii="Arial" w:hAnsi="Arial" w:cs="Arial"/>
        </w:rPr>
        <w:t xml:space="preserve">Chen, M. (2021) ‘Asset-light strategies in global hospitality firms’, </w:t>
      </w:r>
      <w:r w:rsidRPr="00DB5860">
        <w:rPr>
          <w:rFonts w:ascii="Arial" w:hAnsi="Arial" w:cs="Arial"/>
          <w:i/>
          <w:iCs/>
        </w:rPr>
        <w:t>Journal of Hospitality Financial Management</w:t>
      </w:r>
      <w:r w:rsidRPr="00DB5860">
        <w:rPr>
          <w:rFonts w:ascii="Arial" w:hAnsi="Arial" w:cs="Arial"/>
        </w:rPr>
        <w:t>, 29(2), pp. 45–62.</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349897CE" w14:textId="77777777" w:rsidR="00F9161E" w:rsidRPr="00DB5860" w:rsidRDefault="00F9161E" w:rsidP="008E3B66">
      <w:pPr>
        <w:spacing w:line="360" w:lineRule="auto"/>
        <w:rPr>
          <w:rFonts w:ascii="Arial" w:hAnsi="Arial" w:cs="Arial"/>
        </w:rPr>
      </w:pPr>
      <w:r w:rsidRPr="00DB5860">
        <w:rPr>
          <w:rFonts w:ascii="Arial" w:hAnsi="Arial" w:cs="Arial"/>
        </w:rPr>
        <w:t xml:space="preserve">Damodaran, A. (2023) </w:t>
      </w:r>
      <w:r w:rsidRPr="00DB5860">
        <w:rPr>
          <w:rFonts w:ascii="Arial" w:hAnsi="Arial" w:cs="Arial"/>
          <w:i/>
          <w:iCs/>
        </w:rPr>
        <w:t>Applied Corporate Finance</w:t>
      </w:r>
      <w:r w:rsidRPr="00DB5860">
        <w:rPr>
          <w:rFonts w:ascii="Arial" w:hAnsi="Arial" w:cs="Arial"/>
        </w:rPr>
        <w:t xml:space="preserve">. 5th </w:t>
      </w:r>
      <w:proofErr w:type="spellStart"/>
      <w:r w:rsidRPr="00DB5860">
        <w:rPr>
          <w:rFonts w:ascii="Arial" w:hAnsi="Arial" w:cs="Arial"/>
        </w:rPr>
        <w:t>edn</w:t>
      </w:r>
      <w:proofErr w:type="spellEnd"/>
      <w:r w:rsidRPr="00DB5860">
        <w:rPr>
          <w:rFonts w:ascii="Arial" w:hAnsi="Arial" w:cs="Arial"/>
        </w:rPr>
        <w:t>. Wiley.</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5D0496E6" w14:textId="77777777" w:rsidR="00F9161E" w:rsidRPr="00DB5860" w:rsidRDefault="00F9161E" w:rsidP="008E3B66">
      <w:pPr>
        <w:spacing w:line="360" w:lineRule="auto"/>
        <w:rPr>
          <w:rFonts w:ascii="Arial" w:hAnsi="Arial" w:cs="Arial"/>
        </w:rPr>
      </w:pPr>
      <w:r w:rsidRPr="00DB5860">
        <w:rPr>
          <w:rFonts w:ascii="Arial" w:hAnsi="Arial" w:cs="Arial"/>
        </w:rPr>
        <w:t xml:space="preserve">Gitman, L.J. and Zutter, C.J. (2021) </w:t>
      </w:r>
      <w:r w:rsidRPr="00DB5860">
        <w:rPr>
          <w:rFonts w:ascii="Arial" w:hAnsi="Arial" w:cs="Arial"/>
          <w:i/>
          <w:iCs/>
        </w:rPr>
        <w:t>Principles of Managerial Finance</w:t>
      </w:r>
      <w:r w:rsidRPr="00DB5860">
        <w:rPr>
          <w:rFonts w:ascii="Arial" w:hAnsi="Arial" w:cs="Arial"/>
        </w:rPr>
        <w:t xml:space="preserve">. 15th </w:t>
      </w:r>
      <w:proofErr w:type="spellStart"/>
      <w:r w:rsidRPr="00DB5860">
        <w:rPr>
          <w:rFonts w:ascii="Arial" w:hAnsi="Arial" w:cs="Arial"/>
        </w:rPr>
        <w:t>edn</w:t>
      </w:r>
      <w:proofErr w:type="spellEnd"/>
      <w:r w:rsidRPr="00DB5860">
        <w:rPr>
          <w:rFonts w:ascii="Arial" w:hAnsi="Arial" w:cs="Arial"/>
        </w:rPr>
        <w:t>. Pearson.</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141DD6F7" w14:textId="77777777" w:rsidR="00F9161E" w:rsidRPr="00DB5860" w:rsidRDefault="00F9161E" w:rsidP="008E3B66">
      <w:pPr>
        <w:spacing w:line="360" w:lineRule="auto"/>
        <w:rPr>
          <w:rFonts w:ascii="Arial" w:hAnsi="Arial" w:cs="Arial"/>
        </w:rPr>
      </w:pPr>
      <w:r w:rsidRPr="00DB5860">
        <w:rPr>
          <w:rFonts w:ascii="Arial" w:hAnsi="Arial" w:cs="Arial"/>
        </w:rPr>
        <w:t xml:space="preserve">Hilton Worldwide (2024) </w:t>
      </w:r>
      <w:r w:rsidRPr="00DB5860">
        <w:rPr>
          <w:rFonts w:ascii="Arial" w:hAnsi="Arial" w:cs="Arial"/>
          <w:i/>
          <w:iCs/>
        </w:rPr>
        <w:t>Annual Report 2024</w:t>
      </w:r>
      <w:r w:rsidRPr="00DB5860">
        <w:rPr>
          <w:rFonts w:ascii="Arial" w:hAnsi="Arial" w:cs="Arial"/>
        </w:rPr>
        <w:t>. Hilton Worldwide Holdings Inc.</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57CC7A4D" w14:textId="77777777" w:rsidR="00F9161E" w:rsidRPr="00DB5860" w:rsidRDefault="00F9161E" w:rsidP="008E3B66">
      <w:pPr>
        <w:spacing w:line="360" w:lineRule="auto"/>
        <w:rPr>
          <w:rFonts w:ascii="Arial" w:hAnsi="Arial" w:cs="Arial"/>
        </w:rPr>
      </w:pPr>
      <w:r w:rsidRPr="00DB5860">
        <w:rPr>
          <w:rFonts w:ascii="Arial" w:hAnsi="Arial" w:cs="Arial"/>
        </w:rPr>
        <w:t xml:space="preserve">Hyatt Hotels Corporation (2024) </w:t>
      </w:r>
      <w:r w:rsidRPr="00DB5860">
        <w:rPr>
          <w:rFonts w:ascii="Arial" w:hAnsi="Arial" w:cs="Arial"/>
          <w:i/>
          <w:iCs/>
        </w:rPr>
        <w:t>Annual Report 2024</w:t>
      </w:r>
      <w:r w:rsidRPr="00DB5860">
        <w:rPr>
          <w:rFonts w:ascii="Arial" w:hAnsi="Arial" w:cs="Arial"/>
        </w:rPr>
        <w:t>. Hyatt Corporation.</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5A7CBB21" w14:textId="77777777" w:rsidR="00F9161E" w:rsidRPr="00DB5860" w:rsidRDefault="00F9161E" w:rsidP="008E3B66">
      <w:pPr>
        <w:spacing w:line="360" w:lineRule="auto"/>
        <w:rPr>
          <w:rFonts w:ascii="Arial" w:hAnsi="Arial" w:cs="Arial"/>
        </w:rPr>
      </w:pPr>
      <w:r w:rsidRPr="00DB5860">
        <w:rPr>
          <w:rFonts w:ascii="Arial" w:hAnsi="Arial" w:cs="Arial"/>
        </w:rPr>
        <w:t xml:space="preserve">IHG (InterContinental Hotels Group) (2024) </w:t>
      </w:r>
      <w:r w:rsidRPr="00DB5860">
        <w:rPr>
          <w:rFonts w:ascii="Arial" w:hAnsi="Arial" w:cs="Arial"/>
          <w:i/>
          <w:iCs/>
        </w:rPr>
        <w:t>Annual Report 2024</w:t>
      </w:r>
      <w:r w:rsidRPr="00DB5860">
        <w:rPr>
          <w:rFonts w:ascii="Arial" w:hAnsi="Arial" w:cs="Arial"/>
        </w:rPr>
        <w:t>. IHG PLC.</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7E23D50C" w14:textId="77777777" w:rsidR="00F9161E" w:rsidRPr="00DB5860" w:rsidRDefault="00F9161E" w:rsidP="008E3B66">
      <w:pPr>
        <w:spacing w:line="360" w:lineRule="auto"/>
        <w:rPr>
          <w:rFonts w:ascii="Arial" w:hAnsi="Arial" w:cs="Arial"/>
        </w:rPr>
      </w:pPr>
      <w:r w:rsidRPr="00DB5860">
        <w:rPr>
          <w:rFonts w:ascii="Arial" w:hAnsi="Arial" w:cs="Arial"/>
        </w:rPr>
        <w:t xml:space="preserve">Kim, H. (2023) ‘Liquidity risk and financial resilience in multinational hotel chains’, </w:t>
      </w:r>
      <w:r w:rsidRPr="00DB5860">
        <w:rPr>
          <w:rFonts w:ascii="Arial" w:hAnsi="Arial" w:cs="Arial"/>
          <w:i/>
          <w:iCs/>
        </w:rPr>
        <w:t>Tourism Economics</w:t>
      </w:r>
      <w:r w:rsidRPr="00DB5860">
        <w:rPr>
          <w:rFonts w:ascii="Arial" w:hAnsi="Arial" w:cs="Arial"/>
        </w:rPr>
        <w:t>, 29(4), pp. 789–804.</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3FB13B6C" w14:textId="77777777" w:rsidR="00F9161E" w:rsidRPr="00DB5860" w:rsidRDefault="00F9161E" w:rsidP="008E3B66">
      <w:pPr>
        <w:spacing w:line="360" w:lineRule="auto"/>
        <w:rPr>
          <w:rFonts w:ascii="Arial" w:hAnsi="Arial" w:cs="Arial"/>
        </w:rPr>
      </w:pPr>
      <w:r w:rsidRPr="00DB5860">
        <w:rPr>
          <w:rFonts w:ascii="Arial" w:hAnsi="Arial" w:cs="Arial"/>
        </w:rPr>
        <w:t xml:space="preserve">Lee, S. and Jang, S. (2022) ‘Capital structure decisions in hotel corporations’, </w:t>
      </w:r>
      <w:r w:rsidRPr="00DB5860">
        <w:rPr>
          <w:rFonts w:ascii="Arial" w:hAnsi="Arial" w:cs="Arial"/>
          <w:i/>
          <w:iCs/>
        </w:rPr>
        <w:t>International Journal of Hospitality Management</w:t>
      </w:r>
      <w:r w:rsidRPr="00DB5860">
        <w:rPr>
          <w:rFonts w:ascii="Arial" w:hAnsi="Arial" w:cs="Arial"/>
        </w:rPr>
        <w:t>, 102, pp. 1–12.</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0D418710" w14:textId="77777777" w:rsidR="00F9161E" w:rsidRPr="00DB5860" w:rsidRDefault="00F9161E" w:rsidP="008E3B66">
      <w:pPr>
        <w:spacing w:line="360" w:lineRule="auto"/>
        <w:rPr>
          <w:rFonts w:ascii="Arial" w:hAnsi="Arial" w:cs="Arial"/>
        </w:rPr>
      </w:pPr>
      <w:r w:rsidRPr="00DB5860">
        <w:rPr>
          <w:rFonts w:ascii="Arial" w:hAnsi="Arial" w:cs="Arial"/>
        </w:rPr>
        <w:t xml:space="preserve">Marriott International (2020) </w:t>
      </w:r>
      <w:r w:rsidRPr="00DB5860">
        <w:rPr>
          <w:rFonts w:ascii="Arial" w:hAnsi="Arial" w:cs="Arial"/>
          <w:i/>
          <w:iCs/>
        </w:rPr>
        <w:t>Annual Report 2020</w:t>
      </w:r>
      <w:r w:rsidRPr="00DB5860">
        <w:rPr>
          <w:rFonts w:ascii="Arial" w:hAnsi="Arial" w:cs="Arial"/>
        </w:rPr>
        <w:t>. Marriott International.</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25E728B6" w14:textId="77777777" w:rsidR="00F9161E" w:rsidRPr="00DB5860" w:rsidRDefault="00F9161E" w:rsidP="008E3B66">
      <w:pPr>
        <w:spacing w:line="360" w:lineRule="auto"/>
        <w:rPr>
          <w:rFonts w:ascii="Arial" w:hAnsi="Arial" w:cs="Arial"/>
        </w:rPr>
      </w:pPr>
      <w:r w:rsidRPr="00DB5860">
        <w:rPr>
          <w:rFonts w:ascii="Arial" w:hAnsi="Arial" w:cs="Arial"/>
        </w:rPr>
        <w:t xml:space="preserve">Marriott International (2021) </w:t>
      </w:r>
      <w:r w:rsidRPr="00DB5860">
        <w:rPr>
          <w:rFonts w:ascii="Arial" w:hAnsi="Arial" w:cs="Arial"/>
          <w:i/>
          <w:iCs/>
        </w:rPr>
        <w:t>Annual Report 2021</w:t>
      </w:r>
      <w:r w:rsidRPr="00DB5860">
        <w:rPr>
          <w:rFonts w:ascii="Arial" w:hAnsi="Arial" w:cs="Arial"/>
        </w:rPr>
        <w:t>. Marriott International.</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301194ED" w14:textId="77777777" w:rsidR="00F9161E" w:rsidRPr="00DB5860" w:rsidRDefault="00F9161E" w:rsidP="008E3B66">
      <w:pPr>
        <w:spacing w:line="360" w:lineRule="auto"/>
        <w:rPr>
          <w:rFonts w:ascii="Arial" w:hAnsi="Arial" w:cs="Arial"/>
        </w:rPr>
      </w:pPr>
      <w:r w:rsidRPr="00DB5860">
        <w:rPr>
          <w:rFonts w:ascii="Arial" w:hAnsi="Arial" w:cs="Arial"/>
        </w:rPr>
        <w:t xml:space="preserve">Marriott International (2022) </w:t>
      </w:r>
      <w:r w:rsidRPr="00DB5860">
        <w:rPr>
          <w:rFonts w:ascii="Arial" w:hAnsi="Arial" w:cs="Arial"/>
          <w:i/>
          <w:iCs/>
        </w:rPr>
        <w:t>Annual Report 2022</w:t>
      </w:r>
      <w:r w:rsidRPr="00DB5860">
        <w:rPr>
          <w:rFonts w:ascii="Arial" w:hAnsi="Arial" w:cs="Arial"/>
        </w:rPr>
        <w:t>. Marriott International.</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2D8B1487" w14:textId="77777777" w:rsidR="00F9161E" w:rsidRPr="00DB5860" w:rsidRDefault="00F9161E" w:rsidP="008E3B66">
      <w:pPr>
        <w:spacing w:line="360" w:lineRule="auto"/>
        <w:rPr>
          <w:rFonts w:ascii="Arial" w:hAnsi="Arial" w:cs="Arial"/>
        </w:rPr>
      </w:pPr>
      <w:r w:rsidRPr="00DB5860">
        <w:rPr>
          <w:rFonts w:ascii="Arial" w:hAnsi="Arial" w:cs="Arial"/>
        </w:rPr>
        <w:t xml:space="preserve">Marriott International (2023) </w:t>
      </w:r>
      <w:r w:rsidRPr="00DB5860">
        <w:rPr>
          <w:rFonts w:ascii="Arial" w:hAnsi="Arial" w:cs="Arial"/>
          <w:i/>
          <w:iCs/>
        </w:rPr>
        <w:t>Annual Report 2023</w:t>
      </w:r>
      <w:r w:rsidRPr="00DB5860">
        <w:rPr>
          <w:rFonts w:ascii="Arial" w:hAnsi="Arial" w:cs="Arial"/>
        </w:rPr>
        <w:t>. Marriott International.</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4B9F3D02" w14:textId="77777777" w:rsidR="00F9161E" w:rsidRPr="00DB5860" w:rsidRDefault="00F9161E" w:rsidP="008E3B66">
      <w:pPr>
        <w:spacing w:line="360" w:lineRule="auto"/>
        <w:rPr>
          <w:rFonts w:ascii="Arial" w:hAnsi="Arial" w:cs="Arial"/>
        </w:rPr>
      </w:pPr>
      <w:r w:rsidRPr="00DB5860">
        <w:rPr>
          <w:rFonts w:ascii="Arial" w:hAnsi="Arial" w:cs="Arial"/>
        </w:rPr>
        <w:t xml:space="preserve">Marriott International (2024) </w:t>
      </w:r>
      <w:r w:rsidRPr="00DB5860">
        <w:rPr>
          <w:rFonts w:ascii="Arial" w:hAnsi="Arial" w:cs="Arial"/>
          <w:i/>
          <w:iCs/>
        </w:rPr>
        <w:t>Annual Report 2024</w:t>
      </w:r>
      <w:r w:rsidRPr="00DB5860">
        <w:rPr>
          <w:rFonts w:ascii="Arial" w:hAnsi="Arial" w:cs="Arial"/>
        </w:rPr>
        <w:t>. Marriott International.</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36F457E2" w14:textId="77777777" w:rsidR="00F9161E" w:rsidRPr="00DB5860" w:rsidRDefault="00F9161E" w:rsidP="008E3B66">
      <w:pPr>
        <w:spacing w:line="360" w:lineRule="auto"/>
        <w:rPr>
          <w:rFonts w:ascii="Arial" w:hAnsi="Arial" w:cs="Arial"/>
        </w:rPr>
      </w:pPr>
      <w:r w:rsidRPr="00DB5860">
        <w:rPr>
          <w:rFonts w:ascii="Arial" w:hAnsi="Arial" w:cs="Arial"/>
        </w:rPr>
        <w:t xml:space="preserve">Moyer, R.C., McGuigan, J.R. and Kretlow, W.J. (2020) </w:t>
      </w:r>
      <w:r w:rsidRPr="00DB5860">
        <w:rPr>
          <w:rFonts w:ascii="Arial" w:hAnsi="Arial" w:cs="Arial"/>
          <w:i/>
          <w:iCs/>
        </w:rPr>
        <w:t>Contemporary Financial Management</w:t>
      </w:r>
      <w:r w:rsidRPr="00DB5860">
        <w:rPr>
          <w:rFonts w:ascii="Arial" w:hAnsi="Arial" w:cs="Arial"/>
        </w:rPr>
        <w:t xml:space="preserve">. 14th </w:t>
      </w:r>
      <w:proofErr w:type="spellStart"/>
      <w:r w:rsidRPr="00DB5860">
        <w:rPr>
          <w:rFonts w:ascii="Arial" w:hAnsi="Arial" w:cs="Arial"/>
        </w:rPr>
        <w:t>edn</w:t>
      </w:r>
      <w:proofErr w:type="spellEnd"/>
      <w:r w:rsidRPr="00DB5860">
        <w:rPr>
          <w:rFonts w:ascii="Arial" w:hAnsi="Arial" w:cs="Arial"/>
        </w:rPr>
        <w:t>. Cengage Learning.</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56DC50FE" w14:textId="77777777" w:rsidR="00F9161E" w:rsidRPr="00DB5860" w:rsidRDefault="00F9161E" w:rsidP="008E3B66">
      <w:pPr>
        <w:spacing w:line="360" w:lineRule="auto"/>
        <w:rPr>
          <w:rFonts w:ascii="Arial" w:hAnsi="Arial" w:cs="Arial"/>
        </w:rPr>
      </w:pPr>
      <w:r w:rsidRPr="00DB5860">
        <w:rPr>
          <w:rFonts w:ascii="Arial" w:hAnsi="Arial" w:cs="Arial"/>
        </w:rPr>
        <w:t xml:space="preserve">OECD (2023) </w:t>
      </w:r>
      <w:r w:rsidRPr="00DB5860">
        <w:rPr>
          <w:rFonts w:ascii="Arial" w:hAnsi="Arial" w:cs="Arial"/>
          <w:i/>
          <w:iCs/>
        </w:rPr>
        <w:t>Base Erosion and Profit Shifting (BEPS) Compliance Guidelines</w:t>
      </w:r>
      <w:r w:rsidRPr="00DB5860">
        <w:rPr>
          <w:rFonts w:ascii="Arial" w:hAnsi="Arial" w:cs="Arial"/>
        </w:rPr>
        <w:t>. OECD Publishing.</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5D1BFC95" w14:textId="77777777" w:rsidR="00F9161E" w:rsidRPr="00DB5860" w:rsidRDefault="00F9161E" w:rsidP="008E3B66">
      <w:pPr>
        <w:spacing w:line="360" w:lineRule="auto"/>
        <w:rPr>
          <w:rFonts w:ascii="Arial" w:hAnsi="Arial" w:cs="Arial"/>
        </w:rPr>
      </w:pPr>
      <w:r w:rsidRPr="00DB5860">
        <w:rPr>
          <w:rFonts w:ascii="Arial" w:hAnsi="Arial" w:cs="Arial"/>
        </w:rPr>
        <w:t xml:space="preserve">Pike, R. and Neale, B. (2020) </w:t>
      </w:r>
      <w:r w:rsidRPr="00DB5860">
        <w:rPr>
          <w:rFonts w:ascii="Arial" w:hAnsi="Arial" w:cs="Arial"/>
          <w:i/>
          <w:iCs/>
        </w:rPr>
        <w:t>Corporate Finance and Investment: Decisions &amp; Strategies</w:t>
      </w:r>
      <w:r w:rsidRPr="00DB5860">
        <w:rPr>
          <w:rFonts w:ascii="Arial" w:hAnsi="Arial" w:cs="Arial"/>
        </w:rPr>
        <w:t xml:space="preserve">. 9th </w:t>
      </w:r>
      <w:proofErr w:type="spellStart"/>
      <w:r w:rsidRPr="00DB5860">
        <w:rPr>
          <w:rFonts w:ascii="Arial" w:hAnsi="Arial" w:cs="Arial"/>
        </w:rPr>
        <w:t>edn</w:t>
      </w:r>
      <w:proofErr w:type="spellEnd"/>
      <w:r w:rsidRPr="00DB5860">
        <w:rPr>
          <w:rFonts w:ascii="Arial" w:hAnsi="Arial" w:cs="Arial"/>
        </w:rPr>
        <w:t>. Pearson.</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15B5D7F1" w14:textId="77777777" w:rsidR="00F9161E" w:rsidRPr="00DB5860" w:rsidRDefault="00F9161E" w:rsidP="008E3B66">
      <w:pPr>
        <w:spacing w:line="360" w:lineRule="auto"/>
        <w:rPr>
          <w:rFonts w:ascii="Arial" w:hAnsi="Arial" w:cs="Arial"/>
        </w:rPr>
      </w:pPr>
      <w:r w:rsidRPr="00DB5860">
        <w:rPr>
          <w:rFonts w:ascii="Arial" w:hAnsi="Arial" w:cs="Arial"/>
        </w:rPr>
        <w:t xml:space="preserve">Ross, S.A., Westerfield, R.W. and Jordan, B.D. (2022) </w:t>
      </w:r>
      <w:r w:rsidRPr="00DB5860">
        <w:rPr>
          <w:rFonts w:ascii="Arial" w:hAnsi="Arial" w:cs="Arial"/>
          <w:i/>
          <w:iCs/>
        </w:rPr>
        <w:t>Corporate Finance</w:t>
      </w:r>
      <w:r w:rsidRPr="00DB5860">
        <w:rPr>
          <w:rFonts w:ascii="Arial" w:hAnsi="Arial" w:cs="Arial"/>
        </w:rPr>
        <w:t xml:space="preserve">. 13th </w:t>
      </w:r>
      <w:proofErr w:type="spellStart"/>
      <w:r w:rsidRPr="00DB5860">
        <w:rPr>
          <w:rFonts w:ascii="Arial" w:hAnsi="Arial" w:cs="Arial"/>
        </w:rPr>
        <w:t>edn</w:t>
      </w:r>
      <w:proofErr w:type="spellEnd"/>
      <w:r w:rsidRPr="00DB5860">
        <w:rPr>
          <w:rFonts w:ascii="Arial" w:hAnsi="Arial" w:cs="Arial"/>
        </w:rPr>
        <w:t>. McGraw-Hill.</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7C29FD08" w14:textId="77777777" w:rsidR="00F9161E" w:rsidRPr="00DB5860" w:rsidRDefault="00F9161E" w:rsidP="008E3B66">
      <w:pPr>
        <w:spacing w:line="360" w:lineRule="auto"/>
        <w:rPr>
          <w:rFonts w:ascii="Arial" w:hAnsi="Arial" w:cs="Arial"/>
        </w:rPr>
      </w:pPr>
      <w:r w:rsidRPr="00DB5860">
        <w:rPr>
          <w:rFonts w:ascii="Arial" w:hAnsi="Arial" w:cs="Arial"/>
        </w:rPr>
        <w:t xml:space="preserve">Singh, R. (2023) ‘Investment appraisal practices in hospitality organisations’, </w:t>
      </w:r>
      <w:r w:rsidRPr="00DB5860">
        <w:rPr>
          <w:rFonts w:ascii="Arial" w:hAnsi="Arial" w:cs="Arial"/>
          <w:i/>
          <w:iCs/>
        </w:rPr>
        <w:t>Hospitality Finance Review</w:t>
      </w:r>
      <w:r w:rsidRPr="00DB5860">
        <w:rPr>
          <w:rFonts w:ascii="Arial" w:hAnsi="Arial" w:cs="Arial"/>
        </w:rPr>
        <w:t>, 11(1), pp. 55–72.</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71DD1CDB" w14:textId="77777777" w:rsidR="00F9161E" w:rsidRPr="00DB5860" w:rsidRDefault="00F9161E" w:rsidP="008E3B66">
      <w:pPr>
        <w:spacing w:line="360" w:lineRule="auto"/>
        <w:rPr>
          <w:rFonts w:ascii="Arial" w:hAnsi="Arial" w:cs="Arial"/>
        </w:rPr>
      </w:pPr>
      <w:r w:rsidRPr="00DB5860">
        <w:rPr>
          <w:rFonts w:ascii="Arial" w:hAnsi="Arial" w:cs="Arial"/>
        </w:rPr>
        <w:t xml:space="preserve">Statista (2024) </w:t>
      </w:r>
      <w:r w:rsidRPr="00DB5860">
        <w:rPr>
          <w:rFonts w:ascii="Arial" w:hAnsi="Arial" w:cs="Arial"/>
          <w:i/>
          <w:iCs/>
        </w:rPr>
        <w:t>Global hotel industry revenue statistics</w:t>
      </w:r>
      <w:r w:rsidRPr="00DB5860">
        <w:rPr>
          <w:rFonts w:ascii="Arial" w:hAnsi="Arial" w:cs="Arial"/>
        </w:rPr>
        <w:t>. Statista.</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4AA8EEA0" w14:textId="77777777" w:rsidR="00F9161E" w:rsidRPr="00DB5860" w:rsidRDefault="00F9161E" w:rsidP="008E3B66">
      <w:pPr>
        <w:spacing w:line="360" w:lineRule="auto"/>
        <w:rPr>
          <w:rFonts w:ascii="Arial" w:hAnsi="Arial" w:cs="Arial"/>
        </w:rPr>
      </w:pPr>
      <w:r w:rsidRPr="00DB5860">
        <w:rPr>
          <w:rFonts w:ascii="Arial" w:hAnsi="Arial" w:cs="Arial"/>
        </w:rPr>
        <w:t xml:space="preserve">Williams, T. (2022) ‘Working capital efficiency in service industries’, </w:t>
      </w:r>
      <w:r w:rsidRPr="00DB5860">
        <w:rPr>
          <w:rFonts w:ascii="Arial" w:hAnsi="Arial" w:cs="Arial"/>
          <w:i/>
          <w:iCs/>
        </w:rPr>
        <w:t>Journal of Business Finance</w:t>
      </w:r>
      <w:r w:rsidRPr="00DB5860">
        <w:rPr>
          <w:rFonts w:ascii="Arial" w:hAnsi="Arial" w:cs="Arial"/>
        </w:rPr>
        <w:t>, 18(3), pp. 112–130.</w:t>
      </w:r>
      <w:r>
        <w:rPr>
          <w:rFonts w:ascii="Arial" w:hAnsi="Arial" w:cs="Arial"/>
        </w:rPr>
        <w:t xml:space="preserve"> [20</w:t>
      </w:r>
      <w:r w:rsidRPr="000A5504">
        <w:rPr>
          <w:rFonts w:ascii="Arial" w:hAnsi="Arial" w:cs="Arial"/>
          <w:vertAlign w:val="superscript"/>
        </w:rPr>
        <w:t>th</w:t>
      </w:r>
      <w:r>
        <w:rPr>
          <w:rFonts w:ascii="Arial" w:hAnsi="Arial" w:cs="Arial"/>
        </w:rPr>
        <w:t xml:space="preserve"> July 2026]</w:t>
      </w:r>
    </w:p>
    <w:p w14:paraId="6A6F2923" w14:textId="2926511D" w:rsidR="00F130ED" w:rsidRPr="00F130ED" w:rsidRDefault="00F130ED" w:rsidP="00F130ED"/>
    <w:p w14:paraId="478CF0EB" w14:textId="121CD5EE" w:rsidR="00144B8E" w:rsidRDefault="006F1FEC" w:rsidP="007D7B72">
      <w:pPr>
        <w:pStyle w:val="Heading1"/>
      </w:pPr>
      <w:bookmarkStart w:id="21" w:name="_Toc235459617"/>
      <w:r>
        <w:t>Appendices</w:t>
      </w:r>
      <w:bookmarkEnd w:id="21"/>
    </w:p>
    <w:p w14:paraId="048221B4" w14:textId="13494C90" w:rsidR="009E0C9D" w:rsidRDefault="009E0C9D" w:rsidP="00144B8E">
      <w:pPr>
        <w:rPr>
          <w:b/>
          <w:bCs/>
        </w:rPr>
      </w:pPr>
      <w:r w:rsidRPr="009E0C9D">
        <w:rPr>
          <w:b/>
          <w:bCs/>
        </w:rPr>
        <w:t>Appendix 1: Profitability Ratios (2020–2024)</w:t>
      </w:r>
    </w:p>
    <w:tbl>
      <w:tblPr>
        <w:tblStyle w:val="TableGrid"/>
        <w:tblW w:w="0" w:type="auto"/>
        <w:tblLook w:val="04A0" w:firstRow="1" w:lastRow="0" w:firstColumn="1" w:lastColumn="0" w:noHBand="0" w:noVBand="1"/>
      </w:tblPr>
      <w:tblGrid>
        <w:gridCol w:w="1803"/>
        <w:gridCol w:w="1803"/>
        <w:gridCol w:w="1803"/>
        <w:gridCol w:w="1803"/>
        <w:gridCol w:w="1804"/>
      </w:tblGrid>
      <w:tr w:rsidR="003F5662" w14:paraId="79DFB166" w14:textId="77777777" w:rsidTr="003F5662">
        <w:tc>
          <w:tcPr>
            <w:tcW w:w="1803" w:type="dxa"/>
          </w:tcPr>
          <w:p w14:paraId="41DC5ACF" w14:textId="633A9A70" w:rsidR="003F5662" w:rsidRDefault="003F5662" w:rsidP="00144B8E">
            <w:pPr>
              <w:rPr>
                <w:b/>
                <w:bCs/>
              </w:rPr>
            </w:pPr>
            <w:r>
              <w:rPr>
                <w:b/>
                <w:bCs/>
              </w:rPr>
              <w:t xml:space="preserve">Year </w:t>
            </w:r>
          </w:p>
        </w:tc>
        <w:tc>
          <w:tcPr>
            <w:tcW w:w="1803" w:type="dxa"/>
          </w:tcPr>
          <w:p w14:paraId="3D948BDE" w14:textId="68F79DF6" w:rsidR="003F5662" w:rsidRDefault="00693176" w:rsidP="00144B8E">
            <w:pPr>
              <w:rPr>
                <w:b/>
                <w:bCs/>
              </w:rPr>
            </w:pPr>
            <w:r>
              <w:rPr>
                <w:b/>
                <w:bCs/>
              </w:rPr>
              <w:t>Gross Margin</w:t>
            </w:r>
          </w:p>
        </w:tc>
        <w:tc>
          <w:tcPr>
            <w:tcW w:w="1803" w:type="dxa"/>
          </w:tcPr>
          <w:p w14:paraId="06C6A73B" w14:textId="174F9E21" w:rsidR="003F5662" w:rsidRDefault="00693176" w:rsidP="00144B8E">
            <w:pPr>
              <w:rPr>
                <w:b/>
                <w:bCs/>
              </w:rPr>
            </w:pPr>
            <w:r>
              <w:rPr>
                <w:b/>
                <w:bCs/>
              </w:rPr>
              <w:t>Net Profit Margin</w:t>
            </w:r>
          </w:p>
        </w:tc>
        <w:tc>
          <w:tcPr>
            <w:tcW w:w="1803" w:type="dxa"/>
          </w:tcPr>
          <w:p w14:paraId="0E0A4546" w14:textId="6884E4D0" w:rsidR="003F5662" w:rsidRDefault="00693176" w:rsidP="00144B8E">
            <w:pPr>
              <w:rPr>
                <w:b/>
                <w:bCs/>
              </w:rPr>
            </w:pPr>
            <w:r>
              <w:rPr>
                <w:b/>
                <w:bCs/>
              </w:rPr>
              <w:t>ROCE</w:t>
            </w:r>
          </w:p>
        </w:tc>
        <w:tc>
          <w:tcPr>
            <w:tcW w:w="1804" w:type="dxa"/>
          </w:tcPr>
          <w:p w14:paraId="3B1042CE" w14:textId="31DBD0B1" w:rsidR="003F5662" w:rsidRDefault="00693176" w:rsidP="00144B8E">
            <w:pPr>
              <w:rPr>
                <w:b/>
                <w:bCs/>
              </w:rPr>
            </w:pPr>
            <w:r>
              <w:rPr>
                <w:b/>
                <w:bCs/>
              </w:rPr>
              <w:t>ROE</w:t>
            </w:r>
          </w:p>
        </w:tc>
      </w:tr>
      <w:tr w:rsidR="003F5662" w14:paraId="5DF91FE2" w14:textId="77777777" w:rsidTr="003F5662">
        <w:tc>
          <w:tcPr>
            <w:tcW w:w="1803" w:type="dxa"/>
          </w:tcPr>
          <w:p w14:paraId="15A58AB9" w14:textId="0FEE0B67" w:rsidR="003F5662" w:rsidRPr="009E0C9D" w:rsidRDefault="00693176" w:rsidP="00144B8E">
            <w:r w:rsidRPr="009E0C9D">
              <w:t>2020</w:t>
            </w:r>
          </w:p>
        </w:tc>
        <w:tc>
          <w:tcPr>
            <w:tcW w:w="1803" w:type="dxa"/>
          </w:tcPr>
          <w:p w14:paraId="0AC787A5" w14:textId="06CAD9E9" w:rsidR="003F5662" w:rsidRPr="009E0C9D" w:rsidRDefault="00A54E3B" w:rsidP="00144B8E">
            <w:r w:rsidRPr="009E0C9D">
              <w:t>12</w:t>
            </w:r>
            <w:r w:rsidR="00747D59" w:rsidRPr="009E0C9D">
              <w:t>%</w:t>
            </w:r>
          </w:p>
        </w:tc>
        <w:tc>
          <w:tcPr>
            <w:tcW w:w="1803" w:type="dxa"/>
          </w:tcPr>
          <w:p w14:paraId="23AB6D68" w14:textId="674F2F9D" w:rsidR="003F5662" w:rsidRPr="009E0C9D" w:rsidRDefault="005910A2" w:rsidP="00144B8E">
            <w:r w:rsidRPr="009E0C9D">
              <w:t>-2.5%</w:t>
            </w:r>
          </w:p>
        </w:tc>
        <w:tc>
          <w:tcPr>
            <w:tcW w:w="1803" w:type="dxa"/>
          </w:tcPr>
          <w:p w14:paraId="0290E58F" w14:textId="39E201A4" w:rsidR="003F5662" w:rsidRPr="009E0C9D" w:rsidRDefault="00165340" w:rsidP="00144B8E">
            <w:r w:rsidRPr="009E0C9D">
              <w:t>-1%</w:t>
            </w:r>
          </w:p>
        </w:tc>
        <w:tc>
          <w:tcPr>
            <w:tcW w:w="1804" w:type="dxa"/>
          </w:tcPr>
          <w:p w14:paraId="0BC349F6" w14:textId="2279E976" w:rsidR="003F5662" w:rsidRPr="009E0C9D" w:rsidRDefault="008F0941" w:rsidP="00144B8E">
            <w:r w:rsidRPr="009E0C9D">
              <w:t>-3%</w:t>
            </w:r>
          </w:p>
        </w:tc>
      </w:tr>
      <w:tr w:rsidR="003F5662" w14:paraId="28136230" w14:textId="77777777" w:rsidTr="003F5662">
        <w:tc>
          <w:tcPr>
            <w:tcW w:w="1803" w:type="dxa"/>
          </w:tcPr>
          <w:p w14:paraId="394916CE" w14:textId="3971C83F" w:rsidR="003F5662" w:rsidRPr="009E0C9D" w:rsidRDefault="00693176" w:rsidP="00144B8E">
            <w:r w:rsidRPr="009E0C9D">
              <w:t>2021</w:t>
            </w:r>
          </w:p>
        </w:tc>
        <w:tc>
          <w:tcPr>
            <w:tcW w:w="1803" w:type="dxa"/>
          </w:tcPr>
          <w:p w14:paraId="43FCB51A" w14:textId="77F38AB4" w:rsidR="003F5662" w:rsidRPr="009E0C9D" w:rsidRDefault="00747D59" w:rsidP="00144B8E">
            <w:r w:rsidRPr="009E0C9D">
              <w:t>15%</w:t>
            </w:r>
          </w:p>
        </w:tc>
        <w:tc>
          <w:tcPr>
            <w:tcW w:w="1803" w:type="dxa"/>
          </w:tcPr>
          <w:p w14:paraId="50BC7F3C" w14:textId="395695C3" w:rsidR="003F5662" w:rsidRPr="009E0C9D" w:rsidRDefault="005910A2" w:rsidP="00144B8E">
            <w:r w:rsidRPr="009E0C9D">
              <w:t>4.2%</w:t>
            </w:r>
          </w:p>
        </w:tc>
        <w:tc>
          <w:tcPr>
            <w:tcW w:w="1803" w:type="dxa"/>
          </w:tcPr>
          <w:p w14:paraId="6A6A0400" w14:textId="1235BAFF" w:rsidR="003F5662" w:rsidRPr="009E0C9D" w:rsidRDefault="00165340" w:rsidP="00144B8E">
            <w:r w:rsidRPr="009E0C9D">
              <w:t>6%</w:t>
            </w:r>
          </w:p>
        </w:tc>
        <w:tc>
          <w:tcPr>
            <w:tcW w:w="1804" w:type="dxa"/>
          </w:tcPr>
          <w:p w14:paraId="002860BA" w14:textId="17B4B518" w:rsidR="003F5662" w:rsidRPr="009E0C9D" w:rsidRDefault="008F0941" w:rsidP="00144B8E">
            <w:r w:rsidRPr="009E0C9D">
              <w:t>18%</w:t>
            </w:r>
          </w:p>
        </w:tc>
      </w:tr>
      <w:tr w:rsidR="003F5662" w14:paraId="03D3A884" w14:textId="77777777" w:rsidTr="003F5662">
        <w:tc>
          <w:tcPr>
            <w:tcW w:w="1803" w:type="dxa"/>
          </w:tcPr>
          <w:p w14:paraId="0AAAA222" w14:textId="1350D2D0" w:rsidR="003F5662" w:rsidRPr="009E0C9D" w:rsidRDefault="00693176" w:rsidP="00144B8E">
            <w:r w:rsidRPr="009E0C9D">
              <w:t>2022</w:t>
            </w:r>
          </w:p>
        </w:tc>
        <w:tc>
          <w:tcPr>
            <w:tcW w:w="1803" w:type="dxa"/>
          </w:tcPr>
          <w:p w14:paraId="4F1ABA48" w14:textId="3B997138" w:rsidR="003F5662" w:rsidRPr="009E0C9D" w:rsidRDefault="00747D59" w:rsidP="00144B8E">
            <w:r w:rsidRPr="009E0C9D">
              <w:t>19%</w:t>
            </w:r>
          </w:p>
        </w:tc>
        <w:tc>
          <w:tcPr>
            <w:tcW w:w="1803" w:type="dxa"/>
          </w:tcPr>
          <w:p w14:paraId="4F694462" w14:textId="3B7AE9DF" w:rsidR="003F5662" w:rsidRPr="009E0C9D" w:rsidRDefault="005910A2" w:rsidP="00144B8E">
            <w:r w:rsidRPr="009E0C9D">
              <w:t>8.5%</w:t>
            </w:r>
          </w:p>
        </w:tc>
        <w:tc>
          <w:tcPr>
            <w:tcW w:w="1803" w:type="dxa"/>
          </w:tcPr>
          <w:p w14:paraId="1471307B" w14:textId="5049B57B" w:rsidR="003F5662" w:rsidRPr="009E0C9D" w:rsidRDefault="00165340" w:rsidP="00144B8E">
            <w:r w:rsidRPr="009E0C9D">
              <w:t>12%</w:t>
            </w:r>
          </w:p>
        </w:tc>
        <w:tc>
          <w:tcPr>
            <w:tcW w:w="1804" w:type="dxa"/>
          </w:tcPr>
          <w:p w14:paraId="555DA018" w14:textId="41BB7AA4" w:rsidR="003F5662" w:rsidRPr="009E0C9D" w:rsidRDefault="008F0941" w:rsidP="00144B8E">
            <w:r w:rsidRPr="009E0C9D">
              <w:t>32%</w:t>
            </w:r>
          </w:p>
        </w:tc>
      </w:tr>
      <w:tr w:rsidR="003F5662" w14:paraId="699B758A" w14:textId="77777777" w:rsidTr="003F5662">
        <w:tc>
          <w:tcPr>
            <w:tcW w:w="1803" w:type="dxa"/>
          </w:tcPr>
          <w:p w14:paraId="69F483BA" w14:textId="536C165D" w:rsidR="003F5662" w:rsidRPr="009E0C9D" w:rsidRDefault="00693176" w:rsidP="00144B8E">
            <w:r w:rsidRPr="009E0C9D">
              <w:t>2023</w:t>
            </w:r>
          </w:p>
        </w:tc>
        <w:tc>
          <w:tcPr>
            <w:tcW w:w="1803" w:type="dxa"/>
          </w:tcPr>
          <w:p w14:paraId="646E641D" w14:textId="1A765117" w:rsidR="003F5662" w:rsidRPr="009E0C9D" w:rsidRDefault="00747D59" w:rsidP="00144B8E">
            <w:r w:rsidRPr="009E0C9D">
              <w:t>21%</w:t>
            </w:r>
          </w:p>
        </w:tc>
        <w:tc>
          <w:tcPr>
            <w:tcW w:w="1803" w:type="dxa"/>
          </w:tcPr>
          <w:p w14:paraId="7A039BCD" w14:textId="2AC5E642" w:rsidR="003F5662" w:rsidRPr="009E0C9D" w:rsidRDefault="005910A2" w:rsidP="00144B8E">
            <w:r w:rsidRPr="009E0C9D">
              <w:t>9.8%</w:t>
            </w:r>
          </w:p>
        </w:tc>
        <w:tc>
          <w:tcPr>
            <w:tcW w:w="1803" w:type="dxa"/>
          </w:tcPr>
          <w:p w14:paraId="777CFD8E" w14:textId="4A2848B4" w:rsidR="003F5662" w:rsidRPr="009E0C9D" w:rsidRDefault="00165340" w:rsidP="00144B8E">
            <w:r w:rsidRPr="009E0C9D">
              <w:t>14%</w:t>
            </w:r>
          </w:p>
        </w:tc>
        <w:tc>
          <w:tcPr>
            <w:tcW w:w="1804" w:type="dxa"/>
          </w:tcPr>
          <w:p w14:paraId="11183AFB" w14:textId="53D9D93A" w:rsidR="003F5662" w:rsidRPr="009E0C9D" w:rsidRDefault="008F0941" w:rsidP="00144B8E">
            <w:r w:rsidRPr="009E0C9D">
              <w:t>41%</w:t>
            </w:r>
          </w:p>
        </w:tc>
      </w:tr>
      <w:tr w:rsidR="003F5662" w14:paraId="526321AC" w14:textId="77777777" w:rsidTr="003F5662">
        <w:tc>
          <w:tcPr>
            <w:tcW w:w="1803" w:type="dxa"/>
          </w:tcPr>
          <w:p w14:paraId="0BF91E7B" w14:textId="031091F7" w:rsidR="003F5662" w:rsidRPr="009E0C9D" w:rsidRDefault="00693176" w:rsidP="00144B8E">
            <w:r w:rsidRPr="009E0C9D">
              <w:t>2024</w:t>
            </w:r>
          </w:p>
        </w:tc>
        <w:tc>
          <w:tcPr>
            <w:tcW w:w="1803" w:type="dxa"/>
          </w:tcPr>
          <w:p w14:paraId="6F130503" w14:textId="78EA5A87" w:rsidR="003F5662" w:rsidRPr="009E0C9D" w:rsidRDefault="00747D59" w:rsidP="00144B8E">
            <w:r w:rsidRPr="009E0C9D">
              <w:t>22%</w:t>
            </w:r>
          </w:p>
        </w:tc>
        <w:tc>
          <w:tcPr>
            <w:tcW w:w="1803" w:type="dxa"/>
          </w:tcPr>
          <w:p w14:paraId="47B423FF" w14:textId="234AB52B" w:rsidR="003F5662" w:rsidRPr="009E0C9D" w:rsidRDefault="005910A2" w:rsidP="00144B8E">
            <w:r w:rsidRPr="009E0C9D">
              <w:t>10.2%</w:t>
            </w:r>
          </w:p>
        </w:tc>
        <w:tc>
          <w:tcPr>
            <w:tcW w:w="1803" w:type="dxa"/>
          </w:tcPr>
          <w:p w14:paraId="64D5DAA8" w14:textId="0897E8E2" w:rsidR="003F5662" w:rsidRPr="009E0C9D" w:rsidRDefault="00165340" w:rsidP="00144B8E">
            <w:r w:rsidRPr="009E0C9D">
              <w:t>16%</w:t>
            </w:r>
          </w:p>
        </w:tc>
        <w:tc>
          <w:tcPr>
            <w:tcW w:w="1804" w:type="dxa"/>
          </w:tcPr>
          <w:p w14:paraId="7B3243E2" w14:textId="3E5A967D" w:rsidR="003F5662" w:rsidRPr="009E0C9D" w:rsidRDefault="008F0941" w:rsidP="00144B8E">
            <w:r w:rsidRPr="009E0C9D">
              <w:t>50%</w:t>
            </w:r>
          </w:p>
        </w:tc>
      </w:tr>
    </w:tbl>
    <w:p w14:paraId="1B591E76" w14:textId="77777777" w:rsidR="006F1FEC" w:rsidRDefault="006F1FEC" w:rsidP="00144B8E">
      <w:pPr>
        <w:rPr>
          <w:b/>
          <w:bCs/>
        </w:rPr>
      </w:pPr>
    </w:p>
    <w:p w14:paraId="4BFF8DFF" w14:textId="14DD0F09" w:rsidR="006F1FEC" w:rsidRDefault="00B25019" w:rsidP="00144B8E">
      <w:pPr>
        <w:rPr>
          <w:b/>
          <w:bCs/>
        </w:rPr>
      </w:pPr>
      <w:r w:rsidRPr="00B25019">
        <w:rPr>
          <w:b/>
          <w:bCs/>
        </w:rPr>
        <w:t>Appendix 2: Liquidity Ratios (2020–2024)</w:t>
      </w:r>
    </w:p>
    <w:tbl>
      <w:tblPr>
        <w:tblStyle w:val="TableGrid"/>
        <w:tblW w:w="0" w:type="auto"/>
        <w:tblLook w:val="04A0" w:firstRow="1" w:lastRow="0" w:firstColumn="1" w:lastColumn="0" w:noHBand="0" w:noVBand="1"/>
      </w:tblPr>
      <w:tblGrid>
        <w:gridCol w:w="3005"/>
        <w:gridCol w:w="3005"/>
        <w:gridCol w:w="3006"/>
      </w:tblGrid>
      <w:tr w:rsidR="00B25019" w14:paraId="502C9D9A" w14:textId="77777777" w:rsidTr="00B25019">
        <w:tc>
          <w:tcPr>
            <w:tcW w:w="3005" w:type="dxa"/>
          </w:tcPr>
          <w:p w14:paraId="0ABC3B85" w14:textId="23349D15" w:rsidR="00B25019" w:rsidRDefault="00D92BE9" w:rsidP="00144B8E">
            <w:pPr>
              <w:rPr>
                <w:b/>
                <w:bCs/>
              </w:rPr>
            </w:pPr>
            <w:r>
              <w:rPr>
                <w:b/>
                <w:bCs/>
              </w:rPr>
              <w:t xml:space="preserve">Year </w:t>
            </w:r>
          </w:p>
        </w:tc>
        <w:tc>
          <w:tcPr>
            <w:tcW w:w="3005" w:type="dxa"/>
          </w:tcPr>
          <w:p w14:paraId="72440C72" w14:textId="1EC6970B" w:rsidR="00B25019" w:rsidRDefault="00D92BE9" w:rsidP="00144B8E">
            <w:pPr>
              <w:rPr>
                <w:b/>
                <w:bCs/>
              </w:rPr>
            </w:pPr>
            <w:r>
              <w:rPr>
                <w:b/>
                <w:bCs/>
              </w:rPr>
              <w:t>Current Ratio</w:t>
            </w:r>
          </w:p>
        </w:tc>
        <w:tc>
          <w:tcPr>
            <w:tcW w:w="3006" w:type="dxa"/>
          </w:tcPr>
          <w:p w14:paraId="379E54EB" w14:textId="26EDC053" w:rsidR="00B25019" w:rsidRDefault="00D92BE9" w:rsidP="00144B8E">
            <w:pPr>
              <w:rPr>
                <w:b/>
                <w:bCs/>
              </w:rPr>
            </w:pPr>
            <w:r>
              <w:rPr>
                <w:b/>
                <w:bCs/>
              </w:rPr>
              <w:t>Quick Ratio</w:t>
            </w:r>
          </w:p>
        </w:tc>
      </w:tr>
      <w:tr w:rsidR="00B25019" w14:paraId="3CE1131D" w14:textId="77777777" w:rsidTr="00B25019">
        <w:tc>
          <w:tcPr>
            <w:tcW w:w="3005" w:type="dxa"/>
          </w:tcPr>
          <w:p w14:paraId="5AA6FBCE" w14:textId="6C54CD56" w:rsidR="00B25019" w:rsidRPr="001F70F3" w:rsidRDefault="00D92BE9" w:rsidP="00144B8E">
            <w:r w:rsidRPr="001F70F3">
              <w:t>2020</w:t>
            </w:r>
          </w:p>
        </w:tc>
        <w:tc>
          <w:tcPr>
            <w:tcW w:w="3005" w:type="dxa"/>
          </w:tcPr>
          <w:p w14:paraId="5316E607" w14:textId="17D3CC77" w:rsidR="00B25019" w:rsidRPr="001F70F3" w:rsidRDefault="00D92BE9" w:rsidP="00144B8E">
            <w:r w:rsidRPr="001F70F3">
              <w:t>0.47</w:t>
            </w:r>
          </w:p>
        </w:tc>
        <w:tc>
          <w:tcPr>
            <w:tcW w:w="3006" w:type="dxa"/>
          </w:tcPr>
          <w:p w14:paraId="30836C5E" w14:textId="3500B1B4" w:rsidR="00B25019" w:rsidRPr="001F70F3" w:rsidRDefault="00CE1266" w:rsidP="00144B8E">
            <w:r w:rsidRPr="001F70F3">
              <w:t>0.41</w:t>
            </w:r>
          </w:p>
        </w:tc>
      </w:tr>
      <w:tr w:rsidR="00B25019" w14:paraId="0A64B4BF" w14:textId="77777777" w:rsidTr="00B25019">
        <w:tc>
          <w:tcPr>
            <w:tcW w:w="3005" w:type="dxa"/>
          </w:tcPr>
          <w:p w14:paraId="21A70585" w14:textId="5CBEC148" w:rsidR="00B25019" w:rsidRPr="001F70F3" w:rsidRDefault="00D92BE9" w:rsidP="00144B8E">
            <w:r w:rsidRPr="001F70F3">
              <w:t>2021</w:t>
            </w:r>
          </w:p>
        </w:tc>
        <w:tc>
          <w:tcPr>
            <w:tcW w:w="3005" w:type="dxa"/>
          </w:tcPr>
          <w:p w14:paraId="1F8B8BD2" w14:textId="796AF929" w:rsidR="00B25019" w:rsidRPr="001F70F3" w:rsidRDefault="00D92BE9" w:rsidP="00144B8E">
            <w:r w:rsidRPr="001F70F3">
              <w:t>0.52</w:t>
            </w:r>
          </w:p>
        </w:tc>
        <w:tc>
          <w:tcPr>
            <w:tcW w:w="3006" w:type="dxa"/>
          </w:tcPr>
          <w:p w14:paraId="477FBC39" w14:textId="32AB05A1" w:rsidR="00B25019" w:rsidRPr="001F70F3" w:rsidRDefault="00CE1266" w:rsidP="00144B8E">
            <w:r w:rsidRPr="001F70F3">
              <w:t>0.45</w:t>
            </w:r>
          </w:p>
        </w:tc>
      </w:tr>
      <w:tr w:rsidR="00B25019" w14:paraId="0A3FE1A9" w14:textId="77777777" w:rsidTr="00B25019">
        <w:tc>
          <w:tcPr>
            <w:tcW w:w="3005" w:type="dxa"/>
          </w:tcPr>
          <w:p w14:paraId="5476B54A" w14:textId="74E595D5" w:rsidR="00B25019" w:rsidRPr="001F70F3" w:rsidRDefault="00D92BE9" w:rsidP="00144B8E">
            <w:r w:rsidRPr="001F70F3">
              <w:t>2022</w:t>
            </w:r>
          </w:p>
        </w:tc>
        <w:tc>
          <w:tcPr>
            <w:tcW w:w="3005" w:type="dxa"/>
          </w:tcPr>
          <w:p w14:paraId="6915B0AC" w14:textId="5EE7B494" w:rsidR="00B25019" w:rsidRPr="001F70F3" w:rsidRDefault="00D92BE9" w:rsidP="00144B8E">
            <w:r w:rsidRPr="001F70F3">
              <w:t>0.58</w:t>
            </w:r>
          </w:p>
        </w:tc>
        <w:tc>
          <w:tcPr>
            <w:tcW w:w="3006" w:type="dxa"/>
          </w:tcPr>
          <w:p w14:paraId="002799B2" w14:textId="416ABC61" w:rsidR="00B25019" w:rsidRPr="001F70F3" w:rsidRDefault="00CE1266" w:rsidP="00144B8E">
            <w:r w:rsidRPr="001F70F3">
              <w:t>0.49</w:t>
            </w:r>
          </w:p>
        </w:tc>
      </w:tr>
      <w:tr w:rsidR="00B25019" w14:paraId="3C57BAF8" w14:textId="77777777" w:rsidTr="00B25019">
        <w:tc>
          <w:tcPr>
            <w:tcW w:w="3005" w:type="dxa"/>
          </w:tcPr>
          <w:p w14:paraId="4FC0D960" w14:textId="3CB2C91F" w:rsidR="00B25019" w:rsidRPr="001F70F3" w:rsidRDefault="00D92BE9" w:rsidP="00144B8E">
            <w:r w:rsidRPr="001F70F3">
              <w:t>2023</w:t>
            </w:r>
          </w:p>
        </w:tc>
        <w:tc>
          <w:tcPr>
            <w:tcW w:w="3005" w:type="dxa"/>
          </w:tcPr>
          <w:p w14:paraId="34601CF2" w14:textId="515ACAC5" w:rsidR="00B25019" w:rsidRPr="001F70F3" w:rsidRDefault="00CE1266" w:rsidP="00144B8E">
            <w:r w:rsidRPr="001F70F3">
              <w:t>0.61</w:t>
            </w:r>
          </w:p>
        </w:tc>
        <w:tc>
          <w:tcPr>
            <w:tcW w:w="3006" w:type="dxa"/>
          </w:tcPr>
          <w:p w14:paraId="66433BBD" w14:textId="1FEB4D8E" w:rsidR="00B25019" w:rsidRPr="001F70F3" w:rsidRDefault="00CE1266" w:rsidP="00144B8E">
            <w:r w:rsidRPr="001F70F3">
              <w:t>0.53</w:t>
            </w:r>
          </w:p>
        </w:tc>
      </w:tr>
      <w:tr w:rsidR="00B25019" w14:paraId="334C192D" w14:textId="77777777" w:rsidTr="00B25019">
        <w:tc>
          <w:tcPr>
            <w:tcW w:w="3005" w:type="dxa"/>
          </w:tcPr>
          <w:p w14:paraId="0CAC98DC" w14:textId="54CB6498" w:rsidR="00B25019" w:rsidRPr="001F70F3" w:rsidRDefault="00D92BE9" w:rsidP="00144B8E">
            <w:r w:rsidRPr="001F70F3">
              <w:t>2024</w:t>
            </w:r>
          </w:p>
        </w:tc>
        <w:tc>
          <w:tcPr>
            <w:tcW w:w="3005" w:type="dxa"/>
          </w:tcPr>
          <w:p w14:paraId="5470DE74" w14:textId="0B6BB0CB" w:rsidR="00B25019" w:rsidRPr="001F70F3" w:rsidRDefault="00CE1266" w:rsidP="00144B8E">
            <w:r w:rsidRPr="001F70F3">
              <w:t>0.63</w:t>
            </w:r>
          </w:p>
        </w:tc>
        <w:tc>
          <w:tcPr>
            <w:tcW w:w="3006" w:type="dxa"/>
          </w:tcPr>
          <w:p w14:paraId="0912DA44" w14:textId="7B9D09F5" w:rsidR="00B25019" w:rsidRPr="001F70F3" w:rsidRDefault="001F70F3" w:rsidP="00144B8E">
            <w:r w:rsidRPr="001F70F3">
              <w:t>0.55</w:t>
            </w:r>
          </w:p>
        </w:tc>
      </w:tr>
    </w:tbl>
    <w:p w14:paraId="74EC01F3" w14:textId="77777777" w:rsidR="00B25019" w:rsidRDefault="00B25019" w:rsidP="00144B8E">
      <w:pPr>
        <w:rPr>
          <w:b/>
          <w:bCs/>
        </w:rPr>
      </w:pPr>
    </w:p>
    <w:p w14:paraId="03D2414B" w14:textId="77777777" w:rsidR="009F4D9D" w:rsidRPr="009F4D9D" w:rsidRDefault="009F4D9D" w:rsidP="009F4D9D">
      <w:pPr>
        <w:rPr>
          <w:b/>
          <w:bCs/>
        </w:rPr>
      </w:pPr>
      <w:r w:rsidRPr="009F4D9D">
        <w:rPr>
          <w:b/>
          <w:bCs/>
        </w:rPr>
        <w:t>Appendix 3: Efficiency Ratios (2020–2024)</w:t>
      </w:r>
    </w:p>
    <w:tbl>
      <w:tblPr>
        <w:tblStyle w:val="TableGrid"/>
        <w:tblW w:w="0" w:type="auto"/>
        <w:tblLook w:val="04A0" w:firstRow="1" w:lastRow="0" w:firstColumn="1" w:lastColumn="0" w:noHBand="0" w:noVBand="1"/>
      </w:tblPr>
      <w:tblGrid>
        <w:gridCol w:w="1803"/>
        <w:gridCol w:w="1803"/>
        <w:gridCol w:w="1803"/>
        <w:gridCol w:w="1803"/>
        <w:gridCol w:w="1804"/>
      </w:tblGrid>
      <w:tr w:rsidR="009F4D9D" w14:paraId="5F5C537D" w14:textId="77777777" w:rsidTr="009F4D9D">
        <w:tc>
          <w:tcPr>
            <w:tcW w:w="1803" w:type="dxa"/>
          </w:tcPr>
          <w:p w14:paraId="4F08088E" w14:textId="75897FAB" w:rsidR="009F4D9D" w:rsidRDefault="005F5FDE" w:rsidP="00144B8E">
            <w:pPr>
              <w:rPr>
                <w:b/>
                <w:bCs/>
              </w:rPr>
            </w:pPr>
            <w:r>
              <w:rPr>
                <w:b/>
                <w:bCs/>
              </w:rPr>
              <w:t xml:space="preserve">Year </w:t>
            </w:r>
          </w:p>
        </w:tc>
        <w:tc>
          <w:tcPr>
            <w:tcW w:w="1803" w:type="dxa"/>
          </w:tcPr>
          <w:p w14:paraId="023CFFFD" w14:textId="7E325F14" w:rsidR="009F4D9D" w:rsidRDefault="005F5FDE" w:rsidP="00144B8E">
            <w:pPr>
              <w:rPr>
                <w:b/>
                <w:bCs/>
              </w:rPr>
            </w:pPr>
            <w:r>
              <w:rPr>
                <w:b/>
                <w:bCs/>
              </w:rPr>
              <w:t>Inventory Days</w:t>
            </w:r>
          </w:p>
        </w:tc>
        <w:tc>
          <w:tcPr>
            <w:tcW w:w="1803" w:type="dxa"/>
          </w:tcPr>
          <w:p w14:paraId="79353C90" w14:textId="49AF5AC6" w:rsidR="009F4D9D" w:rsidRDefault="003F224C" w:rsidP="00144B8E">
            <w:pPr>
              <w:rPr>
                <w:b/>
                <w:bCs/>
              </w:rPr>
            </w:pPr>
            <w:r>
              <w:rPr>
                <w:b/>
                <w:bCs/>
              </w:rPr>
              <w:t>Receivable</w:t>
            </w:r>
            <w:r w:rsidR="005F5FDE">
              <w:rPr>
                <w:b/>
                <w:bCs/>
              </w:rPr>
              <w:t xml:space="preserve"> </w:t>
            </w:r>
            <w:r>
              <w:rPr>
                <w:b/>
                <w:bCs/>
              </w:rPr>
              <w:t>Days</w:t>
            </w:r>
          </w:p>
        </w:tc>
        <w:tc>
          <w:tcPr>
            <w:tcW w:w="1803" w:type="dxa"/>
          </w:tcPr>
          <w:p w14:paraId="0A614E3D" w14:textId="40127632" w:rsidR="009F4D9D" w:rsidRDefault="003F224C" w:rsidP="00144B8E">
            <w:pPr>
              <w:rPr>
                <w:b/>
                <w:bCs/>
              </w:rPr>
            </w:pPr>
            <w:r>
              <w:rPr>
                <w:b/>
                <w:bCs/>
              </w:rPr>
              <w:t>Payable Days</w:t>
            </w:r>
          </w:p>
        </w:tc>
        <w:tc>
          <w:tcPr>
            <w:tcW w:w="1804" w:type="dxa"/>
          </w:tcPr>
          <w:p w14:paraId="5203302F" w14:textId="493A3D89" w:rsidR="009F4D9D" w:rsidRDefault="003F224C" w:rsidP="00144B8E">
            <w:pPr>
              <w:rPr>
                <w:b/>
                <w:bCs/>
              </w:rPr>
            </w:pPr>
            <w:r>
              <w:rPr>
                <w:b/>
                <w:bCs/>
              </w:rPr>
              <w:t>Asset Turnover</w:t>
            </w:r>
          </w:p>
        </w:tc>
      </w:tr>
      <w:tr w:rsidR="009F4D9D" w14:paraId="7A75D091" w14:textId="77777777" w:rsidTr="009F4D9D">
        <w:tc>
          <w:tcPr>
            <w:tcW w:w="1803" w:type="dxa"/>
          </w:tcPr>
          <w:p w14:paraId="73FBC922" w14:textId="0F27DED6" w:rsidR="009F4D9D" w:rsidRPr="008B1AB0" w:rsidRDefault="00CB05EC" w:rsidP="00144B8E">
            <w:r w:rsidRPr="008B1AB0">
              <w:t>2020</w:t>
            </w:r>
          </w:p>
        </w:tc>
        <w:tc>
          <w:tcPr>
            <w:tcW w:w="1803" w:type="dxa"/>
          </w:tcPr>
          <w:p w14:paraId="1D601EAE" w14:textId="69BF5C37" w:rsidR="009F4D9D" w:rsidRPr="008B1AB0" w:rsidRDefault="00CB05EC" w:rsidP="00144B8E">
            <w:r w:rsidRPr="008B1AB0">
              <w:t>8</w:t>
            </w:r>
          </w:p>
        </w:tc>
        <w:tc>
          <w:tcPr>
            <w:tcW w:w="1803" w:type="dxa"/>
          </w:tcPr>
          <w:p w14:paraId="0B85C079" w14:textId="4CC58525" w:rsidR="009F4D9D" w:rsidRPr="008B1AB0" w:rsidRDefault="00CB05EC" w:rsidP="00144B8E">
            <w:r w:rsidRPr="008B1AB0">
              <w:t>32</w:t>
            </w:r>
          </w:p>
        </w:tc>
        <w:tc>
          <w:tcPr>
            <w:tcW w:w="1803" w:type="dxa"/>
          </w:tcPr>
          <w:p w14:paraId="25358B78" w14:textId="28DA8950" w:rsidR="009F4D9D" w:rsidRPr="008B1AB0" w:rsidRDefault="00CB05EC" w:rsidP="00144B8E">
            <w:r w:rsidRPr="008B1AB0">
              <w:t>45</w:t>
            </w:r>
          </w:p>
        </w:tc>
        <w:tc>
          <w:tcPr>
            <w:tcW w:w="1804" w:type="dxa"/>
          </w:tcPr>
          <w:p w14:paraId="12344633" w14:textId="49F50325" w:rsidR="009F4D9D" w:rsidRPr="008B1AB0" w:rsidRDefault="00CB05EC" w:rsidP="00144B8E">
            <w:r w:rsidRPr="008B1AB0">
              <w:t>0.42</w:t>
            </w:r>
          </w:p>
        </w:tc>
      </w:tr>
      <w:tr w:rsidR="009F4D9D" w14:paraId="2A54AF46" w14:textId="77777777" w:rsidTr="009F4D9D">
        <w:tc>
          <w:tcPr>
            <w:tcW w:w="1803" w:type="dxa"/>
          </w:tcPr>
          <w:p w14:paraId="14CF33CE" w14:textId="1564C9FC" w:rsidR="009F4D9D" w:rsidRPr="008B1AB0" w:rsidRDefault="00CB05EC" w:rsidP="00144B8E">
            <w:r w:rsidRPr="008B1AB0">
              <w:t>2021</w:t>
            </w:r>
          </w:p>
        </w:tc>
        <w:tc>
          <w:tcPr>
            <w:tcW w:w="1803" w:type="dxa"/>
          </w:tcPr>
          <w:p w14:paraId="6C031351" w14:textId="6D4193B4" w:rsidR="009F4D9D" w:rsidRPr="008B1AB0" w:rsidRDefault="00CB05EC" w:rsidP="00144B8E">
            <w:r w:rsidRPr="008B1AB0">
              <w:t>8</w:t>
            </w:r>
          </w:p>
        </w:tc>
        <w:tc>
          <w:tcPr>
            <w:tcW w:w="1803" w:type="dxa"/>
          </w:tcPr>
          <w:p w14:paraId="4D08EE14" w14:textId="7F0B10D8" w:rsidR="009F4D9D" w:rsidRPr="008B1AB0" w:rsidRDefault="00CB05EC" w:rsidP="00144B8E">
            <w:r w:rsidRPr="008B1AB0">
              <w:t>30</w:t>
            </w:r>
          </w:p>
        </w:tc>
        <w:tc>
          <w:tcPr>
            <w:tcW w:w="1803" w:type="dxa"/>
          </w:tcPr>
          <w:p w14:paraId="6AA26595" w14:textId="3FA0790C" w:rsidR="009F4D9D" w:rsidRPr="008B1AB0" w:rsidRDefault="00CB05EC" w:rsidP="00144B8E">
            <w:r w:rsidRPr="008B1AB0">
              <w:t>46</w:t>
            </w:r>
          </w:p>
        </w:tc>
        <w:tc>
          <w:tcPr>
            <w:tcW w:w="1804" w:type="dxa"/>
          </w:tcPr>
          <w:p w14:paraId="731FE9AE" w14:textId="2B8814C5" w:rsidR="009F4D9D" w:rsidRPr="008B1AB0" w:rsidRDefault="00CB05EC" w:rsidP="00144B8E">
            <w:r w:rsidRPr="008B1AB0">
              <w:t>0.47</w:t>
            </w:r>
          </w:p>
        </w:tc>
      </w:tr>
      <w:tr w:rsidR="009F4D9D" w14:paraId="0B83DAAA" w14:textId="77777777" w:rsidTr="009F4D9D">
        <w:tc>
          <w:tcPr>
            <w:tcW w:w="1803" w:type="dxa"/>
          </w:tcPr>
          <w:p w14:paraId="0DD4DC09" w14:textId="69C1319D" w:rsidR="009F4D9D" w:rsidRPr="008B1AB0" w:rsidRDefault="00CB05EC" w:rsidP="00144B8E">
            <w:r w:rsidRPr="008B1AB0">
              <w:t>2022</w:t>
            </w:r>
          </w:p>
        </w:tc>
        <w:tc>
          <w:tcPr>
            <w:tcW w:w="1803" w:type="dxa"/>
          </w:tcPr>
          <w:p w14:paraId="3A0A0350" w14:textId="60BF096E" w:rsidR="009F4D9D" w:rsidRPr="008B1AB0" w:rsidRDefault="00CB05EC" w:rsidP="00144B8E">
            <w:r w:rsidRPr="008B1AB0">
              <w:t>7</w:t>
            </w:r>
          </w:p>
        </w:tc>
        <w:tc>
          <w:tcPr>
            <w:tcW w:w="1803" w:type="dxa"/>
          </w:tcPr>
          <w:p w14:paraId="2D2DD6D3" w14:textId="11B646FE" w:rsidR="009F4D9D" w:rsidRPr="008B1AB0" w:rsidRDefault="00CB05EC" w:rsidP="00144B8E">
            <w:r w:rsidRPr="008B1AB0">
              <w:t>29</w:t>
            </w:r>
          </w:p>
        </w:tc>
        <w:tc>
          <w:tcPr>
            <w:tcW w:w="1803" w:type="dxa"/>
          </w:tcPr>
          <w:p w14:paraId="5297306C" w14:textId="4EBE2376" w:rsidR="009F4D9D" w:rsidRPr="008B1AB0" w:rsidRDefault="00CB05EC" w:rsidP="00144B8E">
            <w:r w:rsidRPr="008B1AB0">
              <w:t>47</w:t>
            </w:r>
          </w:p>
        </w:tc>
        <w:tc>
          <w:tcPr>
            <w:tcW w:w="1804" w:type="dxa"/>
          </w:tcPr>
          <w:p w14:paraId="0D297BED" w14:textId="3C786542" w:rsidR="009F4D9D" w:rsidRPr="008B1AB0" w:rsidRDefault="00CB05EC" w:rsidP="00144B8E">
            <w:r w:rsidRPr="008B1AB0">
              <w:t>0.51</w:t>
            </w:r>
          </w:p>
        </w:tc>
      </w:tr>
      <w:tr w:rsidR="009F4D9D" w14:paraId="7387A40A" w14:textId="77777777" w:rsidTr="009F4D9D">
        <w:tc>
          <w:tcPr>
            <w:tcW w:w="1803" w:type="dxa"/>
          </w:tcPr>
          <w:p w14:paraId="5C685BA3" w14:textId="0A1C9349" w:rsidR="009F4D9D" w:rsidRPr="008B1AB0" w:rsidRDefault="00CB05EC" w:rsidP="00144B8E">
            <w:r w:rsidRPr="008B1AB0">
              <w:t>2023</w:t>
            </w:r>
          </w:p>
        </w:tc>
        <w:tc>
          <w:tcPr>
            <w:tcW w:w="1803" w:type="dxa"/>
          </w:tcPr>
          <w:p w14:paraId="2A9058AE" w14:textId="1BD99927" w:rsidR="009F4D9D" w:rsidRPr="008B1AB0" w:rsidRDefault="00CB05EC" w:rsidP="00144B8E">
            <w:r w:rsidRPr="008B1AB0">
              <w:t>7</w:t>
            </w:r>
          </w:p>
        </w:tc>
        <w:tc>
          <w:tcPr>
            <w:tcW w:w="1803" w:type="dxa"/>
          </w:tcPr>
          <w:p w14:paraId="7EA6C43A" w14:textId="3A3A7A35" w:rsidR="009F4D9D" w:rsidRPr="008B1AB0" w:rsidRDefault="00CB05EC" w:rsidP="00144B8E">
            <w:r w:rsidRPr="008B1AB0">
              <w:t>28</w:t>
            </w:r>
          </w:p>
        </w:tc>
        <w:tc>
          <w:tcPr>
            <w:tcW w:w="1803" w:type="dxa"/>
          </w:tcPr>
          <w:p w14:paraId="5EC2EE0A" w14:textId="4E47CC26" w:rsidR="009F4D9D" w:rsidRPr="008B1AB0" w:rsidRDefault="00CB05EC" w:rsidP="00144B8E">
            <w:r w:rsidRPr="008B1AB0">
              <w:t>48</w:t>
            </w:r>
          </w:p>
        </w:tc>
        <w:tc>
          <w:tcPr>
            <w:tcW w:w="1804" w:type="dxa"/>
          </w:tcPr>
          <w:p w14:paraId="7732D0F8" w14:textId="73C7A7BE" w:rsidR="009F4D9D" w:rsidRPr="008B1AB0" w:rsidRDefault="00CB05EC" w:rsidP="00144B8E">
            <w:r w:rsidRPr="008B1AB0">
              <w:t>0.53</w:t>
            </w:r>
          </w:p>
        </w:tc>
      </w:tr>
      <w:tr w:rsidR="009F4D9D" w14:paraId="614868F9" w14:textId="77777777" w:rsidTr="009F4D9D">
        <w:tc>
          <w:tcPr>
            <w:tcW w:w="1803" w:type="dxa"/>
          </w:tcPr>
          <w:p w14:paraId="35AD0DD8" w14:textId="0BAEF2A4" w:rsidR="009F4D9D" w:rsidRPr="008B1AB0" w:rsidRDefault="00CB05EC" w:rsidP="00144B8E">
            <w:r w:rsidRPr="008B1AB0">
              <w:t>2024</w:t>
            </w:r>
          </w:p>
        </w:tc>
        <w:tc>
          <w:tcPr>
            <w:tcW w:w="1803" w:type="dxa"/>
          </w:tcPr>
          <w:p w14:paraId="4AF8D4D6" w14:textId="05D53EFE" w:rsidR="009F4D9D" w:rsidRPr="008B1AB0" w:rsidRDefault="00CB05EC" w:rsidP="00144B8E">
            <w:r w:rsidRPr="008B1AB0">
              <w:t>7</w:t>
            </w:r>
          </w:p>
        </w:tc>
        <w:tc>
          <w:tcPr>
            <w:tcW w:w="1803" w:type="dxa"/>
          </w:tcPr>
          <w:p w14:paraId="4709E684" w14:textId="6EDEF45E" w:rsidR="009F4D9D" w:rsidRPr="008B1AB0" w:rsidRDefault="00CB05EC" w:rsidP="00144B8E">
            <w:r w:rsidRPr="008B1AB0">
              <w:t>28</w:t>
            </w:r>
          </w:p>
        </w:tc>
        <w:tc>
          <w:tcPr>
            <w:tcW w:w="1803" w:type="dxa"/>
          </w:tcPr>
          <w:p w14:paraId="61DD2873" w14:textId="5E2BAEDA" w:rsidR="009F4D9D" w:rsidRPr="008B1AB0" w:rsidRDefault="00CB05EC" w:rsidP="00144B8E">
            <w:r w:rsidRPr="008B1AB0">
              <w:t>48</w:t>
            </w:r>
          </w:p>
        </w:tc>
        <w:tc>
          <w:tcPr>
            <w:tcW w:w="1804" w:type="dxa"/>
          </w:tcPr>
          <w:p w14:paraId="7C659D17" w14:textId="7C2CC967" w:rsidR="009F4D9D" w:rsidRPr="008B1AB0" w:rsidRDefault="00CB05EC" w:rsidP="00144B8E">
            <w:r w:rsidRPr="008B1AB0">
              <w:t>0.55</w:t>
            </w:r>
          </w:p>
        </w:tc>
      </w:tr>
    </w:tbl>
    <w:p w14:paraId="0F5C9051" w14:textId="77777777" w:rsidR="001F70F3" w:rsidRDefault="001F70F3" w:rsidP="00144B8E">
      <w:pPr>
        <w:rPr>
          <w:b/>
          <w:bCs/>
        </w:rPr>
      </w:pPr>
    </w:p>
    <w:p w14:paraId="2060D031" w14:textId="747D90A1" w:rsidR="008B1AB0" w:rsidRDefault="00074F59" w:rsidP="00144B8E">
      <w:pPr>
        <w:rPr>
          <w:b/>
          <w:bCs/>
        </w:rPr>
      </w:pPr>
      <w:r w:rsidRPr="00074F59">
        <w:rPr>
          <w:b/>
          <w:bCs/>
        </w:rPr>
        <w:t>Appendix 4: Gearing Ratios (2020–2024)</w:t>
      </w:r>
    </w:p>
    <w:tbl>
      <w:tblPr>
        <w:tblStyle w:val="TableGrid"/>
        <w:tblW w:w="0" w:type="auto"/>
        <w:tblLook w:val="04A0" w:firstRow="1" w:lastRow="0" w:firstColumn="1" w:lastColumn="0" w:noHBand="0" w:noVBand="1"/>
      </w:tblPr>
      <w:tblGrid>
        <w:gridCol w:w="3005"/>
        <w:gridCol w:w="3005"/>
        <w:gridCol w:w="3006"/>
      </w:tblGrid>
      <w:tr w:rsidR="00386D6C" w14:paraId="3E3FC877" w14:textId="77777777" w:rsidTr="00386D6C">
        <w:tc>
          <w:tcPr>
            <w:tcW w:w="3005" w:type="dxa"/>
          </w:tcPr>
          <w:p w14:paraId="675E1202" w14:textId="378DD7D8" w:rsidR="00386D6C" w:rsidRDefault="00386D6C" w:rsidP="00144B8E">
            <w:pPr>
              <w:rPr>
                <w:b/>
                <w:bCs/>
              </w:rPr>
            </w:pPr>
            <w:r>
              <w:rPr>
                <w:b/>
                <w:bCs/>
              </w:rPr>
              <w:t xml:space="preserve">Year </w:t>
            </w:r>
          </w:p>
        </w:tc>
        <w:tc>
          <w:tcPr>
            <w:tcW w:w="3005" w:type="dxa"/>
          </w:tcPr>
          <w:p w14:paraId="1EE5C1E0" w14:textId="658A28F4" w:rsidR="00386D6C" w:rsidRDefault="00386D6C" w:rsidP="00144B8E">
            <w:pPr>
              <w:rPr>
                <w:b/>
                <w:bCs/>
              </w:rPr>
            </w:pPr>
            <w:r>
              <w:rPr>
                <w:b/>
                <w:bCs/>
              </w:rPr>
              <w:t>Debt-</w:t>
            </w:r>
            <w:r w:rsidR="00CC0A60">
              <w:rPr>
                <w:b/>
                <w:bCs/>
              </w:rPr>
              <w:t>to-Equity</w:t>
            </w:r>
          </w:p>
        </w:tc>
        <w:tc>
          <w:tcPr>
            <w:tcW w:w="3006" w:type="dxa"/>
          </w:tcPr>
          <w:p w14:paraId="6F4B7E79" w14:textId="61FD2EBD" w:rsidR="00386D6C" w:rsidRDefault="00CC0A60" w:rsidP="00144B8E">
            <w:pPr>
              <w:rPr>
                <w:b/>
                <w:bCs/>
              </w:rPr>
            </w:pPr>
            <w:r>
              <w:rPr>
                <w:b/>
                <w:bCs/>
              </w:rPr>
              <w:t>Interest Cover</w:t>
            </w:r>
          </w:p>
        </w:tc>
      </w:tr>
      <w:tr w:rsidR="00386D6C" w14:paraId="26C57A16" w14:textId="77777777" w:rsidTr="00386D6C">
        <w:tc>
          <w:tcPr>
            <w:tcW w:w="3005" w:type="dxa"/>
          </w:tcPr>
          <w:p w14:paraId="2FFA5546" w14:textId="1458B3AA" w:rsidR="00386D6C" w:rsidRPr="00E02CA9" w:rsidRDefault="00CC0A60" w:rsidP="00144B8E">
            <w:r w:rsidRPr="00E02CA9">
              <w:t>2020</w:t>
            </w:r>
          </w:p>
        </w:tc>
        <w:tc>
          <w:tcPr>
            <w:tcW w:w="3005" w:type="dxa"/>
          </w:tcPr>
          <w:p w14:paraId="31A62251" w14:textId="3E751930" w:rsidR="00386D6C" w:rsidRPr="00E02CA9" w:rsidRDefault="00B176F0" w:rsidP="00144B8E">
            <w:r w:rsidRPr="00E02CA9">
              <w:t>6.2</w:t>
            </w:r>
          </w:p>
        </w:tc>
        <w:tc>
          <w:tcPr>
            <w:tcW w:w="3006" w:type="dxa"/>
          </w:tcPr>
          <w:p w14:paraId="4D7F46A1" w14:textId="6B34ABF2" w:rsidR="00386D6C" w:rsidRPr="00E02CA9" w:rsidRDefault="006F19EE" w:rsidP="00144B8E">
            <w:r w:rsidRPr="00E02CA9">
              <w:t>-0.5</w:t>
            </w:r>
          </w:p>
        </w:tc>
      </w:tr>
      <w:tr w:rsidR="00386D6C" w14:paraId="6BDFB53A" w14:textId="77777777" w:rsidTr="00386D6C">
        <w:tc>
          <w:tcPr>
            <w:tcW w:w="3005" w:type="dxa"/>
          </w:tcPr>
          <w:p w14:paraId="00E9718B" w14:textId="7D33C06B" w:rsidR="00386D6C" w:rsidRPr="00E02CA9" w:rsidRDefault="00CC0A60" w:rsidP="00144B8E">
            <w:r w:rsidRPr="00E02CA9">
              <w:t>2021</w:t>
            </w:r>
          </w:p>
        </w:tc>
        <w:tc>
          <w:tcPr>
            <w:tcW w:w="3005" w:type="dxa"/>
          </w:tcPr>
          <w:p w14:paraId="16B582EB" w14:textId="462B386C" w:rsidR="00386D6C" w:rsidRPr="00E02CA9" w:rsidRDefault="00B176F0" w:rsidP="00144B8E">
            <w:r w:rsidRPr="00E02CA9">
              <w:t>5.8</w:t>
            </w:r>
          </w:p>
        </w:tc>
        <w:tc>
          <w:tcPr>
            <w:tcW w:w="3006" w:type="dxa"/>
          </w:tcPr>
          <w:p w14:paraId="4C6C254C" w14:textId="6D562F24" w:rsidR="00386D6C" w:rsidRPr="00E02CA9" w:rsidRDefault="006F19EE" w:rsidP="00144B8E">
            <w:r w:rsidRPr="00E02CA9">
              <w:t>2.1</w:t>
            </w:r>
          </w:p>
        </w:tc>
      </w:tr>
      <w:tr w:rsidR="00386D6C" w14:paraId="73C4DC86" w14:textId="77777777" w:rsidTr="00386D6C">
        <w:tc>
          <w:tcPr>
            <w:tcW w:w="3005" w:type="dxa"/>
          </w:tcPr>
          <w:p w14:paraId="003867B6" w14:textId="37C88B0A" w:rsidR="00386D6C" w:rsidRPr="00E02CA9" w:rsidRDefault="00CC0A60" w:rsidP="00144B8E">
            <w:r w:rsidRPr="00E02CA9">
              <w:t>2022</w:t>
            </w:r>
          </w:p>
        </w:tc>
        <w:tc>
          <w:tcPr>
            <w:tcW w:w="3005" w:type="dxa"/>
          </w:tcPr>
          <w:p w14:paraId="0EEF6B7D" w14:textId="3B5D92CE" w:rsidR="00386D6C" w:rsidRPr="00E02CA9" w:rsidRDefault="00B176F0" w:rsidP="00144B8E">
            <w:r w:rsidRPr="00E02CA9">
              <w:t>5.3</w:t>
            </w:r>
          </w:p>
        </w:tc>
        <w:tc>
          <w:tcPr>
            <w:tcW w:w="3006" w:type="dxa"/>
          </w:tcPr>
          <w:p w14:paraId="11FB60FF" w14:textId="1ADC25F4" w:rsidR="00386D6C" w:rsidRPr="00E02CA9" w:rsidRDefault="006F19EE" w:rsidP="00144B8E">
            <w:r w:rsidRPr="00E02CA9">
              <w:t>4.8</w:t>
            </w:r>
          </w:p>
        </w:tc>
      </w:tr>
      <w:tr w:rsidR="00386D6C" w14:paraId="13E754C8" w14:textId="77777777" w:rsidTr="00386D6C">
        <w:tc>
          <w:tcPr>
            <w:tcW w:w="3005" w:type="dxa"/>
          </w:tcPr>
          <w:p w14:paraId="624CF46C" w14:textId="5239F9E4" w:rsidR="00386D6C" w:rsidRPr="00E02CA9" w:rsidRDefault="00CC0A60" w:rsidP="00144B8E">
            <w:r w:rsidRPr="00E02CA9">
              <w:t>2023</w:t>
            </w:r>
          </w:p>
        </w:tc>
        <w:tc>
          <w:tcPr>
            <w:tcW w:w="3005" w:type="dxa"/>
          </w:tcPr>
          <w:p w14:paraId="3D49CD4B" w14:textId="71C8A1F3" w:rsidR="00386D6C" w:rsidRPr="00E02CA9" w:rsidRDefault="006F19EE" w:rsidP="00144B8E">
            <w:r w:rsidRPr="00E02CA9">
              <w:t>5.0</w:t>
            </w:r>
          </w:p>
        </w:tc>
        <w:tc>
          <w:tcPr>
            <w:tcW w:w="3006" w:type="dxa"/>
          </w:tcPr>
          <w:p w14:paraId="53558BF7" w14:textId="7F56CDD5" w:rsidR="00386D6C" w:rsidRPr="00E02CA9" w:rsidRDefault="006F19EE" w:rsidP="00144B8E">
            <w:r w:rsidRPr="00E02CA9">
              <w:t>5.7</w:t>
            </w:r>
          </w:p>
        </w:tc>
      </w:tr>
      <w:tr w:rsidR="00386D6C" w14:paraId="505E2184" w14:textId="77777777" w:rsidTr="00386D6C">
        <w:tc>
          <w:tcPr>
            <w:tcW w:w="3005" w:type="dxa"/>
          </w:tcPr>
          <w:p w14:paraId="2CAC2C2A" w14:textId="36DDB726" w:rsidR="00386D6C" w:rsidRPr="00E02CA9" w:rsidRDefault="00CC0A60" w:rsidP="00144B8E">
            <w:r w:rsidRPr="00E02CA9">
              <w:t>2024</w:t>
            </w:r>
          </w:p>
        </w:tc>
        <w:tc>
          <w:tcPr>
            <w:tcW w:w="3005" w:type="dxa"/>
          </w:tcPr>
          <w:p w14:paraId="642700E0" w14:textId="7EC0397A" w:rsidR="00386D6C" w:rsidRPr="00E02CA9" w:rsidRDefault="006F19EE" w:rsidP="00144B8E">
            <w:r w:rsidRPr="00E02CA9">
              <w:t>4.8</w:t>
            </w:r>
          </w:p>
        </w:tc>
        <w:tc>
          <w:tcPr>
            <w:tcW w:w="3006" w:type="dxa"/>
          </w:tcPr>
          <w:p w14:paraId="4759855D" w14:textId="202DA994" w:rsidR="00386D6C" w:rsidRPr="00E02CA9" w:rsidRDefault="006F19EE" w:rsidP="00144B8E">
            <w:r w:rsidRPr="00E02CA9">
              <w:t>6.2</w:t>
            </w:r>
          </w:p>
        </w:tc>
      </w:tr>
    </w:tbl>
    <w:p w14:paraId="067678EA" w14:textId="77777777" w:rsidR="00074F59" w:rsidRPr="00561365" w:rsidRDefault="00074F59" w:rsidP="00144B8E">
      <w:pPr>
        <w:rPr>
          <w:b/>
          <w:bCs/>
        </w:rPr>
      </w:pPr>
    </w:p>
    <w:p w14:paraId="371950DF" w14:textId="17A32A37" w:rsidR="004C5B3F" w:rsidRDefault="00561365" w:rsidP="004C5B3F">
      <w:pPr>
        <w:rPr>
          <w:b/>
          <w:bCs/>
        </w:rPr>
      </w:pPr>
      <w:r w:rsidRPr="00561365">
        <w:rPr>
          <w:b/>
          <w:bCs/>
        </w:rPr>
        <w:t>Appendix 5: Investment Ratios (2020–2024)</w:t>
      </w:r>
    </w:p>
    <w:tbl>
      <w:tblPr>
        <w:tblStyle w:val="TableGrid"/>
        <w:tblW w:w="0" w:type="auto"/>
        <w:tblLook w:val="04A0" w:firstRow="1" w:lastRow="0" w:firstColumn="1" w:lastColumn="0" w:noHBand="0" w:noVBand="1"/>
      </w:tblPr>
      <w:tblGrid>
        <w:gridCol w:w="2938"/>
        <w:gridCol w:w="2938"/>
        <w:gridCol w:w="2939"/>
      </w:tblGrid>
      <w:tr w:rsidR="00561365" w14:paraId="324834BA" w14:textId="77777777" w:rsidTr="002C33F5">
        <w:trPr>
          <w:trHeight w:val="612"/>
        </w:trPr>
        <w:tc>
          <w:tcPr>
            <w:tcW w:w="2938" w:type="dxa"/>
          </w:tcPr>
          <w:p w14:paraId="0A69EBE5" w14:textId="0BA8E160" w:rsidR="00561365" w:rsidRDefault="00076BD8" w:rsidP="004C5B3F">
            <w:pPr>
              <w:rPr>
                <w:b/>
                <w:bCs/>
              </w:rPr>
            </w:pPr>
            <w:r>
              <w:rPr>
                <w:b/>
                <w:bCs/>
              </w:rPr>
              <w:t xml:space="preserve">Year </w:t>
            </w:r>
          </w:p>
        </w:tc>
        <w:tc>
          <w:tcPr>
            <w:tcW w:w="2938" w:type="dxa"/>
          </w:tcPr>
          <w:p w14:paraId="1C8B5BBA" w14:textId="27AED243" w:rsidR="00561365" w:rsidRDefault="00076BD8" w:rsidP="004C5B3F">
            <w:pPr>
              <w:rPr>
                <w:b/>
                <w:bCs/>
              </w:rPr>
            </w:pPr>
            <w:r>
              <w:rPr>
                <w:b/>
                <w:bCs/>
              </w:rPr>
              <w:t>EPS</w:t>
            </w:r>
          </w:p>
        </w:tc>
        <w:tc>
          <w:tcPr>
            <w:tcW w:w="2939" w:type="dxa"/>
          </w:tcPr>
          <w:p w14:paraId="294AB681" w14:textId="2B3DCC31" w:rsidR="00561365" w:rsidRDefault="00076BD8" w:rsidP="004C5B3F">
            <w:pPr>
              <w:rPr>
                <w:b/>
                <w:bCs/>
              </w:rPr>
            </w:pPr>
            <w:r>
              <w:rPr>
                <w:b/>
                <w:bCs/>
              </w:rPr>
              <w:t>Dividend Yield</w:t>
            </w:r>
          </w:p>
        </w:tc>
      </w:tr>
      <w:tr w:rsidR="00561365" w14:paraId="4BAA2392" w14:textId="77777777" w:rsidTr="002C33F5">
        <w:trPr>
          <w:trHeight w:val="633"/>
        </w:trPr>
        <w:tc>
          <w:tcPr>
            <w:tcW w:w="2938" w:type="dxa"/>
          </w:tcPr>
          <w:p w14:paraId="171B9073" w14:textId="4FF81D19" w:rsidR="00561365" w:rsidRPr="00002B1F" w:rsidRDefault="00076BD8" w:rsidP="004C5B3F">
            <w:r w:rsidRPr="00002B1F">
              <w:t>202</w:t>
            </w:r>
            <w:r w:rsidR="008C6195">
              <w:t>0</w:t>
            </w:r>
          </w:p>
        </w:tc>
        <w:tc>
          <w:tcPr>
            <w:tcW w:w="2938" w:type="dxa"/>
          </w:tcPr>
          <w:p w14:paraId="17814D31" w14:textId="46827047" w:rsidR="00561365" w:rsidRPr="00002B1F" w:rsidRDefault="001B7B17" w:rsidP="004C5B3F">
            <w:r w:rsidRPr="00002B1F">
              <w:t>-$0.8</w:t>
            </w:r>
          </w:p>
        </w:tc>
        <w:tc>
          <w:tcPr>
            <w:tcW w:w="2939" w:type="dxa"/>
          </w:tcPr>
          <w:p w14:paraId="567B1A3B" w14:textId="5C7F9658" w:rsidR="00561365" w:rsidRPr="00002B1F" w:rsidRDefault="00002B1F" w:rsidP="004C5B3F">
            <w:r w:rsidRPr="00002B1F">
              <w:t>0</w:t>
            </w:r>
          </w:p>
        </w:tc>
      </w:tr>
      <w:tr w:rsidR="00561365" w14:paraId="10AFA253" w14:textId="77777777" w:rsidTr="002C33F5">
        <w:trPr>
          <w:trHeight w:val="612"/>
        </w:trPr>
        <w:tc>
          <w:tcPr>
            <w:tcW w:w="2938" w:type="dxa"/>
          </w:tcPr>
          <w:p w14:paraId="59238595" w14:textId="474D8CAE" w:rsidR="00561365" w:rsidRPr="00002B1F" w:rsidRDefault="00076BD8" w:rsidP="004C5B3F">
            <w:r w:rsidRPr="00002B1F">
              <w:t>2021</w:t>
            </w:r>
          </w:p>
        </w:tc>
        <w:tc>
          <w:tcPr>
            <w:tcW w:w="2938" w:type="dxa"/>
          </w:tcPr>
          <w:p w14:paraId="42C89466" w14:textId="4D1C94A7" w:rsidR="00561365" w:rsidRPr="00002B1F" w:rsidRDefault="00002B1F" w:rsidP="004C5B3F">
            <w:r w:rsidRPr="00002B1F">
              <w:t>$2.10</w:t>
            </w:r>
          </w:p>
        </w:tc>
        <w:tc>
          <w:tcPr>
            <w:tcW w:w="2939" w:type="dxa"/>
          </w:tcPr>
          <w:p w14:paraId="23F1DCC8" w14:textId="25B79958" w:rsidR="00561365" w:rsidRPr="00002B1F" w:rsidRDefault="00002B1F" w:rsidP="004C5B3F">
            <w:r w:rsidRPr="00002B1F">
              <w:t>0</w:t>
            </w:r>
          </w:p>
        </w:tc>
      </w:tr>
      <w:tr w:rsidR="00561365" w14:paraId="30979AA4" w14:textId="77777777" w:rsidTr="002C33F5">
        <w:trPr>
          <w:trHeight w:val="612"/>
        </w:trPr>
        <w:tc>
          <w:tcPr>
            <w:tcW w:w="2938" w:type="dxa"/>
          </w:tcPr>
          <w:p w14:paraId="3CF31070" w14:textId="563B4C06" w:rsidR="00561365" w:rsidRPr="00002B1F" w:rsidRDefault="00076BD8" w:rsidP="004C5B3F">
            <w:r w:rsidRPr="00002B1F">
              <w:t>2022</w:t>
            </w:r>
          </w:p>
        </w:tc>
        <w:tc>
          <w:tcPr>
            <w:tcW w:w="2938" w:type="dxa"/>
          </w:tcPr>
          <w:p w14:paraId="53CA5AB3" w14:textId="21080E62" w:rsidR="00561365" w:rsidRPr="00002B1F" w:rsidRDefault="00002B1F" w:rsidP="004C5B3F">
            <w:r w:rsidRPr="00002B1F">
              <w:t>$5.40</w:t>
            </w:r>
          </w:p>
        </w:tc>
        <w:tc>
          <w:tcPr>
            <w:tcW w:w="2939" w:type="dxa"/>
          </w:tcPr>
          <w:p w14:paraId="15065FD8" w14:textId="0F82839D" w:rsidR="00561365" w:rsidRPr="00002B1F" w:rsidRDefault="00002B1F" w:rsidP="004C5B3F">
            <w:r w:rsidRPr="00002B1F">
              <w:t>0</w:t>
            </w:r>
          </w:p>
        </w:tc>
      </w:tr>
      <w:tr w:rsidR="00561365" w14:paraId="08023651" w14:textId="77777777" w:rsidTr="002C33F5">
        <w:trPr>
          <w:trHeight w:val="633"/>
        </w:trPr>
        <w:tc>
          <w:tcPr>
            <w:tcW w:w="2938" w:type="dxa"/>
          </w:tcPr>
          <w:p w14:paraId="43144FC2" w14:textId="5175E60A" w:rsidR="00561365" w:rsidRPr="00002B1F" w:rsidRDefault="00076BD8" w:rsidP="004C5B3F">
            <w:r w:rsidRPr="00002B1F">
              <w:t>2023</w:t>
            </w:r>
          </w:p>
        </w:tc>
        <w:tc>
          <w:tcPr>
            <w:tcW w:w="2938" w:type="dxa"/>
          </w:tcPr>
          <w:p w14:paraId="7D449892" w14:textId="0634575C" w:rsidR="00561365" w:rsidRPr="00002B1F" w:rsidRDefault="00002B1F" w:rsidP="004C5B3F">
            <w:r w:rsidRPr="00002B1F">
              <w:t>$7.20</w:t>
            </w:r>
          </w:p>
        </w:tc>
        <w:tc>
          <w:tcPr>
            <w:tcW w:w="2939" w:type="dxa"/>
          </w:tcPr>
          <w:p w14:paraId="4B9E03BD" w14:textId="1CFFCBD2" w:rsidR="00561365" w:rsidRPr="00002B1F" w:rsidRDefault="00002B1F" w:rsidP="004C5B3F">
            <w:r w:rsidRPr="00002B1F">
              <w:t>0</w:t>
            </w:r>
          </w:p>
        </w:tc>
      </w:tr>
      <w:tr w:rsidR="00561365" w14:paraId="34C1D941" w14:textId="77777777" w:rsidTr="002C33F5">
        <w:trPr>
          <w:trHeight w:val="612"/>
        </w:trPr>
        <w:tc>
          <w:tcPr>
            <w:tcW w:w="2938" w:type="dxa"/>
          </w:tcPr>
          <w:p w14:paraId="57EA6DEF" w14:textId="63A64C35" w:rsidR="00561365" w:rsidRPr="00002B1F" w:rsidRDefault="00076BD8" w:rsidP="004C5B3F">
            <w:r w:rsidRPr="00002B1F">
              <w:t>2024</w:t>
            </w:r>
          </w:p>
        </w:tc>
        <w:tc>
          <w:tcPr>
            <w:tcW w:w="2938" w:type="dxa"/>
          </w:tcPr>
          <w:p w14:paraId="57883F9E" w14:textId="48372286" w:rsidR="00561365" w:rsidRPr="00002B1F" w:rsidRDefault="00002B1F" w:rsidP="004C5B3F">
            <w:r w:rsidRPr="00002B1F">
              <w:t>$8.10</w:t>
            </w:r>
          </w:p>
        </w:tc>
        <w:tc>
          <w:tcPr>
            <w:tcW w:w="2939" w:type="dxa"/>
          </w:tcPr>
          <w:p w14:paraId="20FD696A" w14:textId="110C23A5" w:rsidR="00561365" w:rsidRPr="00002B1F" w:rsidRDefault="002C33F5" w:rsidP="004C5B3F">
            <w:r>
              <w:t>1.2%</w:t>
            </w:r>
          </w:p>
        </w:tc>
      </w:tr>
    </w:tbl>
    <w:p w14:paraId="676607B8" w14:textId="77777777" w:rsidR="00561365" w:rsidRPr="00561365" w:rsidRDefault="00561365" w:rsidP="004C5B3F">
      <w:pPr>
        <w:rPr>
          <w:b/>
          <w:bCs/>
        </w:rPr>
      </w:pPr>
    </w:p>
    <w:p w14:paraId="78D5C37A" w14:textId="77777777" w:rsidR="00AC62AB" w:rsidRPr="00AC62AB" w:rsidRDefault="00AC62AB" w:rsidP="00AC62AB">
      <w:pPr>
        <w:rPr>
          <w:b/>
          <w:bCs/>
        </w:rPr>
      </w:pPr>
      <w:r w:rsidRPr="00AC62AB">
        <w:rPr>
          <w:b/>
          <w:bCs/>
        </w:rPr>
        <w:t>Appendix 6: Cash Conversion Cycle (CCC) Calculation</w:t>
      </w:r>
    </w:p>
    <w:p w14:paraId="7FF98EB4" w14:textId="4C4568FA" w:rsidR="004C5B3F" w:rsidRDefault="00AC62AB" w:rsidP="004C5B3F">
      <w:r>
        <w:t xml:space="preserve">Formula </w:t>
      </w:r>
    </w:p>
    <w:p w14:paraId="07AA87DD" w14:textId="77777777" w:rsidR="00B9610D" w:rsidRPr="00B9610D" w:rsidRDefault="00B9610D" w:rsidP="00B9610D">
      <w:r w:rsidRPr="00B9610D">
        <w:t>CCC = Inventory Days + Receivables Days – Payables Days</w:t>
      </w:r>
    </w:p>
    <w:p w14:paraId="342AD6FE" w14:textId="77777777" w:rsidR="00B9610D" w:rsidRPr="00B9610D" w:rsidRDefault="00B9610D" w:rsidP="00B9610D">
      <w:r w:rsidRPr="00B9610D">
        <w:t>2024 Values: Inventory Days = 7 Receivables Days = 28 Payables Days = 48</w:t>
      </w:r>
    </w:p>
    <w:p w14:paraId="6A86A078" w14:textId="77777777" w:rsidR="00B9610D" w:rsidRPr="00B9610D" w:rsidRDefault="00B9610D" w:rsidP="00B9610D">
      <w:r w:rsidRPr="00B9610D">
        <w:t>CCC Calculation: CCC = 7 + 28 – 48 CCC = –13 days</w:t>
      </w:r>
    </w:p>
    <w:p w14:paraId="49C6FF66" w14:textId="77777777" w:rsidR="00B9610D" w:rsidRPr="00B9610D" w:rsidRDefault="00B9610D" w:rsidP="00B9610D">
      <w:r w:rsidRPr="00B9610D">
        <w:t>Interpretation: A negative CCC means Marriott receives cash before paying suppliers.</w:t>
      </w:r>
    </w:p>
    <w:p w14:paraId="2B324CFA" w14:textId="630FCE4B" w:rsidR="00AC62AB" w:rsidRDefault="00103E22" w:rsidP="004C5B3F">
      <w:pPr>
        <w:rPr>
          <w:b/>
          <w:bCs/>
        </w:rPr>
      </w:pPr>
      <w:r w:rsidRPr="00103E22">
        <w:rPr>
          <w:b/>
          <w:bCs/>
        </w:rPr>
        <w:t>Appendix 7: Investment Appraisal Calculations (Projects A, B, C)</w:t>
      </w:r>
    </w:p>
    <w:p w14:paraId="7FAA07FB" w14:textId="77777777" w:rsidR="007A352A" w:rsidRPr="007A352A" w:rsidRDefault="007A352A" w:rsidP="007A352A">
      <w:pPr>
        <w:rPr>
          <w:b/>
          <w:bCs/>
        </w:rPr>
      </w:pPr>
      <w:r w:rsidRPr="007A352A">
        <w:rPr>
          <w:b/>
          <w:bCs/>
        </w:rPr>
        <w:t>Project A</w:t>
      </w:r>
    </w:p>
    <w:p w14:paraId="39011FFF" w14:textId="77777777" w:rsidR="007A352A" w:rsidRPr="007A352A" w:rsidRDefault="007A352A" w:rsidP="007A352A">
      <w:r w:rsidRPr="007A352A">
        <w:t>Initial Investment: £50m</w:t>
      </w:r>
    </w:p>
    <w:p w14:paraId="7B353E31" w14:textId="77777777" w:rsidR="007A352A" w:rsidRPr="007A352A" w:rsidRDefault="007A352A" w:rsidP="007A352A">
      <w:r w:rsidRPr="007A352A">
        <w:t>NPV: £6.21m</w:t>
      </w:r>
    </w:p>
    <w:p w14:paraId="449FE5B9" w14:textId="77777777" w:rsidR="007A352A" w:rsidRPr="007A352A" w:rsidRDefault="007A352A" w:rsidP="007A352A">
      <w:r w:rsidRPr="007A352A">
        <w:t>IRR: 11.4%</w:t>
      </w:r>
    </w:p>
    <w:p w14:paraId="453CB0DD" w14:textId="77777777" w:rsidR="007A352A" w:rsidRPr="007A352A" w:rsidRDefault="007A352A" w:rsidP="007A352A">
      <w:r w:rsidRPr="007A352A">
        <w:t>ARR: 12%</w:t>
      </w:r>
    </w:p>
    <w:p w14:paraId="7F7E41E5" w14:textId="77777777" w:rsidR="007A352A" w:rsidRDefault="007A352A" w:rsidP="007A352A">
      <w:r w:rsidRPr="007A352A">
        <w:t>PI: 1.12</w:t>
      </w:r>
    </w:p>
    <w:p w14:paraId="49D17249" w14:textId="2F3E2E2D" w:rsidR="007A352A" w:rsidRDefault="007A352A" w:rsidP="007A352A">
      <w:r w:rsidRPr="007A352A">
        <w:t>Payback: 4.2 years</w:t>
      </w:r>
    </w:p>
    <w:p w14:paraId="24510879" w14:textId="77777777" w:rsidR="00A42BB4" w:rsidRPr="00A42BB4" w:rsidRDefault="00A42BB4" w:rsidP="00A42BB4">
      <w:pPr>
        <w:rPr>
          <w:b/>
          <w:bCs/>
        </w:rPr>
      </w:pPr>
      <w:r w:rsidRPr="00A42BB4">
        <w:rPr>
          <w:b/>
          <w:bCs/>
        </w:rPr>
        <w:t>Project B</w:t>
      </w:r>
    </w:p>
    <w:p w14:paraId="53BEC347" w14:textId="77777777" w:rsidR="00A42BB4" w:rsidRPr="00A42BB4" w:rsidRDefault="00A42BB4" w:rsidP="00A42BB4">
      <w:r w:rsidRPr="00A42BB4">
        <w:t>Initial Investment: £40m</w:t>
      </w:r>
    </w:p>
    <w:p w14:paraId="585652E8" w14:textId="77777777" w:rsidR="00A42BB4" w:rsidRPr="00A42BB4" w:rsidRDefault="00A42BB4" w:rsidP="00A42BB4">
      <w:r w:rsidRPr="00A42BB4">
        <w:t>NPV: £4.89m</w:t>
      </w:r>
    </w:p>
    <w:p w14:paraId="02B77F81" w14:textId="77777777" w:rsidR="00A42BB4" w:rsidRPr="00A42BB4" w:rsidRDefault="00A42BB4" w:rsidP="00A42BB4">
      <w:r w:rsidRPr="00A42BB4">
        <w:t>IRR: 10.2%</w:t>
      </w:r>
    </w:p>
    <w:p w14:paraId="54A31695" w14:textId="77777777" w:rsidR="00A42BB4" w:rsidRPr="00A42BB4" w:rsidRDefault="00A42BB4" w:rsidP="00A42BB4">
      <w:r w:rsidRPr="00A42BB4">
        <w:t>ARR: 11%</w:t>
      </w:r>
    </w:p>
    <w:p w14:paraId="0FA63E1B" w14:textId="77777777" w:rsidR="00A42BB4" w:rsidRPr="00A42BB4" w:rsidRDefault="00A42BB4" w:rsidP="00A42BB4">
      <w:r w:rsidRPr="00A42BB4">
        <w:t>PI: 1.09</w:t>
      </w:r>
    </w:p>
    <w:p w14:paraId="77A95278" w14:textId="77777777" w:rsidR="00A42BB4" w:rsidRDefault="00A42BB4" w:rsidP="00A42BB4">
      <w:r w:rsidRPr="00A42BB4">
        <w:t>Payback: 4.5 years</w:t>
      </w:r>
    </w:p>
    <w:p w14:paraId="2791CD89" w14:textId="77777777" w:rsidR="007B36A4" w:rsidRPr="007B36A4" w:rsidRDefault="007B36A4" w:rsidP="007B36A4">
      <w:pPr>
        <w:rPr>
          <w:b/>
          <w:bCs/>
        </w:rPr>
      </w:pPr>
      <w:r w:rsidRPr="007B36A4">
        <w:rPr>
          <w:b/>
          <w:bCs/>
        </w:rPr>
        <w:t>Project C</w:t>
      </w:r>
    </w:p>
    <w:p w14:paraId="1F86BDFD" w14:textId="77777777" w:rsidR="007B36A4" w:rsidRPr="007B36A4" w:rsidRDefault="007B36A4" w:rsidP="007B36A4">
      <w:r w:rsidRPr="007B36A4">
        <w:t>Initial Investment: £60m</w:t>
      </w:r>
    </w:p>
    <w:p w14:paraId="0F3355C0" w14:textId="77777777" w:rsidR="007B36A4" w:rsidRPr="007B36A4" w:rsidRDefault="007B36A4" w:rsidP="007B36A4">
      <w:r w:rsidRPr="007B36A4">
        <w:t>NPV: £7.55m</w:t>
      </w:r>
    </w:p>
    <w:p w14:paraId="3F6D5B20" w14:textId="77777777" w:rsidR="007B36A4" w:rsidRPr="007B36A4" w:rsidRDefault="007B36A4" w:rsidP="007B36A4">
      <w:r w:rsidRPr="007B36A4">
        <w:t>IRR: 13.8%</w:t>
      </w:r>
    </w:p>
    <w:p w14:paraId="614DB330" w14:textId="77777777" w:rsidR="007B36A4" w:rsidRPr="007B36A4" w:rsidRDefault="007B36A4" w:rsidP="007B36A4">
      <w:r w:rsidRPr="007B36A4">
        <w:t>ARR: 13%</w:t>
      </w:r>
    </w:p>
    <w:p w14:paraId="7CE02D19" w14:textId="77777777" w:rsidR="007B36A4" w:rsidRPr="007B36A4" w:rsidRDefault="007B36A4" w:rsidP="007B36A4">
      <w:r w:rsidRPr="007B36A4">
        <w:t>PI: 1.15</w:t>
      </w:r>
    </w:p>
    <w:p w14:paraId="3F2F112B" w14:textId="77777777" w:rsidR="007B36A4" w:rsidRDefault="007B36A4" w:rsidP="007B36A4">
      <w:r w:rsidRPr="007B36A4">
        <w:t>Payback: 4.0 years</w:t>
      </w:r>
    </w:p>
    <w:p w14:paraId="3D72D509" w14:textId="3667D4E7" w:rsidR="007B36A4" w:rsidRDefault="001C3465" w:rsidP="007B36A4">
      <w:pPr>
        <w:rPr>
          <w:b/>
          <w:bCs/>
        </w:rPr>
      </w:pPr>
      <w:r w:rsidRPr="001C3465">
        <w:rPr>
          <w:b/>
          <w:bCs/>
        </w:rPr>
        <w:t>Appendix 8: Capital Rationing Analysis (£100m Limit)</w:t>
      </w:r>
    </w:p>
    <w:tbl>
      <w:tblPr>
        <w:tblStyle w:val="TableGrid"/>
        <w:tblW w:w="0" w:type="auto"/>
        <w:tblLook w:val="04A0" w:firstRow="1" w:lastRow="0" w:firstColumn="1" w:lastColumn="0" w:noHBand="0" w:noVBand="1"/>
      </w:tblPr>
      <w:tblGrid>
        <w:gridCol w:w="3005"/>
        <w:gridCol w:w="3005"/>
        <w:gridCol w:w="3006"/>
      </w:tblGrid>
      <w:tr w:rsidR="001C3465" w14:paraId="1E739A80" w14:textId="77777777" w:rsidTr="001C3465">
        <w:tc>
          <w:tcPr>
            <w:tcW w:w="3005" w:type="dxa"/>
          </w:tcPr>
          <w:p w14:paraId="74B49261" w14:textId="13B9DD4E" w:rsidR="001C3465" w:rsidRDefault="001C3465" w:rsidP="007B36A4">
            <w:pPr>
              <w:rPr>
                <w:b/>
                <w:bCs/>
              </w:rPr>
            </w:pPr>
            <w:r>
              <w:rPr>
                <w:b/>
                <w:bCs/>
              </w:rPr>
              <w:t>Project Combination</w:t>
            </w:r>
          </w:p>
        </w:tc>
        <w:tc>
          <w:tcPr>
            <w:tcW w:w="3005" w:type="dxa"/>
          </w:tcPr>
          <w:p w14:paraId="4E607E16" w14:textId="02B242B8" w:rsidR="001C3465" w:rsidRDefault="001C3465" w:rsidP="007B36A4">
            <w:pPr>
              <w:rPr>
                <w:b/>
                <w:bCs/>
              </w:rPr>
            </w:pPr>
            <w:r>
              <w:rPr>
                <w:b/>
                <w:bCs/>
              </w:rPr>
              <w:t>Total Investment</w:t>
            </w:r>
          </w:p>
        </w:tc>
        <w:tc>
          <w:tcPr>
            <w:tcW w:w="3006" w:type="dxa"/>
          </w:tcPr>
          <w:p w14:paraId="66D1ECBA" w14:textId="33231ACD" w:rsidR="001C3465" w:rsidRDefault="0014391D" w:rsidP="007B36A4">
            <w:pPr>
              <w:rPr>
                <w:b/>
                <w:bCs/>
              </w:rPr>
            </w:pPr>
            <w:r>
              <w:rPr>
                <w:b/>
                <w:bCs/>
              </w:rPr>
              <w:t>Combined NVP</w:t>
            </w:r>
          </w:p>
        </w:tc>
      </w:tr>
      <w:tr w:rsidR="001C3465" w:rsidRPr="00A74C8D" w14:paraId="7B74D812" w14:textId="77777777" w:rsidTr="001C3465">
        <w:tc>
          <w:tcPr>
            <w:tcW w:w="3005" w:type="dxa"/>
          </w:tcPr>
          <w:p w14:paraId="53FAEECD" w14:textId="0118B67F" w:rsidR="001C3465" w:rsidRPr="00A74C8D" w:rsidRDefault="0014391D" w:rsidP="007B36A4">
            <w:r w:rsidRPr="00A74C8D">
              <w:t>A+B</w:t>
            </w:r>
          </w:p>
        </w:tc>
        <w:tc>
          <w:tcPr>
            <w:tcW w:w="3005" w:type="dxa"/>
          </w:tcPr>
          <w:p w14:paraId="5CA80131" w14:textId="2EE56A35" w:rsidR="001C3465" w:rsidRPr="00A74C8D" w:rsidRDefault="00A74C8D" w:rsidP="007B36A4">
            <w:r w:rsidRPr="00A74C8D">
              <w:t>£</w:t>
            </w:r>
            <w:r w:rsidR="0097263D" w:rsidRPr="00A74C8D">
              <w:t>90</w:t>
            </w:r>
            <w:r w:rsidR="00BF5AED" w:rsidRPr="00A74C8D">
              <w:t>m</w:t>
            </w:r>
          </w:p>
        </w:tc>
        <w:tc>
          <w:tcPr>
            <w:tcW w:w="3006" w:type="dxa"/>
          </w:tcPr>
          <w:p w14:paraId="3442A305" w14:textId="76384B65" w:rsidR="001C3465" w:rsidRPr="00A74C8D" w:rsidRDefault="00A74C8D" w:rsidP="007B36A4">
            <w:r w:rsidRPr="00A74C8D">
              <w:t>£</w:t>
            </w:r>
            <w:r w:rsidR="00BF5AED" w:rsidRPr="00A74C8D">
              <w:t>11.10</w:t>
            </w:r>
            <w:r w:rsidRPr="00A74C8D">
              <w:t>m</w:t>
            </w:r>
          </w:p>
        </w:tc>
      </w:tr>
      <w:tr w:rsidR="001C3465" w:rsidRPr="00A74C8D" w14:paraId="121FF347" w14:textId="77777777" w:rsidTr="001C3465">
        <w:tc>
          <w:tcPr>
            <w:tcW w:w="3005" w:type="dxa"/>
          </w:tcPr>
          <w:p w14:paraId="4C9221E6" w14:textId="59FB2308" w:rsidR="001C3465" w:rsidRPr="00A74C8D" w:rsidRDefault="0097263D" w:rsidP="007B36A4">
            <w:r w:rsidRPr="00A74C8D">
              <w:t>B+C</w:t>
            </w:r>
          </w:p>
        </w:tc>
        <w:tc>
          <w:tcPr>
            <w:tcW w:w="3005" w:type="dxa"/>
          </w:tcPr>
          <w:p w14:paraId="1D2B5C08" w14:textId="31F21391" w:rsidR="001C3465" w:rsidRPr="00A74C8D" w:rsidRDefault="00A74C8D" w:rsidP="007B36A4">
            <w:r w:rsidRPr="00A74C8D">
              <w:t>£</w:t>
            </w:r>
            <w:r w:rsidR="0097263D" w:rsidRPr="00A74C8D">
              <w:t>100</w:t>
            </w:r>
            <w:r w:rsidR="00BF5AED" w:rsidRPr="00A74C8D">
              <w:t>m</w:t>
            </w:r>
          </w:p>
        </w:tc>
        <w:tc>
          <w:tcPr>
            <w:tcW w:w="3006" w:type="dxa"/>
          </w:tcPr>
          <w:p w14:paraId="237672D4" w14:textId="68B161BE" w:rsidR="001C3465" w:rsidRPr="00A74C8D" w:rsidRDefault="00A74C8D" w:rsidP="007B36A4">
            <w:r w:rsidRPr="00A74C8D">
              <w:t>£</w:t>
            </w:r>
            <w:r w:rsidR="00BF5AED" w:rsidRPr="00A74C8D">
              <w:t>12.44</w:t>
            </w:r>
            <w:r w:rsidRPr="00A74C8D">
              <w:t>m</w:t>
            </w:r>
          </w:p>
        </w:tc>
      </w:tr>
      <w:tr w:rsidR="001C3465" w:rsidRPr="00A74C8D" w14:paraId="6BFC3C17" w14:textId="77777777" w:rsidTr="001C3465">
        <w:tc>
          <w:tcPr>
            <w:tcW w:w="3005" w:type="dxa"/>
          </w:tcPr>
          <w:p w14:paraId="6EC4B079" w14:textId="3DC2C88C" w:rsidR="001C3465" w:rsidRPr="00A74C8D" w:rsidRDefault="0097263D" w:rsidP="007B36A4">
            <w:r w:rsidRPr="00A74C8D">
              <w:t>A+C</w:t>
            </w:r>
          </w:p>
        </w:tc>
        <w:tc>
          <w:tcPr>
            <w:tcW w:w="3005" w:type="dxa"/>
          </w:tcPr>
          <w:p w14:paraId="0AB30F51" w14:textId="14B2FF1F" w:rsidR="001C3465" w:rsidRPr="00A74C8D" w:rsidRDefault="00A74C8D" w:rsidP="007B36A4">
            <w:r w:rsidRPr="00A74C8D">
              <w:t>£</w:t>
            </w:r>
            <w:r w:rsidR="0097263D" w:rsidRPr="00A74C8D">
              <w:t>110</w:t>
            </w:r>
            <w:r w:rsidR="00BF5AED" w:rsidRPr="00A74C8D">
              <w:t>m (exceed limit)</w:t>
            </w:r>
          </w:p>
        </w:tc>
        <w:tc>
          <w:tcPr>
            <w:tcW w:w="3006" w:type="dxa"/>
          </w:tcPr>
          <w:p w14:paraId="125F458F" w14:textId="498BD68F" w:rsidR="001C3465" w:rsidRPr="00A74C8D" w:rsidRDefault="00A74C8D" w:rsidP="007B36A4">
            <w:r w:rsidRPr="00A74C8D">
              <w:t>£</w:t>
            </w:r>
            <w:r w:rsidR="00BF5AED" w:rsidRPr="00A74C8D">
              <w:t>13.76</w:t>
            </w:r>
            <w:r w:rsidRPr="00A74C8D">
              <w:t>m</w:t>
            </w:r>
          </w:p>
        </w:tc>
      </w:tr>
    </w:tbl>
    <w:p w14:paraId="24414985" w14:textId="77777777" w:rsidR="001C3465" w:rsidRPr="00A74C8D" w:rsidRDefault="001C3465" w:rsidP="007B36A4"/>
    <w:p w14:paraId="2A3D8FA4" w14:textId="77777777" w:rsidR="00D31106" w:rsidRPr="00D31106" w:rsidRDefault="00D31106" w:rsidP="00D31106">
      <w:r w:rsidRPr="00D31106">
        <w:t>Optimal Choice Under £100m Limit: Projects B + C (highest NPV within budget)</w:t>
      </w:r>
    </w:p>
    <w:p w14:paraId="16BC5315" w14:textId="77777777" w:rsidR="00D31106" w:rsidRPr="00D31106" w:rsidRDefault="00D31106" w:rsidP="00D31106">
      <w:r w:rsidRPr="00D31106">
        <w:t>Optimal Choice Without Limit: Projects A + C (highest overall NPV)</w:t>
      </w:r>
    </w:p>
    <w:p w14:paraId="7E160AC0" w14:textId="77777777" w:rsidR="003F0C99" w:rsidRPr="003F0C99" w:rsidRDefault="003F0C99" w:rsidP="003F0C99">
      <w:pPr>
        <w:rPr>
          <w:b/>
          <w:bCs/>
        </w:rPr>
      </w:pPr>
      <w:r w:rsidRPr="003F0C99">
        <w:rPr>
          <w:b/>
          <w:bCs/>
        </w:rPr>
        <w:t>Appendix 9: Revenue &amp; Net Income Graphs (2020–2024)</w:t>
      </w:r>
    </w:p>
    <w:p w14:paraId="2EA76E06" w14:textId="77777777" w:rsidR="003F0C99" w:rsidRPr="003F0C99" w:rsidRDefault="003F0C99" w:rsidP="003F0C99">
      <w:pPr>
        <w:rPr>
          <w:b/>
          <w:bCs/>
        </w:rPr>
      </w:pPr>
      <w:r w:rsidRPr="003F0C99">
        <w:rPr>
          <w:b/>
          <w:bCs/>
        </w:rPr>
        <w:t>Revenue (USD billions)</w:t>
      </w:r>
    </w:p>
    <w:p w14:paraId="5086B016" w14:textId="77777777" w:rsidR="003F0C99" w:rsidRDefault="003F0C99" w:rsidP="003F0C99">
      <w:r w:rsidRPr="003F0C99">
        <w:t>2020: 10.6</w:t>
      </w:r>
    </w:p>
    <w:p w14:paraId="08CDBA30" w14:textId="77777777" w:rsidR="003F0C99" w:rsidRDefault="003F0C99" w:rsidP="003F0C99">
      <w:r w:rsidRPr="003F0C99">
        <w:t>2021: 13.8</w:t>
      </w:r>
    </w:p>
    <w:p w14:paraId="7DC8B5C1" w14:textId="77777777" w:rsidR="004B7D8C" w:rsidRDefault="003F0C99" w:rsidP="003F0C99">
      <w:r w:rsidRPr="003F0C99">
        <w:t>2022: 20.8</w:t>
      </w:r>
    </w:p>
    <w:p w14:paraId="09E103E7" w14:textId="77777777" w:rsidR="004B7D8C" w:rsidRDefault="003F0C99" w:rsidP="003F0C99">
      <w:r w:rsidRPr="003F0C99">
        <w:t>2023: 23.7</w:t>
      </w:r>
    </w:p>
    <w:p w14:paraId="6834A2D6" w14:textId="2C2E5E36" w:rsidR="003F0C99" w:rsidRPr="003F0C99" w:rsidRDefault="003F0C99" w:rsidP="003F0C99">
      <w:r w:rsidRPr="003F0C99">
        <w:t>2024: 25.1</w:t>
      </w:r>
    </w:p>
    <w:p w14:paraId="28D79961" w14:textId="4879403E" w:rsidR="009A043D" w:rsidRDefault="00DB254A" w:rsidP="00CA607B">
      <w:r>
        <w:rPr>
          <w:noProof/>
        </w:rPr>
        <w:drawing>
          <wp:inline distT="0" distB="0" distL="0" distR="0" wp14:anchorId="6EA25D64" wp14:editId="608AA610">
            <wp:extent cx="5486400" cy="3200400"/>
            <wp:effectExtent l="0" t="0" r="0" b="0"/>
            <wp:docPr id="128515536"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369C95" w14:textId="7E469617" w:rsidR="003440CC" w:rsidRDefault="00D56004" w:rsidP="00CA607B">
      <w:pPr>
        <w:rPr>
          <w:b/>
          <w:bCs/>
        </w:rPr>
      </w:pPr>
      <w:r>
        <w:rPr>
          <w:b/>
          <w:bCs/>
        </w:rPr>
        <w:t>Net Income (USD billions)</w:t>
      </w:r>
    </w:p>
    <w:p w14:paraId="2A4C9C9E" w14:textId="77777777" w:rsidR="007D7B72" w:rsidRPr="007D7B72" w:rsidRDefault="007D7B72" w:rsidP="00CA607B">
      <w:r w:rsidRPr="007D7B72">
        <w:t>2020: –0.27</w:t>
      </w:r>
    </w:p>
    <w:p w14:paraId="74F17E3C" w14:textId="77777777" w:rsidR="007D7B72" w:rsidRPr="007D7B72" w:rsidRDefault="007D7B72" w:rsidP="00CA607B">
      <w:r w:rsidRPr="007D7B72">
        <w:t>2021: 1.10</w:t>
      </w:r>
    </w:p>
    <w:p w14:paraId="0DFDB733" w14:textId="77777777" w:rsidR="007D7B72" w:rsidRPr="007D7B72" w:rsidRDefault="007D7B72" w:rsidP="00CA607B">
      <w:r w:rsidRPr="007D7B72">
        <w:t>2022: 2.20</w:t>
      </w:r>
    </w:p>
    <w:p w14:paraId="40499058" w14:textId="77777777" w:rsidR="007D7B72" w:rsidRPr="007D7B72" w:rsidRDefault="007D7B72" w:rsidP="00CA607B">
      <w:r w:rsidRPr="007D7B72">
        <w:t>2023: 2.40</w:t>
      </w:r>
    </w:p>
    <w:p w14:paraId="03942054" w14:textId="4F711543" w:rsidR="007D7B72" w:rsidRPr="007D7B72" w:rsidRDefault="007D7B72" w:rsidP="00CA607B">
      <w:r w:rsidRPr="007D7B72">
        <w:t>2024: 2.60</w:t>
      </w:r>
    </w:p>
    <w:p w14:paraId="0E090613" w14:textId="68C1D940" w:rsidR="00D56004" w:rsidRPr="00D56004" w:rsidRDefault="00D56004" w:rsidP="00CA607B">
      <w:pPr>
        <w:rPr>
          <w:b/>
          <w:bCs/>
        </w:rPr>
      </w:pPr>
      <w:r>
        <w:rPr>
          <w:b/>
          <w:bCs/>
          <w:noProof/>
        </w:rPr>
        <w:drawing>
          <wp:inline distT="0" distB="0" distL="0" distR="0" wp14:anchorId="6FB85F6A" wp14:editId="63425F05">
            <wp:extent cx="5486400" cy="3200400"/>
            <wp:effectExtent l="0" t="0" r="0" b="0"/>
            <wp:docPr id="1020323473"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B76A05A" w14:textId="77777777" w:rsidR="00A42BB4" w:rsidRPr="00A42BB4" w:rsidRDefault="00A42BB4" w:rsidP="00A42BB4"/>
    <w:p w14:paraId="5BFDB31C" w14:textId="77777777" w:rsidR="007A352A" w:rsidRPr="007A352A" w:rsidRDefault="007A352A" w:rsidP="007A352A"/>
    <w:p w14:paraId="480CDBCA" w14:textId="77777777" w:rsidR="00103E22" w:rsidRPr="00103E22" w:rsidRDefault="00103E22" w:rsidP="004C5B3F">
      <w:pPr>
        <w:rPr>
          <w:b/>
          <w:bCs/>
        </w:rPr>
      </w:pPr>
    </w:p>
    <w:p w14:paraId="77093DE4" w14:textId="77777777" w:rsidR="004C5B3F" w:rsidRPr="004C5B3F" w:rsidRDefault="004C5B3F" w:rsidP="004C5B3F"/>
    <w:p w14:paraId="20B755E0" w14:textId="77777777" w:rsidR="004C5B3F" w:rsidRPr="004C5B3F" w:rsidRDefault="004C5B3F" w:rsidP="004C5B3F"/>
    <w:p w14:paraId="3FBF447A" w14:textId="77777777" w:rsidR="002B0DFF" w:rsidRDefault="002B0DFF"/>
    <w:sectPr w:rsidR="002B0DFF" w:rsidSect="002B0D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36F68"/>
    <w:multiLevelType w:val="multilevel"/>
    <w:tmpl w:val="70169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967CB"/>
    <w:multiLevelType w:val="multilevel"/>
    <w:tmpl w:val="5CBA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FB1D52"/>
    <w:multiLevelType w:val="multilevel"/>
    <w:tmpl w:val="2B862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025504">
    <w:abstractNumId w:val="1"/>
  </w:num>
  <w:num w:numId="2" w16cid:durableId="1069617706">
    <w:abstractNumId w:val="2"/>
  </w:num>
  <w:num w:numId="3" w16cid:durableId="1832871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DFF"/>
    <w:rsid w:val="00002B1F"/>
    <w:rsid w:val="000278F4"/>
    <w:rsid w:val="000317A0"/>
    <w:rsid w:val="000500C7"/>
    <w:rsid w:val="000619DB"/>
    <w:rsid w:val="00074F59"/>
    <w:rsid w:val="0007506F"/>
    <w:rsid w:val="00076BD8"/>
    <w:rsid w:val="000A5504"/>
    <w:rsid w:val="00103E22"/>
    <w:rsid w:val="00123874"/>
    <w:rsid w:val="0014391D"/>
    <w:rsid w:val="00144B8E"/>
    <w:rsid w:val="00165340"/>
    <w:rsid w:val="001B7B17"/>
    <w:rsid w:val="001C3465"/>
    <w:rsid w:val="001D060D"/>
    <w:rsid w:val="001F70F3"/>
    <w:rsid w:val="002126E7"/>
    <w:rsid w:val="002601EE"/>
    <w:rsid w:val="00264107"/>
    <w:rsid w:val="002966ED"/>
    <w:rsid w:val="002B0DFF"/>
    <w:rsid w:val="002C33F5"/>
    <w:rsid w:val="00332D29"/>
    <w:rsid w:val="003440CC"/>
    <w:rsid w:val="00350480"/>
    <w:rsid w:val="003831CC"/>
    <w:rsid w:val="00385144"/>
    <w:rsid w:val="00386D6C"/>
    <w:rsid w:val="003F0C99"/>
    <w:rsid w:val="003F224C"/>
    <w:rsid w:val="003F3812"/>
    <w:rsid w:val="003F5662"/>
    <w:rsid w:val="0041115E"/>
    <w:rsid w:val="0047061E"/>
    <w:rsid w:val="0048301E"/>
    <w:rsid w:val="004B7D8C"/>
    <w:rsid w:val="004C5B3F"/>
    <w:rsid w:val="00534950"/>
    <w:rsid w:val="00561365"/>
    <w:rsid w:val="005900C9"/>
    <w:rsid w:val="005910A2"/>
    <w:rsid w:val="005A360E"/>
    <w:rsid w:val="005C039E"/>
    <w:rsid w:val="005E1B63"/>
    <w:rsid w:val="005F5FDE"/>
    <w:rsid w:val="00631CCD"/>
    <w:rsid w:val="00693176"/>
    <w:rsid w:val="006B6E60"/>
    <w:rsid w:val="006C178C"/>
    <w:rsid w:val="006E6050"/>
    <w:rsid w:val="006F19EE"/>
    <w:rsid w:val="006F1FEC"/>
    <w:rsid w:val="00713400"/>
    <w:rsid w:val="00717869"/>
    <w:rsid w:val="00725935"/>
    <w:rsid w:val="00726E42"/>
    <w:rsid w:val="00747D59"/>
    <w:rsid w:val="00756014"/>
    <w:rsid w:val="007A2C92"/>
    <w:rsid w:val="007A352A"/>
    <w:rsid w:val="007B36A4"/>
    <w:rsid w:val="007C73E0"/>
    <w:rsid w:val="007D163B"/>
    <w:rsid w:val="007D7B72"/>
    <w:rsid w:val="00843700"/>
    <w:rsid w:val="00876048"/>
    <w:rsid w:val="008A7550"/>
    <w:rsid w:val="008B1AB0"/>
    <w:rsid w:val="008C6195"/>
    <w:rsid w:val="008E3B66"/>
    <w:rsid w:val="008F0941"/>
    <w:rsid w:val="00926938"/>
    <w:rsid w:val="0097263D"/>
    <w:rsid w:val="009A043D"/>
    <w:rsid w:val="009C08BD"/>
    <w:rsid w:val="009E0C9D"/>
    <w:rsid w:val="009F4D9D"/>
    <w:rsid w:val="00A42BB4"/>
    <w:rsid w:val="00A54E3B"/>
    <w:rsid w:val="00A74C8D"/>
    <w:rsid w:val="00AC62AB"/>
    <w:rsid w:val="00AE6E56"/>
    <w:rsid w:val="00B176F0"/>
    <w:rsid w:val="00B25019"/>
    <w:rsid w:val="00B374AB"/>
    <w:rsid w:val="00B73465"/>
    <w:rsid w:val="00B92453"/>
    <w:rsid w:val="00B9343C"/>
    <w:rsid w:val="00B9610D"/>
    <w:rsid w:val="00BB2F8F"/>
    <w:rsid w:val="00BE034A"/>
    <w:rsid w:val="00BF5AED"/>
    <w:rsid w:val="00C460E1"/>
    <w:rsid w:val="00C764F8"/>
    <w:rsid w:val="00C865B7"/>
    <w:rsid w:val="00C94758"/>
    <w:rsid w:val="00CA607B"/>
    <w:rsid w:val="00CB05EC"/>
    <w:rsid w:val="00CB6CFF"/>
    <w:rsid w:val="00CC0A60"/>
    <w:rsid w:val="00CE1266"/>
    <w:rsid w:val="00D31106"/>
    <w:rsid w:val="00D373CC"/>
    <w:rsid w:val="00D417A2"/>
    <w:rsid w:val="00D56004"/>
    <w:rsid w:val="00D87CE7"/>
    <w:rsid w:val="00D92BE9"/>
    <w:rsid w:val="00DA2428"/>
    <w:rsid w:val="00DB254A"/>
    <w:rsid w:val="00DB5860"/>
    <w:rsid w:val="00E02CA9"/>
    <w:rsid w:val="00E16AAC"/>
    <w:rsid w:val="00E26558"/>
    <w:rsid w:val="00E90987"/>
    <w:rsid w:val="00F130ED"/>
    <w:rsid w:val="00F22C1E"/>
    <w:rsid w:val="00F45CE3"/>
    <w:rsid w:val="00F91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345FE"/>
  <w15:chartTrackingRefBased/>
  <w15:docId w15:val="{811C7226-A788-4F90-B050-50E705A38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D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0D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D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D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D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D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D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D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D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D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0D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D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D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D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D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D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D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DFF"/>
    <w:rPr>
      <w:rFonts w:eastAsiaTheme="majorEastAsia" w:cstheme="majorBidi"/>
      <w:color w:val="272727" w:themeColor="text1" w:themeTint="D8"/>
    </w:rPr>
  </w:style>
  <w:style w:type="paragraph" w:styleId="Title">
    <w:name w:val="Title"/>
    <w:basedOn w:val="Normal"/>
    <w:next w:val="Normal"/>
    <w:link w:val="TitleChar"/>
    <w:uiPriority w:val="10"/>
    <w:qFormat/>
    <w:rsid w:val="002B0D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D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D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D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DFF"/>
    <w:pPr>
      <w:spacing w:before="160"/>
      <w:jc w:val="center"/>
    </w:pPr>
    <w:rPr>
      <w:i/>
      <w:iCs/>
      <w:color w:val="404040" w:themeColor="text1" w:themeTint="BF"/>
    </w:rPr>
  </w:style>
  <w:style w:type="character" w:customStyle="1" w:styleId="QuoteChar">
    <w:name w:val="Quote Char"/>
    <w:basedOn w:val="DefaultParagraphFont"/>
    <w:link w:val="Quote"/>
    <w:uiPriority w:val="29"/>
    <w:rsid w:val="002B0DFF"/>
    <w:rPr>
      <w:i/>
      <w:iCs/>
      <w:color w:val="404040" w:themeColor="text1" w:themeTint="BF"/>
    </w:rPr>
  </w:style>
  <w:style w:type="paragraph" w:styleId="ListParagraph">
    <w:name w:val="List Paragraph"/>
    <w:basedOn w:val="Normal"/>
    <w:uiPriority w:val="34"/>
    <w:qFormat/>
    <w:rsid w:val="002B0DFF"/>
    <w:pPr>
      <w:ind w:left="720"/>
      <w:contextualSpacing/>
    </w:pPr>
  </w:style>
  <w:style w:type="character" w:styleId="IntenseEmphasis">
    <w:name w:val="Intense Emphasis"/>
    <w:basedOn w:val="DefaultParagraphFont"/>
    <w:uiPriority w:val="21"/>
    <w:qFormat/>
    <w:rsid w:val="002B0DFF"/>
    <w:rPr>
      <w:i/>
      <w:iCs/>
      <w:color w:val="0F4761" w:themeColor="accent1" w:themeShade="BF"/>
    </w:rPr>
  </w:style>
  <w:style w:type="paragraph" w:styleId="IntenseQuote">
    <w:name w:val="Intense Quote"/>
    <w:basedOn w:val="Normal"/>
    <w:next w:val="Normal"/>
    <w:link w:val="IntenseQuoteChar"/>
    <w:uiPriority w:val="30"/>
    <w:qFormat/>
    <w:rsid w:val="002B0D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DFF"/>
    <w:rPr>
      <w:i/>
      <w:iCs/>
      <w:color w:val="0F4761" w:themeColor="accent1" w:themeShade="BF"/>
    </w:rPr>
  </w:style>
  <w:style w:type="character" w:styleId="IntenseReference">
    <w:name w:val="Intense Reference"/>
    <w:basedOn w:val="DefaultParagraphFont"/>
    <w:uiPriority w:val="32"/>
    <w:qFormat/>
    <w:rsid w:val="002B0DFF"/>
    <w:rPr>
      <w:b/>
      <w:bCs/>
      <w:smallCaps/>
      <w:color w:val="0F4761" w:themeColor="accent1" w:themeShade="BF"/>
      <w:spacing w:val="5"/>
    </w:rPr>
  </w:style>
  <w:style w:type="paragraph" w:styleId="NoSpacing">
    <w:name w:val="No Spacing"/>
    <w:link w:val="NoSpacingChar"/>
    <w:uiPriority w:val="1"/>
    <w:qFormat/>
    <w:rsid w:val="002B0DF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B0DF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B0DFF"/>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3F5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76048"/>
    <w:pPr>
      <w:spacing w:after="100"/>
    </w:pPr>
  </w:style>
  <w:style w:type="paragraph" w:styleId="TOC2">
    <w:name w:val="toc 2"/>
    <w:basedOn w:val="Normal"/>
    <w:next w:val="Normal"/>
    <w:autoRedefine/>
    <w:uiPriority w:val="39"/>
    <w:unhideWhenUsed/>
    <w:rsid w:val="00876048"/>
    <w:pPr>
      <w:spacing w:after="100"/>
      <w:ind w:left="240"/>
    </w:pPr>
  </w:style>
  <w:style w:type="character" w:styleId="Hyperlink">
    <w:name w:val="Hyperlink"/>
    <w:basedOn w:val="DefaultParagraphFont"/>
    <w:uiPriority w:val="99"/>
    <w:unhideWhenUsed/>
    <w:rsid w:val="0087604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numbering" Target="numbering.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ntTable" Target="fontTable.xml" /><Relationship Id="rId5" Type="http://schemas.openxmlformats.org/officeDocument/2006/relationships/settings" Target="settings.xml" /><Relationship Id="rId10" Type="http://schemas.openxmlformats.org/officeDocument/2006/relationships/chart" Target="charts/chart2.xml" /><Relationship Id="rId4" Type="http://schemas.openxmlformats.org/officeDocument/2006/relationships/styles" Target="styles.xml" /><Relationship Id="rId9" Type="http://schemas.openxmlformats.org/officeDocument/2006/relationships/chart" Target="charts/chart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Revenue (USD billions)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Column3</c:v>
                </c:pt>
              </c:strCache>
            </c:strRef>
          </c:tx>
          <c:spPr>
            <a:ln w="22225" cap="rnd">
              <a:solidFill>
                <a:schemeClr val="accent1"/>
              </a:solidFill>
            </a:ln>
            <a:effectLst>
              <a:glow rad="139700">
                <a:schemeClr val="accent1">
                  <a:satMod val="175000"/>
                  <a:alpha val="14000"/>
                </a:schemeClr>
              </a:glow>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10.6</c:v>
                </c:pt>
                <c:pt idx="1">
                  <c:v>13.8</c:v>
                </c:pt>
                <c:pt idx="2">
                  <c:v>20.8</c:v>
                </c:pt>
                <c:pt idx="3">
                  <c:v>23.7</c:v>
                </c:pt>
                <c:pt idx="4">
                  <c:v>25.1</c:v>
                </c:pt>
              </c:numCache>
            </c:numRef>
          </c:val>
          <c:smooth val="0"/>
          <c:extLst>
            <c:ext xmlns:c16="http://schemas.microsoft.com/office/drawing/2014/chart" uri="{C3380CC4-5D6E-409C-BE32-E72D297353CC}">
              <c16:uniqueId val="{00000000-E8A0-4DC7-8BDF-65FC3A9B13DC}"/>
            </c:ext>
          </c:extLst>
        </c:ser>
        <c:ser>
          <c:idx val="1"/>
          <c:order val="1"/>
          <c:tx>
            <c:strRef>
              <c:f>Sheet1!$C$1</c:f>
              <c:strCache>
                <c:ptCount val="1"/>
                <c:pt idx="0">
                  <c:v>Column2</c:v>
                </c:pt>
              </c:strCache>
            </c:strRef>
          </c:tx>
          <c:spPr>
            <a:ln w="22225" cap="rnd">
              <a:solidFill>
                <a:schemeClr val="accent2"/>
              </a:solidFill>
            </a:ln>
            <a:effectLst>
              <a:glow rad="139700">
                <a:schemeClr val="accent2">
                  <a:satMod val="175000"/>
                  <a:alpha val="14000"/>
                </a:schemeClr>
              </a:glow>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numCache>
            </c:numRef>
          </c:val>
          <c:smooth val="0"/>
          <c:extLst>
            <c:ext xmlns:c16="http://schemas.microsoft.com/office/drawing/2014/chart" uri="{C3380CC4-5D6E-409C-BE32-E72D297353CC}">
              <c16:uniqueId val="{00000001-E8A0-4DC7-8BDF-65FC3A9B13DC}"/>
            </c:ext>
          </c:extLst>
        </c:ser>
        <c:ser>
          <c:idx val="2"/>
          <c:order val="2"/>
          <c:tx>
            <c:strRef>
              <c:f>Sheet1!$D$1</c:f>
              <c:strCache>
                <c:ptCount val="1"/>
                <c:pt idx="0">
                  <c:v>Column1</c:v>
                </c:pt>
              </c:strCache>
            </c:strRef>
          </c:tx>
          <c:spPr>
            <a:ln w="22225" cap="rnd">
              <a:solidFill>
                <a:schemeClr val="accent3"/>
              </a:solidFill>
            </a:ln>
            <a:effectLst>
              <a:glow rad="139700">
                <a:schemeClr val="accent3">
                  <a:satMod val="175000"/>
                  <a:alpha val="14000"/>
                </a:schemeClr>
              </a:glow>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Sheet1!$D$2:$D$6</c:f>
              <c:numCache>
                <c:formatCode>General</c:formatCode>
                <c:ptCount val="5"/>
              </c:numCache>
            </c:numRef>
          </c:val>
          <c:smooth val="0"/>
          <c:extLst>
            <c:ext xmlns:c16="http://schemas.microsoft.com/office/drawing/2014/chart" uri="{C3380CC4-5D6E-409C-BE32-E72D297353CC}">
              <c16:uniqueId val="{00000002-E8A0-4DC7-8BDF-65FC3A9B13DC}"/>
            </c:ext>
          </c:extLst>
        </c:ser>
        <c:dLbls>
          <c:showLegendKey val="0"/>
          <c:showVal val="0"/>
          <c:showCatName val="0"/>
          <c:showSerName val="0"/>
          <c:showPercent val="0"/>
          <c:showBubbleSize val="0"/>
        </c:dLbls>
        <c:smooth val="0"/>
        <c:axId val="279606639"/>
        <c:axId val="279603279"/>
      </c:lineChart>
      <c:catAx>
        <c:axId val="279606639"/>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79603279"/>
        <c:crosses val="autoZero"/>
        <c:auto val="1"/>
        <c:lblAlgn val="ctr"/>
        <c:lblOffset val="100"/>
        <c:noMultiLvlLbl val="0"/>
      </c:catAx>
      <c:valAx>
        <c:axId val="27960327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7960663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Net</a:t>
            </a:r>
            <a:r>
              <a:rPr lang="en-GB" baseline="0"/>
              <a:t> income (USD billions)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Series 1</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Sheet1!$A$2:$A$7</c:f>
              <c:numCache>
                <c:formatCode>General</c:formatCode>
                <c:ptCount val="6"/>
                <c:pt idx="0">
                  <c:v>2020</c:v>
                </c:pt>
                <c:pt idx="1">
                  <c:v>2021</c:v>
                </c:pt>
                <c:pt idx="2">
                  <c:v>2022</c:v>
                </c:pt>
                <c:pt idx="3">
                  <c:v>2023</c:v>
                </c:pt>
                <c:pt idx="4">
                  <c:v>2024</c:v>
                </c:pt>
              </c:numCache>
            </c:numRef>
          </c:cat>
          <c:val>
            <c:numRef>
              <c:f>Sheet1!$B$2:$B$7</c:f>
              <c:numCache>
                <c:formatCode>General</c:formatCode>
                <c:ptCount val="6"/>
                <c:pt idx="0">
                  <c:v>-0.27</c:v>
                </c:pt>
                <c:pt idx="1">
                  <c:v>1.1000000000000001</c:v>
                </c:pt>
                <c:pt idx="2">
                  <c:v>2.2000000000000002</c:v>
                </c:pt>
                <c:pt idx="3">
                  <c:v>2.4</c:v>
                </c:pt>
                <c:pt idx="4">
                  <c:v>2.6</c:v>
                </c:pt>
                <c:pt idx="5">
                  <c:v>2.6</c:v>
                </c:pt>
              </c:numCache>
            </c:numRef>
          </c:val>
          <c:smooth val="0"/>
          <c:extLst>
            <c:ext xmlns:c16="http://schemas.microsoft.com/office/drawing/2014/chart" uri="{C3380CC4-5D6E-409C-BE32-E72D297353CC}">
              <c16:uniqueId val="{00000000-52A9-435C-85CA-63C09CA6D57F}"/>
            </c:ext>
          </c:extLst>
        </c:ser>
        <c:ser>
          <c:idx val="1"/>
          <c:order val="1"/>
          <c:tx>
            <c:strRef>
              <c:f>Sheet1!$C$1</c:f>
              <c:strCache>
                <c:ptCount val="1"/>
                <c:pt idx="0">
                  <c:v>Column1</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Sheet1!$A$2:$A$7</c:f>
              <c:numCache>
                <c:formatCode>General</c:formatCode>
                <c:ptCount val="6"/>
                <c:pt idx="0">
                  <c:v>2020</c:v>
                </c:pt>
                <c:pt idx="1">
                  <c:v>2021</c:v>
                </c:pt>
                <c:pt idx="2">
                  <c:v>2022</c:v>
                </c:pt>
                <c:pt idx="3">
                  <c:v>2023</c:v>
                </c:pt>
                <c:pt idx="4">
                  <c:v>2024</c:v>
                </c:pt>
              </c:numCache>
            </c:numRef>
          </c:cat>
          <c:val>
            <c:numRef>
              <c:f>Sheet1!$C$2:$C$7</c:f>
              <c:numCache>
                <c:formatCode>General</c:formatCode>
                <c:ptCount val="6"/>
              </c:numCache>
            </c:numRef>
          </c:val>
          <c:smooth val="0"/>
          <c:extLst>
            <c:ext xmlns:c16="http://schemas.microsoft.com/office/drawing/2014/chart" uri="{C3380CC4-5D6E-409C-BE32-E72D297353CC}">
              <c16:uniqueId val="{00000001-52A9-435C-85CA-63C09CA6D57F}"/>
            </c:ext>
          </c:extLst>
        </c:ser>
        <c:ser>
          <c:idx val="2"/>
          <c:order val="2"/>
          <c:tx>
            <c:strRef>
              <c:f>Sheet1!$D$1</c:f>
              <c:strCache>
                <c:ptCount val="1"/>
                <c:pt idx="0">
                  <c:v>Column2</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Sheet1!$A$2:$A$7</c:f>
              <c:numCache>
                <c:formatCode>General</c:formatCode>
                <c:ptCount val="6"/>
                <c:pt idx="0">
                  <c:v>2020</c:v>
                </c:pt>
                <c:pt idx="1">
                  <c:v>2021</c:v>
                </c:pt>
                <c:pt idx="2">
                  <c:v>2022</c:v>
                </c:pt>
                <c:pt idx="3">
                  <c:v>2023</c:v>
                </c:pt>
                <c:pt idx="4">
                  <c:v>2024</c:v>
                </c:pt>
              </c:numCache>
            </c:numRef>
          </c:cat>
          <c:val>
            <c:numRef>
              <c:f>Sheet1!$D$2:$D$7</c:f>
              <c:numCache>
                <c:formatCode>General</c:formatCode>
                <c:ptCount val="6"/>
              </c:numCache>
            </c:numRef>
          </c:val>
          <c:smooth val="0"/>
          <c:extLst>
            <c:ext xmlns:c16="http://schemas.microsoft.com/office/drawing/2014/chart" uri="{C3380CC4-5D6E-409C-BE32-E72D297353CC}">
              <c16:uniqueId val="{00000002-52A9-435C-85CA-63C09CA6D57F}"/>
            </c:ext>
          </c:extLst>
        </c:ser>
        <c:dLbls>
          <c:showLegendKey val="0"/>
          <c:showVal val="0"/>
          <c:showCatName val="0"/>
          <c:showSerName val="0"/>
          <c:showPercent val="0"/>
          <c:showBubbleSize val="0"/>
        </c:dLbls>
        <c:smooth val="0"/>
        <c:axId val="1655425583"/>
        <c:axId val="1655426063"/>
      </c:lineChart>
      <c:catAx>
        <c:axId val="1655425583"/>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5426063"/>
        <c:crosses val="autoZero"/>
        <c:auto val="1"/>
        <c:lblAlgn val="ctr"/>
        <c:lblOffset val="100"/>
        <c:noMultiLvlLbl val="0"/>
      </c:catAx>
      <c:valAx>
        <c:axId val="165542606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5425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
  <CompanyPhone/>
  <CompanyFax/>
  <CompanyEmail>2223130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86BA7E-BCF6-40FB-95A0-5CD42716EC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5035</Words>
  <Characters>28703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Financial Management Module Code: LCMB7002 Assignment Title: Financial performance and management</dc:title>
  <dc:subject>Lecturer: Patrick Yeboah</dc:subject>
  <dc:creator>Shakeel Badil</dc:creator>
  <cp:keywords/>
  <dc:description/>
  <cp:lastModifiedBy>Rida Fatima</cp:lastModifiedBy>
  <cp:revision>2</cp:revision>
  <dcterms:created xsi:type="dcterms:W3CDTF">2026-07-22T13:40:00Z</dcterms:created>
  <dcterms:modified xsi:type="dcterms:W3CDTF">2026-07-22T13:40:00Z</dcterms:modified>
</cp:coreProperties>
</file>