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F7ED59" w14:textId="77777777" w:rsidR="00F24FC4" w:rsidRDefault="00F24FC4">
      <w:pPr>
        <w:pStyle w:val="s2"/>
        <w:spacing w:before="0" w:beforeAutospacing="0" w:after="0" w:afterAutospacing="0"/>
        <w:jc w:val="center"/>
        <w:divId w:val="1164248100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C59291A" w14:textId="77777777" w:rsidR="00F24FC4" w:rsidRDefault="00F24FC4">
      <w:pPr>
        <w:pStyle w:val="s2"/>
        <w:spacing w:before="0" w:beforeAutospacing="0" w:after="0" w:afterAutospacing="0"/>
        <w:jc w:val="center"/>
        <w:divId w:val="1164248100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38AA603" w14:textId="12AB929E" w:rsidR="00F24FC4" w:rsidRDefault="00F24FC4">
      <w:pPr>
        <w:pStyle w:val="s2"/>
        <w:spacing w:before="0" w:beforeAutospacing="0" w:after="0" w:afterAutospacing="0"/>
        <w:jc w:val="center"/>
        <w:divId w:val="116424810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 xml:space="preserve">STUDENT </w:t>
      </w:r>
      <w:proofErr w:type="spellStart"/>
      <w:r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>NAME:</w:t>
      </w:r>
      <w:r w:rsidR="00365E36"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>Popy</w:t>
      </w:r>
      <w:proofErr w:type="spellEnd"/>
      <w:r w:rsidR="00365E36"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 xml:space="preserve"> </w:t>
      </w:r>
      <w:proofErr w:type="spellStart"/>
      <w:r w:rsidR="00365E36"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>Akter</w:t>
      </w:r>
      <w:proofErr w:type="spellEnd"/>
    </w:p>
    <w:p w14:paraId="490F7337" w14:textId="6F9DD2FC" w:rsidR="00F24FC4" w:rsidRDefault="00F24FC4">
      <w:pPr>
        <w:pStyle w:val="s2"/>
        <w:spacing w:before="0" w:beforeAutospacing="0" w:after="0" w:afterAutospacing="0"/>
        <w:jc w:val="center"/>
        <w:divId w:val="116424810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>STUDENT NUMBER:</w:t>
      </w:r>
      <w:r w:rsidR="00A92526"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>2408414</w:t>
      </w:r>
    </w:p>
    <w:p w14:paraId="70C3F2AC" w14:textId="77777777" w:rsidR="00F24FC4" w:rsidRDefault="00F24FC4">
      <w:pPr>
        <w:pStyle w:val="s2"/>
        <w:spacing w:before="0" w:beforeAutospacing="0" w:after="0" w:afterAutospacing="0"/>
        <w:jc w:val="center"/>
        <w:divId w:val="116424810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>MODULE CODE AND TITLE: BMHP5021 PROTECTING AND SUPPORTING FAMILIES IN HEALTH AND CARE</w:t>
      </w:r>
    </w:p>
    <w:p w14:paraId="2841ADB1" w14:textId="77777777" w:rsidR="00F24FC4" w:rsidRDefault="00F24FC4">
      <w:pPr>
        <w:pStyle w:val="s2"/>
        <w:spacing w:before="0" w:beforeAutospacing="0" w:after="0" w:afterAutospacing="0"/>
        <w:jc w:val="center"/>
        <w:divId w:val="116424810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-webkit-standard" w:hAnsi="-webkit-standard"/>
          <w:b/>
          <w:bCs/>
          <w:color w:val="000000"/>
          <w:sz w:val="36"/>
          <w:szCs w:val="36"/>
        </w:rPr>
        <w:t>ASSIGNMENT TITLE: COMPONENT 1: PRESENTATION (ROUND-THE-TABLE GROUP DISCUSSION)</w:t>
      </w:r>
    </w:p>
    <w:p w14:paraId="11FC1D5A" w14:textId="77777777" w:rsidR="00C369D8" w:rsidRDefault="00C369D8">
      <w:pPr>
        <w:pStyle w:val="s8"/>
        <w:spacing w:before="300" w:beforeAutospacing="0" w:after="9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-webkit-standard" w:hAnsi="-webkit-standard"/>
          <w:b/>
          <w:bCs/>
          <w:color w:val="000000"/>
          <w:sz w:val="32"/>
          <w:szCs w:val="32"/>
        </w:rPr>
        <w:t>References</w:t>
      </w:r>
    </w:p>
    <w:p w14:paraId="0FFEC3BD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Ball, E.J.,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McElwee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J.D. and McManus, M.A., (2024) ‘Multi-agency safeguarding: From everyone’s responsibility to a collective responsibility’,</w:t>
      </w:r>
      <w:r>
        <w:rPr>
          <w:rStyle w:val="apple-converted-space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Journal of Community Safety and Well-Being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9(2), pp.104-108. Available at:</w:t>
      </w:r>
      <w:r>
        <w:rPr>
          <w:rStyle w:val="apple-converted-space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  <w:hyperlink r:id="rId4" w:history="1">
        <w:r>
          <w:rPr>
            <w:rStyle w:val="s13"/>
            <w:rFonts w:ascii="-webkit-standard" w:hAnsi="-webkit-standard"/>
            <w:color w:val="0000FF"/>
            <w:sz w:val="27"/>
            <w:szCs w:val="27"/>
            <w:u w:val="single"/>
            <w:shd w:val="clear" w:color="auto" w:fill="FFFFFF"/>
          </w:rPr>
          <w:t>https://doi.org/10.35502/jcswb.371</w:t>
        </w:r>
      </w:hyperlink>
    </w:p>
    <w:p w14:paraId="3BA7EC6C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Bendowska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A. and Baum, E., (2023) ‘The significance of cooperation in interdisciplinary health care teams as perceived by polish medical students’,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International journal of environmental research and public health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20(2), p.954. Available at: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hyperlink r:id="rId5" w:history="1">
        <w:r>
          <w:rPr>
            <w:rStyle w:val="s13"/>
            <w:rFonts w:ascii="-webkit-standard" w:hAnsi="-webkit-standard"/>
            <w:color w:val="0000FF"/>
            <w:sz w:val="27"/>
            <w:szCs w:val="27"/>
            <w:u w:val="single"/>
            <w:shd w:val="clear" w:color="auto" w:fill="FFFFFF"/>
          </w:rPr>
          <w:t>https://doi.org/10.3390/ijerph20020954</w:t>
        </w:r>
      </w:hyperlink>
    </w:p>
    <w:p w14:paraId="3425BF01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Cooper, J., (2023) ‘In need of what? Section 17 Provision under the Children Act 1989’,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Children &amp; Society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37(3), pp.674-688. Available at:</w:t>
      </w:r>
      <w:r>
        <w:rPr>
          <w:rStyle w:val="apple-converted-space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  <w:hyperlink r:id="rId6" w:history="1">
        <w:r>
          <w:rPr>
            <w:rStyle w:val="s13"/>
            <w:rFonts w:ascii="-webkit-standard" w:hAnsi="-webkit-standard"/>
            <w:color w:val="0000FF"/>
            <w:sz w:val="27"/>
            <w:szCs w:val="27"/>
            <w:u w:val="single"/>
            <w:shd w:val="clear" w:color="auto" w:fill="FFFFFF"/>
          </w:rPr>
          <w:t>https://doi.org/10.1111/chso.12519</w:t>
        </w:r>
      </w:hyperlink>
    </w:p>
    <w:p w14:paraId="271D660D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Gallagher, S. and Sutton-Tsang, S., (2025) Safeguarding: understanding your responsibilities. In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Studying for Your Early Years Degree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 (pp. 159-171). Routledge.</w:t>
      </w:r>
    </w:p>
    <w:p w14:paraId="2DE0CEA6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He, Q., Kaur, H.,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Ujum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D.A. and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Ching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F.T.H., (2024) ‘Representing Perpetrator Trauma in Ian McEwan's The Children Act’,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Theory and Practice in Language Studies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14(8), pp.2465-2473. Available at: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r>
        <w:rPr>
          <w:rFonts w:ascii="-webkit-standard" w:hAnsi="-webkit-standard"/>
          <w:color w:val="000000"/>
          <w:sz w:val="27"/>
          <w:szCs w:val="27"/>
        </w:rPr>
        <w:t>DOI: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hyperlink r:id="rId7" w:history="1">
        <w:r>
          <w:rPr>
            <w:rStyle w:val="s6"/>
            <w:rFonts w:ascii="-webkit-standard" w:hAnsi="-webkit-standard"/>
            <w:color w:val="0000FF"/>
            <w:sz w:val="27"/>
            <w:szCs w:val="27"/>
            <w:u w:val="single"/>
          </w:rPr>
          <w:t>https://doi.org/10.17507/tpls.1408.19</w:t>
        </w:r>
      </w:hyperlink>
    </w:p>
    <w:p w14:paraId="24648C8D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Johns, R. and Harry, J., (2022) Using the law in social work.</w:t>
      </w:r>
    </w:p>
    <w:p w14:paraId="4070B352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Kirkbride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J.B., Anglin, D.M., Colman, I.,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Dykxhoorn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J., Jones, P.B.,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Patalay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P., Pitman, A.,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Soneson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E.,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Steare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T., Wright, T. and Griffiths, S.L., (2024) ‘The social determinants of mental health and disorder: evidence, prevention and recommendations’,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World psychiatry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23(1), pp.58-90. . Available at: https://doi.org/10.1002/wps.21160</w:t>
      </w:r>
    </w:p>
    <w:p w14:paraId="3E9C302C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Lippard, E.T. and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Nemeroff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C.B., (2023) ‘The devastating clinical consequences of child abuse and neglect: increased disease vulnerability and poor treatment response in mood disorders’,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American journal of psychiatry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180(8), pp.548-564. Available at:</w:t>
      </w:r>
      <w:r>
        <w:rPr>
          <w:rStyle w:val="apple-converted-space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  <w:hyperlink r:id="rId8" w:history="1">
        <w:r>
          <w:rPr>
            <w:rStyle w:val="s13"/>
            <w:rFonts w:ascii="-webkit-standard" w:hAnsi="-webkit-standard"/>
            <w:color w:val="0000FF"/>
            <w:sz w:val="27"/>
            <w:szCs w:val="27"/>
            <w:u w:val="single"/>
            <w:shd w:val="clear" w:color="auto" w:fill="FFFFFF"/>
          </w:rPr>
          <w:t>https://psychiatryonline.org/doi/abs/10.1176/appi.ajp.19010020</w:t>
        </w:r>
      </w:hyperlink>
    </w:p>
    <w:p w14:paraId="08F0EA98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Liu, X.Q. and Wang, X., (2024) ‘Adolescent suicide risk factors and the integration of social-emotional skills in school-based prevention programs’,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World journal of psychiatry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14(4), p.494. Available at:</w:t>
      </w:r>
      <w:r>
        <w:rPr>
          <w:rStyle w:val="apple-converted-space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  <w:hyperlink r:id="rId9" w:history="1">
        <w:r>
          <w:rPr>
            <w:rStyle w:val="s13"/>
            <w:rFonts w:ascii="-webkit-standard" w:hAnsi="-webkit-standard"/>
            <w:color w:val="0000FF"/>
            <w:sz w:val="27"/>
            <w:szCs w:val="27"/>
            <w:u w:val="single"/>
            <w:shd w:val="clear" w:color="auto" w:fill="FFFFFF"/>
          </w:rPr>
          <w:t>https://pmc.ncbi.nlm.nih.gov/articles/PMC11036461/</w:t>
        </w:r>
      </w:hyperlink>
    </w:p>
    <w:p w14:paraId="1D647E32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Main, P., (2023) ‘Bowlby's Attachment Theory’, </w:t>
      </w:r>
      <w:proofErr w:type="spellStart"/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Preuzeto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7, p.2024. Available at:</w:t>
      </w:r>
      <w:r>
        <w:rPr>
          <w:rStyle w:val="apple-converted-space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  <w:hyperlink r:id="rId10" w:history="1">
        <w:r>
          <w:rPr>
            <w:rStyle w:val="s13"/>
            <w:rFonts w:ascii="-webkit-standard" w:hAnsi="-webkit-standard"/>
            <w:color w:val="0000FF"/>
            <w:sz w:val="27"/>
            <w:szCs w:val="27"/>
            <w:u w:val="single"/>
            <w:shd w:val="clear" w:color="auto" w:fill="FFFFFF"/>
          </w:rPr>
          <w:t>https://www.structural-learning.com/post/bowlbys-attachment-theory</w:t>
        </w:r>
      </w:hyperlink>
    </w:p>
    <w:p w14:paraId="334A07C0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Majebi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N.L.,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Drakeford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O.M.,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Adelodun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, M.O. and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Chinyere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E., (2023) ‘Leveraging digital health tools to improve early detection and management of developmental disorders in children’,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World Journal of Advanced Science and Technology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 4(1), pp.025-032. Available at:</w:t>
      </w:r>
      <w:r>
        <w:rPr>
          <w:rStyle w:val="apple-converted-space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  <w:hyperlink r:id="rId11" w:history="1">
        <w:r>
          <w:rPr>
            <w:rStyle w:val="s13"/>
            <w:rFonts w:ascii="-webkit-standard" w:hAnsi="-webkit-standard"/>
            <w:color w:val="0000FF"/>
            <w:sz w:val="27"/>
            <w:szCs w:val="27"/>
            <w:u w:val="single"/>
            <w:shd w:val="clear" w:color="auto" w:fill="FFFFFF"/>
          </w:rPr>
          <w:t>https://doi.org/10.53346/wjast.2023.4.1.0072</w:t>
        </w:r>
      </w:hyperlink>
    </w:p>
    <w:p w14:paraId="3A182472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Oates, F., (2026)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Trauma Informed Support and Supervision for Those Working with Children at Risk: Implementing the TISS Model in Practice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. Taylor &amp; Francis.</w:t>
      </w:r>
    </w:p>
    <w:p w14:paraId="4B3AFF22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O'Halloran, K., (2022)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The principle of the welfare of the child: a history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. Routledge.</w:t>
      </w:r>
    </w:p>
    <w:p w14:paraId="315A8D66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Peters, T.L., (2024)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Children’s Services: One Big Happy Family?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 </w:t>
      </w:r>
    </w:p>
    <w:p w14:paraId="79EF57EB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Public Health England (2018)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r>
        <w:rPr>
          <w:rStyle w:val="s10"/>
          <w:rFonts w:ascii="-webkit-standard" w:hAnsi="-webkit-standard"/>
          <w:i/>
          <w:iCs/>
          <w:color w:val="000000"/>
          <w:sz w:val="27"/>
          <w:szCs w:val="27"/>
        </w:rPr>
        <w:t>Adverse childhood experiences (ACEs): applying all our health</w:t>
      </w:r>
      <w:r>
        <w:rPr>
          <w:rFonts w:ascii="-webkit-standard" w:hAnsi="-webkit-standard"/>
          <w:color w:val="000000"/>
          <w:sz w:val="27"/>
          <w:szCs w:val="27"/>
        </w:rPr>
        <w:t>. London: PHE.</w:t>
      </w:r>
    </w:p>
    <w:p w14:paraId="6E0CD8B7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Scaife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J., (2024)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Deciding children's futures: An expert guide to assessments for safeguarding and promoting children's welfare in the family court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. Routledge.</w:t>
      </w:r>
    </w:p>
    <w:p w14:paraId="7DE2D88A" w14:textId="77777777" w:rsidR="00C369D8" w:rsidRDefault="00C369D8">
      <w:pPr>
        <w:pStyle w:val="s14"/>
        <w:spacing w:before="0" w:beforeAutospacing="0" w:after="18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 xml:space="preserve">Wilson, S., Cowan, T., Flynn, J. and </w:t>
      </w:r>
      <w:proofErr w:type="spellStart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Heaslip</w:t>
      </w:r>
      <w:proofErr w:type="spellEnd"/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, V., (2025) Child Protection and Safeguarding. In </w:t>
      </w:r>
      <w:r>
        <w:rPr>
          <w:rStyle w:val="s12"/>
          <w:rFonts w:ascii="-webkit-standard" w:hAnsi="-webkit-standard"/>
          <w:i/>
          <w:iCs/>
          <w:color w:val="222222"/>
          <w:sz w:val="27"/>
          <w:szCs w:val="27"/>
          <w:shd w:val="clear" w:color="auto" w:fill="FFFFFF"/>
        </w:rPr>
        <w:t>Needs of Children and Young People Living with Complex Mental Health Difficulties: Why it’s Everyone’s Business</w:t>
      </w:r>
      <w:r>
        <w:rPr>
          <w:rStyle w:val="s11"/>
          <w:rFonts w:ascii="-webkit-standard" w:hAnsi="-webkit-standard"/>
          <w:color w:val="222222"/>
          <w:sz w:val="27"/>
          <w:szCs w:val="27"/>
          <w:shd w:val="clear" w:color="auto" w:fill="FFFFFF"/>
        </w:rPr>
        <w:t> (pp. 139-156). Cham: Springer Nature Switzerland.</w:t>
      </w:r>
    </w:p>
    <w:p w14:paraId="029A3447" w14:textId="77777777" w:rsidR="00C369D8" w:rsidRDefault="00C369D8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20"/>
          <w:rFonts w:ascii="-webkit-standard" w:hAnsi="-webkit-standard"/>
          <w:color w:val="000000"/>
          <w:sz w:val="30"/>
          <w:szCs w:val="30"/>
        </w:rPr>
        <w:t>1</w:t>
      </w:r>
    </w:p>
    <w:p w14:paraId="2C078BB2" w14:textId="77777777" w:rsidR="00C369D8" w:rsidRDefault="00C369D8"/>
    <w:sectPr w:rsidR="00C369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6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9D8"/>
    <w:rsid w:val="00365E36"/>
    <w:rsid w:val="003702D8"/>
    <w:rsid w:val="006305CB"/>
    <w:rsid w:val="00A17EBB"/>
    <w:rsid w:val="00A92526"/>
    <w:rsid w:val="00C369D8"/>
    <w:rsid w:val="00F24F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798863"/>
  <w15:chartTrackingRefBased/>
  <w15:docId w15:val="{A2E279FD-F5C3-BE4A-8757-74C5343E2F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8">
    <w:name w:val="s8"/>
    <w:basedOn w:val="Normal"/>
    <w:rsid w:val="00C369D8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bumpedfont15">
    <w:name w:val="bumpedfont15"/>
    <w:basedOn w:val="DefaultParagraphFont"/>
    <w:rsid w:val="00C369D8"/>
  </w:style>
  <w:style w:type="paragraph" w:customStyle="1" w:styleId="s14">
    <w:name w:val="s14"/>
    <w:basedOn w:val="Normal"/>
    <w:rsid w:val="00C369D8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s11">
    <w:name w:val="s11"/>
    <w:basedOn w:val="DefaultParagraphFont"/>
    <w:rsid w:val="00C369D8"/>
  </w:style>
  <w:style w:type="character" w:customStyle="1" w:styleId="apple-converted-space">
    <w:name w:val="apple-converted-space"/>
    <w:basedOn w:val="DefaultParagraphFont"/>
    <w:rsid w:val="00C369D8"/>
  </w:style>
  <w:style w:type="character" w:customStyle="1" w:styleId="s12">
    <w:name w:val="s12"/>
    <w:basedOn w:val="DefaultParagraphFont"/>
    <w:rsid w:val="00C369D8"/>
  </w:style>
  <w:style w:type="character" w:customStyle="1" w:styleId="s13">
    <w:name w:val="s13"/>
    <w:basedOn w:val="DefaultParagraphFont"/>
    <w:rsid w:val="00C369D8"/>
  </w:style>
  <w:style w:type="character" w:customStyle="1" w:styleId="s6">
    <w:name w:val="s6"/>
    <w:basedOn w:val="DefaultParagraphFont"/>
    <w:rsid w:val="00C369D8"/>
  </w:style>
  <w:style w:type="character" w:customStyle="1" w:styleId="s10">
    <w:name w:val="s10"/>
    <w:basedOn w:val="DefaultParagraphFont"/>
    <w:rsid w:val="00C369D8"/>
  </w:style>
  <w:style w:type="paragraph" w:styleId="NormalWeb">
    <w:name w:val="Normal (Web)"/>
    <w:basedOn w:val="Normal"/>
    <w:uiPriority w:val="99"/>
    <w:semiHidden/>
    <w:unhideWhenUsed/>
    <w:rsid w:val="00C369D8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bumpedfont20">
    <w:name w:val="bumpedfont20"/>
    <w:basedOn w:val="DefaultParagraphFont"/>
    <w:rsid w:val="00C369D8"/>
  </w:style>
  <w:style w:type="paragraph" w:customStyle="1" w:styleId="s2">
    <w:name w:val="s2"/>
    <w:basedOn w:val="Normal"/>
    <w:rsid w:val="00F24FC4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4248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hiatryonline.org/doi/abs/10.1176/appi.ajp.19010020" TargetMode="External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yperlink" Target="https://doi.org/10.17507/tpls.1408.19" TargetMode="External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doi.org/10.1111/chso.12519" TargetMode="External" /><Relationship Id="rId11" Type="http://schemas.openxmlformats.org/officeDocument/2006/relationships/hyperlink" Target="https://doi.org/10.53346/wjast.2023.4.1.0072" TargetMode="External" /><Relationship Id="rId5" Type="http://schemas.openxmlformats.org/officeDocument/2006/relationships/hyperlink" Target="https://doi.org/10.3390/ijerph20020954" TargetMode="External" /><Relationship Id="rId10" Type="http://schemas.openxmlformats.org/officeDocument/2006/relationships/hyperlink" Target="https://www.structural-learning.com/post/bowlbys-attachment-theory" TargetMode="External" /><Relationship Id="rId4" Type="http://schemas.openxmlformats.org/officeDocument/2006/relationships/hyperlink" Target="https://doi.org/10.35502/jcswb.371" TargetMode="External" /><Relationship Id="rId9" Type="http://schemas.openxmlformats.org/officeDocument/2006/relationships/hyperlink" Target="https://pmc.ncbi.nlm.nih.gov/articles/PMC11036461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614</Words>
  <Characters>3502</Characters>
  <Application>Microsoft Office Word</Application>
  <DocSecurity>0</DocSecurity>
  <Lines>29</Lines>
  <Paragraphs>8</Paragraphs>
  <ScaleCrop>false</ScaleCrop>
  <Company/>
  <LinksUpToDate>false</LinksUpToDate>
  <CharactersWithSpaces>4108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Popy Aktar (2408414)</dc:creator>
  <cp:keywords/>
  <dc:description/>
  <cp:lastModifiedBy>Popy Aktar (2408414)</cp:lastModifiedBy>
  <cp:revision>2</cp:revision>
  <dcterms:created xsi:type="dcterms:W3CDTF">2026-02-23T12:43:00Z</dcterms:created>
  <dcterms:modified xsi:type="dcterms:W3CDTF">2026-02-23T12:43:00Z</dcterms:modified>
</cp:coreProperties>
</file>