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BBF59" w14:textId="77777777" w:rsidR="00736C24" w:rsidRPr="00736C24" w:rsidRDefault="00736C24" w:rsidP="00D560A7">
      <w:pPr>
        <w:spacing w:line="360" w:lineRule="auto"/>
        <w:rPr>
          <w:rFonts w:ascii="Arial" w:hAnsi="Arial" w:cs="Arial"/>
          <w:b/>
          <w:bCs/>
          <w:sz w:val="32"/>
          <w:lang w:val="en-IN"/>
        </w:rPr>
      </w:pPr>
    </w:p>
    <w:p w14:paraId="704885D5" w14:textId="77777777" w:rsidR="00736C24" w:rsidRPr="00736C24" w:rsidRDefault="00736C24" w:rsidP="006E6809">
      <w:pPr>
        <w:spacing w:line="360" w:lineRule="auto"/>
        <w:jc w:val="center"/>
        <w:rPr>
          <w:rFonts w:ascii="Arial" w:hAnsi="Arial" w:cs="Arial"/>
          <w:b/>
          <w:bCs/>
          <w:sz w:val="32"/>
          <w:lang w:val="en-IN"/>
        </w:rPr>
      </w:pPr>
    </w:p>
    <w:p w14:paraId="1D9A3E00" w14:textId="77777777" w:rsidR="00D560A7" w:rsidRDefault="00D560A7" w:rsidP="00D560A7">
      <w:pPr>
        <w:spacing w:line="360" w:lineRule="auto"/>
        <w:jc w:val="center"/>
        <w:rPr>
          <w:rFonts w:ascii="Times New Roman" w:hAnsi="Times New Roman" w:cs="Times New Roman"/>
          <w:b/>
          <w:bCs/>
        </w:rPr>
      </w:pPr>
      <w:r>
        <w:rPr>
          <w:noProof/>
        </w:rPr>
        <w:drawing>
          <wp:inline distT="0" distB="0" distL="0" distR="0" wp14:anchorId="1C7CD446" wp14:editId="7BE83C8B">
            <wp:extent cx="4429125" cy="1200150"/>
            <wp:effectExtent l="0" t="0" r="9525" b="0"/>
            <wp:docPr id="95601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16201"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9125" cy="1200150"/>
                    </a:xfrm>
                    <a:prstGeom prst="rect">
                      <a:avLst/>
                    </a:prstGeom>
                    <a:noFill/>
                    <a:ln>
                      <a:noFill/>
                    </a:ln>
                  </pic:spPr>
                </pic:pic>
              </a:graphicData>
            </a:graphic>
          </wp:inline>
        </w:drawing>
      </w:r>
    </w:p>
    <w:p w14:paraId="41494A2F" w14:textId="77777777" w:rsidR="00D560A7" w:rsidRDefault="00D560A7" w:rsidP="00D560A7">
      <w:pPr>
        <w:spacing w:line="360" w:lineRule="auto"/>
        <w:jc w:val="center"/>
        <w:rPr>
          <w:rFonts w:ascii="Times New Roman" w:hAnsi="Times New Roman" w:cs="Times New Roman"/>
          <w:b/>
          <w:bCs/>
        </w:rPr>
      </w:pPr>
    </w:p>
    <w:p w14:paraId="33AFD227" w14:textId="77777777"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Programme:</w:t>
      </w:r>
      <w:r w:rsidRPr="00BB0E62">
        <w:rPr>
          <w:rFonts w:ascii="Times New Roman" w:hAnsi="Times New Roman" w:cs="Times New Roman"/>
        </w:rPr>
        <w:t xml:space="preserve"> MSc Public Health and Social Care in Practice</w:t>
      </w:r>
    </w:p>
    <w:p w14:paraId="0F14F8D7" w14:textId="77777777" w:rsidR="00D560A7"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Module Name:</w:t>
      </w:r>
      <w:r w:rsidRPr="00BB0E62">
        <w:rPr>
          <w:rFonts w:ascii="Times New Roman" w:hAnsi="Times New Roman" w:cs="Times New Roman"/>
        </w:rPr>
        <w:t xml:space="preserve"> </w:t>
      </w:r>
      <w:r w:rsidRPr="00D560A7">
        <w:rPr>
          <w:rFonts w:ascii="Times New Roman" w:hAnsi="Times New Roman" w:cs="Times New Roman"/>
        </w:rPr>
        <w:t xml:space="preserve">Health Care System Organisation and Leadership </w:t>
      </w:r>
    </w:p>
    <w:p w14:paraId="488A8833" w14:textId="45EB8FEF"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Module Code:</w:t>
      </w:r>
      <w:r w:rsidRPr="00BB0E62">
        <w:rPr>
          <w:rFonts w:ascii="Times New Roman" w:hAnsi="Times New Roman" w:cs="Times New Roman"/>
        </w:rPr>
        <w:t xml:space="preserve"> LCHS700</w:t>
      </w:r>
      <w:r>
        <w:rPr>
          <w:rFonts w:ascii="Times New Roman" w:hAnsi="Times New Roman" w:cs="Times New Roman"/>
        </w:rPr>
        <w:t>2</w:t>
      </w:r>
    </w:p>
    <w:p w14:paraId="0597ECAA" w14:textId="23A3050B"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Assignment Title:</w:t>
      </w:r>
      <w:r w:rsidRPr="00BB0E62">
        <w:rPr>
          <w:rFonts w:ascii="Times New Roman" w:hAnsi="Times New Roman" w:cs="Times New Roman"/>
        </w:rPr>
        <w:t xml:space="preserve"> </w:t>
      </w:r>
      <w:r w:rsidRPr="00D560A7">
        <w:rPr>
          <w:rFonts w:ascii="Times New Roman" w:hAnsi="Times New Roman" w:cs="Times New Roman"/>
        </w:rPr>
        <w:t>SICKLE CELL DISEASE IN EARLY INFANCY: LEADERSHIP, GOVERNANCE AND SYSTEMS ANALYSIS CASE REPORT</w:t>
      </w:r>
    </w:p>
    <w:p w14:paraId="305EEAF5" w14:textId="78EC5F25"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Student Name:</w:t>
      </w:r>
      <w:r w:rsidRPr="00BB0E62">
        <w:rPr>
          <w:rFonts w:ascii="Times New Roman" w:hAnsi="Times New Roman" w:cs="Times New Roman"/>
        </w:rPr>
        <w:t xml:space="preserve"> </w:t>
      </w:r>
      <w:r w:rsidR="00487D50">
        <w:rPr>
          <w:rFonts w:ascii="Times New Roman" w:hAnsi="Times New Roman" w:cs="Times New Roman"/>
        </w:rPr>
        <w:t>FUAANSHA DADABHAI PIMPALE</w:t>
      </w:r>
    </w:p>
    <w:p w14:paraId="4468917F" w14:textId="55DC31B7"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 xml:space="preserve">Student </w:t>
      </w:r>
      <w:r w:rsidR="00487D50">
        <w:rPr>
          <w:rFonts w:ascii="Times New Roman" w:hAnsi="Times New Roman" w:cs="Times New Roman"/>
          <w:b/>
          <w:bCs/>
        </w:rPr>
        <w:t>ID: 2</w:t>
      </w:r>
      <w:r w:rsidR="00F73433">
        <w:rPr>
          <w:rFonts w:ascii="Times New Roman" w:hAnsi="Times New Roman" w:cs="Times New Roman"/>
          <w:b/>
          <w:bCs/>
        </w:rPr>
        <w:t>530082</w:t>
      </w:r>
    </w:p>
    <w:p w14:paraId="7AA27C77" w14:textId="646E22B8"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Lecturer:</w:t>
      </w:r>
      <w:r w:rsidRPr="00BB0E62">
        <w:rPr>
          <w:rFonts w:ascii="Times New Roman" w:hAnsi="Times New Roman" w:cs="Times New Roman"/>
        </w:rPr>
        <w:t xml:space="preserve"> </w:t>
      </w:r>
      <w:r w:rsidRPr="00D560A7">
        <w:rPr>
          <w:rFonts w:ascii="Times New Roman" w:hAnsi="Times New Roman" w:cs="Times New Roman"/>
        </w:rPr>
        <w:t>Shaila Hussain Tonia Babalola</w:t>
      </w:r>
    </w:p>
    <w:p w14:paraId="468DDE70" w14:textId="4EBCB821"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Word Count:</w:t>
      </w:r>
      <w:r w:rsidRPr="00BB0E62">
        <w:rPr>
          <w:rFonts w:ascii="Times New Roman" w:hAnsi="Times New Roman" w:cs="Times New Roman"/>
        </w:rPr>
        <w:t xml:space="preserve"> </w:t>
      </w:r>
      <w:r>
        <w:rPr>
          <w:rFonts w:ascii="Times New Roman" w:hAnsi="Times New Roman" w:cs="Times New Roman"/>
        </w:rPr>
        <w:t>5</w:t>
      </w:r>
      <w:r w:rsidRPr="00BB0E62">
        <w:rPr>
          <w:rFonts w:ascii="Times New Roman" w:hAnsi="Times New Roman" w:cs="Times New Roman"/>
        </w:rPr>
        <w:t>0</w:t>
      </w:r>
      <w:r w:rsidR="00524C36">
        <w:rPr>
          <w:rFonts w:ascii="Times New Roman" w:hAnsi="Times New Roman" w:cs="Times New Roman"/>
        </w:rPr>
        <w:t>26</w:t>
      </w:r>
      <w:r w:rsidRPr="00BB0E62">
        <w:rPr>
          <w:rFonts w:ascii="Times New Roman" w:hAnsi="Times New Roman" w:cs="Times New Roman"/>
        </w:rPr>
        <w:t xml:space="preserve"> Words</w:t>
      </w:r>
    </w:p>
    <w:p w14:paraId="4B9B363E" w14:textId="14255925" w:rsidR="00D560A7" w:rsidRPr="00BB0E62" w:rsidRDefault="00D560A7" w:rsidP="00D560A7">
      <w:pPr>
        <w:spacing w:line="360" w:lineRule="auto"/>
        <w:jc w:val="center"/>
        <w:rPr>
          <w:rFonts w:ascii="Times New Roman" w:hAnsi="Times New Roman" w:cs="Times New Roman"/>
        </w:rPr>
      </w:pPr>
      <w:r w:rsidRPr="00BB0E62">
        <w:rPr>
          <w:rFonts w:ascii="Times New Roman" w:hAnsi="Times New Roman" w:cs="Times New Roman"/>
          <w:b/>
          <w:bCs/>
        </w:rPr>
        <w:t>Date of Submission:</w:t>
      </w:r>
      <w:r w:rsidRPr="00BB0E62">
        <w:rPr>
          <w:rFonts w:ascii="Times New Roman" w:hAnsi="Times New Roman" w:cs="Times New Roman"/>
        </w:rPr>
        <w:t xml:space="preserve"> </w:t>
      </w:r>
      <w:r w:rsidRPr="00D560A7">
        <w:rPr>
          <w:rFonts w:ascii="Times New Roman" w:hAnsi="Times New Roman" w:cs="Times New Roman"/>
        </w:rPr>
        <w:t>21st April 2026</w:t>
      </w:r>
    </w:p>
    <w:p w14:paraId="294327AE" w14:textId="77777777" w:rsidR="00736C24" w:rsidRPr="00736C24" w:rsidRDefault="00736C24" w:rsidP="006E6809">
      <w:pPr>
        <w:spacing w:line="360" w:lineRule="auto"/>
        <w:jc w:val="center"/>
        <w:rPr>
          <w:rFonts w:ascii="Arial" w:hAnsi="Arial" w:cs="Arial"/>
          <w:b/>
          <w:bCs/>
          <w:sz w:val="32"/>
          <w:lang w:val="en-IN"/>
        </w:rPr>
      </w:pPr>
    </w:p>
    <w:p w14:paraId="1055F5E3" w14:textId="77777777" w:rsidR="00736C24" w:rsidRPr="00736C24" w:rsidRDefault="00736C24" w:rsidP="006E6809">
      <w:pPr>
        <w:spacing w:line="360" w:lineRule="auto"/>
        <w:jc w:val="center"/>
        <w:rPr>
          <w:rFonts w:ascii="Arial" w:hAnsi="Arial" w:cs="Arial"/>
          <w:b/>
          <w:bCs/>
          <w:sz w:val="32"/>
          <w:lang w:val="en-IN"/>
        </w:rPr>
      </w:pPr>
    </w:p>
    <w:p w14:paraId="4CC6B75E" w14:textId="77777777" w:rsidR="00736C24" w:rsidRPr="00736C24" w:rsidRDefault="00736C24" w:rsidP="006E6809">
      <w:pPr>
        <w:spacing w:line="360" w:lineRule="auto"/>
        <w:jc w:val="center"/>
        <w:rPr>
          <w:rFonts w:ascii="Arial" w:hAnsi="Arial" w:cs="Arial"/>
          <w:b/>
          <w:bCs/>
          <w:sz w:val="32"/>
          <w:lang w:val="en-IN"/>
        </w:rPr>
      </w:pPr>
    </w:p>
    <w:p w14:paraId="7E7569EF" w14:textId="77777777" w:rsidR="00736C24" w:rsidRDefault="00736C24" w:rsidP="006E6809">
      <w:pPr>
        <w:spacing w:line="360" w:lineRule="auto"/>
        <w:jc w:val="center"/>
        <w:rPr>
          <w:rFonts w:ascii="Arial" w:hAnsi="Arial" w:cs="Arial"/>
          <w:b/>
          <w:bCs/>
          <w:sz w:val="32"/>
          <w:lang w:val="en-IN"/>
        </w:rPr>
      </w:pPr>
    </w:p>
    <w:p w14:paraId="2F711AD4" w14:textId="77777777" w:rsidR="00D560A7" w:rsidRDefault="00D560A7" w:rsidP="006E6809">
      <w:pPr>
        <w:spacing w:line="360" w:lineRule="auto"/>
        <w:jc w:val="center"/>
        <w:rPr>
          <w:rFonts w:ascii="Arial" w:hAnsi="Arial" w:cs="Arial"/>
          <w:b/>
          <w:bCs/>
          <w:sz w:val="32"/>
          <w:lang w:val="en-IN"/>
        </w:rPr>
      </w:pPr>
    </w:p>
    <w:p w14:paraId="3D94AD3A" w14:textId="77777777" w:rsidR="00D560A7" w:rsidRDefault="00D560A7" w:rsidP="006E6809">
      <w:pPr>
        <w:spacing w:line="360" w:lineRule="auto"/>
        <w:jc w:val="center"/>
        <w:rPr>
          <w:rFonts w:ascii="Arial" w:hAnsi="Arial" w:cs="Arial"/>
          <w:b/>
          <w:bCs/>
          <w:sz w:val="32"/>
          <w:lang w:val="en-IN"/>
        </w:rPr>
      </w:pPr>
    </w:p>
    <w:p w14:paraId="5289AF1F" w14:textId="77777777" w:rsidR="00D560A7" w:rsidRDefault="00D560A7" w:rsidP="006E6809">
      <w:pPr>
        <w:spacing w:line="360" w:lineRule="auto"/>
        <w:jc w:val="center"/>
        <w:rPr>
          <w:rFonts w:ascii="Arial" w:hAnsi="Arial" w:cs="Arial"/>
          <w:b/>
          <w:bCs/>
          <w:sz w:val="32"/>
          <w:lang w:val="en-IN"/>
        </w:rPr>
      </w:pPr>
    </w:p>
    <w:p w14:paraId="0F0EDB8F" w14:textId="77777777" w:rsidR="00D560A7" w:rsidRDefault="00D560A7" w:rsidP="006E6809">
      <w:pPr>
        <w:spacing w:line="360" w:lineRule="auto"/>
        <w:jc w:val="center"/>
        <w:rPr>
          <w:rFonts w:ascii="Arial" w:hAnsi="Arial" w:cs="Arial"/>
          <w:b/>
          <w:bCs/>
          <w:sz w:val="32"/>
          <w:lang w:val="en-IN"/>
        </w:rPr>
      </w:pPr>
    </w:p>
    <w:p w14:paraId="38E15ED4" w14:textId="77777777" w:rsidR="00D560A7" w:rsidRDefault="00D560A7" w:rsidP="006E6809">
      <w:pPr>
        <w:spacing w:line="360" w:lineRule="auto"/>
        <w:jc w:val="center"/>
        <w:rPr>
          <w:rFonts w:ascii="Arial" w:hAnsi="Arial" w:cs="Arial"/>
          <w:b/>
          <w:bCs/>
          <w:sz w:val="32"/>
          <w:lang w:val="en-IN"/>
        </w:rPr>
      </w:pPr>
    </w:p>
    <w:p w14:paraId="45610C0D" w14:textId="77777777" w:rsidR="00D560A7" w:rsidRDefault="00D560A7" w:rsidP="006E6809">
      <w:pPr>
        <w:spacing w:line="360" w:lineRule="auto"/>
        <w:jc w:val="center"/>
        <w:rPr>
          <w:rFonts w:ascii="Arial" w:hAnsi="Arial" w:cs="Arial"/>
          <w:b/>
          <w:bCs/>
          <w:sz w:val="32"/>
          <w:lang w:val="en-IN"/>
        </w:rPr>
      </w:pPr>
    </w:p>
    <w:p w14:paraId="3679BB3C" w14:textId="77777777" w:rsidR="00D560A7" w:rsidRDefault="00D560A7" w:rsidP="006E6809">
      <w:pPr>
        <w:spacing w:line="360" w:lineRule="auto"/>
        <w:jc w:val="center"/>
        <w:rPr>
          <w:rFonts w:ascii="Arial" w:hAnsi="Arial" w:cs="Arial"/>
          <w:b/>
          <w:bCs/>
          <w:sz w:val="32"/>
          <w:lang w:val="en-IN"/>
        </w:rPr>
      </w:pPr>
    </w:p>
    <w:p w14:paraId="563FF3D0" w14:textId="77777777" w:rsidR="00D560A7" w:rsidRDefault="00D560A7" w:rsidP="006E6809">
      <w:pPr>
        <w:spacing w:line="360" w:lineRule="auto"/>
        <w:jc w:val="center"/>
        <w:rPr>
          <w:rFonts w:ascii="Arial" w:hAnsi="Arial" w:cs="Arial"/>
          <w:b/>
          <w:bCs/>
          <w:sz w:val="32"/>
          <w:lang w:val="en-IN"/>
        </w:rPr>
      </w:pPr>
    </w:p>
    <w:p w14:paraId="4052079F" w14:textId="77777777" w:rsidR="00D560A7" w:rsidRDefault="00D560A7" w:rsidP="00D560A7">
      <w:pPr>
        <w:spacing w:line="360" w:lineRule="auto"/>
        <w:jc w:val="center"/>
        <w:rPr>
          <w:rFonts w:ascii="Arial" w:hAnsi="Arial" w:cs="Arial"/>
          <w:b/>
          <w:bCs/>
          <w:sz w:val="32"/>
          <w:lang w:val="en-IN"/>
        </w:rPr>
      </w:pPr>
    </w:p>
    <w:p w14:paraId="329D3346" w14:textId="77777777" w:rsidR="00D560A7" w:rsidRPr="00736C24" w:rsidRDefault="00D560A7" w:rsidP="00D560A7">
      <w:pPr>
        <w:spacing w:line="360" w:lineRule="auto"/>
        <w:jc w:val="center"/>
        <w:rPr>
          <w:rFonts w:ascii="Arial" w:hAnsi="Arial" w:cs="Arial"/>
          <w:b/>
          <w:bCs/>
          <w:sz w:val="32"/>
          <w:lang w:val="en-IN"/>
        </w:rPr>
      </w:pPr>
    </w:p>
    <w:p w14:paraId="666897C7" w14:textId="008499AA" w:rsidR="004D3E28" w:rsidRDefault="00736C24" w:rsidP="00D560A7">
      <w:pPr>
        <w:spacing w:line="360" w:lineRule="auto"/>
        <w:jc w:val="center"/>
        <w:rPr>
          <w:rFonts w:ascii="Arial" w:hAnsi="Arial" w:cs="Arial"/>
          <w:b/>
          <w:bCs/>
          <w:sz w:val="32"/>
          <w:lang w:val="en-IN"/>
        </w:rPr>
      </w:pPr>
      <w:r w:rsidRPr="00736C24">
        <w:rPr>
          <w:rFonts w:ascii="Arial" w:hAnsi="Arial" w:cs="Arial"/>
          <w:b/>
          <w:bCs/>
          <w:sz w:val="32"/>
          <w:lang w:val="en-IN"/>
        </w:rPr>
        <w:t>SICKLE CELL DISEASE IN EARLY INFANCY: LEADERSHIP, GOVERNANCE AND SYSTEMS ANALYSIS CASE REPORT</w:t>
      </w:r>
    </w:p>
    <w:p w14:paraId="55938AF4" w14:textId="77777777" w:rsidR="004D3E28" w:rsidRDefault="004D3E28" w:rsidP="00D560A7">
      <w:pPr>
        <w:jc w:val="center"/>
        <w:rPr>
          <w:rFonts w:ascii="Arial" w:hAnsi="Arial" w:cs="Arial"/>
          <w:b/>
          <w:bCs/>
          <w:sz w:val="32"/>
          <w:lang w:val="en-IN"/>
        </w:rPr>
      </w:pPr>
      <w:r>
        <w:rPr>
          <w:rFonts w:ascii="Arial" w:hAnsi="Arial" w:cs="Arial"/>
          <w:b/>
          <w:bCs/>
          <w:sz w:val="32"/>
          <w:lang w:val="en-IN"/>
        </w:rPr>
        <w:br w:type="page"/>
      </w:r>
    </w:p>
    <w:sdt>
      <w:sdtPr>
        <w:rPr>
          <w:rFonts w:asciiTheme="minorHAnsi" w:hAnsiTheme="minorHAnsi" w:cstheme="minorBidi"/>
          <w:b w:val="0"/>
          <w:sz w:val="22"/>
          <w:lang w:val="en-GB"/>
        </w:rPr>
        <w:id w:val="-6286919"/>
        <w:docPartObj>
          <w:docPartGallery w:val="Table of Contents"/>
          <w:docPartUnique/>
        </w:docPartObj>
      </w:sdtPr>
      <w:sdtEndPr>
        <w:rPr>
          <w:bCs/>
          <w:noProof/>
        </w:rPr>
      </w:sdtEndPr>
      <w:sdtContent>
        <w:p w14:paraId="18468E6E" w14:textId="77777777" w:rsidR="006415DB" w:rsidRPr="006415DB" w:rsidRDefault="006415DB" w:rsidP="006415DB">
          <w:pPr>
            <w:pStyle w:val="TOCHeading"/>
            <w:jc w:val="center"/>
            <w:rPr>
              <w:sz w:val="22"/>
            </w:rPr>
          </w:pPr>
          <w:r w:rsidRPr="006415DB">
            <w:rPr>
              <w:sz w:val="22"/>
            </w:rPr>
            <w:t>Table of Contents</w:t>
          </w:r>
        </w:p>
        <w:p w14:paraId="65D2D8FE" w14:textId="50466061" w:rsidR="006415DB" w:rsidRPr="006415DB" w:rsidRDefault="006415DB" w:rsidP="006415DB">
          <w:pPr>
            <w:pStyle w:val="TOC1"/>
            <w:tabs>
              <w:tab w:val="right" w:leader="dot" w:pos="9016"/>
            </w:tabs>
            <w:spacing w:line="360" w:lineRule="auto"/>
            <w:jc w:val="both"/>
            <w:rPr>
              <w:rFonts w:ascii="Arial" w:hAnsi="Arial" w:cs="Arial"/>
              <w:noProof/>
            </w:rPr>
          </w:pPr>
          <w:r w:rsidRPr="006415DB">
            <w:rPr>
              <w:rFonts w:ascii="Arial" w:hAnsi="Arial" w:cs="Arial"/>
            </w:rPr>
            <w:fldChar w:fldCharType="begin"/>
          </w:r>
          <w:r w:rsidRPr="006415DB">
            <w:rPr>
              <w:rFonts w:ascii="Arial" w:hAnsi="Arial" w:cs="Arial"/>
            </w:rPr>
            <w:instrText xml:space="preserve"> TOC \o "1-3" \h \z \u </w:instrText>
          </w:r>
          <w:r w:rsidRPr="006415DB">
            <w:rPr>
              <w:rFonts w:ascii="Arial" w:hAnsi="Arial" w:cs="Arial"/>
            </w:rPr>
            <w:fldChar w:fldCharType="separate"/>
          </w:r>
          <w:hyperlink w:anchor="_Toc226463994" w:history="1">
            <w:r w:rsidRPr="006415DB">
              <w:rPr>
                <w:rStyle w:val="Hyperlink"/>
                <w:rFonts w:ascii="Arial" w:hAnsi="Arial" w:cs="Arial"/>
                <w:noProof/>
              </w:rPr>
              <w:t>1. Introduction</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_Toc226463994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5</w:t>
            </w:r>
            <w:r w:rsidRPr="006415DB">
              <w:rPr>
                <w:rFonts w:ascii="Arial" w:hAnsi="Arial" w:cs="Arial"/>
                <w:noProof/>
                <w:webHidden/>
              </w:rPr>
              <w:fldChar w:fldCharType="end"/>
            </w:r>
          </w:hyperlink>
        </w:p>
        <w:p w14:paraId="64DB699A" w14:textId="69928682" w:rsidR="006415DB" w:rsidRPr="006415DB" w:rsidRDefault="006415DB" w:rsidP="006415DB">
          <w:pPr>
            <w:pStyle w:val="TOC2"/>
            <w:tabs>
              <w:tab w:val="right" w:leader="dot" w:pos="9016"/>
            </w:tabs>
            <w:spacing w:line="360" w:lineRule="auto"/>
            <w:jc w:val="both"/>
            <w:rPr>
              <w:rFonts w:ascii="Arial" w:hAnsi="Arial" w:cs="Arial"/>
              <w:noProof/>
            </w:rPr>
          </w:pPr>
          <w:hyperlink w:anchor="_Toc226463995" w:history="1">
            <w:r w:rsidRPr="006415DB">
              <w:rPr>
                <w:rStyle w:val="Hyperlink"/>
                <w:rFonts w:ascii="Arial" w:hAnsi="Arial" w:cs="Arial"/>
                <w:noProof/>
              </w:rPr>
              <w:t>1.1 Background and purpose of the case</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_Toc226463995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5</w:t>
            </w:r>
            <w:r w:rsidRPr="006415DB">
              <w:rPr>
                <w:rFonts w:ascii="Arial" w:hAnsi="Arial" w:cs="Arial"/>
                <w:noProof/>
                <w:webHidden/>
              </w:rPr>
              <w:fldChar w:fldCharType="end"/>
            </w:r>
          </w:hyperlink>
        </w:p>
        <w:p w14:paraId="506F3746" w14:textId="64D5A0D0" w:rsidR="006415DB" w:rsidRPr="006415DB" w:rsidRDefault="006415DB" w:rsidP="006415DB">
          <w:pPr>
            <w:pStyle w:val="TOC2"/>
            <w:tabs>
              <w:tab w:val="right" w:leader="dot" w:pos="9016"/>
            </w:tabs>
            <w:spacing w:line="360" w:lineRule="auto"/>
            <w:jc w:val="both"/>
            <w:rPr>
              <w:rFonts w:ascii="Arial" w:hAnsi="Arial" w:cs="Arial"/>
              <w:noProof/>
            </w:rPr>
          </w:pPr>
          <w:hyperlink w:anchor="_Toc226463996" w:history="1">
            <w:r w:rsidRPr="006415DB">
              <w:rPr>
                <w:rStyle w:val="Hyperlink"/>
                <w:rFonts w:ascii="Arial" w:hAnsi="Arial" w:cs="Arial"/>
                <w:noProof/>
              </w:rPr>
              <w:t>1.2 Leadership in health and social care</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_Toc226463996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5</w:t>
            </w:r>
            <w:r w:rsidRPr="006415DB">
              <w:rPr>
                <w:rFonts w:ascii="Arial" w:hAnsi="Arial" w:cs="Arial"/>
                <w:noProof/>
                <w:webHidden/>
              </w:rPr>
              <w:fldChar w:fldCharType="end"/>
            </w:r>
          </w:hyperlink>
        </w:p>
        <w:p w14:paraId="55A85BB5" w14:textId="2CEA4C12" w:rsidR="006415DB" w:rsidRPr="006415DB" w:rsidRDefault="006415DB" w:rsidP="006415DB">
          <w:pPr>
            <w:pStyle w:val="TOC2"/>
            <w:tabs>
              <w:tab w:val="right" w:leader="dot" w:pos="9016"/>
            </w:tabs>
            <w:spacing w:line="360" w:lineRule="auto"/>
            <w:jc w:val="both"/>
            <w:rPr>
              <w:rFonts w:ascii="Arial" w:hAnsi="Arial" w:cs="Arial"/>
              <w:noProof/>
            </w:rPr>
          </w:pPr>
          <w:hyperlink w:anchor="_Toc226463997" w:history="1">
            <w:r w:rsidRPr="006415DB">
              <w:rPr>
                <w:rStyle w:val="Hyperlink"/>
                <w:rFonts w:ascii="Arial" w:hAnsi="Arial" w:cs="Arial"/>
                <w:noProof/>
              </w:rPr>
              <w:t>1.3 Centralisation, decentralisation, and leadership styles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_Toc226463997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5</w:t>
            </w:r>
            <w:r w:rsidRPr="006415DB">
              <w:rPr>
                <w:rFonts w:ascii="Arial" w:hAnsi="Arial" w:cs="Arial"/>
                <w:noProof/>
                <w:webHidden/>
              </w:rPr>
              <w:fldChar w:fldCharType="end"/>
            </w:r>
          </w:hyperlink>
        </w:p>
        <w:p w14:paraId="36D32272" w14:textId="13918C9D" w:rsidR="006415DB" w:rsidRPr="006415DB" w:rsidRDefault="006415DB" w:rsidP="006415DB">
          <w:pPr>
            <w:pStyle w:val="TOC2"/>
            <w:tabs>
              <w:tab w:val="right" w:leader="dot" w:pos="9016"/>
            </w:tabs>
            <w:spacing w:line="360" w:lineRule="auto"/>
            <w:jc w:val="both"/>
            <w:rPr>
              <w:rFonts w:ascii="Arial" w:hAnsi="Arial" w:cs="Arial"/>
              <w:noProof/>
            </w:rPr>
          </w:pPr>
          <w:hyperlink w:anchor="_Toc226463998" w:history="1">
            <w:r w:rsidRPr="006415DB">
              <w:rPr>
                <w:rStyle w:val="Hyperlink"/>
                <w:rFonts w:ascii="Arial" w:hAnsi="Arial" w:cs="Arial"/>
                <w:noProof/>
              </w:rPr>
              <w:t>1.4 Why leadership matters in change and crisis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_Toc226463998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5</w:t>
            </w:r>
            <w:r w:rsidRPr="006415DB">
              <w:rPr>
                <w:rFonts w:ascii="Arial" w:hAnsi="Arial" w:cs="Arial"/>
                <w:noProof/>
                <w:webHidden/>
              </w:rPr>
              <w:fldChar w:fldCharType="end"/>
            </w:r>
          </w:hyperlink>
        </w:p>
        <w:p w14:paraId="5CDD3446" w14:textId="1FEA44F9" w:rsidR="006415DB" w:rsidRPr="006415DB" w:rsidRDefault="006415DB" w:rsidP="006415DB">
          <w:pPr>
            <w:pStyle w:val="TOC1"/>
            <w:tabs>
              <w:tab w:val="right" w:leader="dot" w:pos="9016"/>
            </w:tabs>
            <w:spacing w:line="360" w:lineRule="auto"/>
            <w:jc w:val="both"/>
            <w:rPr>
              <w:rFonts w:ascii="Arial" w:hAnsi="Arial" w:cs="Arial"/>
              <w:noProof/>
            </w:rPr>
          </w:pPr>
          <w:hyperlink w:anchor="_Toc226463999" w:history="1">
            <w:r w:rsidRPr="006415DB">
              <w:rPr>
                <w:rStyle w:val="Hyperlink"/>
                <w:rFonts w:ascii="Arial" w:hAnsi="Arial" w:cs="Arial"/>
                <w:noProof/>
              </w:rPr>
              <w:t>2. Problem Identification and System Context</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_Toc226463999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6</w:t>
            </w:r>
            <w:r w:rsidRPr="006415DB">
              <w:rPr>
                <w:rFonts w:ascii="Arial" w:hAnsi="Arial" w:cs="Arial"/>
                <w:noProof/>
                <w:webHidden/>
              </w:rPr>
              <w:fldChar w:fldCharType="end"/>
            </w:r>
          </w:hyperlink>
        </w:p>
        <w:p w14:paraId="2D2B387F" w14:textId="735F26D7" w:rsidR="006415DB" w:rsidRPr="006415DB" w:rsidRDefault="006415DB" w:rsidP="006415DB">
          <w:pPr>
            <w:pStyle w:val="TOC2"/>
            <w:tabs>
              <w:tab w:val="right" w:leader="dot" w:pos="9016"/>
            </w:tabs>
            <w:spacing w:line="360" w:lineRule="auto"/>
            <w:jc w:val="both"/>
            <w:rPr>
              <w:rFonts w:ascii="Arial" w:hAnsi="Arial" w:cs="Arial"/>
              <w:noProof/>
            </w:rPr>
          </w:pPr>
          <w:hyperlink w:anchor="_Toc226464000" w:history="1">
            <w:r w:rsidRPr="006415DB">
              <w:rPr>
                <w:rStyle w:val="Hyperlink"/>
                <w:rFonts w:ascii="Arial" w:hAnsi="Arial" w:cs="Arial"/>
                <w:noProof/>
              </w:rPr>
              <w:t>2.1 Case problem and clinical significance</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_Toc226464000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6</w:t>
            </w:r>
            <w:r w:rsidRPr="006415DB">
              <w:rPr>
                <w:rFonts w:ascii="Arial" w:hAnsi="Arial" w:cs="Arial"/>
                <w:noProof/>
                <w:webHidden/>
              </w:rPr>
              <w:fldChar w:fldCharType="end"/>
            </w:r>
          </w:hyperlink>
        </w:p>
        <w:p w14:paraId="6E233C85" w14:textId="71104C71" w:rsidR="006415DB" w:rsidRPr="006415DB" w:rsidRDefault="006415DB" w:rsidP="006415DB">
          <w:pPr>
            <w:pStyle w:val="TOC2"/>
            <w:tabs>
              <w:tab w:val="right" w:leader="dot" w:pos="9016"/>
            </w:tabs>
            <w:spacing w:line="360" w:lineRule="auto"/>
            <w:jc w:val="both"/>
            <w:rPr>
              <w:rFonts w:ascii="Arial" w:hAnsi="Arial" w:cs="Arial"/>
              <w:noProof/>
            </w:rPr>
          </w:pPr>
          <w:hyperlink w:anchor="_Toc226464001" w:history="1">
            <w:r w:rsidRPr="006415DB">
              <w:rPr>
                <w:rStyle w:val="Hyperlink"/>
                <w:rFonts w:ascii="Arial" w:hAnsi="Arial" w:cs="Arial"/>
                <w:noProof/>
              </w:rPr>
              <w:t>2.2 Global, national, and local data on SCD</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_Toc226464001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6</w:t>
            </w:r>
            <w:r w:rsidRPr="006415DB">
              <w:rPr>
                <w:rFonts w:ascii="Arial" w:hAnsi="Arial" w:cs="Arial"/>
                <w:noProof/>
                <w:webHidden/>
              </w:rPr>
              <w:fldChar w:fldCharType="end"/>
            </w:r>
          </w:hyperlink>
        </w:p>
        <w:p w14:paraId="58D5B918" w14:textId="28292933" w:rsidR="006415DB" w:rsidRPr="006415DB" w:rsidRDefault="006415DB" w:rsidP="006415DB">
          <w:pPr>
            <w:pStyle w:val="TOC2"/>
            <w:tabs>
              <w:tab w:val="right" w:leader="dot" w:pos="9016"/>
            </w:tabs>
            <w:spacing w:line="360" w:lineRule="auto"/>
            <w:jc w:val="both"/>
            <w:rPr>
              <w:rFonts w:ascii="Arial" w:hAnsi="Arial" w:cs="Arial"/>
              <w:noProof/>
            </w:rPr>
          </w:pPr>
          <w:hyperlink w:anchor="_Toc226464002" w:history="1">
            <w:r w:rsidRPr="006415DB">
              <w:rPr>
                <w:rStyle w:val="Hyperlink"/>
                <w:rFonts w:ascii="Arial" w:hAnsi="Arial" w:cs="Arial"/>
                <w:noProof/>
              </w:rPr>
              <w:t>2.3 System weaknesses, governance level, and underlying challenges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_Toc226464002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6</w:t>
            </w:r>
            <w:r w:rsidRPr="006415DB">
              <w:rPr>
                <w:rFonts w:ascii="Arial" w:hAnsi="Arial" w:cs="Arial"/>
                <w:noProof/>
                <w:webHidden/>
              </w:rPr>
              <w:fldChar w:fldCharType="end"/>
            </w:r>
          </w:hyperlink>
        </w:p>
        <w:p w14:paraId="1A2AB473" w14:textId="00ED772B" w:rsidR="006415DB" w:rsidRPr="006415DB" w:rsidRDefault="006415DB" w:rsidP="006415DB">
          <w:pPr>
            <w:pStyle w:val="TOC2"/>
            <w:tabs>
              <w:tab w:val="right" w:leader="dot" w:pos="9016"/>
            </w:tabs>
            <w:spacing w:line="360" w:lineRule="auto"/>
            <w:jc w:val="both"/>
            <w:rPr>
              <w:rFonts w:ascii="Arial" w:hAnsi="Arial" w:cs="Arial"/>
              <w:noProof/>
            </w:rPr>
          </w:pPr>
          <w:hyperlink w:anchor="_Toc226464003" w:history="1">
            <w:r w:rsidRPr="006415DB">
              <w:rPr>
                <w:rStyle w:val="Hyperlink"/>
                <w:rFonts w:ascii="Arial" w:hAnsi="Arial" w:cs="Arial"/>
                <w:noProof/>
              </w:rPr>
              <w:t>2.4 Rich picture and systems thinking analysis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_Toc226464003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6</w:t>
            </w:r>
            <w:r w:rsidRPr="006415DB">
              <w:rPr>
                <w:rFonts w:ascii="Arial" w:hAnsi="Arial" w:cs="Arial"/>
                <w:noProof/>
                <w:webHidden/>
              </w:rPr>
              <w:fldChar w:fldCharType="end"/>
            </w:r>
          </w:hyperlink>
        </w:p>
        <w:p w14:paraId="73595460" w14:textId="218165EF" w:rsidR="006415DB" w:rsidRPr="006415DB" w:rsidRDefault="006415DB" w:rsidP="006415DB">
          <w:pPr>
            <w:pStyle w:val="TOC1"/>
            <w:tabs>
              <w:tab w:val="right" w:leader="dot" w:pos="9016"/>
            </w:tabs>
            <w:spacing w:line="360" w:lineRule="auto"/>
            <w:jc w:val="both"/>
            <w:rPr>
              <w:rFonts w:ascii="Arial" w:hAnsi="Arial" w:cs="Arial"/>
              <w:noProof/>
            </w:rPr>
          </w:pPr>
          <w:hyperlink w:anchor="_Toc226464004" w:history="1">
            <w:r w:rsidRPr="006415DB">
              <w:rPr>
                <w:rStyle w:val="Hyperlink"/>
                <w:rFonts w:ascii="Arial" w:hAnsi="Arial" w:cs="Arial"/>
                <w:noProof/>
              </w:rPr>
              <w:t>3. Organisational Structure: Centralisation and Decentralisation</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_Toc226464004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8</w:t>
            </w:r>
            <w:r w:rsidRPr="006415DB">
              <w:rPr>
                <w:rFonts w:ascii="Arial" w:hAnsi="Arial" w:cs="Arial"/>
                <w:noProof/>
                <w:webHidden/>
              </w:rPr>
              <w:fldChar w:fldCharType="end"/>
            </w:r>
          </w:hyperlink>
        </w:p>
        <w:p w14:paraId="4506D458" w14:textId="2211BB6F" w:rsidR="006415DB" w:rsidRPr="006415DB" w:rsidRDefault="006415DB" w:rsidP="006415DB">
          <w:pPr>
            <w:pStyle w:val="TOC2"/>
            <w:tabs>
              <w:tab w:val="right" w:leader="dot" w:pos="9016"/>
            </w:tabs>
            <w:spacing w:line="360" w:lineRule="auto"/>
            <w:jc w:val="both"/>
            <w:rPr>
              <w:rFonts w:ascii="Arial" w:hAnsi="Arial" w:cs="Arial"/>
              <w:noProof/>
            </w:rPr>
          </w:pPr>
          <w:hyperlink w:anchor="_Toc226464005" w:history="1">
            <w:r w:rsidRPr="006415DB">
              <w:rPr>
                <w:rStyle w:val="Hyperlink"/>
                <w:rFonts w:ascii="Arial" w:hAnsi="Arial" w:cs="Arial"/>
                <w:noProof/>
              </w:rPr>
              <w:t>3.1 Structure of the care system in the case</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_Toc226464005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8</w:t>
            </w:r>
            <w:r w:rsidRPr="006415DB">
              <w:rPr>
                <w:rFonts w:ascii="Arial" w:hAnsi="Arial" w:cs="Arial"/>
                <w:noProof/>
                <w:webHidden/>
              </w:rPr>
              <w:fldChar w:fldCharType="end"/>
            </w:r>
          </w:hyperlink>
        </w:p>
        <w:p w14:paraId="320D1C58" w14:textId="4CE3B86F" w:rsidR="006415DB" w:rsidRPr="006415DB" w:rsidRDefault="006415DB" w:rsidP="006415DB">
          <w:pPr>
            <w:pStyle w:val="TOC2"/>
            <w:tabs>
              <w:tab w:val="right" w:leader="dot" w:pos="9016"/>
            </w:tabs>
            <w:spacing w:line="360" w:lineRule="auto"/>
            <w:jc w:val="both"/>
            <w:rPr>
              <w:rFonts w:ascii="Arial" w:hAnsi="Arial" w:cs="Arial"/>
              <w:noProof/>
            </w:rPr>
          </w:pPr>
          <w:hyperlink w:anchor="_Toc226464006" w:history="1">
            <w:r w:rsidRPr="006415DB">
              <w:rPr>
                <w:rStyle w:val="Hyperlink"/>
                <w:rFonts w:ascii="Arial" w:hAnsi="Arial" w:cs="Arial"/>
                <w:noProof/>
              </w:rPr>
              <w:t>3.2 Advantages and disadvantages of centralised decision-making</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_Toc226464006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8</w:t>
            </w:r>
            <w:r w:rsidRPr="006415DB">
              <w:rPr>
                <w:rFonts w:ascii="Arial" w:hAnsi="Arial" w:cs="Arial"/>
                <w:noProof/>
                <w:webHidden/>
              </w:rPr>
              <w:fldChar w:fldCharType="end"/>
            </w:r>
          </w:hyperlink>
        </w:p>
        <w:p w14:paraId="3C0536C8" w14:textId="389FBA27" w:rsidR="006415DB" w:rsidRPr="006415DB" w:rsidRDefault="006415DB" w:rsidP="006415DB">
          <w:pPr>
            <w:pStyle w:val="TOC2"/>
            <w:tabs>
              <w:tab w:val="right" w:leader="dot" w:pos="9016"/>
            </w:tabs>
            <w:spacing w:line="360" w:lineRule="auto"/>
            <w:jc w:val="both"/>
            <w:rPr>
              <w:rFonts w:ascii="Arial" w:hAnsi="Arial" w:cs="Arial"/>
              <w:noProof/>
            </w:rPr>
          </w:pPr>
          <w:hyperlink w:anchor="_Toc226464007" w:history="1">
            <w:r w:rsidRPr="006415DB">
              <w:rPr>
                <w:rStyle w:val="Hyperlink"/>
                <w:rFonts w:ascii="Arial" w:hAnsi="Arial" w:cs="Arial"/>
                <w:noProof/>
              </w:rPr>
              <w:t>3.3 Advantages and disadvantages of decentralised decision-making</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_Toc226464007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9</w:t>
            </w:r>
            <w:r w:rsidRPr="006415DB">
              <w:rPr>
                <w:rFonts w:ascii="Arial" w:hAnsi="Arial" w:cs="Arial"/>
                <w:noProof/>
                <w:webHidden/>
              </w:rPr>
              <w:fldChar w:fldCharType="end"/>
            </w:r>
          </w:hyperlink>
        </w:p>
        <w:p w14:paraId="2F137631" w14:textId="0513772A" w:rsidR="006415DB" w:rsidRPr="006415DB" w:rsidRDefault="006415DB" w:rsidP="006415DB">
          <w:pPr>
            <w:pStyle w:val="TOC2"/>
            <w:tabs>
              <w:tab w:val="right" w:leader="dot" w:pos="9016"/>
            </w:tabs>
            <w:spacing w:line="360" w:lineRule="auto"/>
            <w:jc w:val="both"/>
            <w:rPr>
              <w:rFonts w:ascii="Arial" w:hAnsi="Arial" w:cs="Arial"/>
              <w:noProof/>
            </w:rPr>
          </w:pPr>
          <w:hyperlink w:anchor="_Toc226464008" w:history="1">
            <w:r w:rsidRPr="006415DB">
              <w:rPr>
                <w:rStyle w:val="Hyperlink"/>
                <w:rFonts w:ascii="Arial" w:hAnsi="Arial" w:cs="Arial"/>
                <w:noProof/>
              </w:rPr>
              <w:t>3.4 Critical evaluation using evidence and data</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_Toc226464008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9</w:t>
            </w:r>
            <w:r w:rsidRPr="006415DB">
              <w:rPr>
                <w:rFonts w:ascii="Arial" w:hAnsi="Arial" w:cs="Arial"/>
                <w:noProof/>
                <w:webHidden/>
              </w:rPr>
              <w:fldChar w:fldCharType="end"/>
            </w:r>
          </w:hyperlink>
        </w:p>
        <w:p w14:paraId="18A9FFFC" w14:textId="38E5BAA7" w:rsidR="006415DB" w:rsidRPr="006415DB" w:rsidRDefault="006415DB" w:rsidP="006415DB">
          <w:pPr>
            <w:pStyle w:val="TOC1"/>
            <w:tabs>
              <w:tab w:val="right" w:leader="dot" w:pos="9016"/>
            </w:tabs>
            <w:spacing w:line="360" w:lineRule="auto"/>
            <w:jc w:val="both"/>
            <w:rPr>
              <w:rFonts w:ascii="Arial" w:hAnsi="Arial" w:cs="Arial"/>
              <w:noProof/>
            </w:rPr>
          </w:pPr>
          <w:hyperlink w:anchor="_Toc226464009" w:history="1">
            <w:r w:rsidRPr="006415DB">
              <w:rPr>
                <w:rStyle w:val="Hyperlink"/>
                <w:rFonts w:ascii="Arial" w:hAnsi="Arial" w:cs="Arial"/>
                <w:noProof/>
              </w:rPr>
              <w:t>4. Leadership Theories and Case Application</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_Toc226464009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10</w:t>
            </w:r>
            <w:r w:rsidRPr="006415DB">
              <w:rPr>
                <w:rFonts w:ascii="Arial" w:hAnsi="Arial" w:cs="Arial"/>
                <w:noProof/>
                <w:webHidden/>
              </w:rPr>
              <w:fldChar w:fldCharType="end"/>
            </w:r>
          </w:hyperlink>
        </w:p>
        <w:p w14:paraId="4CCE1347" w14:textId="0D438672" w:rsidR="006415DB" w:rsidRPr="006415DB" w:rsidRDefault="006415DB" w:rsidP="006415DB">
          <w:pPr>
            <w:pStyle w:val="TOC2"/>
            <w:tabs>
              <w:tab w:val="right" w:leader="dot" w:pos="9016"/>
            </w:tabs>
            <w:spacing w:line="360" w:lineRule="auto"/>
            <w:jc w:val="both"/>
            <w:rPr>
              <w:rFonts w:ascii="Arial" w:hAnsi="Arial" w:cs="Arial"/>
              <w:noProof/>
            </w:rPr>
          </w:pPr>
          <w:hyperlink w:anchor="_Toc226464010" w:history="1">
            <w:r w:rsidRPr="006415DB">
              <w:rPr>
                <w:rStyle w:val="Hyperlink"/>
                <w:rFonts w:ascii="Arial" w:hAnsi="Arial" w:cs="Arial"/>
                <w:noProof/>
              </w:rPr>
              <w:t>4.1 Relevant leadership theories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_Toc226464010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10</w:t>
            </w:r>
            <w:r w:rsidRPr="006415DB">
              <w:rPr>
                <w:rFonts w:ascii="Arial" w:hAnsi="Arial" w:cs="Arial"/>
                <w:noProof/>
                <w:webHidden/>
              </w:rPr>
              <w:fldChar w:fldCharType="end"/>
            </w:r>
          </w:hyperlink>
        </w:p>
        <w:p w14:paraId="18C6757E" w14:textId="1EE6D4FD" w:rsidR="006415DB" w:rsidRPr="006415DB" w:rsidRDefault="006415DB" w:rsidP="006415DB">
          <w:pPr>
            <w:pStyle w:val="TOC2"/>
            <w:tabs>
              <w:tab w:val="right" w:leader="dot" w:pos="9016"/>
            </w:tabs>
            <w:spacing w:line="360" w:lineRule="auto"/>
            <w:jc w:val="both"/>
            <w:rPr>
              <w:rFonts w:ascii="Arial" w:hAnsi="Arial" w:cs="Arial"/>
              <w:noProof/>
            </w:rPr>
          </w:pPr>
          <w:hyperlink w:anchor="_Toc226464011" w:history="1">
            <w:r w:rsidRPr="006415DB">
              <w:rPr>
                <w:rStyle w:val="Hyperlink"/>
                <w:rFonts w:ascii="Arial" w:hAnsi="Arial" w:cs="Arial"/>
                <w:noProof/>
              </w:rPr>
              <w:t>4.2 Application to the case and leadership response</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_Toc226464011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10</w:t>
            </w:r>
            <w:r w:rsidRPr="006415DB">
              <w:rPr>
                <w:rFonts w:ascii="Arial" w:hAnsi="Arial" w:cs="Arial"/>
                <w:noProof/>
                <w:webHidden/>
              </w:rPr>
              <w:fldChar w:fldCharType="end"/>
            </w:r>
          </w:hyperlink>
        </w:p>
        <w:p w14:paraId="10962F6E" w14:textId="6CA8FB58" w:rsidR="006415DB" w:rsidRPr="006415DB" w:rsidRDefault="006415DB" w:rsidP="006415DB">
          <w:pPr>
            <w:pStyle w:val="TOC2"/>
            <w:tabs>
              <w:tab w:val="right" w:leader="dot" w:pos="9016"/>
            </w:tabs>
            <w:spacing w:line="360" w:lineRule="auto"/>
            <w:jc w:val="both"/>
            <w:rPr>
              <w:rFonts w:ascii="Arial" w:hAnsi="Arial" w:cs="Arial"/>
              <w:noProof/>
            </w:rPr>
          </w:pPr>
          <w:hyperlink w:anchor="_Toc226464012" w:history="1">
            <w:r w:rsidRPr="006415DB">
              <w:rPr>
                <w:rStyle w:val="Hyperlink"/>
                <w:rFonts w:ascii="Arial" w:hAnsi="Arial" w:cs="Arial"/>
                <w:noProof/>
              </w:rPr>
              <w:t>4.3 Critique of leadership effectiveness using evidence</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_Toc226464012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11</w:t>
            </w:r>
            <w:r w:rsidRPr="006415DB">
              <w:rPr>
                <w:rFonts w:ascii="Arial" w:hAnsi="Arial" w:cs="Arial"/>
                <w:noProof/>
                <w:webHidden/>
              </w:rPr>
              <w:fldChar w:fldCharType="end"/>
            </w:r>
          </w:hyperlink>
        </w:p>
        <w:p w14:paraId="6CA63B77" w14:textId="40B9151C" w:rsidR="006415DB" w:rsidRPr="006415DB" w:rsidRDefault="006415DB" w:rsidP="006415DB">
          <w:pPr>
            <w:pStyle w:val="TOC2"/>
            <w:tabs>
              <w:tab w:val="right" w:leader="dot" w:pos="9016"/>
            </w:tabs>
            <w:spacing w:line="360" w:lineRule="auto"/>
            <w:jc w:val="both"/>
            <w:rPr>
              <w:rFonts w:ascii="Arial" w:hAnsi="Arial" w:cs="Arial"/>
              <w:noProof/>
            </w:rPr>
          </w:pPr>
          <w:hyperlink w:anchor="_Toc226464013" w:history="1">
            <w:r w:rsidRPr="006415DB">
              <w:rPr>
                <w:rStyle w:val="Hyperlink"/>
                <w:rFonts w:ascii="Arial" w:hAnsi="Arial" w:cs="Arial"/>
                <w:noProof/>
              </w:rPr>
              <w:t>4.4 Alternative leadership approaches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_Toc226464013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11</w:t>
            </w:r>
            <w:r w:rsidRPr="006415DB">
              <w:rPr>
                <w:rFonts w:ascii="Arial" w:hAnsi="Arial" w:cs="Arial"/>
                <w:noProof/>
                <w:webHidden/>
              </w:rPr>
              <w:fldChar w:fldCharType="end"/>
            </w:r>
          </w:hyperlink>
        </w:p>
        <w:p w14:paraId="40444063" w14:textId="33105515" w:rsidR="006415DB" w:rsidRPr="006415DB" w:rsidRDefault="006415DB" w:rsidP="006415DB">
          <w:pPr>
            <w:pStyle w:val="TOC1"/>
            <w:tabs>
              <w:tab w:val="right" w:leader="dot" w:pos="9016"/>
            </w:tabs>
            <w:spacing w:line="360" w:lineRule="auto"/>
            <w:jc w:val="both"/>
            <w:rPr>
              <w:rFonts w:ascii="Arial" w:hAnsi="Arial" w:cs="Arial"/>
              <w:noProof/>
            </w:rPr>
          </w:pPr>
          <w:hyperlink w:anchor="_Toc226464014" w:history="1">
            <w:r w:rsidRPr="006415DB">
              <w:rPr>
                <w:rStyle w:val="Hyperlink"/>
                <w:rFonts w:ascii="Arial" w:hAnsi="Arial" w:cs="Arial"/>
                <w:noProof/>
              </w:rPr>
              <w:t>5. Improvement and Lessons Learned</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_Toc226464014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11</w:t>
            </w:r>
            <w:r w:rsidRPr="006415DB">
              <w:rPr>
                <w:rFonts w:ascii="Arial" w:hAnsi="Arial" w:cs="Arial"/>
                <w:noProof/>
                <w:webHidden/>
              </w:rPr>
              <w:fldChar w:fldCharType="end"/>
            </w:r>
          </w:hyperlink>
        </w:p>
        <w:p w14:paraId="1566EF0F" w14:textId="3C9F026D" w:rsidR="006415DB" w:rsidRPr="006415DB" w:rsidRDefault="006415DB" w:rsidP="006415DB">
          <w:pPr>
            <w:pStyle w:val="TOC2"/>
            <w:tabs>
              <w:tab w:val="right" w:leader="dot" w:pos="9016"/>
            </w:tabs>
            <w:spacing w:line="360" w:lineRule="auto"/>
            <w:jc w:val="both"/>
            <w:rPr>
              <w:rFonts w:ascii="Arial" w:hAnsi="Arial" w:cs="Arial"/>
              <w:noProof/>
            </w:rPr>
          </w:pPr>
          <w:hyperlink w:anchor="_Toc226464015" w:history="1">
            <w:r w:rsidRPr="006415DB">
              <w:rPr>
                <w:rStyle w:val="Hyperlink"/>
                <w:rFonts w:ascii="Arial" w:hAnsi="Arial" w:cs="Arial"/>
                <w:noProof/>
              </w:rPr>
              <w:t>5.1 Main problems and missed opportunities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_Toc226464015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11</w:t>
            </w:r>
            <w:r w:rsidRPr="006415DB">
              <w:rPr>
                <w:rFonts w:ascii="Arial" w:hAnsi="Arial" w:cs="Arial"/>
                <w:noProof/>
                <w:webHidden/>
              </w:rPr>
              <w:fldChar w:fldCharType="end"/>
            </w:r>
          </w:hyperlink>
        </w:p>
        <w:p w14:paraId="28EDC4CE" w14:textId="0542D87D" w:rsidR="006415DB" w:rsidRPr="006415DB" w:rsidRDefault="006415DB" w:rsidP="006415DB">
          <w:pPr>
            <w:pStyle w:val="TOC2"/>
            <w:tabs>
              <w:tab w:val="right" w:leader="dot" w:pos="9016"/>
            </w:tabs>
            <w:spacing w:line="360" w:lineRule="auto"/>
            <w:jc w:val="both"/>
            <w:rPr>
              <w:rFonts w:ascii="Arial" w:hAnsi="Arial" w:cs="Arial"/>
              <w:noProof/>
            </w:rPr>
          </w:pPr>
          <w:hyperlink w:anchor="_Toc226464016" w:history="1">
            <w:r w:rsidRPr="006415DB">
              <w:rPr>
                <w:rStyle w:val="Hyperlink"/>
                <w:rFonts w:ascii="Arial" w:hAnsi="Arial" w:cs="Arial"/>
                <w:noProof/>
              </w:rPr>
              <w:t>5.2 Evidence-based solutions and improvement actions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_Toc226464016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12</w:t>
            </w:r>
            <w:r w:rsidRPr="006415DB">
              <w:rPr>
                <w:rFonts w:ascii="Arial" w:hAnsi="Arial" w:cs="Arial"/>
                <w:noProof/>
                <w:webHidden/>
              </w:rPr>
              <w:fldChar w:fldCharType="end"/>
            </w:r>
          </w:hyperlink>
        </w:p>
        <w:p w14:paraId="44A3C8B6" w14:textId="5AEF51F1" w:rsidR="006415DB" w:rsidRPr="006415DB" w:rsidRDefault="006415DB" w:rsidP="006415DB">
          <w:pPr>
            <w:pStyle w:val="TOC2"/>
            <w:tabs>
              <w:tab w:val="right" w:leader="dot" w:pos="9016"/>
            </w:tabs>
            <w:spacing w:line="360" w:lineRule="auto"/>
            <w:jc w:val="both"/>
            <w:rPr>
              <w:rFonts w:ascii="Arial" w:hAnsi="Arial" w:cs="Arial"/>
              <w:noProof/>
            </w:rPr>
          </w:pPr>
          <w:hyperlink w:anchor="_Toc226464017" w:history="1">
            <w:r w:rsidRPr="006415DB">
              <w:rPr>
                <w:rStyle w:val="Hyperlink"/>
                <w:rFonts w:ascii="Arial" w:hAnsi="Arial" w:cs="Arial"/>
                <w:noProof/>
              </w:rPr>
              <w:t>5.3 Interaction of leadership, governance, and system feedback</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_Toc226464017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12</w:t>
            </w:r>
            <w:r w:rsidRPr="006415DB">
              <w:rPr>
                <w:rFonts w:ascii="Arial" w:hAnsi="Arial" w:cs="Arial"/>
                <w:noProof/>
                <w:webHidden/>
              </w:rPr>
              <w:fldChar w:fldCharType="end"/>
            </w:r>
          </w:hyperlink>
        </w:p>
        <w:p w14:paraId="5A57B898" w14:textId="2F9FEEB7" w:rsidR="006415DB" w:rsidRPr="006415DB" w:rsidRDefault="006415DB" w:rsidP="006415DB">
          <w:pPr>
            <w:pStyle w:val="TOC2"/>
            <w:tabs>
              <w:tab w:val="right" w:leader="dot" w:pos="9016"/>
            </w:tabs>
            <w:spacing w:line="360" w:lineRule="auto"/>
            <w:jc w:val="both"/>
            <w:rPr>
              <w:rFonts w:ascii="Arial" w:hAnsi="Arial" w:cs="Arial"/>
              <w:noProof/>
            </w:rPr>
          </w:pPr>
          <w:hyperlink w:anchor="_Toc226464018" w:history="1">
            <w:r w:rsidRPr="006415DB">
              <w:rPr>
                <w:rStyle w:val="Hyperlink"/>
                <w:rFonts w:ascii="Arial" w:hAnsi="Arial" w:cs="Arial"/>
                <w:noProof/>
              </w:rPr>
              <w:t>5.4 Lessons for other health organisations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_Toc226464018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13</w:t>
            </w:r>
            <w:r w:rsidRPr="006415DB">
              <w:rPr>
                <w:rFonts w:ascii="Arial" w:hAnsi="Arial" w:cs="Arial"/>
                <w:noProof/>
                <w:webHidden/>
              </w:rPr>
              <w:fldChar w:fldCharType="end"/>
            </w:r>
          </w:hyperlink>
        </w:p>
        <w:p w14:paraId="72518E2F" w14:textId="124AD0C3" w:rsidR="006415DB" w:rsidRPr="006415DB" w:rsidRDefault="006415DB" w:rsidP="006415DB">
          <w:pPr>
            <w:pStyle w:val="TOC1"/>
            <w:tabs>
              <w:tab w:val="right" w:leader="dot" w:pos="9016"/>
            </w:tabs>
            <w:spacing w:line="360" w:lineRule="auto"/>
            <w:jc w:val="both"/>
            <w:rPr>
              <w:rFonts w:ascii="Arial" w:hAnsi="Arial" w:cs="Arial"/>
              <w:noProof/>
            </w:rPr>
          </w:pPr>
          <w:hyperlink w:anchor="_Toc226464019" w:history="1">
            <w:r w:rsidRPr="006415DB">
              <w:rPr>
                <w:rStyle w:val="Hyperlink"/>
                <w:rFonts w:ascii="Arial" w:hAnsi="Arial" w:cs="Arial"/>
                <w:noProof/>
              </w:rPr>
              <w:t>6. Recommendations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_Toc226464019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13</w:t>
            </w:r>
            <w:r w:rsidRPr="006415DB">
              <w:rPr>
                <w:rFonts w:ascii="Arial" w:hAnsi="Arial" w:cs="Arial"/>
                <w:noProof/>
                <w:webHidden/>
              </w:rPr>
              <w:fldChar w:fldCharType="end"/>
            </w:r>
          </w:hyperlink>
        </w:p>
        <w:p w14:paraId="3DC8A1A7" w14:textId="256466BC" w:rsidR="006415DB" w:rsidRPr="006415DB" w:rsidRDefault="006415DB" w:rsidP="006415DB">
          <w:pPr>
            <w:pStyle w:val="TOC2"/>
            <w:tabs>
              <w:tab w:val="right" w:leader="dot" w:pos="9016"/>
            </w:tabs>
            <w:spacing w:line="360" w:lineRule="auto"/>
            <w:jc w:val="both"/>
            <w:rPr>
              <w:rFonts w:ascii="Arial" w:hAnsi="Arial" w:cs="Arial"/>
              <w:noProof/>
            </w:rPr>
          </w:pPr>
          <w:hyperlink w:anchor="_Toc226464020" w:history="1">
            <w:r w:rsidRPr="006415DB">
              <w:rPr>
                <w:rStyle w:val="Hyperlink"/>
                <w:rFonts w:ascii="Arial" w:hAnsi="Arial" w:cs="Arial"/>
                <w:noProof/>
              </w:rPr>
              <w:t>6.1 Recommended actions for the organisation</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_Toc226464020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13</w:t>
            </w:r>
            <w:r w:rsidRPr="006415DB">
              <w:rPr>
                <w:rFonts w:ascii="Arial" w:hAnsi="Arial" w:cs="Arial"/>
                <w:noProof/>
                <w:webHidden/>
              </w:rPr>
              <w:fldChar w:fldCharType="end"/>
            </w:r>
          </w:hyperlink>
        </w:p>
        <w:p w14:paraId="54EE51D1" w14:textId="47938DE4" w:rsidR="006415DB" w:rsidRPr="006415DB" w:rsidRDefault="006415DB" w:rsidP="006415DB">
          <w:pPr>
            <w:pStyle w:val="TOC2"/>
            <w:tabs>
              <w:tab w:val="right" w:leader="dot" w:pos="9016"/>
            </w:tabs>
            <w:spacing w:line="360" w:lineRule="auto"/>
            <w:jc w:val="both"/>
            <w:rPr>
              <w:rFonts w:ascii="Arial" w:hAnsi="Arial" w:cs="Arial"/>
              <w:noProof/>
            </w:rPr>
          </w:pPr>
          <w:hyperlink w:anchor="_Toc226464021" w:history="1">
            <w:r w:rsidRPr="006415DB">
              <w:rPr>
                <w:rStyle w:val="Hyperlink"/>
                <w:rFonts w:ascii="Arial" w:hAnsi="Arial" w:cs="Arial"/>
                <w:noProof/>
              </w:rPr>
              <w:t>6.2 Best leadership style for sustained improvement</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_Toc226464021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14</w:t>
            </w:r>
            <w:r w:rsidRPr="006415DB">
              <w:rPr>
                <w:rFonts w:ascii="Arial" w:hAnsi="Arial" w:cs="Arial"/>
                <w:noProof/>
                <w:webHidden/>
              </w:rPr>
              <w:fldChar w:fldCharType="end"/>
            </w:r>
          </w:hyperlink>
        </w:p>
        <w:p w14:paraId="55C5AA12" w14:textId="06BBE8B3" w:rsidR="006415DB" w:rsidRPr="006415DB" w:rsidRDefault="006415DB" w:rsidP="006415DB">
          <w:pPr>
            <w:pStyle w:val="TOC2"/>
            <w:tabs>
              <w:tab w:val="right" w:leader="dot" w:pos="9016"/>
            </w:tabs>
            <w:spacing w:line="360" w:lineRule="auto"/>
            <w:jc w:val="both"/>
            <w:rPr>
              <w:rFonts w:ascii="Arial" w:hAnsi="Arial" w:cs="Arial"/>
              <w:noProof/>
            </w:rPr>
          </w:pPr>
          <w:hyperlink w:anchor="_Toc226464022" w:history="1">
            <w:r w:rsidRPr="006415DB">
              <w:rPr>
                <w:rStyle w:val="Hyperlink"/>
                <w:rFonts w:ascii="Arial" w:hAnsi="Arial" w:cs="Arial"/>
                <w:noProof/>
              </w:rPr>
              <w:t>6.3 Governance, communication, and integration improvements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_Toc226464022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15</w:t>
            </w:r>
            <w:r w:rsidRPr="006415DB">
              <w:rPr>
                <w:rFonts w:ascii="Arial" w:hAnsi="Arial" w:cs="Arial"/>
                <w:noProof/>
                <w:webHidden/>
              </w:rPr>
              <w:fldChar w:fldCharType="end"/>
            </w:r>
          </w:hyperlink>
        </w:p>
        <w:p w14:paraId="1B1A6B01" w14:textId="07291107" w:rsidR="006415DB" w:rsidRPr="006415DB" w:rsidRDefault="006415DB" w:rsidP="006415DB">
          <w:pPr>
            <w:pStyle w:val="TOC2"/>
            <w:tabs>
              <w:tab w:val="right" w:leader="dot" w:pos="9016"/>
            </w:tabs>
            <w:spacing w:line="360" w:lineRule="auto"/>
            <w:jc w:val="both"/>
            <w:rPr>
              <w:rFonts w:ascii="Arial" w:hAnsi="Arial" w:cs="Arial"/>
              <w:noProof/>
            </w:rPr>
          </w:pPr>
          <w:hyperlink w:anchor="_Toc226464023" w:history="1">
            <w:r w:rsidRPr="006415DB">
              <w:rPr>
                <w:rStyle w:val="Hyperlink"/>
                <w:rFonts w:ascii="Arial" w:hAnsi="Arial" w:cs="Arial"/>
                <w:noProof/>
              </w:rPr>
              <w:t>6.4 Continuous learning and stakeholder engagement</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_Toc226464023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15</w:t>
            </w:r>
            <w:r w:rsidRPr="006415DB">
              <w:rPr>
                <w:rFonts w:ascii="Arial" w:hAnsi="Arial" w:cs="Arial"/>
                <w:noProof/>
                <w:webHidden/>
              </w:rPr>
              <w:fldChar w:fldCharType="end"/>
            </w:r>
          </w:hyperlink>
        </w:p>
        <w:p w14:paraId="5F87BF82" w14:textId="5C8940A9" w:rsidR="006415DB" w:rsidRPr="006415DB" w:rsidRDefault="006415DB" w:rsidP="006415DB">
          <w:pPr>
            <w:pStyle w:val="TOC1"/>
            <w:tabs>
              <w:tab w:val="right" w:leader="dot" w:pos="9016"/>
            </w:tabs>
            <w:spacing w:line="360" w:lineRule="auto"/>
            <w:jc w:val="both"/>
            <w:rPr>
              <w:rFonts w:ascii="Arial" w:hAnsi="Arial" w:cs="Arial"/>
              <w:noProof/>
            </w:rPr>
          </w:pPr>
          <w:hyperlink w:anchor="_Toc226464024" w:history="1">
            <w:r w:rsidRPr="006415DB">
              <w:rPr>
                <w:rStyle w:val="Hyperlink"/>
                <w:rFonts w:ascii="Arial" w:hAnsi="Arial" w:cs="Arial"/>
                <w:noProof/>
              </w:rPr>
              <w:t>7. Conclusion</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_Toc226464024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15</w:t>
            </w:r>
            <w:r w:rsidRPr="006415DB">
              <w:rPr>
                <w:rFonts w:ascii="Arial" w:hAnsi="Arial" w:cs="Arial"/>
                <w:noProof/>
                <w:webHidden/>
              </w:rPr>
              <w:fldChar w:fldCharType="end"/>
            </w:r>
          </w:hyperlink>
        </w:p>
        <w:p w14:paraId="75CAB644" w14:textId="7C9B0447" w:rsidR="006415DB" w:rsidRPr="006415DB" w:rsidRDefault="006415DB" w:rsidP="006415DB">
          <w:pPr>
            <w:pStyle w:val="TOC2"/>
            <w:tabs>
              <w:tab w:val="right" w:leader="dot" w:pos="9016"/>
            </w:tabs>
            <w:spacing w:line="360" w:lineRule="auto"/>
            <w:jc w:val="both"/>
            <w:rPr>
              <w:rFonts w:ascii="Arial" w:hAnsi="Arial" w:cs="Arial"/>
              <w:noProof/>
            </w:rPr>
          </w:pPr>
          <w:hyperlink w:anchor="_Toc226464025" w:history="1">
            <w:r w:rsidRPr="006415DB">
              <w:rPr>
                <w:rStyle w:val="Hyperlink"/>
                <w:rFonts w:ascii="Arial" w:hAnsi="Arial" w:cs="Arial"/>
                <w:noProof/>
              </w:rPr>
              <w:t>7.1 Summary of findings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_Toc226464025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15</w:t>
            </w:r>
            <w:r w:rsidRPr="006415DB">
              <w:rPr>
                <w:rFonts w:ascii="Arial" w:hAnsi="Arial" w:cs="Arial"/>
                <w:noProof/>
                <w:webHidden/>
              </w:rPr>
              <w:fldChar w:fldCharType="end"/>
            </w:r>
          </w:hyperlink>
        </w:p>
        <w:p w14:paraId="7CBF38F3" w14:textId="6224A1CA" w:rsidR="006415DB" w:rsidRPr="006415DB" w:rsidRDefault="006415DB" w:rsidP="006415DB">
          <w:pPr>
            <w:pStyle w:val="TOC2"/>
            <w:tabs>
              <w:tab w:val="right" w:leader="dot" w:pos="9016"/>
            </w:tabs>
            <w:spacing w:line="360" w:lineRule="auto"/>
            <w:jc w:val="both"/>
            <w:rPr>
              <w:rFonts w:ascii="Arial" w:hAnsi="Arial" w:cs="Arial"/>
              <w:noProof/>
            </w:rPr>
          </w:pPr>
          <w:hyperlink w:anchor="_Toc226464026" w:history="1">
            <w:r w:rsidRPr="006415DB">
              <w:rPr>
                <w:rStyle w:val="Hyperlink"/>
                <w:rFonts w:ascii="Arial" w:hAnsi="Arial" w:cs="Arial"/>
                <w:noProof/>
              </w:rPr>
              <w:t>7.2 Final conclusion on leadership, governance, and systems thinking</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_Toc226464026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16</w:t>
            </w:r>
            <w:r w:rsidRPr="006415DB">
              <w:rPr>
                <w:rFonts w:ascii="Arial" w:hAnsi="Arial" w:cs="Arial"/>
                <w:noProof/>
                <w:webHidden/>
              </w:rPr>
              <w:fldChar w:fldCharType="end"/>
            </w:r>
          </w:hyperlink>
        </w:p>
        <w:p w14:paraId="4EF8B1D8" w14:textId="34B2A371" w:rsidR="006415DB" w:rsidRPr="006415DB" w:rsidRDefault="006415DB" w:rsidP="006415DB">
          <w:pPr>
            <w:pStyle w:val="TOC1"/>
            <w:tabs>
              <w:tab w:val="right" w:leader="dot" w:pos="9016"/>
            </w:tabs>
            <w:spacing w:line="360" w:lineRule="auto"/>
            <w:jc w:val="both"/>
            <w:rPr>
              <w:rFonts w:ascii="Arial" w:hAnsi="Arial" w:cs="Arial"/>
              <w:noProof/>
            </w:rPr>
          </w:pPr>
          <w:hyperlink w:anchor="_Toc226464027" w:history="1">
            <w:r w:rsidRPr="006415DB">
              <w:rPr>
                <w:rStyle w:val="Hyperlink"/>
                <w:rFonts w:ascii="Arial" w:hAnsi="Arial" w:cs="Arial"/>
                <w:noProof/>
              </w:rPr>
              <w:t>References</w:t>
            </w:r>
            <w:r w:rsidRPr="006415DB">
              <w:rPr>
                <w:rFonts w:ascii="Arial" w:hAnsi="Arial" w:cs="Arial"/>
                <w:noProof/>
                <w:webHidden/>
              </w:rPr>
              <w:tab/>
            </w:r>
            <w:r w:rsidRPr="006415DB">
              <w:rPr>
                <w:rFonts w:ascii="Arial" w:hAnsi="Arial" w:cs="Arial"/>
                <w:noProof/>
                <w:webHidden/>
              </w:rPr>
              <w:fldChar w:fldCharType="begin"/>
            </w:r>
            <w:r w:rsidRPr="006415DB">
              <w:rPr>
                <w:rFonts w:ascii="Arial" w:hAnsi="Arial" w:cs="Arial"/>
                <w:noProof/>
                <w:webHidden/>
              </w:rPr>
              <w:instrText xml:space="preserve"> PAGEREF _Toc226464027 \h </w:instrText>
            </w:r>
            <w:r w:rsidRPr="006415DB">
              <w:rPr>
                <w:rFonts w:ascii="Arial" w:hAnsi="Arial" w:cs="Arial"/>
                <w:noProof/>
                <w:webHidden/>
              </w:rPr>
            </w:r>
            <w:r w:rsidRPr="006415DB">
              <w:rPr>
                <w:rFonts w:ascii="Arial" w:hAnsi="Arial" w:cs="Arial"/>
                <w:noProof/>
                <w:webHidden/>
              </w:rPr>
              <w:fldChar w:fldCharType="separate"/>
            </w:r>
            <w:r w:rsidR="0008126A">
              <w:rPr>
                <w:rFonts w:ascii="Arial" w:hAnsi="Arial" w:cs="Arial"/>
                <w:noProof/>
                <w:webHidden/>
              </w:rPr>
              <w:t>17</w:t>
            </w:r>
            <w:r w:rsidRPr="006415DB">
              <w:rPr>
                <w:rFonts w:ascii="Arial" w:hAnsi="Arial" w:cs="Arial"/>
                <w:noProof/>
                <w:webHidden/>
              </w:rPr>
              <w:fldChar w:fldCharType="end"/>
            </w:r>
          </w:hyperlink>
        </w:p>
        <w:p w14:paraId="35CB9724" w14:textId="77777777" w:rsidR="006415DB" w:rsidRDefault="006415DB" w:rsidP="006415DB">
          <w:pPr>
            <w:spacing w:line="360" w:lineRule="auto"/>
            <w:jc w:val="both"/>
          </w:pPr>
          <w:r w:rsidRPr="006415DB">
            <w:rPr>
              <w:rFonts w:ascii="Arial" w:hAnsi="Arial" w:cs="Arial"/>
              <w:b/>
              <w:bCs/>
              <w:noProof/>
            </w:rPr>
            <w:fldChar w:fldCharType="end"/>
          </w:r>
        </w:p>
      </w:sdtContent>
    </w:sdt>
    <w:p w14:paraId="5E721A97" w14:textId="77777777" w:rsidR="006E6809" w:rsidRPr="00736C24" w:rsidRDefault="006E6809" w:rsidP="006E6809">
      <w:pPr>
        <w:spacing w:line="360" w:lineRule="auto"/>
        <w:jc w:val="center"/>
        <w:rPr>
          <w:rFonts w:ascii="Arial" w:hAnsi="Arial" w:cs="Arial"/>
          <w:b/>
          <w:bCs/>
          <w:sz w:val="32"/>
          <w:lang w:val="en-IN"/>
        </w:rPr>
      </w:pPr>
    </w:p>
    <w:p w14:paraId="5A72FCE1" w14:textId="77777777" w:rsidR="006E6809" w:rsidRPr="00736C24" w:rsidRDefault="006E6809">
      <w:pPr>
        <w:rPr>
          <w:rFonts w:ascii="Arial" w:hAnsi="Arial" w:cs="Arial"/>
          <w:b/>
          <w:bCs/>
          <w:sz w:val="24"/>
          <w:lang w:val="en-IN"/>
        </w:rPr>
      </w:pPr>
      <w:r w:rsidRPr="00736C24">
        <w:rPr>
          <w:rFonts w:ascii="Arial" w:hAnsi="Arial" w:cs="Arial"/>
          <w:b/>
          <w:bCs/>
          <w:sz w:val="24"/>
          <w:lang w:val="en-IN"/>
        </w:rPr>
        <w:br w:type="page"/>
      </w:r>
    </w:p>
    <w:p w14:paraId="0C64E27E" w14:textId="23D3383F" w:rsidR="00D66D62" w:rsidRDefault="00D66D62" w:rsidP="00D66D62">
      <w:pPr>
        <w:spacing w:after="0" w:line="360" w:lineRule="auto"/>
        <w:jc w:val="both"/>
        <w:rPr>
          <w:rFonts w:ascii="Arial" w:hAnsi="Arial" w:cs="Arial"/>
          <w:lang w:val="en-IN"/>
        </w:rPr>
      </w:pPr>
      <w:r w:rsidRPr="00D66D62">
        <w:rPr>
          <w:rFonts w:ascii="Arial" w:hAnsi="Arial" w:cs="Arial"/>
          <w:lang w:val="en-IN"/>
        </w:rPr>
        <w:lastRenderedPageBreak/>
        <w:t>1. Introduction</w:t>
      </w:r>
    </w:p>
    <w:p w14:paraId="4687E7F6" w14:textId="33422A7E" w:rsidR="00D66D62" w:rsidRPr="00D66D62" w:rsidRDefault="00D66D62" w:rsidP="00C04E3C">
      <w:pPr>
        <w:rPr>
          <w:lang w:val="en-IN"/>
        </w:rPr>
      </w:pPr>
      <w:r w:rsidRPr="00D66D62">
        <w:rPr>
          <w:lang w:val="en-IN"/>
        </w:rPr>
        <w:t>1.1 Background and Purpose of the Case</w:t>
      </w:r>
    </w:p>
    <w:p w14:paraId="3334B78B" w14:textId="77777777" w:rsidR="00DE6652" w:rsidRDefault="00D66D62" w:rsidP="00D66D62">
      <w:pPr>
        <w:spacing w:after="0" w:line="360" w:lineRule="auto"/>
        <w:jc w:val="both"/>
        <w:rPr>
          <w:rFonts w:ascii="Arial" w:hAnsi="Arial" w:cs="Arial"/>
          <w:lang w:val="en-IN"/>
        </w:rPr>
      </w:pPr>
      <w:r w:rsidRPr="00D66D62">
        <w:rPr>
          <w:rFonts w:ascii="Arial" w:hAnsi="Arial" w:cs="Arial"/>
          <w:lang w:val="en-IN"/>
        </w:rPr>
        <w:t xml:space="preserve">Sickle Cell Disease (SCD) is a hereditary haemoglobin disorder characterised by abnormal </w:t>
      </w:r>
    </w:p>
    <w:p w14:paraId="66DA9A56" w14:textId="1729A1E6" w:rsidR="00D66D62" w:rsidRPr="00D66D62" w:rsidRDefault="00D66D62" w:rsidP="00D66D62">
      <w:pPr>
        <w:spacing w:after="0" w:line="360" w:lineRule="auto"/>
        <w:jc w:val="both"/>
        <w:rPr>
          <w:rFonts w:ascii="Arial" w:hAnsi="Arial" w:cs="Arial"/>
          <w:lang w:val="en-IN"/>
        </w:rPr>
      </w:pPr>
      <w:r w:rsidRPr="00D66D62">
        <w:rPr>
          <w:rFonts w:ascii="Arial" w:hAnsi="Arial" w:cs="Arial"/>
          <w:lang w:val="en-IN"/>
        </w:rPr>
        <w:t xml:space="preserve">haemoglobin S, resulting in distorted red blood cells that impair oxygen transport and lead to complications such as </w:t>
      </w:r>
      <w:proofErr w:type="spellStart"/>
      <w:r w:rsidRPr="00D66D62">
        <w:rPr>
          <w:rFonts w:ascii="Arial" w:hAnsi="Arial" w:cs="Arial"/>
          <w:lang w:val="en-IN"/>
        </w:rPr>
        <w:t>vaso</w:t>
      </w:r>
      <w:proofErr w:type="spellEnd"/>
      <w:r w:rsidRPr="00D66D62">
        <w:rPr>
          <w:rFonts w:ascii="Arial" w:hAnsi="Arial" w:cs="Arial"/>
          <w:lang w:val="en-IN"/>
        </w:rPr>
        <w:t>-occlusion, infection, and anaemia. Although widely recognised, early diagnosis in infancy remains a challenge, particularly in low-resource settings.</w:t>
      </w:r>
    </w:p>
    <w:p w14:paraId="78FA3EA5" w14:textId="77777777" w:rsidR="00D66D62" w:rsidRDefault="00D66D62" w:rsidP="00D66D62">
      <w:pPr>
        <w:spacing w:after="0" w:line="360" w:lineRule="auto"/>
        <w:jc w:val="both"/>
        <w:rPr>
          <w:rFonts w:ascii="Arial" w:hAnsi="Arial" w:cs="Arial"/>
          <w:lang w:val="en-IN"/>
        </w:rPr>
      </w:pPr>
    </w:p>
    <w:p w14:paraId="6B5FCA81" w14:textId="51A9C513" w:rsidR="00D66D62" w:rsidRPr="00D66D62" w:rsidRDefault="00D66D62" w:rsidP="00D66D62">
      <w:pPr>
        <w:spacing w:after="0" w:line="360" w:lineRule="auto"/>
        <w:jc w:val="both"/>
        <w:rPr>
          <w:rFonts w:ascii="Arial" w:hAnsi="Arial" w:cs="Arial"/>
          <w:lang w:val="en-IN"/>
        </w:rPr>
      </w:pPr>
      <w:r w:rsidRPr="00D66D62">
        <w:rPr>
          <w:rFonts w:ascii="Arial" w:hAnsi="Arial" w:cs="Arial"/>
          <w:lang w:val="en-IN"/>
        </w:rPr>
        <w:t xml:space="preserve">In this case, the infant was diagnosed at 10 weeks of age, which is earlier than the typical onset of symptoms following the decline of </w:t>
      </w:r>
      <w:proofErr w:type="spellStart"/>
      <w:r w:rsidRPr="00D66D62">
        <w:rPr>
          <w:rFonts w:ascii="Arial" w:hAnsi="Arial" w:cs="Arial"/>
          <w:lang w:val="en-IN"/>
        </w:rPr>
        <w:t>fetal</w:t>
      </w:r>
      <w:proofErr w:type="spellEnd"/>
      <w:r w:rsidRPr="00D66D62">
        <w:rPr>
          <w:rFonts w:ascii="Arial" w:hAnsi="Arial" w:cs="Arial"/>
          <w:lang w:val="en-IN"/>
        </w:rPr>
        <w:t xml:space="preserve"> haemoglobin. This highlights a critical gap in early detection systems, where reliance on expected disease timelines may delay diagnosis. Globally, the burden of SCD has increased significantly, with approximately 7.74 million people affected in 2021, representing a 41.4% rise since 2000 (Thomson et al., 2023). Furthermore, over 500,000 children are born annually with SCD, with the majority of cases occurring in sub-Saharan Africa (Thomson et al., 2023).</w:t>
      </w:r>
    </w:p>
    <w:p w14:paraId="6D8991C3" w14:textId="77777777" w:rsidR="00D66D62" w:rsidRDefault="00D66D62" w:rsidP="00D66D62">
      <w:pPr>
        <w:spacing w:after="0" w:line="360" w:lineRule="auto"/>
        <w:jc w:val="both"/>
        <w:rPr>
          <w:rFonts w:ascii="Arial" w:hAnsi="Arial" w:cs="Arial"/>
          <w:lang w:val="en-IN"/>
        </w:rPr>
      </w:pPr>
    </w:p>
    <w:p w14:paraId="155F0571" w14:textId="42DD1A61" w:rsidR="007270DD" w:rsidRDefault="00D66D62" w:rsidP="00812AD4">
      <w:pPr>
        <w:spacing w:after="0" w:line="360" w:lineRule="auto"/>
        <w:jc w:val="both"/>
        <w:rPr>
          <w:rFonts w:ascii="Arial" w:hAnsi="Arial" w:cs="Arial"/>
          <w:lang w:val="en-IN"/>
        </w:rPr>
      </w:pPr>
      <w:r w:rsidRPr="00D66D62">
        <w:rPr>
          <w:rFonts w:ascii="Arial" w:hAnsi="Arial" w:cs="Arial"/>
          <w:lang w:val="en-IN"/>
        </w:rPr>
        <w:t>This case therefore provides an opportunity to examine not only clinical challenges but also systemic failures in leadership, governance, and healthcare design that contribute to delayed diagnosis and poor outcomes.</w:t>
      </w:r>
    </w:p>
    <w:p w14:paraId="46D8BA3A" w14:textId="77777777" w:rsidR="00D66D62" w:rsidRDefault="00D66D62" w:rsidP="00812AD4">
      <w:pPr>
        <w:spacing w:after="0" w:line="360" w:lineRule="auto"/>
        <w:jc w:val="both"/>
        <w:rPr>
          <w:rFonts w:ascii="Arial" w:hAnsi="Arial" w:cs="Arial"/>
          <w:lang w:val="en-IN"/>
        </w:rPr>
      </w:pPr>
    </w:p>
    <w:p w14:paraId="0270D595" w14:textId="77777777" w:rsidR="00AB2116" w:rsidRPr="00AB2116" w:rsidRDefault="00AB2116" w:rsidP="00AB2116">
      <w:pPr>
        <w:spacing w:after="0" w:line="360" w:lineRule="auto"/>
        <w:jc w:val="both"/>
        <w:rPr>
          <w:rFonts w:ascii="Arial" w:hAnsi="Arial" w:cs="Arial"/>
          <w:b/>
          <w:bCs/>
          <w:lang w:val="en-IN"/>
        </w:rPr>
      </w:pPr>
      <w:r w:rsidRPr="00AB2116">
        <w:rPr>
          <w:rFonts w:ascii="Arial" w:hAnsi="Arial" w:cs="Arial"/>
          <w:b/>
          <w:bCs/>
          <w:lang w:val="en-IN"/>
        </w:rPr>
        <w:t>1.2 Leadership in Health and Social Care</w:t>
      </w:r>
    </w:p>
    <w:p w14:paraId="3DBE6023" w14:textId="77777777" w:rsidR="00AB2116" w:rsidRDefault="00AB2116" w:rsidP="00AB2116">
      <w:pPr>
        <w:spacing w:after="0" w:line="360" w:lineRule="auto"/>
        <w:jc w:val="both"/>
        <w:rPr>
          <w:rFonts w:ascii="Arial" w:hAnsi="Arial" w:cs="Arial"/>
          <w:lang w:val="en-IN"/>
        </w:rPr>
      </w:pPr>
      <w:r w:rsidRPr="00AB2116">
        <w:rPr>
          <w:rFonts w:ascii="Arial" w:hAnsi="Arial" w:cs="Arial"/>
          <w:lang w:val="en-IN"/>
        </w:rPr>
        <w:t>Leadership in health and social care extends beyond traditional notions of authority and hierarchy. It encompasses the ability to influence individuals and teams, allocate resources effectively, foster collaboration, and ensure the delivery of safe, high-quality care. Effective leadership is particularly critical in complex healthcare environments, where uncertainty, resource constraints, and interprofessional dependencies are common.</w:t>
      </w:r>
    </w:p>
    <w:p w14:paraId="023B0027" w14:textId="77777777" w:rsidR="00AB2116" w:rsidRPr="00AB2116" w:rsidRDefault="00AB2116" w:rsidP="00AB2116">
      <w:pPr>
        <w:spacing w:after="0" w:line="360" w:lineRule="auto"/>
        <w:jc w:val="both"/>
        <w:rPr>
          <w:rFonts w:ascii="Arial" w:hAnsi="Arial" w:cs="Arial"/>
          <w:lang w:val="en-IN"/>
        </w:rPr>
      </w:pPr>
    </w:p>
    <w:p w14:paraId="4B7B0299" w14:textId="1C70C2AC" w:rsidR="00AB2116" w:rsidRDefault="00AB2116" w:rsidP="00AB2116">
      <w:pPr>
        <w:spacing w:after="0" w:line="360" w:lineRule="auto"/>
        <w:jc w:val="both"/>
        <w:rPr>
          <w:rFonts w:ascii="Arial" w:hAnsi="Arial" w:cs="Arial"/>
          <w:lang w:val="en-IN"/>
        </w:rPr>
      </w:pPr>
      <w:r w:rsidRPr="00AB2116">
        <w:rPr>
          <w:rFonts w:ascii="Arial" w:hAnsi="Arial" w:cs="Arial"/>
          <w:lang w:val="en-IN"/>
        </w:rPr>
        <w:t xml:space="preserve">In practice, leadership shapes organisational culture, staff motivation, communication patterns, and ultimately patient outcomes. Studies indicate that healthcare workers’ satisfaction and performance are strongly associated with leadership support. For example, </w:t>
      </w:r>
      <w:r w:rsidR="006D43EB">
        <w:rPr>
          <w:rFonts w:ascii="Arial" w:hAnsi="Arial" w:cs="Arial"/>
          <w:lang w:val="en-IN"/>
        </w:rPr>
        <w:t>(</w:t>
      </w:r>
      <w:r w:rsidR="006D43EB" w:rsidRPr="006D43EB">
        <w:rPr>
          <w:rFonts w:ascii="Arial" w:hAnsi="Arial" w:cs="Arial"/>
        </w:rPr>
        <w:t>Zhao et al. 2024)</w:t>
      </w:r>
      <w:r w:rsidR="006D43EB">
        <w:rPr>
          <w:rFonts w:ascii="Arial" w:hAnsi="Arial" w:cs="Arial"/>
        </w:rPr>
        <w:t xml:space="preserve"> </w:t>
      </w:r>
      <w:r w:rsidRPr="00AB2116">
        <w:rPr>
          <w:rFonts w:ascii="Arial" w:hAnsi="Arial" w:cs="Arial"/>
          <w:lang w:val="en-IN"/>
        </w:rPr>
        <w:t>research has shown that over 70% of healthcare workers report higher satisfaction levels when leadership is perceived as supportive and responsive. This has direct implications for patient care, as motivated and engaged staff are more likely to identify risks early, communicate effectively, and follow best practices.</w:t>
      </w:r>
    </w:p>
    <w:p w14:paraId="018F0258" w14:textId="77777777" w:rsidR="00AB2116" w:rsidRPr="00AB2116" w:rsidRDefault="00AB2116" w:rsidP="00AB2116">
      <w:pPr>
        <w:spacing w:after="0" w:line="360" w:lineRule="auto"/>
        <w:jc w:val="both"/>
        <w:rPr>
          <w:rFonts w:ascii="Arial" w:hAnsi="Arial" w:cs="Arial"/>
          <w:lang w:val="en-IN"/>
        </w:rPr>
      </w:pPr>
    </w:p>
    <w:p w14:paraId="491F76EE" w14:textId="77777777" w:rsidR="00AB2116" w:rsidRDefault="00AB2116" w:rsidP="00AB2116">
      <w:pPr>
        <w:spacing w:after="0" w:line="360" w:lineRule="auto"/>
        <w:jc w:val="both"/>
        <w:rPr>
          <w:rFonts w:ascii="Arial" w:hAnsi="Arial" w:cs="Arial"/>
          <w:lang w:val="en-IN"/>
        </w:rPr>
      </w:pPr>
      <w:r w:rsidRPr="00AB2116">
        <w:rPr>
          <w:rFonts w:ascii="Arial" w:hAnsi="Arial" w:cs="Arial"/>
          <w:lang w:val="en-IN"/>
        </w:rPr>
        <w:t xml:space="preserve">In the context of this case, leadership is not merely about clinical decision-making at the tertiary level. Instead, it involves the capacity of the entire system—from community health </w:t>
      </w:r>
      <w:r w:rsidRPr="00AB2116">
        <w:rPr>
          <w:rFonts w:ascii="Arial" w:hAnsi="Arial" w:cs="Arial"/>
          <w:lang w:val="en-IN"/>
        </w:rPr>
        <w:lastRenderedPageBreak/>
        <w:t>workers to primary care providers—to recognise early signs of SCD, initiate appropriate referrals, and coordinate care seamlessly. Leadership must therefore be distributed across the system, enabling frontline staff to act confidently and decisively.</w:t>
      </w:r>
    </w:p>
    <w:p w14:paraId="1553631A" w14:textId="77777777" w:rsidR="00AB2116" w:rsidRPr="00AB2116" w:rsidRDefault="00AB2116" w:rsidP="00AB2116">
      <w:pPr>
        <w:spacing w:after="0" w:line="360" w:lineRule="auto"/>
        <w:jc w:val="both"/>
        <w:rPr>
          <w:rFonts w:ascii="Arial" w:hAnsi="Arial" w:cs="Arial"/>
          <w:lang w:val="en-IN"/>
        </w:rPr>
      </w:pPr>
    </w:p>
    <w:p w14:paraId="57227003" w14:textId="77777777" w:rsidR="00AB2116" w:rsidRPr="00AB2116" w:rsidRDefault="00AB2116" w:rsidP="00AB2116">
      <w:pPr>
        <w:spacing w:after="0" w:line="360" w:lineRule="auto"/>
        <w:jc w:val="both"/>
        <w:rPr>
          <w:rFonts w:ascii="Arial" w:hAnsi="Arial" w:cs="Arial"/>
          <w:lang w:val="en-IN"/>
        </w:rPr>
      </w:pPr>
      <w:r w:rsidRPr="00AB2116">
        <w:rPr>
          <w:rFonts w:ascii="Arial" w:hAnsi="Arial" w:cs="Arial"/>
          <w:lang w:val="en-IN"/>
        </w:rPr>
        <w:t>Furthermore, ineffective leadership can exacerbate system failures. Poor communication, lack of accountability, and inadequate support structures can result in delayed diagnosis, fragmented care, and repeated hospital admissions. In this case, the delayed recognition of SCD reflects not only clinical oversight but also leadership gaps in training, coordination, and system responsiveness.</w:t>
      </w:r>
    </w:p>
    <w:p w14:paraId="2291D545" w14:textId="77777777" w:rsidR="00AB2116" w:rsidRPr="00713F97" w:rsidRDefault="00AB2116" w:rsidP="00812AD4">
      <w:pPr>
        <w:spacing w:after="0" w:line="360" w:lineRule="auto"/>
        <w:jc w:val="both"/>
        <w:rPr>
          <w:rFonts w:ascii="Arial" w:hAnsi="Arial" w:cs="Arial"/>
          <w:lang w:val="en-IN"/>
        </w:rPr>
      </w:pPr>
    </w:p>
    <w:p w14:paraId="2E4BB4B4" w14:textId="77777777" w:rsidR="00713F97" w:rsidRPr="00713F97" w:rsidRDefault="00713F97" w:rsidP="006415DB">
      <w:pPr>
        <w:pStyle w:val="Heading2"/>
      </w:pPr>
      <w:bookmarkStart w:id="0" w:name="_Toc226463998"/>
      <w:r w:rsidRPr="00713F97">
        <w:t>1.4 Why leadership matters in change and crisis</w:t>
      </w:r>
      <w:bookmarkEnd w:id="0"/>
      <w:r w:rsidRPr="00713F97">
        <w:t xml:space="preserve"> </w:t>
      </w:r>
    </w:p>
    <w:p w14:paraId="29601E5B" w14:textId="77777777" w:rsidR="006E6809" w:rsidRPr="00736C24" w:rsidRDefault="00442A88" w:rsidP="00812AD4">
      <w:pPr>
        <w:spacing w:after="0" w:line="360" w:lineRule="auto"/>
        <w:jc w:val="both"/>
        <w:rPr>
          <w:rFonts w:ascii="Arial" w:hAnsi="Arial" w:cs="Arial"/>
          <w:lang w:val="en-IN"/>
        </w:rPr>
      </w:pPr>
      <w:r w:rsidRPr="00442A88">
        <w:rPr>
          <w:rFonts w:ascii="Arial" w:hAnsi="Arial" w:cs="Arial"/>
        </w:rPr>
        <w:t>During the time of crisis, leadership is the most important aspect since personnel require guidance, trust and vision, and not orders. In a 2023 study among health professionals, the two leadership styles of transformational and transactional leadership had a significant impact on organisational readiness to change, where the two leadership styles found to influence the actual adoption of new practice by the teams (Mekonnen and Bayissa, 2023). In the context of SCD treatment, such distinction can be used to distinguish between reactive and proactive crisis management</w:t>
      </w:r>
      <w:r w:rsidR="00713F97" w:rsidRPr="00713F97">
        <w:rPr>
          <w:rFonts w:ascii="Arial" w:hAnsi="Arial" w:cs="Arial"/>
          <w:lang w:val="en-IN"/>
        </w:rPr>
        <w:t>.</w:t>
      </w:r>
    </w:p>
    <w:p w14:paraId="4C6658A7" w14:textId="77777777" w:rsidR="00A1329F" w:rsidRDefault="00A1329F" w:rsidP="006415DB">
      <w:pPr>
        <w:pStyle w:val="Heading1"/>
      </w:pPr>
      <w:bookmarkStart w:id="1" w:name="_Toc226463999"/>
    </w:p>
    <w:p w14:paraId="67794F0A" w14:textId="755EAED7" w:rsidR="006E6809" w:rsidRPr="00736C24" w:rsidRDefault="00736C24" w:rsidP="006415DB">
      <w:pPr>
        <w:pStyle w:val="Heading1"/>
      </w:pPr>
      <w:r w:rsidRPr="00736C24">
        <w:t>2</w:t>
      </w:r>
      <w:r w:rsidR="006E6809" w:rsidRPr="00736C24">
        <w:t>. Problem Identification and System Context</w:t>
      </w:r>
      <w:bookmarkEnd w:id="1"/>
      <w:r w:rsidR="006E6809" w:rsidRPr="00736C24">
        <w:t xml:space="preserve"> </w:t>
      </w:r>
    </w:p>
    <w:p w14:paraId="33DA2580" w14:textId="77777777" w:rsidR="00A336F1" w:rsidRPr="00A336F1" w:rsidRDefault="00A336F1" w:rsidP="006415DB">
      <w:pPr>
        <w:pStyle w:val="Heading2"/>
      </w:pPr>
      <w:bookmarkStart w:id="2" w:name="_Toc226464000"/>
      <w:r w:rsidRPr="00A336F1">
        <w:t>2.1 Case problem and clinical significance</w:t>
      </w:r>
      <w:bookmarkEnd w:id="2"/>
      <w:r w:rsidRPr="00A336F1">
        <w:t xml:space="preserve"> </w:t>
      </w:r>
    </w:p>
    <w:p w14:paraId="52DD646F" w14:textId="77777777" w:rsidR="00A336F1" w:rsidRPr="00A336F1" w:rsidRDefault="00442A88" w:rsidP="00812AD4">
      <w:pPr>
        <w:spacing w:after="0" w:line="360" w:lineRule="auto"/>
        <w:jc w:val="both"/>
        <w:rPr>
          <w:rFonts w:ascii="Arial" w:hAnsi="Arial" w:cs="Arial"/>
          <w:lang w:val="en-IN"/>
        </w:rPr>
      </w:pPr>
      <w:r w:rsidRPr="00442A88">
        <w:rPr>
          <w:rFonts w:ascii="Arial" w:hAnsi="Arial" w:cs="Arial"/>
        </w:rPr>
        <w:t>It is not merely that the baby was sick, but that SCD developed very young, and there were frequent debilitating anaemia, the risk of infection, and frequent admissions, demonstrating how fast a child can get on a downward spiral in the face of poor early recognition. Considering Africa, SCD has an incidence of 1-3 percent of newborns and has an etiological burden of 7-16 percent of under-five mortality, implying that it has a clinical significance and not an exceptional occurrence (</w:t>
      </w:r>
      <w:proofErr w:type="spellStart"/>
      <w:r w:rsidRPr="00442A88">
        <w:rPr>
          <w:rFonts w:ascii="Arial" w:hAnsi="Arial" w:cs="Arial"/>
        </w:rPr>
        <w:t>Amuzu</w:t>
      </w:r>
      <w:proofErr w:type="spellEnd"/>
      <w:r w:rsidRPr="00442A88">
        <w:rPr>
          <w:rFonts w:ascii="Arial" w:hAnsi="Arial" w:cs="Arial"/>
        </w:rPr>
        <w:t xml:space="preserve"> </w:t>
      </w:r>
      <w:r w:rsidR="00245EB7" w:rsidRPr="00245EB7">
        <w:rPr>
          <w:rFonts w:ascii="Arial" w:hAnsi="Arial" w:cs="Arial"/>
          <w:i/>
        </w:rPr>
        <w:t>et al.</w:t>
      </w:r>
      <w:r w:rsidRPr="00442A88">
        <w:rPr>
          <w:rFonts w:ascii="Arial" w:hAnsi="Arial" w:cs="Arial"/>
        </w:rPr>
        <w:t xml:space="preserve"> 2025). Importantly, the case demonstrates that even typical age of presentation is not a safe practice: a health system, which presupposes that SCD will always manifest itself later on, is already not taking care of its infants most at risk</w:t>
      </w:r>
      <w:r w:rsidR="00A336F1" w:rsidRPr="00A336F1">
        <w:rPr>
          <w:rFonts w:ascii="Arial" w:hAnsi="Arial" w:cs="Arial"/>
          <w:lang w:val="en-IN"/>
        </w:rPr>
        <w:t>.</w:t>
      </w:r>
    </w:p>
    <w:p w14:paraId="64964EEC" w14:textId="77777777" w:rsidR="00A1329F" w:rsidRDefault="00A1329F" w:rsidP="006415DB">
      <w:pPr>
        <w:pStyle w:val="Heading2"/>
      </w:pPr>
      <w:bookmarkStart w:id="3" w:name="_Toc226464001"/>
    </w:p>
    <w:p w14:paraId="1262D45D" w14:textId="36AEA254" w:rsidR="00A336F1" w:rsidRPr="00A336F1" w:rsidRDefault="00A336F1" w:rsidP="006415DB">
      <w:pPr>
        <w:pStyle w:val="Heading2"/>
      </w:pPr>
      <w:r w:rsidRPr="00A336F1">
        <w:t>2.2 Global, national, and local data on SCD</w:t>
      </w:r>
      <w:bookmarkEnd w:id="3"/>
      <w:r w:rsidRPr="00A336F1">
        <w:t xml:space="preserve"> </w:t>
      </w:r>
    </w:p>
    <w:p w14:paraId="7479A5AF" w14:textId="77777777" w:rsidR="00A336F1" w:rsidRPr="00A336F1" w:rsidRDefault="00442A88" w:rsidP="00812AD4">
      <w:pPr>
        <w:spacing w:after="0" w:line="360" w:lineRule="auto"/>
        <w:jc w:val="both"/>
        <w:rPr>
          <w:rFonts w:ascii="Arial" w:hAnsi="Arial" w:cs="Arial"/>
          <w:lang w:val="en-IN"/>
        </w:rPr>
      </w:pPr>
      <w:r w:rsidRPr="00442A88">
        <w:rPr>
          <w:rFonts w:ascii="Arial" w:hAnsi="Arial" w:cs="Arial"/>
        </w:rPr>
        <w:t xml:space="preserve">In sub-Saharan Africa alone, between 400,000 and 500,000 babies are born with SCD annually and over 75 percent of all SCD births in the world are in that region and where health-system capacity is usually lowest (Okeke </w:t>
      </w:r>
      <w:r w:rsidR="00245EB7" w:rsidRPr="00245EB7">
        <w:rPr>
          <w:rFonts w:ascii="Arial" w:hAnsi="Arial" w:cs="Arial"/>
          <w:i/>
        </w:rPr>
        <w:t>et al.</w:t>
      </w:r>
      <w:r w:rsidRPr="00442A88">
        <w:rPr>
          <w:rFonts w:ascii="Arial" w:hAnsi="Arial" w:cs="Arial"/>
        </w:rPr>
        <w:t xml:space="preserve"> 2024). According to the SHAZ registry, in Zambia, the size of the evidence gap and the effort to eliminate it is 1,796 participants, or 45 percent of 4,000 of the target population, which can be viewed as an indication that the </w:t>
      </w:r>
      <w:r w:rsidRPr="00442A88">
        <w:rPr>
          <w:rFonts w:ascii="Arial" w:hAnsi="Arial" w:cs="Arial"/>
        </w:rPr>
        <w:lastRenderedPageBreak/>
        <w:t xml:space="preserve">production of knowledge in the nation is only partially covered and highly dependent on several specialist locations (Kuona </w:t>
      </w:r>
      <w:r w:rsidR="00245EB7" w:rsidRPr="00245EB7">
        <w:rPr>
          <w:rFonts w:ascii="Arial" w:hAnsi="Arial" w:cs="Arial"/>
          <w:i/>
        </w:rPr>
        <w:t>et al.</w:t>
      </w:r>
      <w:r w:rsidRPr="00442A88">
        <w:rPr>
          <w:rFonts w:ascii="Arial" w:hAnsi="Arial" w:cs="Arial"/>
        </w:rPr>
        <w:t xml:space="preserve"> 2025). It is a governance issue, not any less of an epidemiological issue, since bad data constrains planning, budgetary and service design</w:t>
      </w:r>
      <w:r w:rsidR="00A336F1" w:rsidRPr="00A336F1">
        <w:rPr>
          <w:rFonts w:ascii="Arial" w:hAnsi="Arial" w:cs="Arial"/>
          <w:lang w:val="en-IN"/>
        </w:rPr>
        <w:t>.</w:t>
      </w:r>
    </w:p>
    <w:p w14:paraId="29B8AE61" w14:textId="77777777" w:rsidR="000C10D0" w:rsidRDefault="000C10D0" w:rsidP="006415DB">
      <w:pPr>
        <w:pStyle w:val="Heading2"/>
      </w:pPr>
      <w:bookmarkStart w:id="4" w:name="_Toc226464002"/>
    </w:p>
    <w:p w14:paraId="79D629B9" w14:textId="3DEF8B1D" w:rsidR="00A336F1" w:rsidRPr="00A336F1" w:rsidRDefault="00A336F1" w:rsidP="006415DB">
      <w:pPr>
        <w:pStyle w:val="Heading2"/>
      </w:pPr>
      <w:r w:rsidRPr="00A336F1">
        <w:t>2.3 System weaknesses, governance level, and underlying challenges</w:t>
      </w:r>
      <w:bookmarkEnd w:id="4"/>
      <w:r w:rsidRPr="00A336F1">
        <w:t xml:space="preserve"> </w:t>
      </w:r>
    </w:p>
    <w:p w14:paraId="280BA7DA" w14:textId="5D063F4E" w:rsidR="00B03E21" w:rsidRDefault="00442A88" w:rsidP="00812AD4">
      <w:pPr>
        <w:spacing w:after="0" w:line="360" w:lineRule="auto"/>
        <w:jc w:val="both"/>
        <w:rPr>
          <w:rFonts w:ascii="Arial" w:hAnsi="Arial" w:cs="Arial"/>
          <w:lang w:val="en-IN"/>
        </w:rPr>
      </w:pPr>
      <w:r w:rsidRPr="00442A88">
        <w:rPr>
          <w:rFonts w:ascii="Arial" w:hAnsi="Arial" w:cs="Arial"/>
        </w:rPr>
        <w:t xml:space="preserve">As revealed in the case, there is a system where frontline care is supposed to identify a complex inherited disorder with inadequate diagnostic support. PEN-Plus initiation was assessed with a baseline of 2025 and conducted a confirmatory test of sickle cell disease and found that, in sickle-cell-prone areas, 5 of 13 hospitals, or 38 percent, could confirm the diagnosis where children first presented themselves, indicating that most lower-level facilities were unable to confirm the diagnosis where it first appears (Boudreaux </w:t>
      </w:r>
      <w:r w:rsidR="00245EB7" w:rsidRPr="00245EB7">
        <w:rPr>
          <w:rFonts w:ascii="Arial" w:hAnsi="Arial" w:cs="Arial"/>
          <w:i/>
        </w:rPr>
        <w:t>et al.</w:t>
      </w:r>
      <w:r w:rsidRPr="00442A88">
        <w:rPr>
          <w:rFonts w:ascii="Arial" w:hAnsi="Arial" w:cs="Arial"/>
        </w:rPr>
        <w:t xml:space="preserve"> 202</w:t>
      </w:r>
      <w:r w:rsidR="00247C47">
        <w:rPr>
          <w:rFonts w:ascii="Arial" w:hAnsi="Arial" w:cs="Arial"/>
        </w:rPr>
        <w:t>5)</w:t>
      </w:r>
      <w:r w:rsidRPr="00442A88">
        <w:rPr>
          <w:rFonts w:ascii="Arial" w:hAnsi="Arial" w:cs="Arial"/>
        </w:rPr>
        <w:t xml:space="preserve"> Such a weakness lies at the border between local and national governance: local personnel might be observing the symptoms, but in case policy, procurement, and referral channels are not in sync, they will not be able to intervene in time. This leads to foreseeable delay, frequent re-hospitalisation and excessive reliance on tertiary care</w:t>
      </w:r>
      <w:r w:rsidR="00A336F1" w:rsidRPr="00A336F1">
        <w:rPr>
          <w:rFonts w:ascii="Arial" w:hAnsi="Arial" w:cs="Arial"/>
          <w:lang w:val="en-IN"/>
        </w:rPr>
        <w:t>.</w:t>
      </w:r>
    </w:p>
    <w:p w14:paraId="6E6B259F" w14:textId="77777777" w:rsidR="000C10D0" w:rsidRDefault="000C10D0" w:rsidP="006415DB">
      <w:pPr>
        <w:pStyle w:val="Heading2"/>
      </w:pPr>
      <w:bookmarkStart w:id="5" w:name="_Toc226464003"/>
    </w:p>
    <w:p w14:paraId="62332398" w14:textId="2D0686B9" w:rsidR="006E6809" w:rsidRPr="00B03E21" w:rsidRDefault="006E6809" w:rsidP="006415DB">
      <w:pPr>
        <w:pStyle w:val="Heading2"/>
      </w:pPr>
      <w:r w:rsidRPr="00B03E21">
        <w:t>2.4 Rich picture and systems thinking analysis</w:t>
      </w:r>
      <w:bookmarkEnd w:id="5"/>
      <w:r w:rsidRPr="00B03E21">
        <w:t xml:space="preserve"> </w:t>
      </w:r>
    </w:p>
    <w:p w14:paraId="5EE97068" w14:textId="77777777" w:rsidR="00285108" w:rsidRDefault="00B03E21" w:rsidP="006415DB">
      <w:pPr>
        <w:spacing w:after="0" w:line="360" w:lineRule="auto"/>
        <w:jc w:val="center"/>
        <w:rPr>
          <w:rFonts w:ascii="Arial" w:hAnsi="Arial" w:cs="Arial"/>
          <w:lang w:val="en-IN"/>
        </w:rPr>
      </w:pPr>
      <w:r>
        <w:rPr>
          <w:rFonts w:ascii="Arial" w:hAnsi="Arial" w:cs="Arial"/>
          <w:noProof/>
          <w:lang w:val="en-IN"/>
        </w:rPr>
        <w:drawing>
          <wp:inline distT="0" distB="0" distL="0" distR="0" wp14:anchorId="7AE31BD0" wp14:editId="75AEF2BF">
            <wp:extent cx="5731510" cy="3927475"/>
            <wp:effectExtent l="19050" t="19050" r="2159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ch.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927475"/>
                    </a:xfrm>
                    <a:prstGeom prst="rect">
                      <a:avLst/>
                    </a:prstGeom>
                    <a:ln>
                      <a:solidFill>
                        <a:schemeClr val="tx1"/>
                      </a:solidFill>
                    </a:ln>
                  </pic:spPr>
                </pic:pic>
              </a:graphicData>
            </a:graphic>
          </wp:inline>
        </w:drawing>
      </w:r>
    </w:p>
    <w:p w14:paraId="3C8A3F17" w14:textId="77777777" w:rsidR="00245EB7" w:rsidRPr="00245EB7" w:rsidRDefault="00245EB7" w:rsidP="006415DB">
      <w:pPr>
        <w:spacing w:after="0" w:line="360" w:lineRule="auto"/>
        <w:jc w:val="center"/>
        <w:rPr>
          <w:rFonts w:ascii="Arial" w:hAnsi="Arial" w:cs="Arial"/>
          <w:b/>
          <w:lang w:val="en-IN"/>
        </w:rPr>
      </w:pPr>
      <w:r w:rsidRPr="00245EB7">
        <w:rPr>
          <w:rFonts w:ascii="Arial" w:hAnsi="Arial" w:cs="Arial"/>
          <w:b/>
          <w:lang w:val="en-IN"/>
        </w:rPr>
        <w:t>Figure 1: Rich Picture</w:t>
      </w:r>
    </w:p>
    <w:p w14:paraId="1EA3321E" w14:textId="77777777" w:rsidR="00245EB7" w:rsidRDefault="00245EB7" w:rsidP="006415DB">
      <w:pPr>
        <w:spacing w:after="0" w:line="360" w:lineRule="auto"/>
        <w:jc w:val="center"/>
        <w:rPr>
          <w:rFonts w:ascii="Arial" w:hAnsi="Arial" w:cs="Arial"/>
          <w:lang w:val="en-IN"/>
        </w:rPr>
      </w:pPr>
      <w:r>
        <w:rPr>
          <w:rFonts w:ascii="Arial" w:hAnsi="Arial" w:cs="Arial"/>
          <w:lang w:val="en-IN"/>
        </w:rPr>
        <w:t>(Source: Self-developed)</w:t>
      </w:r>
    </w:p>
    <w:p w14:paraId="75C67DCA" w14:textId="1180D249" w:rsidR="00B03E21" w:rsidRPr="00B03E21" w:rsidRDefault="000F2BC8" w:rsidP="00812AD4">
      <w:pPr>
        <w:spacing w:after="0" w:line="360" w:lineRule="auto"/>
        <w:jc w:val="both"/>
        <w:rPr>
          <w:rFonts w:ascii="Arial" w:hAnsi="Arial" w:cs="Arial"/>
          <w:lang w:val="en-IN"/>
        </w:rPr>
      </w:pPr>
      <w:r>
        <w:rPr>
          <w:rFonts w:ascii="Arial" w:hAnsi="Arial" w:cs="Arial"/>
        </w:rPr>
        <w:lastRenderedPageBreak/>
        <w:t xml:space="preserve">Figure-1 </w:t>
      </w:r>
      <w:r w:rsidR="00442A88" w:rsidRPr="00442A88">
        <w:rPr>
          <w:rFonts w:ascii="Arial" w:hAnsi="Arial" w:cs="Arial"/>
        </w:rPr>
        <w:t>indicates that the baby did not get in the given state due to one clinical failure, but rather due to the weak connection of the systems. Delayed seeking care at the community level is coupled with low levels of suspicion of SCD during primary care thus resulting to late referral and tertiary hospitals. This trend is supported by governance lapses, especially, a poor newborn screening system and poor diagnostic capacity. The support services like laboratories and blood banks are able to allow survival but not prevent recurrence. The feedback loop illustrates that a repetitive number of admissions causes strain on the system but it does not tackle any root causes. Comprehensively, the system is reactive as opposed to preventive with lack of integration between levels of care contributing to unnecessary deterioration</w:t>
      </w:r>
      <w:r w:rsidR="00B03E21" w:rsidRPr="00B03E21">
        <w:rPr>
          <w:rFonts w:ascii="Arial" w:hAnsi="Arial" w:cs="Arial"/>
          <w:lang w:val="en-IN"/>
        </w:rPr>
        <w:t>.</w:t>
      </w:r>
    </w:p>
    <w:p w14:paraId="4870A2D1" w14:textId="77777777" w:rsidR="002F3302" w:rsidRDefault="002F3302" w:rsidP="00812AD4">
      <w:pPr>
        <w:spacing w:after="0" w:line="360" w:lineRule="auto"/>
        <w:jc w:val="both"/>
        <w:rPr>
          <w:rFonts w:ascii="Arial" w:hAnsi="Arial" w:cs="Arial"/>
          <w:b/>
          <w:bCs/>
          <w:lang w:val="en-IN"/>
        </w:rPr>
      </w:pPr>
    </w:p>
    <w:p w14:paraId="5AD4A6DE" w14:textId="5D52B182" w:rsidR="00B03E21" w:rsidRPr="00B03E21" w:rsidRDefault="00B03E21" w:rsidP="00812AD4">
      <w:pPr>
        <w:spacing w:after="0" w:line="360" w:lineRule="auto"/>
        <w:jc w:val="both"/>
        <w:rPr>
          <w:rFonts w:ascii="Arial" w:hAnsi="Arial" w:cs="Arial"/>
          <w:b/>
          <w:bCs/>
          <w:lang w:val="en-IN"/>
        </w:rPr>
      </w:pPr>
      <w:r w:rsidRPr="00B03E21">
        <w:rPr>
          <w:rFonts w:ascii="Arial" w:hAnsi="Arial" w:cs="Arial"/>
          <w:b/>
          <w:bCs/>
          <w:lang w:val="en-IN"/>
        </w:rPr>
        <w:t>Systems Thinking Analysis</w:t>
      </w:r>
    </w:p>
    <w:p w14:paraId="2B126F7C" w14:textId="77777777" w:rsidR="00B03E21" w:rsidRPr="00736C24" w:rsidRDefault="00442A88" w:rsidP="00812AD4">
      <w:pPr>
        <w:spacing w:after="0" w:line="360" w:lineRule="auto"/>
        <w:jc w:val="both"/>
        <w:rPr>
          <w:rFonts w:ascii="Arial" w:hAnsi="Arial" w:cs="Arial"/>
          <w:lang w:val="en-IN"/>
        </w:rPr>
      </w:pPr>
      <w:r w:rsidRPr="00442A88">
        <w:rPr>
          <w:rFonts w:ascii="Arial" w:hAnsi="Arial" w:cs="Arial"/>
        </w:rPr>
        <w:t xml:space="preserve">The systems thinking approaches this case as a complex adaptive system in which results are a product of interactions between a number of actors as opposed to singular events. The healthcare systems are complicated by their nature, with the interrelationship between the components that constantly determine the behaviour and performance of the system (Wright, 2024). The relationships between community awareness, the ability to provide primary care, the ability to diagnose, and policies governing the community have a dynamic nature, which determines the outcome in this case. It has been demonstrated that 69 percent of health stakeholders use systems thinking in research and 57 percent in implementation, which means that it is increasingly becoming relevant in solving such complexity (Rocio </w:t>
      </w:r>
      <w:r w:rsidR="00245EB7" w:rsidRPr="00245EB7">
        <w:rPr>
          <w:rFonts w:ascii="Arial" w:hAnsi="Arial" w:cs="Arial"/>
          <w:i/>
        </w:rPr>
        <w:t>et al.</w:t>
      </w:r>
      <w:r w:rsidRPr="00442A88">
        <w:rPr>
          <w:rFonts w:ascii="Arial" w:hAnsi="Arial" w:cs="Arial"/>
        </w:rPr>
        <w:t xml:space="preserve"> 2023). Nonetheless, the disconnect on the levels in the system does not allow the concerted action and fortifies the cycles of reactive care over the lines of prevention. The recurrent admissions that can be observed in the case are a manifestation of the reinforcing feedback loops in which the failure to diagnose in a timely manner leads to an increase in the future demands to the tertiary services. An approach that focuses on systems would rather give priority to early screening, combined referral pathways and a continuous feedback mechanism that would break this cycle and enhance long term outcomes</w:t>
      </w:r>
      <w:r w:rsidR="00B03E21" w:rsidRPr="00B03E21">
        <w:rPr>
          <w:rFonts w:ascii="Arial" w:hAnsi="Arial" w:cs="Arial"/>
          <w:lang w:val="en-IN"/>
        </w:rPr>
        <w:t>.</w:t>
      </w:r>
    </w:p>
    <w:p w14:paraId="6E4DA6DA" w14:textId="77777777" w:rsidR="001870A0" w:rsidRDefault="001870A0" w:rsidP="006415DB">
      <w:pPr>
        <w:pStyle w:val="Heading1"/>
      </w:pPr>
      <w:bookmarkStart w:id="6" w:name="_Toc226464004"/>
    </w:p>
    <w:p w14:paraId="7D4BC3E8" w14:textId="777212F1" w:rsidR="006E6809" w:rsidRPr="00736C24" w:rsidRDefault="00736C24" w:rsidP="006415DB">
      <w:pPr>
        <w:pStyle w:val="Heading1"/>
      </w:pPr>
      <w:r w:rsidRPr="00736C24">
        <w:t>3</w:t>
      </w:r>
      <w:r w:rsidR="006E6809" w:rsidRPr="00736C24">
        <w:t>. Organisational Structure: Centralisation and Decentralisation</w:t>
      </w:r>
      <w:bookmarkEnd w:id="6"/>
      <w:r w:rsidR="006E6809" w:rsidRPr="00736C24">
        <w:t xml:space="preserve"> </w:t>
      </w:r>
    </w:p>
    <w:p w14:paraId="5EA78FA5" w14:textId="77777777" w:rsidR="00963A10" w:rsidRPr="00963A10" w:rsidRDefault="00963A10" w:rsidP="006415DB">
      <w:pPr>
        <w:pStyle w:val="Heading2"/>
      </w:pPr>
      <w:bookmarkStart w:id="7" w:name="_Toc226464005"/>
      <w:r w:rsidRPr="00963A10">
        <w:t>3.1 Structure of the care system in the case</w:t>
      </w:r>
      <w:bookmarkEnd w:id="7"/>
      <w:r w:rsidRPr="00963A10">
        <w:t xml:space="preserve"> </w:t>
      </w:r>
    </w:p>
    <w:p w14:paraId="5D3E8A3A" w14:textId="77777777" w:rsidR="00963A10" w:rsidRPr="00963A10" w:rsidRDefault="00442A88" w:rsidP="00812AD4">
      <w:pPr>
        <w:spacing w:after="0" w:line="360" w:lineRule="auto"/>
        <w:jc w:val="both"/>
        <w:rPr>
          <w:rFonts w:ascii="Arial" w:hAnsi="Arial" w:cs="Arial"/>
          <w:lang w:val="en-IN"/>
        </w:rPr>
      </w:pPr>
      <w:r w:rsidRPr="00442A88">
        <w:rPr>
          <w:rFonts w:ascii="Arial" w:hAnsi="Arial" w:cs="Arial"/>
        </w:rPr>
        <w:t xml:space="preserve">The case indicates that the care structure is mainly centralised with poor local detection and high reliance on higher levels. The newborn screening programme in Zambia was implemented in April 2021 and was planned to operate at only three hospitals in the country, which already indicates a lack of geographical coverage and a highly focused concept of early the screening of SCD (Muzazu </w:t>
      </w:r>
      <w:r w:rsidR="00245EB7" w:rsidRPr="00245EB7">
        <w:rPr>
          <w:rFonts w:ascii="Arial" w:hAnsi="Arial" w:cs="Arial"/>
          <w:i/>
        </w:rPr>
        <w:t>et al.</w:t>
      </w:r>
      <w:r w:rsidRPr="00442A88">
        <w:rPr>
          <w:rFonts w:ascii="Arial" w:hAnsi="Arial" w:cs="Arial"/>
        </w:rPr>
        <w:t xml:space="preserve"> 2022). The same narrow coverage is in line with the </w:t>
      </w:r>
      <w:r w:rsidRPr="00442A88">
        <w:rPr>
          <w:rFonts w:ascii="Arial" w:hAnsi="Arial" w:cs="Arial"/>
        </w:rPr>
        <w:lastRenderedPageBreak/>
        <w:t xml:space="preserve">broader registry image: the sickle-haemoglobinopathy registry of Zambia and Zimbabwe has registered 1,796 individuals, which is only 45 percent of its 4,000 objective, indicating that the system is yet to increase national visibility, as opposed to providing extensive coverage of the population (Kuona </w:t>
      </w:r>
      <w:r w:rsidR="00245EB7" w:rsidRPr="00245EB7">
        <w:rPr>
          <w:rFonts w:ascii="Arial" w:hAnsi="Arial" w:cs="Arial"/>
          <w:i/>
        </w:rPr>
        <w:t>et al.</w:t>
      </w:r>
      <w:r w:rsidRPr="00442A88">
        <w:rPr>
          <w:rFonts w:ascii="Arial" w:hAnsi="Arial" w:cs="Arial"/>
        </w:rPr>
        <w:t xml:space="preserve"> 2025). The case is not an exception as the infant was initially noted in a first-level hospital but was further sent upwards to have a definite diagnosis and specialist care, so the pathway relied on escalation, as opposed to local confirmation. It has a global impact owing to the fact that approximately 400,000 children are born with SCD annually and over three-quarters of these births are in sub-Saharan Africa where centralised specialist care is often insufficient in isolation (Okeke </w:t>
      </w:r>
      <w:r w:rsidR="00245EB7" w:rsidRPr="00245EB7">
        <w:rPr>
          <w:rFonts w:ascii="Arial" w:hAnsi="Arial" w:cs="Arial"/>
          <w:i/>
        </w:rPr>
        <w:t>et al.</w:t>
      </w:r>
      <w:r w:rsidRPr="00442A88">
        <w:rPr>
          <w:rFonts w:ascii="Arial" w:hAnsi="Arial" w:cs="Arial"/>
        </w:rPr>
        <w:t xml:space="preserve"> 2024). In fact, the structure is not completely centralised in governance; it is centralised in expertise, diagnostics and survival resources and early recognition still takes place at the edges</w:t>
      </w:r>
      <w:r w:rsidR="00963A10" w:rsidRPr="00963A10">
        <w:rPr>
          <w:rFonts w:ascii="Arial" w:hAnsi="Arial" w:cs="Arial"/>
          <w:lang w:val="en-IN"/>
        </w:rPr>
        <w:t>.</w:t>
      </w:r>
    </w:p>
    <w:p w14:paraId="085BA9AC" w14:textId="77777777" w:rsidR="001870A0" w:rsidRDefault="001870A0" w:rsidP="006415DB">
      <w:pPr>
        <w:pStyle w:val="Heading2"/>
      </w:pPr>
      <w:bookmarkStart w:id="8" w:name="_Toc226464006"/>
    </w:p>
    <w:p w14:paraId="4349B261" w14:textId="3406EA6A" w:rsidR="00963A10" w:rsidRPr="00963A10" w:rsidRDefault="00963A10" w:rsidP="006415DB">
      <w:pPr>
        <w:pStyle w:val="Heading2"/>
      </w:pPr>
      <w:r w:rsidRPr="00963A10">
        <w:t>3.2 Advantages and disadvantages of centralised decision-making</w:t>
      </w:r>
      <w:bookmarkEnd w:id="8"/>
      <w:r w:rsidRPr="00963A10">
        <w:t xml:space="preserve"> </w:t>
      </w:r>
    </w:p>
    <w:p w14:paraId="7D4D0EDF" w14:textId="77777777" w:rsidR="00963A10" w:rsidRPr="00963A10" w:rsidRDefault="00442A88" w:rsidP="00812AD4">
      <w:pPr>
        <w:spacing w:after="0" w:line="360" w:lineRule="auto"/>
        <w:jc w:val="both"/>
        <w:rPr>
          <w:rFonts w:ascii="Arial" w:hAnsi="Arial" w:cs="Arial"/>
          <w:lang w:val="en-IN"/>
        </w:rPr>
      </w:pPr>
      <w:r w:rsidRPr="00442A88">
        <w:rPr>
          <w:rFonts w:ascii="Arial" w:hAnsi="Arial" w:cs="Arial"/>
        </w:rPr>
        <w:t xml:space="preserve">Standardisation can be enhanced with the help of centralised decision-making, particularly in the case of a rare condition, when it is necessary to interpret it with some specificity, provide blood support, and monitor it by a specialist. In a comparative case study of the leaders of three Canadian provinces in the public health systems, 58 leaders were interviewed and it was revealed that centralised integration is frequently constructed with the help of a small and coordinated layer of leaders instead of a broad base of frontline autonomy (Smith </w:t>
      </w:r>
      <w:r w:rsidR="00245EB7" w:rsidRPr="00245EB7">
        <w:rPr>
          <w:rFonts w:ascii="Arial" w:hAnsi="Arial" w:cs="Arial"/>
          <w:i/>
        </w:rPr>
        <w:t>et al.</w:t>
      </w:r>
      <w:r w:rsidRPr="00442A88">
        <w:rPr>
          <w:rFonts w:ascii="Arial" w:hAnsi="Arial" w:cs="Arial"/>
        </w:rPr>
        <w:t xml:space="preserve"> 2023). Similarly, a hub-and-spoke study involving 382 health systems with 3,022 hospitals concluded that hubs in a system conducted 63% of cases and this is an indicator that centralisation brings expertise and volume to where the outcomes may be more manageable (Broman </w:t>
      </w:r>
      <w:r w:rsidR="00245EB7" w:rsidRPr="00245EB7">
        <w:rPr>
          <w:rFonts w:ascii="Arial" w:hAnsi="Arial" w:cs="Arial"/>
          <w:i/>
        </w:rPr>
        <w:t>et al.</w:t>
      </w:r>
      <w:r w:rsidRPr="00442A88">
        <w:rPr>
          <w:rFonts w:ascii="Arial" w:hAnsi="Arial" w:cs="Arial"/>
        </w:rPr>
        <w:t xml:space="preserve"> 2023). Another model that uses a digital command-centre mentioned four departments and four zones having 88 dashboards to demonstrate how central control can enhance real-time control and coordination (Alharbi </w:t>
      </w:r>
      <w:r w:rsidR="00245EB7" w:rsidRPr="00245EB7">
        <w:rPr>
          <w:rFonts w:ascii="Arial" w:hAnsi="Arial" w:cs="Arial"/>
          <w:i/>
        </w:rPr>
        <w:t>et al.</w:t>
      </w:r>
      <w:r w:rsidRPr="00442A88">
        <w:rPr>
          <w:rFonts w:ascii="Arial" w:hAnsi="Arial" w:cs="Arial"/>
        </w:rPr>
        <w:t xml:space="preserve"> 2024). The weakness lies in the fact that centralisation can be sluggish, remote and </w:t>
      </w:r>
      <w:proofErr w:type="spellStart"/>
      <w:r w:rsidRPr="00442A88">
        <w:rPr>
          <w:rFonts w:ascii="Arial" w:hAnsi="Arial" w:cs="Arial"/>
        </w:rPr>
        <w:t>overreliant</w:t>
      </w:r>
      <w:proofErr w:type="spellEnd"/>
      <w:r w:rsidRPr="00442A88">
        <w:rPr>
          <w:rFonts w:ascii="Arial" w:hAnsi="Arial" w:cs="Arial"/>
        </w:rPr>
        <w:t xml:space="preserve"> on tertiary capacity; it may be effective in crisis management, but it is usually ineffective in prevention and early diagnosis and responsiveness to local problems. </w:t>
      </w:r>
    </w:p>
    <w:p w14:paraId="2866B00C" w14:textId="77777777" w:rsidR="00685504" w:rsidRDefault="00685504" w:rsidP="006415DB">
      <w:pPr>
        <w:pStyle w:val="Heading2"/>
      </w:pPr>
      <w:bookmarkStart w:id="9" w:name="_Toc226464007"/>
    </w:p>
    <w:p w14:paraId="104086D6" w14:textId="4E2CD14F" w:rsidR="00963A10" w:rsidRPr="00963A10" w:rsidRDefault="00963A10" w:rsidP="006415DB">
      <w:pPr>
        <w:pStyle w:val="Heading2"/>
      </w:pPr>
      <w:r w:rsidRPr="00963A10">
        <w:t>3.3 Advantages and disadvantages of decentralised decision-making</w:t>
      </w:r>
      <w:bookmarkEnd w:id="9"/>
      <w:r w:rsidRPr="00963A10">
        <w:t xml:space="preserve"> </w:t>
      </w:r>
    </w:p>
    <w:p w14:paraId="168182F5" w14:textId="77777777" w:rsidR="00963A10" w:rsidRPr="00963A10" w:rsidRDefault="00442A88" w:rsidP="00812AD4">
      <w:pPr>
        <w:spacing w:after="0" w:line="360" w:lineRule="auto"/>
        <w:jc w:val="both"/>
        <w:rPr>
          <w:rFonts w:ascii="Arial" w:hAnsi="Arial" w:cs="Arial"/>
          <w:lang w:val="en-IN"/>
        </w:rPr>
      </w:pPr>
      <w:r w:rsidRPr="00442A88">
        <w:rPr>
          <w:rFonts w:ascii="Arial" w:hAnsi="Arial" w:cs="Arial"/>
        </w:rPr>
        <w:t xml:space="preserve">Decentralised decision-making is appealing in that it puts power nearer to the point of care where the symptoms are initially manifested, and where delays can incur the greatest costs. The proportion of routine data used to make decisions in intervention increased by 42 percentage points in intervention districts, which means that decentralised local authority can enhance problem-solving in situations where the staff can respond to data promptly (Avan </w:t>
      </w:r>
      <w:r w:rsidR="00245EB7" w:rsidRPr="00245EB7">
        <w:rPr>
          <w:rFonts w:ascii="Arial" w:hAnsi="Arial" w:cs="Arial"/>
          <w:i/>
        </w:rPr>
        <w:t>et al.</w:t>
      </w:r>
      <w:r w:rsidRPr="00442A88">
        <w:rPr>
          <w:rFonts w:ascii="Arial" w:hAnsi="Arial" w:cs="Arial"/>
        </w:rPr>
        <w:t xml:space="preserve"> 2024). On policy level, 194 countries signed WHO resolution WHA77.2 to enhance engagement in health-related decisions, indicating that decentralisation has become a popular </w:t>
      </w:r>
      <w:r w:rsidRPr="00442A88">
        <w:rPr>
          <w:rFonts w:ascii="Arial" w:hAnsi="Arial" w:cs="Arial"/>
        </w:rPr>
        <w:lastRenderedPageBreak/>
        <w:t>ideal of governance and not an eccentric reform (</w:t>
      </w:r>
      <w:proofErr w:type="spellStart"/>
      <w:r w:rsidRPr="00442A88">
        <w:rPr>
          <w:rFonts w:ascii="Arial" w:hAnsi="Arial" w:cs="Arial"/>
        </w:rPr>
        <w:t>Cocoman</w:t>
      </w:r>
      <w:proofErr w:type="spellEnd"/>
      <w:r w:rsidRPr="00442A88">
        <w:rPr>
          <w:rFonts w:ascii="Arial" w:hAnsi="Arial" w:cs="Arial"/>
        </w:rPr>
        <w:t xml:space="preserve"> </w:t>
      </w:r>
      <w:r w:rsidR="00245EB7" w:rsidRPr="00245EB7">
        <w:rPr>
          <w:rFonts w:ascii="Arial" w:hAnsi="Arial" w:cs="Arial"/>
          <w:i/>
        </w:rPr>
        <w:t>et al.</w:t>
      </w:r>
      <w:r w:rsidRPr="00442A88">
        <w:rPr>
          <w:rFonts w:ascii="Arial" w:hAnsi="Arial" w:cs="Arial"/>
        </w:rPr>
        <w:t xml:space="preserve"> 2025). However, not all the forms of decentralisation prove to be effective: in Lao PDR, qualitative analysis conducted on the basis of 24 interviews revealed that the healthcare system was left mostly in the same condition of a significant pressure of the decentralisation process but without any change in the power balance (</w:t>
      </w:r>
      <w:proofErr w:type="spellStart"/>
      <w:r w:rsidRPr="00442A88">
        <w:rPr>
          <w:rFonts w:ascii="Arial" w:hAnsi="Arial" w:cs="Arial"/>
        </w:rPr>
        <w:t>Viphonephom</w:t>
      </w:r>
      <w:proofErr w:type="spellEnd"/>
      <w:r w:rsidRPr="00442A88">
        <w:rPr>
          <w:rFonts w:ascii="Arial" w:hAnsi="Arial" w:cs="Arial"/>
        </w:rPr>
        <w:t xml:space="preserve"> </w:t>
      </w:r>
      <w:r w:rsidR="00245EB7" w:rsidRPr="00245EB7">
        <w:rPr>
          <w:rFonts w:ascii="Arial" w:hAnsi="Arial" w:cs="Arial"/>
          <w:i/>
        </w:rPr>
        <w:t>et al.</w:t>
      </w:r>
      <w:r w:rsidRPr="00442A88">
        <w:rPr>
          <w:rFonts w:ascii="Arial" w:hAnsi="Arial" w:cs="Arial"/>
        </w:rPr>
        <w:t xml:space="preserve"> 2024). This is the primary limitation that can be applied to the case. In the event that decentralisation is implemented without training, availability of tests, medicines and power to refer, then local facilities will be left with the role of detection but not action. </w:t>
      </w:r>
    </w:p>
    <w:p w14:paraId="729B4B37" w14:textId="77777777" w:rsidR="00685504" w:rsidRDefault="00685504" w:rsidP="006415DB">
      <w:pPr>
        <w:pStyle w:val="Heading2"/>
      </w:pPr>
      <w:bookmarkStart w:id="10" w:name="_Toc226464008"/>
    </w:p>
    <w:p w14:paraId="0189A1DC" w14:textId="067C88DD" w:rsidR="00963A10" w:rsidRPr="00963A10" w:rsidRDefault="00963A10" w:rsidP="006415DB">
      <w:pPr>
        <w:pStyle w:val="Heading2"/>
      </w:pPr>
      <w:r w:rsidRPr="00963A10">
        <w:t>3.4 Critical evaluation using evidence and data</w:t>
      </w:r>
      <w:bookmarkEnd w:id="10"/>
      <w:r w:rsidRPr="00963A10">
        <w:t xml:space="preserve"> </w:t>
      </w:r>
    </w:p>
    <w:p w14:paraId="181338E2" w14:textId="77777777" w:rsidR="00963A10" w:rsidRPr="00963A10" w:rsidRDefault="00442A88" w:rsidP="00812AD4">
      <w:pPr>
        <w:spacing w:after="0" w:line="360" w:lineRule="auto"/>
        <w:jc w:val="both"/>
        <w:rPr>
          <w:rFonts w:ascii="Arial" w:hAnsi="Arial" w:cs="Arial"/>
          <w:lang w:val="en-IN"/>
        </w:rPr>
      </w:pPr>
      <w:r w:rsidRPr="00442A88">
        <w:rPr>
          <w:rFonts w:ascii="Arial" w:hAnsi="Arial" w:cs="Arial"/>
        </w:rPr>
        <w:t xml:space="preserve">The data indicate that neither pure centralisation nor pure decentralisation can be applied to this case, it is the lack of correspondence between the two. The current model is too small to reach a large number of infants early because the screening programme in Zambia only covers three hospitals in the country (Muzazu </w:t>
      </w:r>
      <w:r w:rsidR="00245EB7" w:rsidRPr="00245EB7">
        <w:rPr>
          <w:rFonts w:ascii="Arial" w:hAnsi="Arial" w:cs="Arial"/>
          <w:i/>
        </w:rPr>
        <w:t>et al.</w:t>
      </w:r>
      <w:r w:rsidRPr="00442A88">
        <w:rPr>
          <w:rFonts w:ascii="Arial" w:hAnsi="Arial" w:cs="Arial"/>
        </w:rPr>
        <w:t xml:space="preserve"> 2022). Meanwhile, the fact that the Zambia-Zimbabwe registry had registered 1,796 individuals or 45 percent of its 4,000 target demonstrates that even special systems are not yet comprehensive and require constant growth (Kuona </w:t>
      </w:r>
      <w:r w:rsidR="00245EB7" w:rsidRPr="00245EB7">
        <w:rPr>
          <w:rFonts w:ascii="Arial" w:hAnsi="Arial" w:cs="Arial"/>
          <w:i/>
        </w:rPr>
        <w:t>et al.</w:t>
      </w:r>
      <w:r w:rsidRPr="00442A88">
        <w:rPr>
          <w:rFonts w:ascii="Arial" w:hAnsi="Arial" w:cs="Arial"/>
        </w:rPr>
        <w:t xml:space="preserve"> 2025). To be more precise, its load is still huge since SCD continues to claim approximately 81,000 lives among African children under five in a year, which is an unmercifully crude measure of the fact that access, timing, and continuity are yet to be achieved on the population level (</w:t>
      </w:r>
      <w:proofErr w:type="spellStart"/>
      <w:r w:rsidRPr="00442A88">
        <w:rPr>
          <w:rFonts w:ascii="Arial" w:hAnsi="Arial" w:cs="Arial"/>
        </w:rPr>
        <w:t>Emuli</w:t>
      </w:r>
      <w:proofErr w:type="spellEnd"/>
      <w:r w:rsidRPr="00442A88">
        <w:rPr>
          <w:rFonts w:ascii="Arial" w:hAnsi="Arial" w:cs="Arial"/>
        </w:rPr>
        <w:t xml:space="preserve"> </w:t>
      </w:r>
      <w:r w:rsidR="00245EB7" w:rsidRPr="00245EB7">
        <w:rPr>
          <w:rFonts w:ascii="Arial" w:hAnsi="Arial" w:cs="Arial"/>
          <w:i/>
        </w:rPr>
        <w:t>et al.</w:t>
      </w:r>
      <w:r w:rsidRPr="00442A88">
        <w:rPr>
          <w:rFonts w:ascii="Arial" w:hAnsi="Arial" w:cs="Arial"/>
        </w:rPr>
        <w:t xml:space="preserve"> 2025). It is the most powerful model under the current case, though, that it is a hybrid one: centralised screening, diagnosis, and treatment, but decentralised detection of the first contacts, a referral authority, and follow-up with the help of trained primary-care personnel. </w:t>
      </w:r>
    </w:p>
    <w:p w14:paraId="4FE52944" w14:textId="77777777" w:rsidR="006A1690" w:rsidRDefault="006A1690" w:rsidP="006415DB">
      <w:pPr>
        <w:pStyle w:val="Heading1"/>
      </w:pPr>
      <w:bookmarkStart w:id="11" w:name="_Toc226464009"/>
    </w:p>
    <w:p w14:paraId="347A0647" w14:textId="4817B0C4" w:rsidR="006E6809" w:rsidRPr="00736C24" w:rsidRDefault="00736C24" w:rsidP="006415DB">
      <w:pPr>
        <w:pStyle w:val="Heading1"/>
      </w:pPr>
      <w:r w:rsidRPr="00736C24">
        <w:t>4</w:t>
      </w:r>
      <w:r w:rsidR="006E6809" w:rsidRPr="00736C24">
        <w:t>. Leadership Theories and Case Application</w:t>
      </w:r>
      <w:bookmarkEnd w:id="11"/>
      <w:r w:rsidR="006E6809" w:rsidRPr="00736C24">
        <w:t xml:space="preserve"> </w:t>
      </w:r>
    </w:p>
    <w:p w14:paraId="484F9E68" w14:textId="77777777" w:rsidR="00F42C65" w:rsidRPr="00F42C65" w:rsidRDefault="00F42C65" w:rsidP="006415DB">
      <w:pPr>
        <w:pStyle w:val="Heading2"/>
      </w:pPr>
      <w:bookmarkStart w:id="12" w:name="_Toc226464010"/>
      <w:r w:rsidRPr="00F42C65">
        <w:t>4.1 Relevant leadership theories</w:t>
      </w:r>
      <w:bookmarkEnd w:id="12"/>
      <w:r w:rsidRPr="00F42C65">
        <w:t xml:space="preserve"> </w:t>
      </w:r>
    </w:p>
    <w:p w14:paraId="317CDE5A" w14:textId="77777777" w:rsidR="00F42C65" w:rsidRPr="00F42C65" w:rsidRDefault="00442A88" w:rsidP="00812AD4">
      <w:pPr>
        <w:spacing w:after="0" w:line="360" w:lineRule="auto"/>
        <w:jc w:val="both"/>
        <w:rPr>
          <w:rFonts w:ascii="Arial" w:hAnsi="Arial" w:cs="Arial"/>
          <w:lang w:val="en-IN"/>
        </w:rPr>
      </w:pPr>
      <w:r w:rsidRPr="00442A88">
        <w:rPr>
          <w:rFonts w:ascii="Arial" w:hAnsi="Arial" w:cs="Arial"/>
        </w:rPr>
        <w:t xml:space="preserve">Transformational, distributed and systems leadership are the most appropriate perspectives of this case. Transformational leadership is helpful in that it focuses on motivation, common purpose, and service delivery; recent nursing leadership studies claim that it facilitates the personal mastery and greater involvement as opposed to rule-following focused (Notarnicola </w:t>
      </w:r>
      <w:r w:rsidR="00245EB7" w:rsidRPr="00245EB7">
        <w:rPr>
          <w:rFonts w:ascii="Arial" w:hAnsi="Arial" w:cs="Arial"/>
          <w:i/>
        </w:rPr>
        <w:t>et al.</w:t>
      </w:r>
      <w:r w:rsidRPr="00442A88">
        <w:rPr>
          <w:rFonts w:ascii="Arial" w:hAnsi="Arial" w:cs="Arial"/>
        </w:rPr>
        <w:t xml:space="preserve"> 2024). The concept of distributed leadership is applicable as well since SCD care requires a set of actors to make coordinated decisions in community, primary care, lab, transfusion, and referral settings; a 2024 review in Health Care Management Review demonstrates that aligned distributed leadership facilitates work on quality improvement when responsibility is distributed instead of being concentrated at the top (Carstensen </w:t>
      </w:r>
      <w:r w:rsidR="00245EB7" w:rsidRPr="00245EB7">
        <w:rPr>
          <w:rFonts w:ascii="Arial" w:hAnsi="Arial" w:cs="Arial"/>
          <w:i/>
        </w:rPr>
        <w:t>et al.</w:t>
      </w:r>
      <w:r w:rsidRPr="00442A88">
        <w:rPr>
          <w:rFonts w:ascii="Arial" w:hAnsi="Arial" w:cs="Arial"/>
        </w:rPr>
        <w:t xml:space="preserve"> 2024). The most important aspect of systems leadership in this case is that the issue is not a one-</w:t>
      </w:r>
      <w:r w:rsidRPr="00442A88">
        <w:rPr>
          <w:rFonts w:ascii="Arial" w:hAnsi="Arial" w:cs="Arial"/>
        </w:rPr>
        <w:lastRenderedPageBreak/>
        <w:t xml:space="preserve">time phenomenon, but an interrelation of screening gaps, delayed referral, and weak continuity; an article by The Frontiers in Public Health (2024) suggests that leadership in healthcare should understand the complexity and interdependence and must work across boundaries under the conditions of crisis. </w:t>
      </w:r>
    </w:p>
    <w:p w14:paraId="30ED3E94" w14:textId="77777777" w:rsidR="00685504" w:rsidRDefault="00685504" w:rsidP="006415DB">
      <w:pPr>
        <w:pStyle w:val="Heading2"/>
      </w:pPr>
      <w:bookmarkStart w:id="13" w:name="_Toc226464011"/>
    </w:p>
    <w:p w14:paraId="1E6AE768" w14:textId="4AA18161" w:rsidR="00F42C65" w:rsidRPr="00F42C65" w:rsidRDefault="00F42C65" w:rsidP="006415DB">
      <w:pPr>
        <w:pStyle w:val="Heading2"/>
      </w:pPr>
      <w:r w:rsidRPr="00F42C65">
        <w:t>4.2 Application to the case and leadership response</w:t>
      </w:r>
      <w:bookmarkEnd w:id="13"/>
      <w:r w:rsidRPr="00F42C65">
        <w:t xml:space="preserve"> </w:t>
      </w:r>
    </w:p>
    <w:p w14:paraId="063C49EA"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In the given case, however, the first reaction can be seen as rather reactive, rather than proactive. The baby was only treated using referral and specialist intervention when serious cases of anaemia and infection had already occurred, which is indicative of a leadership environment, which is reactive to crisis situations and not preventive. A 2024 disaster-resilience healthcare transformational leadership framework emphasizes the fact that competent leaders must be able to foresee risk, develop communication, and coordinate actions in advance before a crisis escalates (Ali </w:t>
      </w:r>
      <w:r w:rsidR="00245EB7" w:rsidRPr="00245EB7">
        <w:rPr>
          <w:rFonts w:ascii="Arial" w:hAnsi="Arial" w:cs="Arial"/>
          <w:i/>
        </w:rPr>
        <w:t>et al.</w:t>
      </w:r>
      <w:r w:rsidRPr="001D79D3">
        <w:rPr>
          <w:rFonts w:ascii="Arial" w:hAnsi="Arial" w:cs="Arial"/>
        </w:rPr>
        <w:t xml:space="preserve"> 2024). It was not entirely fulfilled in this case as initial infant SCD was to be anticipated initially rather than treated once it had worsened. The concept of authentic leadership can be applied as well: the study by the International Journal of Africa Nursing Sciences in 2024 concluded that authentic leadership correlates with reduced psychological distress, reduced turnover intention in nurses, which is significant due to the fact that staff that is stressed is less likely to escalate uncertain cases in a confident manner (</w:t>
      </w:r>
      <w:proofErr w:type="spellStart"/>
      <w:r w:rsidRPr="001D79D3">
        <w:rPr>
          <w:rFonts w:ascii="Arial" w:hAnsi="Arial" w:cs="Arial"/>
        </w:rPr>
        <w:t>Abousoliman</w:t>
      </w:r>
      <w:proofErr w:type="spellEnd"/>
      <w:r w:rsidRPr="001D79D3">
        <w:rPr>
          <w:rFonts w:ascii="Arial" w:hAnsi="Arial" w:cs="Arial"/>
        </w:rPr>
        <w:t xml:space="preserve"> and Hamed, 2024). Besides that, evidence-based leadership is also necessary in cases when one of the conditions is overlapping with pneumonia, sepsis, malaria, and anaemia; a 2024 mixed-methods systematic review in BMC Nursing suggests that evidence-based nursing leadership enhances the process of knowledge translation into routine care instead of letting practice rely on personal judgements (Välimäki </w:t>
      </w:r>
      <w:r w:rsidR="00245EB7" w:rsidRPr="00245EB7">
        <w:rPr>
          <w:rFonts w:ascii="Arial" w:hAnsi="Arial" w:cs="Arial"/>
          <w:i/>
        </w:rPr>
        <w:t>et al.</w:t>
      </w:r>
      <w:r w:rsidRPr="001D79D3">
        <w:rPr>
          <w:rFonts w:ascii="Arial" w:hAnsi="Arial" w:cs="Arial"/>
        </w:rPr>
        <w:t xml:space="preserve"> 202</w:t>
      </w:r>
      <w:r w:rsidR="00483F7B">
        <w:rPr>
          <w:rFonts w:ascii="Arial" w:hAnsi="Arial" w:cs="Arial"/>
        </w:rPr>
        <w:t>3)</w:t>
      </w:r>
      <w:r w:rsidRPr="001D79D3">
        <w:rPr>
          <w:rFonts w:ascii="Arial" w:hAnsi="Arial" w:cs="Arial"/>
        </w:rPr>
        <w:t xml:space="preserve"> Intervention in the case was thus clinically competent on the tertiary level but structurally weak at the front line due to the lack of its transformation into earlier diagnosis, safer referral, or greater continuity</w:t>
      </w:r>
      <w:r w:rsidR="00F42C65" w:rsidRPr="00F42C65">
        <w:rPr>
          <w:rFonts w:ascii="Arial" w:hAnsi="Arial" w:cs="Arial"/>
          <w:lang w:val="en-IN"/>
        </w:rPr>
        <w:t>.</w:t>
      </w:r>
    </w:p>
    <w:p w14:paraId="7DD65AC3" w14:textId="77777777" w:rsidR="00685504" w:rsidRDefault="00685504" w:rsidP="006415DB">
      <w:pPr>
        <w:pStyle w:val="Heading2"/>
      </w:pPr>
      <w:bookmarkStart w:id="14" w:name="_Toc226464012"/>
    </w:p>
    <w:p w14:paraId="51EC5446" w14:textId="18869387" w:rsidR="00F42C65" w:rsidRPr="00F42C65" w:rsidRDefault="00F42C65" w:rsidP="006415DB">
      <w:pPr>
        <w:pStyle w:val="Heading2"/>
      </w:pPr>
      <w:r w:rsidRPr="00F42C65">
        <w:t>4.3 Critique of leadership effectiveness using evidence</w:t>
      </w:r>
      <w:bookmarkEnd w:id="14"/>
      <w:r w:rsidRPr="00F42C65">
        <w:t xml:space="preserve"> </w:t>
      </w:r>
    </w:p>
    <w:p w14:paraId="7269D918"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The leadership that was exhibited in the case was effective in rescue care but poor in system learning. A 2024 systematic review in Geriatric Nursing identified that research on healthcare leadership remains very focused on the transformational, authentic and ethical leadership styles, but strongest evidence evidences were found around job satisfaction and organisational behaviour as opposed to hard patient-outcome change (Wu </w:t>
      </w:r>
      <w:r w:rsidR="00245EB7" w:rsidRPr="00245EB7">
        <w:rPr>
          <w:rFonts w:ascii="Arial" w:hAnsi="Arial" w:cs="Arial"/>
          <w:i/>
        </w:rPr>
        <w:t>et al.</w:t>
      </w:r>
      <w:r w:rsidRPr="001D79D3">
        <w:rPr>
          <w:rFonts w:ascii="Arial" w:hAnsi="Arial" w:cs="Arial"/>
        </w:rPr>
        <w:t xml:space="preserve"> 2024). This is also significant in this case since the survival of the child does not indicate leadership effectiveness; it can equally mean that upstream failure was balanced by tertiary services. In the same way, an evidence base, published in BMC Health Services Research in 2022/2023, states that the contextual factors influence leadership effectiveness in the institutions of public </w:t>
      </w:r>
      <w:r w:rsidRPr="001D79D3">
        <w:rPr>
          <w:rFonts w:ascii="Arial" w:hAnsi="Arial" w:cs="Arial"/>
        </w:rPr>
        <w:lastRenderedPageBreak/>
        <w:t>health, including support, competence, and organisational conditions but not titles only (</w:t>
      </w:r>
      <w:proofErr w:type="spellStart"/>
      <w:r w:rsidRPr="001D79D3">
        <w:rPr>
          <w:rFonts w:ascii="Arial" w:hAnsi="Arial" w:cs="Arial"/>
        </w:rPr>
        <w:t>Teame</w:t>
      </w:r>
      <w:proofErr w:type="spellEnd"/>
      <w:r w:rsidRPr="001D79D3">
        <w:rPr>
          <w:rFonts w:ascii="Arial" w:hAnsi="Arial" w:cs="Arial"/>
        </w:rPr>
        <w:t xml:space="preserve"> </w:t>
      </w:r>
      <w:r w:rsidR="00245EB7" w:rsidRPr="00245EB7">
        <w:rPr>
          <w:rFonts w:ascii="Arial" w:hAnsi="Arial" w:cs="Arial"/>
          <w:i/>
        </w:rPr>
        <w:t>et al.</w:t>
      </w:r>
      <w:r w:rsidRPr="001D79D3">
        <w:rPr>
          <w:rFonts w:ascii="Arial" w:hAnsi="Arial" w:cs="Arial"/>
        </w:rPr>
        <w:t xml:space="preserve"> 2022). The criticism, therefore, is that there was clinical capability in the organisation, but they lacked sufficient adaptive leadership to prevent the occurrence of the same issue. Differently put, the system was capable of treating crisis, but not yet learning of crisis</w:t>
      </w:r>
      <w:r w:rsidR="00F42C65" w:rsidRPr="00F42C65">
        <w:rPr>
          <w:rFonts w:ascii="Arial" w:hAnsi="Arial" w:cs="Arial"/>
          <w:lang w:val="en-IN"/>
        </w:rPr>
        <w:t>.</w:t>
      </w:r>
    </w:p>
    <w:p w14:paraId="6EBCD7A5" w14:textId="77777777" w:rsidR="00685504" w:rsidRDefault="00685504" w:rsidP="006415DB">
      <w:pPr>
        <w:pStyle w:val="Heading2"/>
      </w:pPr>
      <w:bookmarkStart w:id="15" w:name="_Toc226464013"/>
    </w:p>
    <w:p w14:paraId="61BA5B7D" w14:textId="2364D7F0" w:rsidR="00F42C65" w:rsidRPr="00F42C65" w:rsidRDefault="00F42C65" w:rsidP="006415DB">
      <w:pPr>
        <w:pStyle w:val="Heading2"/>
      </w:pPr>
      <w:r w:rsidRPr="00F42C65">
        <w:t>4.4 Alternative leadership approaches</w:t>
      </w:r>
      <w:bookmarkEnd w:id="15"/>
      <w:r w:rsidRPr="00F42C65">
        <w:t xml:space="preserve"> </w:t>
      </w:r>
    </w:p>
    <w:p w14:paraId="4554A84C"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Another model that would be more appropriate would be combining servant leadership and ethical leadership with a more distributed model. An approach to leadership that puts its staff at the forefront, trust, and patient-focused service has been defined as servant leadership by a 2024 systematic review in Journal of Healthcare Leadership and fits a situation such as SCD that relies on continuity and frontline confidence (Demeke </w:t>
      </w:r>
      <w:r w:rsidR="00245EB7" w:rsidRPr="00245EB7">
        <w:rPr>
          <w:rFonts w:ascii="Arial" w:hAnsi="Arial" w:cs="Arial"/>
          <w:i/>
        </w:rPr>
        <w:t>et al.</w:t>
      </w:r>
      <w:r w:rsidRPr="001D79D3">
        <w:rPr>
          <w:rFonts w:ascii="Arial" w:hAnsi="Arial" w:cs="Arial"/>
        </w:rPr>
        <w:t xml:space="preserve"> 2024). Ethical leadership also has a role to play, as it enhances accountability, fairness and transparent decision making in highly stressful environments; a 2024 scoping review in Leadership in Health Services has associated ethical leadership with more consistent norms and improved organisational climate (Singh and Vashist, 2025). In this instance, the implication in practice would be that the leaders must not merely direct care down the line, but also allow first contact staff, laboratory staff, and referral coordinators to be early, escalate sooner, and question the certainties. A realistic model is thus the blended and not the pure one, which is the servant leadership to serve people, ethical leadership to defend accountability and distributed leadership to make early detection work</w:t>
      </w:r>
      <w:r w:rsidR="00F42C65" w:rsidRPr="00F42C65">
        <w:rPr>
          <w:rFonts w:ascii="Arial" w:hAnsi="Arial" w:cs="Arial"/>
          <w:lang w:val="en-IN"/>
        </w:rPr>
        <w:t>.</w:t>
      </w:r>
    </w:p>
    <w:p w14:paraId="53D3871C" w14:textId="77777777" w:rsidR="00685504" w:rsidRDefault="00685504" w:rsidP="006415DB">
      <w:pPr>
        <w:pStyle w:val="Heading1"/>
      </w:pPr>
      <w:bookmarkStart w:id="16" w:name="_Toc226464014"/>
    </w:p>
    <w:p w14:paraId="5BC935F0" w14:textId="5DA9BD64" w:rsidR="006E6809" w:rsidRPr="00736C24" w:rsidRDefault="00736C24" w:rsidP="006415DB">
      <w:pPr>
        <w:pStyle w:val="Heading1"/>
      </w:pPr>
      <w:r w:rsidRPr="00736C24">
        <w:t>5</w:t>
      </w:r>
      <w:r w:rsidR="006E6809" w:rsidRPr="00736C24">
        <w:t>. Improvement and Lessons Learned</w:t>
      </w:r>
      <w:bookmarkEnd w:id="16"/>
    </w:p>
    <w:p w14:paraId="51271938" w14:textId="77777777" w:rsidR="00F42C65" w:rsidRPr="00F42C65" w:rsidRDefault="00F42C65" w:rsidP="006415DB">
      <w:pPr>
        <w:pStyle w:val="Heading2"/>
      </w:pPr>
      <w:bookmarkStart w:id="17" w:name="_Toc226464015"/>
      <w:r w:rsidRPr="00F42C65">
        <w:t>5.1 Main problems and missed opportunities</w:t>
      </w:r>
      <w:bookmarkEnd w:id="17"/>
      <w:r w:rsidRPr="00F42C65">
        <w:t xml:space="preserve"> </w:t>
      </w:r>
    </w:p>
    <w:p w14:paraId="63FF5BCC"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The primary opportunity that was not grasped was the inability to realise the risk of SCD before the child could degenerate into frequent admissions. In the article The competent healthcare leadership should build the communication, collaboration, and adaptive capacity: A 2024 scoping review in BMC Medical Education, the authors suggest that complex systems need the people to work across boundaries and not just specialists to have knowledge (Spanos </w:t>
      </w:r>
      <w:r w:rsidR="00245EB7" w:rsidRPr="00245EB7">
        <w:rPr>
          <w:rFonts w:ascii="Arial" w:hAnsi="Arial" w:cs="Arial"/>
          <w:i/>
        </w:rPr>
        <w:t>et al.</w:t>
      </w:r>
      <w:r w:rsidRPr="001D79D3">
        <w:rPr>
          <w:rFonts w:ascii="Arial" w:hAnsi="Arial" w:cs="Arial"/>
        </w:rPr>
        <w:t xml:space="preserve"> 2024). It is specifically in that area that the case failed: the child traversed various services, but the pathway was not acting as a single system. The other opportunity that was missed was poor frontline confidence. The review in the Open Public Health Journal is in open access and mentions that self-leadership among healthcare workers is associated with emotional intelligence, engagement, and performance, although the evidence of training is not extensive and balanced (</w:t>
      </w:r>
      <w:proofErr w:type="spellStart"/>
      <w:r w:rsidRPr="001D79D3">
        <w:rPr>
          <w:rFonts w:ascii="Arial" w:hAnsi="Arial" w:cs="Arial"/>
        </w:rPr>
        <w:t>Almeharish</w:t>
      </w:r>
      <w:proofErr w:type="spellEnd"/>
      <w:r w:rsidRPr="001D79D3">
        <w:rPr>
          <w:rFonts w:ascii="Arial" w:hAnsi="Arial" w:cs="Arial"/>
        </w:rPr>
        <w:t xml:space="preserve"> and Bugis, 2023). The implication is crucial, the fact that the staff of primary-care is not trained or empowered to suspect SCD at the early stages, they are likely </w:t>
      </w:r>
      <w:r w:rsidRPr="001D79D3">
        <w:rPr>
          <w:rFonts w:ascii="Arial" w:hAnsi="Arial" w:cs="Arial"/>
        </w:rPr>
        <w:lastRenderedPageBreak/>
        <w:t>to normalise symptoms as normal infection. Lastly, the broader gap in governance can be seen in the discussion of the Eastern Mediterranean Health Journal about the workforce regulation and accreditation in which the existing standards and accountability mechanisms are shown to be the core of maintaining the quality of care in under-resourced systems (Who, 2024). Thus, the opportunity that was missed was not only one of delayed diagnosis but of a learning pathway which could have turned each an admission into system improvement</w:t>
      </w:r>
      <w:r w:rsidR="00F42C65" w:rsidRPr="00F42C65">
        <w:rPr>
          <w:rFonts w:ascii="Arial" w:hAnsi="Arial" w:cs="Arial"/>
          <w:lang w:val="en-IN"/>
        </w:rPr>
        <w:t>.</w:t>
      </w:r>
    </w:p>
    <w:p w14:paraId="41AE4E4D" w14:textId="77777777" w:rsidR="00930704" w:rsidRDefault="00930704" w:rsidP="006415DB">
      <w:pPr>
        <w:pStyle w:val="Heading2"/>
      </w:pPr>
      <w:bookmarkStart w:id="18" w:name="_Toc226464016"/>
    </w:p>
    <w:p w14:paraId="567194DF" w14:textId="61D84A7B" w:rsidR="00F42C65" w:rsidRPr="00F42C65" w:rsidRDefault="00F42C65" w:rsidP="006415DB">
      <w:pPr>
        <w:pStyle w:val="Heading2"/>
      </w:pPr>
      <w:r w:rsidRPr="00F42C65">
        <w:t>5.2 Evidence-based solutions and improvement actions</w:t>
      </w:r>
      <w:bookmarkEnd w:id="18"/>
      <w:r w:rsidRPr="00F42C65">
        <w:t xml:space="preserve"> </w:t>
      </w:r>
    </w:p>
    <w:p w14:paraId="5E692133"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The best improvement plan is to establish a learning channel as opposed to ad hoc rescue. An article in Journal of Nursing Care Quality (2024) introduces the Synergy for Change model and contends that the two approaches of quality improvement and implementation science should be implemented in tandem with each other so that the implementation of evidence can become more predictable (Dolansky </w:t>
      </w:r>
      <w:r w:rsidR="00245EB7" w:rsidRPr="00245EB7">
        <w:rPr>
          <w:rFonts w:ascii="Arial" w:hAnsi="Arial" w:cs="Arial"/>
          <w:i/>
        </w:rPr>
        <w:t>et al.</w:t>
      </w:r>
      <w:r w:rsidRPr="001D79D3">
        <w:rPr>
          <w:rFonts w:ascii="Arial" w:hAnsi="Arial" w:cs="Arial"/>
        </w:rPr>
        <w:t xml:space="preserve"> 2024). This is important to this context since SCD screening, referral, transfusion, antibiotics and follow-up needs to be standardised, audited and changed through the process of iteration. An open-access study (JMIR, 2024) confirms that open-source electronic health records can enhance the data collection, analysis, and policy planning in low- and lower-middle-income countries, but the adoption is impeded by the barriers of governance and implementation (Bostan </w:t>
      </w:r>
      <w:r w:rsidR="00245EB7" w:rsidRPr="00245EB7">
        <w:rPr>
          <w:rFonts w:ascii="Arial" w:hAnsi="Arial" w:cs="Arial"/>
          <w:i/>
        </w:rPr>
        <w:t>et al.</w:t>
      </w:r>
      <w:r w:rsidRPr="001D79D3">
        <w:rPr>
          <w:rFonts w:ascii="Arial" w:hAnsi="Arial" w:cs="Arial"/>
        </w:rPr>
        <w:t xml:space="preserve"> 2024). Digital monitoring of the suspected SCD infants, referral time and subsequent appointments, in this instance, would alleviate loss to follow-up and reveal the points of delays. Another solution that needs to be implemented is co-production: a 2024 systematic review in International Journal of Integrated Care demonstrates that meaningful co-production requires mutual insight and not token consultation and that implementation is enhanced when users are involved in shaping the pathway (META-ETHNOGRAPHY, 2025). Thus, newborn screening, referral procedures, employee training, and family involvement should be integrated into a single stream by the organisation</w:t>
      </w:r>
      <w:r w:rsidR="00F42C65" w:rsidRPr="00F42C65">
        <w:rPr>
          <w:rFonts w:ascii="Arial" w:hAnsi="Arial" w:cs="Arial"/>
          <w:lang w:val="en-IN"/>
        </w:rPr>
        <w:t>.</w:t>
      </w:r>
    </w:p>
    <w:p w14:paraId="054AD0D1" w14:textId="77777777" w:rsidR="00930704" w:rsidRDefault="00930704" w:rsidP="006415DB">
      <w:pPr>
        <w:pStyle w:val="Heading2"/>
      </w:pPr>
      <w:bookmarkStart w:id="19" w:name="_Toc226464017"/>
    </w:p>
    <w:p w14:paraId="022B9AD7" w14:textId="56FEBAA3" w:rsidR="00F42C65" w:rsidRPr="00F42C65" w:rsidRDefault="00F42C65" w:rsidP="006415DB">
      <w:pPr>
        <w:pStyle w:val="Heading2"/>
      </w:pPr>
      <w:r w:rsidRPr="00F42C65">
        <w:t>5.3 Interaction of leadership, governance, and system feedback</w:t>
      </w:r>
      <w:bookmarkEnd w:id="19"/>
      <w:r w:rsidRPr="00F42C65">
        <w:t xml:space="preserve"> </w:t>
      </w:r>
    </w:p>
    <w:p w14:paraId="5DDFE080"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There is a lapse in feedback in this case: the system perceived every admission as an independent event rather than as an indication that in fact the pathway was not working. In a 2024 review in BMJ Open on the topic of leadership, communication, and collaboration in distributed teams, the authors discovered that effective distributed work relies on effective interaction and shared understanding and coordination in teams involving people who are physically distant and are not hierarchically connected (Morian </w:t>
      </w:r>
      <w:r w:rsidR="00245EB7" w:rsidRPr="00245EB7">
        <w:rPr>
          <w:rFonts w:ascii="Arial" w:hAnsi="Arial" w:cs="Arial"/>
          <w:i/>
        </w:rPr>
        <w:t>et al.</w:t>
      </w:r>
      <w:r w:rsidRPr="001D79D3">
        <w:rPr>
          <w:rFonts w:ascii="Arial" w:hAnsi="Arial" w:cs="Arial"/>
        </w:rPr>
        <w:t xml:space="preserve"> 2024). That is quite applicable since the care of SCD is one that needs such form of distributed coordination between the home, primary care, laboratory services, and tertiary specialists. An article by Globalization and Health in 2024 on health information management in conflict-affected </w:t>
      </w:r>
      <w:r w:rsidRPr="001D79D3">
        <w:rPr>
          <w:rFonts w:ascii="Arial" w:hAnsi="Arial" w:cs="Arial"/>
        </w:rPr>
        <w:lastRenderedPageBreak/>
        <w:t>settings demonstrates that the concept of information systems is the focus of the continuity of service and weak data practices destroy planning, visibility, and response (</w:t>
      </w:r>
      <w:proofErr w:type="spellStart"/>
      <w:r w:rsidRPr="001D79D3">
        <w:rPr>
          <w:rFonts w:ascii="Arial" w:hAnsi="Arial" w:cs="Arial"/>
        </w:rPr>
        <w:t>Ladadwa</w:t>
      </w:r>
      <w:proofErr w:type="spellEnd"/>
      <w:r w:rsidRPr="001D79D3">
        <w:rPr>
          <w:rFonts w:ascii="Arial" w:hAnsi="Arial" w:cs="Arial"/>
        </w:rPr>
        <w:t xml:space="preserve"> </w:t>
      </w:r>
      <w:r w:rsidR="00245EB7" w:rsidRPr="00245EB7">
        <w:rPr>
          <w:rFonts w:ascii="Arial" w:hAnsi="Arial" w:cs="Arial"/>
          <w:i/>
        </w:rPr>
        <w:t>et al.</w:t>
      </w:r>
      <w:r w:rsidRPr="001D79D3">
        <w:rPr>
          <w:rFonts w:ascii="Arial" w:hAnsi="Arial" w:cs="Arial"/>
        </w:rPr>
        <w:t xml:space="preserve"> 2024). Similarly, an article published in Journal of Healthcare Management in 2024 claims that the use of digital leadership is growing more and more necessary to coordinate the executive strategy, data visibility, and operational coordination (Lemak </w:t>
      </w:r>
      <w:r w:rsidR="00245EB7" w:rsidRPr="00245EB7">
        <w:rPr>
          <w:rFonts w:ascii="Arial" w:hAnsi="Arial" w:cs="Arial"/>
          <w:i/>
        </w:rPr>
        <w:t>et al.</w:t>
      </w:r>
      <w:r w:rsidRPr="001D79D3">
        <w:rPr>
          <w:rFonts w:ascii="Arial" w:hAnsi="Arial" w:cs="Arial"/>
        </w:rPr>
        <w:t xml:space="preserve"> 2024). The most important lesson is that a blindly governed and a powerless feedbacked governance is blind and powerless respectively. </w:t>
      </w:r>
    </w:p>
    <w:p w14:paraId="1508CEE5" w14:textId="77777777" w:rsidR="00930704" w:rsidRDefault="00930704" w:rsidP="006415DB">
      <w:pPr>
        <w:pStyle w:val="Heading2"/>
      </w:pPr>
      <w:bookmarkStart w:id="20" w:name="_Toc226464018"/>
    </w:p>
    <w:p w14:paraId="70B489C2" w14:textId="22398DFC" w:rsidR="00F42C65" w:rsidRPr="00F42C65" w:rsidRDefault="00F42C65" w:rsidP="006415DB">
      <w:pPr>
        <w:pStyle w:val="Heading2"/>
      </w:pPr>
      <w:r w:rsidRPr="00F42C65">
        <w:t>5.4 Lessons for other health organisations</w:t>
      </w:r>
      <w:bookmarkEnd w:id="20"/>
      <w:r w:rsidRPr="00F42C65">
        <w:t xml:space="preserve"> </w:t>
      </w:r>
    </w:p>
    <w:p w14:paraId="5915C09A" w14:textId="77777777" w:rsidR="00F42C65" w:rsidRPr="00F42C65" w:rsidRDefault="001D79D3" w:rsidP="00812AD4">
      <w:pPr>
        <w:spacing w:after="0" w:line="360" w:lineRule="auto"/>
        <w:jc w:val="both"/>
        <w:rPr>
          <w:rFonts w:ascii="Arial" w:hAnsi="Arial" w:cs="Arial"/>
          <w:lang w:val="en-IN"/>
        </w:rPr>
      </w:pPr>
      <w:r w:rsidRPr="001D79D3">
        <w:rPr>
          <w:rFonts w:ascii="Arial" w:hAnsi="Arial" w:cs="Arial"/>
        </w:rPr>
        <w:t xml:space="preserve">Other organisations are able to learn that even rare conditions would need to have ordinary systems to operate effectively. One of the more recent articles in Research Involvement and Engagement (2024) demonstrates that co-design and co-production can only be relevant when stakeholders are actually engaged in the process of service design, rather than invited to it once decisions have been made (Masterson </w:t>
      </w:r>
      <w:r w:rsidR="00245EB7" w:rsidRPr="00245EB7">
        <w:rPr>
          <w:rFonts w:ascii="Arial" w:hAnsi="Arial" w:cs="Arial"/>
          <w:i/>
        </w:rPr>
        <w:t>et al.</w:t>
      </w:r>
      <w:r w:rsidRPr="001D79D3">
        <w:rPr>
          <w:rFonts w:ascii="Arial" w:hAnsi="Arial" w:cs="Arial"/>
        </w:rPr>
        <w:t xml:space="preserve"> 2024). It is quite applicable to SCD since families, community workers, and frontline nurses tend to be in a better situation to identify the initial warning signs before the formal systems. An article of the Learning Health Systems published in 2024 states that learning systems rely on the cycles of data capture, data interpretation, and data action, and the patients and communities are not outside of this cycle (Panesar </w:t>
      </w:r>
      <w:r w:rsidR="00245EB7" w:rsidRPr="00245EB7">
        <w:rPr>
          <w:rFonts w:ascii="Arial" w:hAnsi="Arial" w:cs="Arial"/>
          <w:i/>
        </w:rPr>
        <w:t>et al.</w:t>
      </w:r>
      <w:r w:rsidRPr="001D79D3">
        <w:rPr>
          <w:rFonts w:ascii="Arial" w:hAnsi="Arial" w:cs="Arial"/>
        </w:rPr>
        <w:t xml:space="preserve"> 2025). This teaches that organisations must not be passive </w:t>
      </w:r>
      <w:proofErr w:type="spellStart"/>
      <w:r w:rsidRPr="001D79D3">
        <w:rPr>
          <w:rFonts w:ascii="Arial" w:hAnsi="Arial" w:cs="Arial"/>
        </w:rPr>
        <w:t>baiers</w:t>
      </w:r>
      <w:proofErr w:type="spellEnd"/>
      <w:r w:rsidRPr="001D79D3">
        <w:rPr>
          <w:rFonts w:ascii="Arial" w:hAnsi="Arial" w:cs="Arial"/>
        </w:rPr>
        <w:t xml:space="preserve"> awaiting specialty centres to take the entire responsibility upon themselves but must establish ways of learning each experience, make knowledge flow at all levels and must make prevention simpler than response to the crisis. Practically, that will involve training employees, simplifying referral, enhancing family education, and utilizing data to complete the loop instead of the failure being recorded</w:t>
      </w:r>
      <w:r w:rsidR="00F42C65" w:rsidRPr="00F42C65">
        <w:rPr>
          <w:rFonts w:ascii="Arial" w:hAnsi="Arial" w:cs="Arial"/>
          <w:lang w:val="en-IN"/>
        </w:rPr>
        <w:t>.</w:t>
      </w:r>
    </w:p>
    <w:p w14:paraId="2F679A8A" w14:textId="77777777" w:rsidR="00930704" w:rsidRDefault="00930704" w:rsidP="006415DB">
      <w:pPr>
        <w:pStyle w:val="Heading1"/>
      </w:pPr>
      <w:bookmarkStart w:id="21" w:name="_Toc226464019"/>
    </w:p>
    <w:p w14:paraId="328AA7CB" w14:textId="0DF5F293" w:rsidR="006E6809" w:rsidRPr="00736C24" w:rsidRDefault="00736C24" w:rsidP="006415DB">
      <w:pPr>
        <w:pStyle w:val="Heading1"/>
      </w:pPr>
      <w:r w:rsidRPr="00736C24">
        <w:t>6</w:t>
      </w:r>
      <w:r w:rsidR="006E6809" w:rsidRPr="00736C24">
        <w:t>. Recommendations</w:t>
      </w:r>
      <w:bookmarkEnd w:id="21"/>
      <w:r w:rsidR="006E6809" w:rsidRPr="00736C24">
        <w:t xml:space="preserve"> </w:t>
      </w:r>
    </w:p>
    <w:p w14:paraId="0C53D40A" w14:textId="77777777" w:rsidR="009B2602" w:rsidRPr="009B2602" w:rsidRDefault="009B2602" w:rsidP="006415DB">
      <w:pPr>
        <w:pStyle w:val="Heading2"/>
      </w:pPr>
      <w:bookmarkStart w:id="22" w:name="_Toc226464020"/>
      <w:r w:rsidRPr="009B2602">
        <w:t>6.1 Recommended actions for the organisation</w:t>
      </w:r>
      <w:bookmarkEnd w:id="22"/>
    </w:p>
    <w:p w14:paraId="06FA4D71" w14:textId="77777777" w:rsidR="009B2602" w:rsidRPr="009B2602" w:rsidRDefault="009B2602" w:rsidP="00812AD4">
      <w:pPr>
        <w:spacing w:after="0" w:line="360" w:lineRule="auto"/>
        <w:jc w:val="both"/>
        <w:rPr>
          <w:rFonts w:ascii="Arial" w:hAnsi="Arial" w:cs="Arial"/>
          <w:lang w:val="en-IN"/>
        </w:rPr>
      </w:pPr>
      <w:r w:rsidRPr="009B2602">
        <w:rPr>
          <w:rFonts w:ascii="Arial" w:hAnsi="Arial" w:cs="Arial"/>
          <w:b/>
          <w:bCs/>
          <w:lang w:val="en-IN"/>
        </w:rPr>
        <w:t xml:space="preserve">Recommendation 1: Implement universal newborn screening and early detection pathways </w:t>
      </w:r>
      <w:r w:rsidRPr="009B2602">
        <w:rPr>
          <w:rFonts w:ascii="Arial" w:hAnsi="Arial" w:cs="Arial"/>
          <w:lang w:val="en-IN"/>
        </w:rPr>
        <w:br/>
      </w:r>
      <w:r w:rsidR="001D79D3" w:rsidRPr="001D79D3">
        <w:rPr>
          <w:rFonts w:ascii="Arial" w:hAnsi="Arial" w:cs="Arial"/>
        </w:rPr>
        <w:t xml:space="preserve">The organisation must focus on universal newborn screening that is part of primary care to help the organisation early detect the sickle cell disease before clinical decline. It has been proven that the enhancement of access pathways is possible only through the elimination of the bottlenecks in the initial diagnosis process and the coordination of the services at the various levels of care (Chen, 2025). Further, the research in healthcare leadership indicates that a good leader should be able to allocate resources and offer the services within the integrated systems in a timely manner and in a high-risk situation (Zarif </w:t>
      </w:r>
      <w:r w:rsidR="00245EB7" w:rsidRPr="00245EB7">
        <w:rPr>
          <w:rFonts w:ascii="Arial" w:hAnsi="Arial" w:cs="Arial"/>
          <w:i/>
        </w:rPr>
        <w:t>et al.</w:t>
      </w:r>
      <w:r w:rsidR="001D79D3" w:rsidRPr="001D79D3">
        <w:rPr>
          <w:rFonts w:ascii="Arial" w:hAnsi="Arial" w:cs="Arial"/>
        </w:rPr>
        <w:t xml:space="preserve"> 2024). Clinical </w:t>
      </w:r>
      <w:r w:rsidR="001D79D3" w:rsidRPr="001D79D3">
        <w:rPr>
          <w:rFonts w:ascii="Arial" w:hAnsi="Arial" w:cs="Arial"/>
        </w:rPr>
        <w:lastRenderedPageBreak/>
        <w:t>management cannot be proactive without systematic early detection as it happened in this case where it was diagnosed due to severe anaemia. The screening ought to be therefore associated with referral procedures whereby the suspected cases are hurriedly and uniformly upscaled along the care pathway</w:t>
      </w:r>
      <w:r w:rsidRPr="009B2602">
        <w:rPr>
          <w:rFonts w:ascii="Arial" w:hAnsi="Arial" w:cs="Arial"/>
          <w:lang w:val="en-IN"/>
        </w:rPr>
        <w:t>.</w:t>
      </w:r>
    </w:p>
    <w:p w14:paraId="09D909A0" w14:textId="77777777" w:rsidR="00930704" w:rsidRDefault="00930704" w:rsidP="00812AD4">
      <w:pPr>
        <w:spacing w:after="0" w:line="360" w:lineRule="auto"/>
        <w:jc w:val="both"/>
        <w:rPr>
          <w:rFonts w:ascii="Arial" w:hAnsi="Arial" w:cs="Arial"/>
          <w:b/>
          <w:bCs/>
          <w:lang w:val="en-IN"/>
        </w:rPr>
      </w:pPr>
    </w:p>
    <w:p w14:paraId="4B79984E" w14:textId="34A06F42" w:rsidR="009B2602" w:rsidRPr="009B2602" w:rsidRDefault="009B2602" w:rsidP="00812AD4">
      <w:pPr>
        <w:spacing w:after="0" w:line="360" w:lineRule="auto"/>
        <w:jc w:val="both"/>
        <w:rPr>
          <w:rFonts w:ascii="Arial" w:hAnsi="Arial" w:cs="Arial"/>
          <w:lang w:val="en-IN"/>
        </w:rPr>
      </w:pPr>
      <w:r w:rsidRPr="009B2602">
        <w:rPr>
          <w:rFonts w:ascii="Arial" w:hAnsi="Arial" w:cs="Arial"/>
          <w:b/>
          <w:bCs/>
          <w:lang w:val="en-IN"/>
        </w:rPr>
        <w:t xml:space="preserve">Recommendation 2: Strengthen integrated referral and care coordination systems </w:t>
      </w:r>
      <w:r w:rsidRPr="009B2602">
        <w:rPr>
          <w:rFonts w:ascii="Arial" w:hAnsi="Arial" w:cs="Arial"/>
          <w:lang w:val="en-IN"/>
        </w:rPr>
        <w:br/>
      </w:r>
      <w:r w:rsidR="001D79D3" w:rsidRPr="001D79D3">
        <w:rPr>
          <w:rFonts w:ascii="Arial" w:hAnsi="Arial" w:cs="Arial"/>
        </w:rPr>
        <w:t xml:space="preserve">The organisation needs to formulate a well-organized referral practices between the community and primary and tertiary care in order to lessen fragmentation. The literature on leadership indicates that the healthcare of the modern era needs to be integrated with the models that coordinate the strategy, operations, and communication of the previously separated functions (Lemak </w:t>
      </w:r>
      <w:r w:rsidR="00245EB7" w:rsidRPr="00245EB7">
        <w:rPr>
          <w:rFonts w:ascii="Arial" w:hAnsi="Arial" w:cs="Arial"/>
          <w:i/>
        </w:rPr>
        <w:t>et al.</w:t>
      </w:r>
      <w:r w:rsidR="001D79D3" w:rsidRPr="001D79D3">
        <w:rPr>
          <w:rFonts w:ascii="Arial" w:hAnsi="Arial" w:cs="Arial"/>
        </w:rPr>
        <w:t xml:space="preserve"> 2024). Moreover, the leadership theory states that coordination and collaboration are the key factors in enhancing patient outcomes in the complex system instead of depending on individual decision-making (Singh </w:t>
      </w:r>
      <w:r w:rsidR="00245EB7" w:rsidRPr="00245EB7">
        <w:rPr>
          <w:rFonts w:ascii="Arial" w:hAnsi="Arial" w:cs="Arial"/>
          <w:i/>
        </w:rPr>
        <w:t>et al.</w:t>
      </w:r>
      <w:r w:rsidR="001D79D3" w:rsidRPr="001D79D3">
        <w:rPr>
          <w:rFonts w:ascii="Arial" w:hAnsi="Arial" w:cs="Arial"/>
        </w:rPr>
        <w:t xml:space="preserve"> 2024). In this instance, the poor continuity of care is observed in terms of repeated admissions, with each of the levels functioning rather as a separate system than as a unit. An established referral programme that has accountability, communication policies and follow-ups would minimise additional time wastage and continuity between diagnosis and long-term management</w:t>
      </w:r>
      <w:r w:rsidRPr="009B2602">
        <w:rPr>
          <w:rFonts w:ascii="Arial" w:hAnsi="Arial" w:cs="Arial"/>
          <w:lang w:val="en-IN"/>
        </w:rPr>
        <w:t>.</w:t>
      </w:r>
    </w:p>
    <w:p w14:paraId="19345878" w14:textId="77777777" w:rsidR="00930704" w:rsidRDefault="00930704" w:rsidP="00812AD4">
      <w:pPr>
        <w:spacing w:after="0" w:line="360" w:lineRule="auto"/>
        <w:jc w:val="both"/>
        <w:rPr>
          <w:rFonts w:ascii="Arial" w:hAnsi="Arial" w:cs="Arial"/>
          <w:b/>
          <w:bCs/>
          <w:lang w:val="en-IN"/>
        </w:rPr>
      </w:pPr>
    </w:p>
    <w:p w14:paraId="12D4C147" w14:textId="66530003" w:rsidR="00483F7B" w:rsidRDefault="009B2602" w:rsidP="00812AD4">
      <w:pPr>
        <w:spacing w:after="0" w:line="360" w:lineRule="auto"/>
        <w:jc w:val="both"/>
        <w:rPr>
          <w:rFonts w:ascii="Arial" w:hAnsi="Arial" w:cs="Arial"/>
          <w:b/>
          <w:bCs/>
          <w:lang w:val="en-IN"/>
        </w:rPr>
      </w:pPr>
      <w:r w:rsidRPr="009B2602">
        <w:rPr>
          <w:rFonts w:ascii="Arial" w:hAnsi="Arial" w:cs="Arial"/>
          <w:b/>
          <w:bCs/>
          <w:lang w:val="en-IN"/>
        </w:rPr>
        <w:t>Recommendation 3: Invest in workforce training and leadership development at primary care level</w:t>
      </w:r>
    </w:p>
    <w:p w14:paraId="07078B93" w14:textId="77777777" w:rsidR="009B2602" w:rsidRPr="009B2602" w:rsidRDefault="009B2602" w:rsidP="00812AD4">
      <w:pPr>
        <w:spacing w:after="0" w:line="360" w:lineRule="auto"/>
        <w:jc w:val="both"/>
        <w:rPr>
          <w:rFonts w:ascii="Arial" w:hAnsi="Arial" w:cs="Arial"/>
          <w:lang w:val="en-IN"/>
        </w:rPr>
      </w:pPr>
      <w:r w:rsidRPr="009B2602">
        <w:rPr>
          <w:rFonts w:ascii="Arial" w:hAnsi="Arial" w:cs="Arial"/>
          <w:b/>
          <w:bCs/>
          <w:lang w:val="en-IN"/>
        </w:rPr>
        <w:t xml:space="preserve"> </w:t>
      </w:r>
      <w:r w:rsidR="001D79D3" w:rsidRPr="001D79D3">
        <w:rPr>
          <w:rFonts w:ascii="Arial" w:hAnsi="Arial" w:cs="Arial"/>
        </w:rPr>
        <w:t>The way forward is to enable the frontline staff to have clinical expertise and leadership skills to enhance their performance. It is demonstrated in the literature of leadership development that coaching and continuous training can improve decision-making, confidence and performance among healthcare professionals (</w:t>
      </w:r>
      <w:proofErr w:type="spellStart"/>
      <w:r w:rsidR="001D79D3" w:rsidRPr="001D79D3">
        <w:rPr>
          <w:rFonts w:ascii="Arial" w:hAnsi="Arial" w:cs="Arial"/>
        </w:rPr>
        <w:t>Hunaiti</w:t>
      </w:r>
      <w:proofErr w:type="spellEnd"/>
      <w:r w:rsidR="001D79D3" w:rsidRPr="001D79D3">
        <w:rPr>
          <w:rFonts w:ascii="Arial" w:hAnsi="Arial" w:cs="Arial"/>
        </w:rPr>
        <w:t>, 2024). Along with this, the full-range leadership framework emphasizes the need to train resilient leaders with the ability to react freely to multifaceted health issues in the society. In this instance, it is the initial symptoms, which were poorly perceived at the initial contact because of low awareness and confidence. The training programmes should thus be based on early recognition of SCD, protocols of escalation, and clinical judgement where the frontline staff must not just be clinically competent but also the staffs are empowered to make decisions in the ambiguous circumstances.</w:t>
      </w:r>
    </w:p>
    <w:p w14:paraId="47824485" w14:textId="77777777" w:rsidR="009B2602" w:rsidRPr="009B2602" w:rsidRDefault="009B2602" w:rsidP="006415DB">
      <w:pPr>
        <w:pStyle w:val="Heading2"/>
      </w:pPr>
      <w:bookmarkStart w:id="23" w:name="_Toc226464021"/>
      <w:r w:rsidRPr="009B2602">
        <w:t>6.2 Best leadership style for sustained improvement</w:t>
      </w:r>
      <w:bookmarkEnd w:id="23"/>
      <w:r w:rsidRPr="009B2602">
        <w:t xml:space="preserve"> </w:t>
      </w:r>
    </w:p>
    <w:p w14:paraId="6B8B6C0B" w14:textId="77777777" w:rsidR="009B2602" w:rsidRPr="009B2602" w:rsidRDefault="001D79D3" w:rsidP="00812AD4">
      <w:pPr>
        <w:spacing w:after="0" w:line="360" w:lineRule="auto"/>
        <w:jc w:val="both"/>
        <w:rPr>
          <w:rFonts w:ascii="Arial" w:hAnsi="Arial" w:cs="Arial"/>
          <w:lang w:val="en-IN"/>
        </w:rPr>
      </w:pPr>
      <w:r w:rsidRPr="001D79D3">
        <w:rPr>
          <w:rFonts w:ascii="Arial" w:hAnsi="Arial" w:cs="Arial"/>
        </w:rPr>
        <w:t xml:space="preserve">A combined leadership style integrating transformational, systems, and distributed leadership is the best leadership style that can be maintained in this case. Transformational leadership is needed due to the fact that it can inspire employees, create vision, and facilitate the process of change implementation, which is indispensable in the implementation of the screening and integrated care pathways (Wu </w:t>
      </w:r>
      <w:r w:rsidR="00245EB7" w:rsidRPr="00245EB7">
        <w:rPr>
          <w:rFonts w:ascii="Arial" w:hAnsi="Arial" w:cs="Arial"/>
          <w:i/>
        </w:rPr>
        <w:t>et al.</w:t>
      </w:r>
      <w:r w:rsidRPr="001D79D3">
        <w:rPr>
          <w:rFonts w:ascii="Arial" w:hAnsi="Arial" w:cs="Arial"/>
        </w:rPr>
        <w:t xml:space="preserve"> 2024). This is augmented with systems leadership, which </w:t>
      </w:r>
      <w:r w:rsidRPr="001D79D3">
        <w:rPr>
          <w:rFonts w:ascii="Arial" w:hAnsi="Arial" w:cs="Arial"/>
        </w:rPr>
        <w:lastRenderedPageBreak/>
        <w:t xml:space="preserve">acknowledges the interdependences of the healthcare pathway, meaning that a decision will take into account the whole care continuum and not individual services (Singh </w:t>
      </w:r>
      <w:r w:rsidR="00245EB7" w:rsidRPr="00245EB7">
        <w:rPr>
          <w:rFonts w:ascii="Arial" w:hAnsi="Arial" w:cs="Arial"/>
          <w:i/>
        </w:rPr>
        <w:t>et al.</w:t>
      </w:r>
      <w:r w:rsidRPr="001D79D3">
        <w:rPr>
          <w:rFonts w:ascii="Arial" w:hAnsi="Arial" w:cs="Arial"/>
        </w:rPr>
        <w:t xml:space="preserve"> 2024). Distributed leadership is also significant because it will give an opportunity to share decision-making authority with frontline employees who are the most appropriate to notice the initial symptoms and intensify care. The centralised expertise in this instance led to timely diagnosis being slowed and there is a requirement to have leadership that enables the local action and at the same time a coordination of the system. Blended leadership model guarantees an element of strategic direction and responsiveness in operations which is required in enhancing sustainability</w:t>
      </w:r>
      <w:r w:rsidR="009B2602" w:rsidRPr="009B2602">
        <w:rPr>
          <w:rFonts w:ascii="Arial" w:hAnsi="Arial" w:cs="Arial"/>
          <w:lang w:val="en-IN"/>
        </w:rPr>
        <w:t>.</w:t>
      </w:r>
    </w:p>
    <w:p w14:paraId="1E9E5CE8" w14:textId="77777777" w:rsidR="00930704" w:rsidRDefault="00930704" w:rsidP="006415DB">
      <w:pPr>
        <w:pStyle w:val="Heading2"/>
      </w:pPr>
      <w:bookmarkStart w:id="24" w:name="_Toc226464022"/>
    </w:p>
    <w:p w14:paraId="5EBCD802" w14:textId="0832C438" w:rsidR="009B2602" w:rsidRPr="009B2602" w:rsidRDefault="009B2602" w:rsidP="006415DB">
      <w:pPr>
        <w:pStyle w:val="Heading2"/>
      </w:pPr>
      <w:r w:rsidRPr="009B2602">
        <w:t>6.3 Governance, communication, and integration improvements</w:t>
      </w:r>
      <w:bookmarkEnd w:id="24"/>
      <w:r w:rsidRPr="009B2602">
        <w:t xml:space="preserve"> </w:t>
      </w:r>
    </w:p>
    <w:p w14:paraId="0DB7A1DE" w14:textId="77777777" w:rsidR="009B2602" w:rsidRPr="009B2602" w:rsidRDefault="001D79D3" w:rsidP="00812AD4">
      <w:pPr>
        <w:spacing w:after="0" w:line="360" w:lineRule="auto"/>
        <w:jc w:val="both"/>
        <w:rPr>
          <w:rFonts w:ascii="Arial" w:hAnsi="Arial" w:cs="Arial"/>
          <w:lang w:val="en-IN"/>
        </w:rPr>
      </w:pPr>
      <w:r w:rsidRPr="001D79D3">
        <w:rPr>
          <w:rFonts w:ascii="Arial" w:hAnsi="Arial" w:cs="Arial"/>
        </w:rPr>
        <w:t xml:space="preserve">It must enhance governance by improving the policies, accountability and integration at the various levels of care. The successful healthcare systems are based on the leadership framework that correlates the strategy with the process of operations and disintegrates the services (Lemak </w:t>
      </w:r>
      <w:r w:rsidR="00245EB7" w:rsidRPr="00245EB7">
        <w:rPr>
          <w:rFonts w:ascii="Arial" w:hAnsi="Arial" w:cs="Arial"/>
          <w:i/>
        </w:rPr>
        <w:t>et al.</w:t>
      </w:r>
      <w:r w:rsidRPr="001D79D3">
        <w:rPr>
          <w:rFonts w:ascii="Arial" w:hAnsi="Arial" w:cs="Arial"/>
        </w:rPr>
        <w:t xml:space="preserve"> 2024). There should also be the enhancement of communication by the use of standardised referral procedures, common information systems and clear channels of escalation in order to provide continuity of care. The studies in the field of healthcare leadership point to the fact that the work with complex systems needs the organization of resources, policies, and channels of communications to provide efficient care (Zarif </w:t>
      </w:r>
      <w:r w:rsidR="00245EB7" w:rsidRPr="00245EB7">
        <w:rPr>
          <w:rFonts w:ascii="Arial" w:hAnsi="Arial" w:cs="Arial"/>
          <w:i/>
        </w:rPr>
        <w:t>et al.</w:t>
      </w:r>
      <w:r w:rsidRPr="001D79D3">
        <w:rPr>
          <w:rFonts w:ascii="Arial" w:hAnsi="Arial" w:cs="Arial"/>
        </w:rPr>
        <w:t xml:space="preserve"> 2024). In the given situation, the poor communication between the primary and tertiary care led to the loss of timely diagnosis and the recurring admissions. The integration should then aim at connecting the community awareness, primary care detecting, diagnostic services, and specialist treatment to one co-ordinated pathway. Effective governance should have the mandate of ensuring that these processes are always put into use and followed</w:t>
      </w:r>
      <w:r w:rsidR="009B2602" w:rsidRPr="009B2602">
        <w:rPr>
          <w:rFonts w:ascii="Arial" w:hAnsi="Arial" w:cs="Arial"/>
          <w:lang w:val="en-IN"/>
        </w:rPr>
        <w:t>.</w:t>
      </w:r>
    </w:p>
    <w:p w14:paraId="207C6DD5" w14:textId="77777777" w:rsidR="00930704" w:rsidRDefault="00930704" w:rsidP="006415DB">
      <w:pPr>
        <w:pStyle w:val="Heading2"/>
      </w:pPr>
      <w:bookmarkStart w:id="25" w:name="_Toc226464023"/>
    </w:p>
    <w:p w14:paraId="58C96CA8" w14:textId="3C5EEB7A" w:rsidR="009B2602" w:rsidRPr="009B2602" w:rsidRDefault="009B2602" w:rsidP="006415DB">
      <w:pPr>
        <w:pStyle w:val="Heading2"/>
      </w:pPr>
      <w:r w:rsidRPr="009B2602">
        <w:t>6.4 Continuous learning and stakeholder engagement</w:t>
      </w:r>
      <w:bookmarkEnd w:id="25"/>
      <w:r w:rsidRPr="009B2602">
        <w:t xml:space="preserve"> </w:t>
      </w:r>
    </w:p>
    <w:p w14:paraId="425A4CE9" w14:textId="77777777" w:rsidR="006E6809" w:rsidRPr="00736C24" w:rsidRDefault="005F5688" w:rsidP="00812AD4">
      <w:pPr>
        <w:spacing w:after="0" w:line="360" w:lineRule="auto"/>
        <w:jc w:val="both"/>
        <w:rPr>
          <w:rFonts w:ascii="Arial" w:hAnsi="Arial" w:cs="Arial"/>
          <w:lang w:val="en-IN"/>
        </w:rPr>
      </w:pPr>
      <w:r w:rsidRPr="005F5688">
        <w:rPr>
          <w:rFonts w:ascii="Arial" w:hAnsi="Arial" w:cs="Arial"/>
        </w:rPr>
        <w:t xml:space="preserve">It should be a learning health system approach and the organisation should apply data, feedback and input of stakeholders constantly to improve. According to the literature on leadership, adaptive learning and teamwork are critical in addressing complicated healthcare issues (Singh </w:t>
      </w:r>
      <w:r w:rsidR="00245EB7" w:rsidRPr="00245EB7">
        <w:rPr>
          <w:rFonts w:ascii="Arial" w:hAnsi="Arial" w:cs="Arial"/>
          <w:i/>
        </w:rPr>
        <w:t>et al.</w:t>
      </w:r>
      <w:r w:rsidRPr="005F5688">
        <w:rPr>
          <w:rFonts w:ascii="Arial" w:hAnsi="Arial" w:cs="Arial"/>
        </w:rPr>
        <w:t xml:space="preserve"> 2024). Involving patients, families, and frontline personnel will result in the provision of responsive, sustainable, and need-oriented services</w:t>
      </w:r>
      <w:r w:rsidR="009B2602" w:rsidRPr="009B2602">
        <w:rPr>
          <w:rFonts w:ascii="Arial" w:hAnsi="Arial" w:cs="Arial"/>
          <w:lang w:val="en-IN"/>
        </w:rPr>
        <w:t>.</w:t>
      </w:r>
    </w:p>
    <w:p w14:paraId="4A918346" w14:textId="77777777" w:rsidR="00930704" w:rsidRDefault="00930704" w:rsidP="006415DB">
      <w:pPr>
        <w:pStyle w:val="Heading1"/>
      </w:pPr>
      <w:bookmarkStart w:id="26" w:name="_Toc226464024"/>
    </w:p>
    <w:p w14:paraId="1D45655B" w14:textId="608E34EE" w:rsidR="006E6809" w:rsidRPr="00736C24" w:rsidRDefault="00736C24" w:rsidP="006415DB">
      <w:pPr>
        <w:pStyle w:val="Heading1"/>
      </w:pPr>
      <w:r w:rsidRPr="00736C24">
        <w:t>7</w:t>
      </w:r>
      <w:r w:rsidR="006E6809" w:rsidRPr="00736C24">
        <w:t>. Conclusion</w:t>
      </w:r>
      <w:bookmarkEnd w:id="26"/>
      <w:r w:rsidR="006E6809" w:rsidRPr="00736C24">
        <w:t xml:space="preserve"> </w:t>
      </w:r>
    </w:p>
    <w:p w14:paraId="0A4E1E51" w14:textId="77777777" w:rsidR="00F461A2" w:rsidRPr="00F461A2" w:rsidRDefault="00F461A2" w:rsidP="006415DB">
      <w:pPr>
        <w:pStyle w:val="Heading2"/>
      </w:pPr>
      <w:bookmarkStart w:id="27" w:name="_Toc226464025"/>
      <w:r w:rsidRPr="00F461A2">
        <w:t>7.1 Summary of findings</w:t>
      </w:r>
      <w:bookmarkEnd w:id="27"/>
      <w:r w:rsidRPr="00F461A2">
        <w:t xml:space="preserve"> </w:t>
      </w:r>
    </w:p>
    <w:p w14:paraId="71EDBD20" w14:textId="77777777" w:rsidR="00F461A2" w:rsidRPr="00F461A2" w:rsidRDefault="005F5688" w:rsidP="00812AD4">
      <w:pPr>
        <w:spacing w:after="0" w:line="360" w:lineRule="auto"/>
        <w:jc w:val="both"/>
        <w:rPr>
          <w:rFonts w:ascii="Arial" w:hAnsi="Arial" w:cs="Arial"/>
          <w:lang w:val="en-IN"/>
        </w:rPr>
      </w:pPr>
      <w:r w:rsidRPr="005F5688">
        <w:rPr>
          <w:rFonts w:ascii="Arial" w:hAnsi="Arial" w:cs="Arial"/>
        </w:rPr>
        <w:t xml:space="preserve">In this case study, it is established that the manifestation of sickle cell disease in infancy is not simply a clinical problem but an expression of systemic vulnerabilities in health care delivery. </w:t>
      </w:r>
      <w:r w:rsidRPr="005F5688">
        <w:rPr>
          <w:rFonts w:ascii="Arial" w:hAnsi="Arial" w:cs="Arial"/>
        </w:rPr>
        <w:lastRenderedPageBreak/>
        <w:t>It was found that the poor coordination among the various levels of the health system, the lack of prompt screening and the fragmentary nature of the care paths led to the delay of diagnosis. Its organisational design was tending to be highly centralised and specialist services were focused in the tertiary level and the primary care did not have the ability and mandate to pick and intervene early. These outcomes were heavily affected by leadership, and it is indicated that the system was more reactive than proactive. The systems thinking also had shown that the repeated hospital admissions were not isolated incidences but a reinforcing feedback loop motivated by an ineffectiveness of integration, late detection and ineffective governance</w:t>
      </w:r>
      <w:r w:rsidR="00F461A2" w:rsidRPr="00F461A2">
        <w:rPr>
          <w:rFonts w:ascii="Arial" w:hAnsi="Arial" w:cs="Arial"/>
          <w:lang w:val="en-IN"/>
        </w:rPr>
        <w:t>.</w:t>
      </w:r>
    </w:p>
    <w:p w14:paraId="217832F9" w14:textId="77777777" w:rsidR="00930704" w:rsidRDefault="00930704" w:rsidP="006415DB">
      <w:pPr>
        <w:pStyle w:val="Heading2"/>
      </w:pPr>
      <w:bookmarkStart w:id="28" w:name="_Toc226464026"/>
    </w:p>
    <w:p w14:paraId="487D5B34" w14:textId="4B65F516" w:rsidR="00F461A2" w:rsidRPr="00F461A2" w:rsidRDefault="00F461A2" w:rsidP="006415DB">
      <w:pPr>
        <w:pStyle w:val="Heading2"/>
      </w:pPr>
      <w:r w:rsidRPr="00F461A2">
        <w:t>7.2 Final conclusion on leadership, governance, and systems thinking</w:t>
      </w:r>
      <w:bookmarkEnd w:id="28"/>
      <w:r w:rsidRPr="00F461A2">
        <w:t xml:space="preserve"> </w:t>
      </w:r>
    </w:p>
    <w:p w14:paraId="0C20A6FF" w14:textId="77777777" w:rsidR="009C5A51" w:rsidRDefault="005F5688" w:rsidP="00812AD4">
      <w:pPr>
        <w:spacing w:after="0" w:line="360" w:lineRule="auto"/>
        <w:jc w:val="both"/>
        <w:rPr>
          <w:rFonts w:ascii="Arial" w:hAnsi="Arial" w:cs="Arial"/>
          <w:lang w:val="en-IN"/>
        </w:rPr>
      </w:pPr>
      <w:r w:rsidRPr="005F5688">
        <w:rPr>
          <w:rFonts w:ascii="Arial" w:hAnsi="Arial" w:cs="Arial"/>
        </w:rPr>
        <w:t>On the whole, this case indicates that the best approach to improving health outcomes is not just clinical knowledge; it is also about leadership and good governance, as well as a systems-based approach. The leadership should stop with hierarchy-based control and transition to distributed and adaptive models of leadership that empower the frontline personnel and enable coordination within the system. Governance should see that there exist policies, resources, and accountability channels that can gird early detection and onward care as opposed to the dependent crisis management. So systems thinking is needed to comprehend how various parts relate to each other and to develop intervention that tackles root causes and never symptoms. In the absence of these alterations, in place of mitigating the crises, healthcare systems only reacted to them, resulting in collateral damages and wastage of resources</w:t>
      </w:r>
      <w:r w:rsidR="00F461A2" w:rsidRPr="00F461A2">
        <w:rPr>
          <w:rFonts w:ascii="Arial" w:hAnsi="Arial" w:cs="Arial"/>
          <w:lang w:val="en-IN"/>
        </w:rPr>
        <w:t>.</w:t>
      </w:r>
    </w:p>
    <w:p w14:paraId="5BB33497" w14:textId="77777777" w:rsidR="009C5A51" w:rsidRDefault="009C5A51">
      <w:pPr>
        <w:rPr>
          <w:rFonts w:ascii="Arial" w:hAnsi="Arial" w:cs="Arial"/>
          <w:lang w:val="en-IN"/>
        </w:rPr>
      </w:pPr>
      <w:r>
        <w:rPr>
          <w:rFonts w:ascii="Arial" w:hAnsi="Arial" w:cs="Arial"/>
          <w:lang w:val="en-IN"/>
        </w:rPr>
        <w:br w:type="page"/>
      </w:r>
    </w:p>
    <w:p w14:paraId="04F5684A" w14:textId="77777777" w:rsidR="008B632A" w:rsidRPr="006415DB" w:rsidRDefault="009C5A51" w:rsidP="006415DB">
      <w:pPr>
        <w:pStyle w:val="Heading1"/>
      </w:pPr>
      <w:bookmarkStart w:id="29" w:name="_Toc226464027"/>
      <w:r w:rsidRPr="006415DB">
        <w:lastRenderedPageBreak/>
        <w:t>References</w:t>
      </w:r>
      <w:bookmarkEnd w:id="29"/>
    </w:p>
    <w:p w14:paraId="55AE93C8" w14:textId="77777777" w:rsidR="00360196" w:rsidRPr="006E03E2" w:rsidRDefault="00360196" w:rsidP="006E03E2">
      <w:pPr>
        <w:pStyle w:val="ListParagraph"/>
        <w:numPr>
          <w:ilvl w:val="0"/>
          <w:numId w:val="1"/>
        </w:numPr>
        <w:spacing w:after="0" w:line="360" w:lineRule="auto"/>
        <w:jc w:val="both"/>
        <w:rPr>
          <w:rFonts w:ascii="Arial" w:hAnsi="Arial" w:cs="Arial"/>
        </w:rPr>
      </w:pPr>
      <w:proofErr w:type="spellStart"/>
      <w:r w:rsidRPr="006E03E2">
        <w:rPr>
          <w:rFonts w:ascii="Arial" w:hAnsi="Arial" w:cs="Arial"/>
        </w:rPr>
        <w:t>Abousoliman</w:t>
      </w:r>
      <w:proofErr w:type="spellEnd"/>
      <w:r w:rsidRPr="006E03E2">
        <w:rPr>
          <w:rFonts w:ascii="Arial" w:hAnsi="Arial" w:cs="Arial"/>
        </w:rPr>
        <w:t>, A.D. and Hamed, H.M., 2024. Effect of authentic leadership on Nurses’ psychological distress and turnover intention. </w:t>
      </w:r>
      <w:r w:rsidRPr="006E03E2">
        <w:rPr>
          <w:rFonts w:ascii="Arial" w:hAnsi="Arial" w:cs="Arial"/>
          <w:i/>
          <w:iCs/>
        </w:rPr>
        <w:t>International Journal of Africa Nursing Sciences</w:t>
      </w:r>
      <w:r w:rsidRPr="006E03E2">
        <w:rPr>
          <w:rFonts w:ascii="Arial" w:hAnsi="Arial" w:cs="Arial"/>
        </w:rPr>
        <w:t>, </w:t>
      </w:r>
      <w:r w:rsidRPr="006E03E2">
        <w:rPr>
          <w:rFonts w:ascii="Arial" w:hAnsi="Arial" w:cs="Arial"/>
          <w:i/>
          <w:iCs/>
        </w:rPr>
        <w:t>20</w:t>
      </w:r>
      <w:r w:rsidRPr="006E03E2">
        <w:rPr>
          <w:rFonts w:ascii="Arial" w:hAnsi="Arial" w:cs="Arial"/>
        </w:rPr>
        <w:t xml:space="preserve">, p.100722. </w:t>
      </w:r>
      <w:hyperlink r:id="rId10" w:history="1">
        <w:r w:rsidRPr="006E03E2">
          <w:rPr>
            <w:rStyle w:val="Hyperlink"/>
            <w:rFonts w:ascii="Arial" w:hAnsi="Arial" w:cs="Arial"/>
          </w:rPr>
          <w:t>https://www.sciencedirect.com/science/article/pii/S2214139124000672</w:t>
        </w:r>
      </w:hyperlink>
      <w:r w:rsidRPr="006E03E2">
        <w:rPr>
          <w:rFonts w:ascii="Arial" w:hAnsi="Arial" w:cs="Arial"/>
        </w:rPr>
        <w:t xml:space="preserve"> </w:t>
      </w:r>
    </w:p>
    <w:p w14:paraId="256842A3"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Alharbi, M.F., </w:t>
      </w:r>
      <w:proofErr w:type="spellStart"/>
      <w:r w:rsidRPr="006E03E2">
        <w:rPr>
          <w:rFonts w:ascii="Arial" w:hAnsi="Arial" w:cs="Arial"/>
        </w:rPr>
        <w:t>Senitan</w:t>
      </w:r>
      <w:proofErr w:type="spellEnd"/>
      <w:r w:rsidRPr="006E03E2">
        <w:rPr>
          <w:rFonts w:ascii="Arial" w:hAnsi="Arial" w:cs="Arial"/>
        </w:rPr>
        <w:t xml:space="preserve">, M., Mominkhan, D., Smith, S., </w:t>
      </w:r>
      <w:proofErr w:type="spellStart"/>
      <w:r w:rsidRPr="006E03E2">
        <w:rPr>
          <w:rFonts w:ascii="Arial" w:hAnsi="Arial" w:cs="Arial"/>
        </w:rPr>
        <w:t>ALOtaibi</w:t>
      </w:r>
      <w:proofErr w:type="spellEnd"/>
      <w:r w:rsidRPr="006E03E2">
        <w:rPr>
          <w:rFonts w:ascii="Arial" w:hAnsi="Arial" w:cs="Arial"/>
        </w:rPr>
        <w:t xml:space="preserve">, M., Siwek, M., Ohanlon, T., </w:t>
      </w:r>
      <w:proofErr w:type="spellStart"/>
      <w:r w:rsidRPr="006E03E2">
        <w:rPr>
          <w:rFonts w:ascii="Arial" w:hAnsi="Arial" w:cs="Arial"/>
        </w:rPr>
        <w:t>Alqablan</w:t>
      </w:r>
      <w:proofErr w:type="spellEnd"/>
      <w:r w:rsidRPr="006E03E2">
        <w:rPr>
          <w:rFonts w:ascii="Arial" w:hAnsi="Arial" w:cs="Arial"/>
        </w:rPr>
        <w:t xml:space="preserve">, F., Alqahtani, S. and </w:t>
      </w:r>
      <w:proofErr w:type="spellStart"/>
      <w:r w:rsidRPr="006E03E2">
        <w:rPr>
          <w:rFonts w:ascii="Arial" w:hAnsi="Arial" w:cs="Arial"/>
        </w:rPr>
        <w:t>Alabdulaali</w:t>
      </w:r>
      <w:proofErr w:type="spellEnd"/>
      <w:r w:rsidRPr="006E03E2">
        <w:rPr>
          <w:rFonts w:ascii="Arial" w:hAnsi="Arial" w:cs="Arial"/>
        </w:rPr>
        <w:t>, M.K., 2024. Digital innovative healthcare during a pandemic and beyond: a showcase of the large-scale and integrated Saudi smart national health command centre. </w:t>
      </w:r>
      <w:r w:rsidRPr="006E03E2">
        <w:rPr>
          <w:rFonts w:ascii="Arial" w:hAnsi="Arial" w:cs="Arial"/>
          <w:i/>
          <w:iCs/>
        </w:rPr>
        <w:t>BMJ leader</w:t>
      </w:r>
      <w:r w:rsidRPr="006E03E2">
        <w:rPr>
          <w:rFonts w:ascii="Arial" w:hAnsi="Arial" w:cs="Arial"/>
        </w:rPr>
        <w:t>, </w:t>
      </w:r>
      <w:r w:rsidRPr="006E03E2">
        <w:rPr>
          <w:rFonts w:ascii="Arial" w:hAnsi="Arial" w:cs="Arial"/>
          <w:i/>
          <w:iCs/>
        </w:rPr>
        <w:t>9</w:t>
      </w:r>
      <w:r w:rsidRPr="006E03E2">
        <w:rPr>
          <w:rFonts w:ascii="Arial" w:hAnsi="Arial" w:cs="Arial"/>
        </w:rPr>
        <w:t xml:space="preserve">(1), p.e000890. </w:t>
      </w:r>
      <w:hyperlink r:id="rId11" w:history="1">
        <w:r w:rsidRPr="006E03E2">
          <w:rPr>
            <w:rStyle w:val="Hyperlink"/>
            <w:rFonts w:ascii="Arial" w:hAnsi="Arial" w:cs="Arial"/>
          </w:rPr>
          <w:t>https://pmc.ncbi.nlm.nih.gov/articles/PMC12038150/</w:t>
        </w:r>
      </w:hyperlink>
      <w:r w:rsidRPr="006E03E2">
        <w:rPr>
          <w:rFonts w:ascii="Arial" w:hAnsi="Arial" w:cs="Arial"/>
        </w:rPr>
        <w:t xml:space="preserve"> </w:t>
      </w:r>
    </w:p>
    <w:p w14:paraId="2BD13F08"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Ali, H.M., Ranse, J., </w:t>
      </w:r>
      <w:proofErr w:type="spellStart"/>
      <w:r w:rsidRPr="006E03E2">
        <w:rPr>
          <w:rFonts w:ascii="Arial" w:hAnsi="Arial" w:cs="Arial"/>
        </w:rPr>
        <w:t>Roiko</w:t>
      </w:r>
      <w:proofErr w:type="spellEnd"/>
      <w:r w:rsidRPr="006E03E2">
        <w:rPr>
          <w:rFonts w:ascii="Arial" w:hAnsi="Arial" w:cs="Arial"/>
        </w:rPr>
        <w:t>, A. and Desha, C., 2024. Developing a healthcare transformational leadership competency framework for disaster resilience and risk management. </w:t>
      </w:r>
      <w:r w:rsidRPr="006E03E2">
        <w:rPr>
          <w:rFonts w:ascii="Arial" w:hAnsi="Arial" w:cs="Arial"/>
          <w:i/>
          <w:iCs/>
        </w:rPr>
        <w:t>International Journal of Disaster Risk Reduction</w:t>
      </w:r>
      <w:r w:rsidRPr="006E03E2">
        <w:rPr>
          <w:rFonts w:ascii="Arial" w:hAnsi="Arial" w:cs="Arial"/>
        </w:rPr>
        <w:t>, </w:t>
      </w:r>
      <w:r w:rsidRPr="006E03E2">
        <w:rPr>
          <w:rFonts w:ascii="Arial" w:hAnsi="Arial" w:cs="Arial"/>
          <w:i/>
          <w:iCs/>
        </w:rPr>
        <w:t>113</w:t>
      </w:r>
      <w:r w:rsidRPr="006E03E2">
        <w:rPr>
          <w:rFonts w:ascii="Arial" w:hAnsi="Arial" w:cs="Arial"/>
        </w:rPr>
        <w:t xml:space="preserve">, p.104898. </w:t>
      </w:r>
      <w:hyperlink r:id="rId12" w:history="1">
        <w:r w:rsidRPr="006E03E2">
          <w:rPr>
            <w:rStyle w:val="Hyperlink"/>
            <w:rFonts w:ascii="Arial" w:hAnsi="Arial" w:cs="Arial"/>
          </w:rPr>
          <w:t>https://www.sciencedirect.com/science/article/pii/S2212420924006605</w:t>
        </w:r>
      </w:hyperlink>
      <w:r w:rsidRPr="006E03E2">
        <w:rPr>
          <w:rFonts w:ascii="Arial" w:hAnsi="Arial" w:cs="Arial"/>
        </w:rPr>
        <w:t xml:space="preserve"> </w:t>
      </w:r>
    </w:p>
    <w:p w14:paraId="156BEB41"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Almeharish</w:t>
      </w:r>
      <w:proofErr w:type="spellEnd"/>
      <w:r w:rsidRPr="006E03E2">
        <w:rPr>
          <w:rFonts w:ascii="Arial" w:hAnsi="Arial" w:cs="Arial"/>
        </w:rPr>
        <w:t>, A. and Bugis, B.A., 2023. Evaluation of the factors influencing self-leadership in the Saudi’s healthcare sector: A systematic review. </w:t>
      </w:r>
      <w:r w:rsidRPr="006E03E2">
        <w:rPr>
          <w:rFonts w:ascii="Arial" w:hAnsi="Arial" w:cs="Arial"/>
          <w:i/>
          <w:iCs/>
        </w:rPr>
        <w:t>The Open Public Health Journal</w:t>
      </w:r>
      <w:r w:rsidRPr="006E03E2">
        <w:rPr>
          <w:rFonts w:ascii="Arial" w:hAnsi="Arial" w:cs="Arial"/>
        </w:rPr>
        <w:t>, </w:t>
      </w:r>
      <w:r w:rsidRPr="006E03E2">
        <w:rPr>
          <w:rFonts w:ascii="Arial" w:hAnsi="Arial" w:cs="Arial"/>
          <w:i/>
          <w:iCs/>
        </w:rPr>
        <w:t>16</w:t>
      </w:r>
      <w:r w:rsidRPr="006E03E2">
        <w:rPr>
          <w:rFonts w:ascii="Arial" w:hAnsi="Arial" w:cs="Arial"/>
        </w:rPr>
        <w:t xml:space="preserve">(1). </w:t>
      </w:r>
      <w:hyperlink r:id="rId13" w:history="1">
        <w:r w:rsidRPr="006E03E2">
          <w:rPr>
            <w:rStyle w:val="Hyperlink"/>
            <w:rFonts w:ascii="Arial" w:hAnsi="Arial" w:cs="Arial"/>
          </w:rPr>
          <w:t>https://www.openpublichealthjournal.com/VOLUME/16/ELOCATOR/e187494452302222/FULLTEXT/</w:t>
        </w:r>
      </w:hyperlink>
      <w:r w:rsidRPr="006E03E2">
        <w:rPr>
          <w:rFonts w:ascii="Arial" w:hAnsi="Arial" w:cs="Arial"/>
        </w:rPr>
        <w:t xml:space="preserve"> </w:t>
      </w:r>
    </w:p>
    <w:p w14:paraId="682CCBD1"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Amuzu</w:t>
      </w:r>
      <w:proofErr w:type="spellEnd"/>
      <w:r w:rsidRPr="006E03E2">
        <w:rPr>
          <w:rFonts w:ascii="Arial" w:hAnsi="Arial" w:cs="Arial"/>
        </w:rPr>
        <w:t xml:space="preserve">, E.X., Urio, F., Dogbe, E.E., </w:t>
      </w:r>
      <w:proofErr w:type="spellStart"/>
      <w:r w:rsidRPr="006E03E2">
        <w:rPr>
          <w:rFonts w:ascii="Arial" w:hAnsi="Arial" w:cs="Arial"/>
        </w:rPr>
        <w:t>Ponsian</w:t>
      </w:r>
      <w:proofErr w:type="spellEnd"/>
      <w:r w:rsidRPr="006E03E2">
        <w:rPr>
          <w:rFonts w:ascii="Arial" w:hAnsi="Arial" w:cs="Arial"/>
        </w:rPr>
        <w:t xml:space="preserve">, P., Abubakar, S.Y., Okeke, C., Balogun, O.O., </w:t>
      </w:r>
      <w:proofErr w:type="spellStart"/>
      <w:r w:rsidRPr="006E03E2">
        <w:rPr>
          <w:rFonts w:ascii="Arial" w:hAnsi="Arial" w:cs="Arial"/>
        </w:rPr>
        <w:t>Ozumba</w:t>
      </w:r>
      <w:proofErr w:type="spellEnd"/>
      <w:r w:rsidRPr="006E03E2">
        <w:rPr>
          <w:rFonts w:ascii="Arial" w:hAnsi="Arial" w:cs="Arial"/>
        </w:rPr>
        <w:t xml:space="preserve">, P.J., Osei-Akoto, A., Paintsil, V. and </w:t>
      </w:r>
      <w:proofErr w:type="spellStart"/>
      <w:r w:rsidRPr="006E03E2">
        <w:rPr>
          <w:rFonts w:ascii="Arial" w:hAnsi="Arial" w:cs="Arial"/>
        </w:rPr>
        <w:t>Nnodu</w:t>
      </w:r>
      <w:proofErr w:type="spellEnd"/>
      <w:r w:rsidRPr="006E03E2">
        <w:rPr>
          <w:rFonts w:ascii="Arial" w:hAnsi="Arial" w:cs="Arial"/>
        </w:rPr>
        <w:t>, O., 2025. Clinical manifestations of sickle cell disease in Africa and its association with foetal haemoglobin parameters. </w:t>
      </w:r>
      <w:r w:rsidRPr="006E03E2">
        <w:rPr>
          <w:rFonts w:ascii="Arial" w:hAnsi="Arial" w:cs="Arial"/>
          <w:i/>
          <w:iCs/>
        </w:rPr>
        <w:t>Communications Medicine</w:t>
      </w:r>
      <w:r w:rsidRPr="006E03E2">
        <w:rPr>
          <w:rFonts w:ascii="Arial" w:hAnsi="Arial" w:cs="Arial"/>
        </w:rPr>
        <w:t>, </w:t>
      </w:r>
      <w:r w:rsidRPr="006E03E2">
        <w:rPr>
          <w:rFonts w:ascii="Arial" w:hAnsi="Arial" w:cs="Arial"/>
          <w:i/>
          <w:iCs/>
        </w:rPr>
        <w:t>5</w:t>
      </w:r>
      <w:r w:rsidRPr="006E03E2">
        <w:rPr>
          <w:rFonts w:ascii="Arial" w:hAnsi="Arial" w:cs="Arial"/>
        </w:rPr>
        <w:t xml:space="preserve">(1), p.238. </w:t>
      </w:r>
      <w:hyperlink r:id="rId14" w:history="1">
        <w:r w:rsidRPr="006E03E2">
          <w:rPr>
            <w:rStyle w:val="Hyperlink"/>
            <w:rFonts w:ascii="Arial" w:hAnsi="Arial" w:cs="Arial"/>
          </w:rPr>
          <w:t>https://www.nature.com/articles/s43856-025-00954-z.pdf</w:t>
        </w:r>
      </w:hyperlink>
      <w:r w:rsidRPr="006E03E2">
        <w:rPr>
          <w:rFonts w:ascii="Arial" w:hAnsi="Arial" w:cs="Arial"/>
        </w:rPr>
        <w:t xml:space="preserve"> </w:t>
      </w:r>
    </w:p>
    <w:p w14:paraId="1993FB67"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Avan, B.I., </w:t>
      </w:r>
      <w:proofErr w:type="spellStart"/>
      <w:r w:rsidRPr="006E03E2">
        <w:rPr>
          <w:rFonts w:ascii="Arial" w:hAnsi="Arial" w:cs="Arial"/>
        </w:rPr>
        <w:t>Dubale</w:t>
      </w:r>
      <w:proofErr w:type="spellEnd"/>
      <w:r w:rsidRPr="006E03E2">
        <w:rPr>
          <w:rFonts w:ascii="Arial" w:hAnsi="Arial" w:cs="Arial"/>
        </w:rPr>
        <w:t>, M., Taye, G., Marchant, T., Persson, L.Å. and Schellenberg, J., 2024. Data-driven decision-making for district health management: a cluster-randomised study in 24 districts of Ethiopia. </w:t>
      </w:r>
      <w:r w:rsidRPr="006E03E2">
        <w:rPr>
          <w:rFonts w:ascii="Arial" w:hAnsi="Arial" w:cs="Arial"/>
          <w:i/>
          <w:iCs/>
        </w:rPr>
        <w:t>BMJ global health</w:t>
      </w:r>
      <w:r w:rsidRPr="006E03E2">
        <w:rPr>
          <w:rFonts w:ascii="Arial" w:hAnsi="Arial" w:cs="Arial"/>
        </w:rPr>
        <w:t>, </w:t>
      </w:r>
      <w:r w:rsidRPr="006E03E2">
        <w:rPr>
          <w:rFonts w:ascii="Arial" w:hAnsi="Arial" w:cs="Arial"/>
          <w:i/>
          <w:iCs/>
        </w:rPr>
        <w:t>9</w:t>
      </w:r>
      <w:r w:rsidRPr="006E03E2">
        <w:rPr>
          <w:rFonts w:ascii="Arial" w:hAnsi="Arial" w:cs="Arial"/>
        </w:rPr>
        <w:t xml:space="preserve">(2). </w:t>
      </w:r>
      <w:hyperlink r:id="rId15" w:history="1">
        <w:r w:rsidRPr="006E03E2">
          <w:rPr>
            <w:rStyle w:val="Hyperlink"/>
            <w:rFonts w:ascii="Arial" w:hAnsi="Arial" w:cs="Arial"/>
          </w:rPr>
          <w:t>https://gh.bmj.com/content/bmjgh/9/2/e014140.full.pdf</w:t>
        </w:r>
      </w:hyperlink>
      <w:r w:rsidRPr="006E03E2">
        <w:rPr>
          <w:rFonts w:ascii="Arial" w:hAnsi="Arial" w:cs="Arial"/>
        </w:rPr>
        <w:t xml:space="preserve"> </w:t>
      </w:r>
    </w:p>
    <w:p w14:paraId="5D20562A"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Bostan, S., Johnson, O.A., Jaspersen, L.J. and Randell, R., 2024. Contextual barriers to implementing open-source electronic health record systems for low-and lower-middle-income countries: scoping review. </w:t>
      </w:r>
      <w:r w:rsidRPr="006E03E2">
        <w:rPr>
          <w:rFonts w:ascii="Arial" w:hAnsi="Arial" w:cs="Arial"/>
          <w:i/>
          <w:iCs/>
        </w:rPr>
        <w:t>Journal of Medical Internet Research</w:t>
      </w:r>
      <w:r w:rsidRPr="006E03E2">
        <w:rPr>
          <w:rFonts w:ascii="Arial" w:hAnsi="Arial" w:cs="Arial"/>
        </w:rPr>
        <w:t>, </w:t>
      </w:r>
      <w:r w:rsidRPr="006E03E2">
        <w:rPr>
          <w:rFonts w:ascii="Arial" w:hAnsi="Arial" w:cs="Arial"/>
          <w:i/>
          <w:iCs/>
        </w:rPr>
        <w:t>26</w:t>
      </w:r>
      <w:r w:rsidRPr="006E03E2">
        <w:rPr>
          <w:rFonts w:ascii="Arial" w:hAnsi="Arial" w:cs="Arial"/>
        </w:rPr>
        <w:t xml:space="preserve">, p.e45242. </w:t>
      </w:r>
      <w:hyperlink r:id="rId16" w:history="1">
        <w:r w:rsidRPr="006E03E2">
          <w:rPr>
            <w:rStyle w:val="Hyperlink"/>
            <w:rFonts w:ascii="Arial" w:hAnsi="Arial" w:cs="Arial"/>
          </w:rPr>
          <w:t>https://www.jmir.org/2024/1/e45242/</w:t>
        </w:r>
      </w:hyperlink>
      <w:r w:rsidRPr="006E03E2">
        <w:rPr>
          <w:rFonts w:ascii="Arial" w:hAnsi="Arial" w:cs="Arial"/>
        </w:rPr>
        <w:t xml:space="preserve"> </w:t>
      </w:r>
    </w:p>
    <w:p w14:paraId="3C96687E"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Boudreaux, C., Wroe, E.B., Thapa, A., Abebe, N.A., Akiteng, A.R., Drown, L., </w:t>
      </w:r>
      <w:proofErr w:type="spellStart"/>
      <w:r w:rsidRPr="006E03E2">
        <w:rPr>
          <w:rFonts w:ascii="Arial" w:hAnsi="Arial" w:cs="Arial"/>
        </w:rPr>
        <w:t>Gadewar</w:t>
      </w:r>
      <w:proofErr w:type="spellEnd"/>
      <w:r w:rsidRPr="006E03E2">
        <w:rPr>
          <w:rFonts w:ascii="Arial" w:hAnsi="Arial" w:cs="Arial"/>
        </w:rPr>
        <w:t xml:space="preserve">, A., Karmacharya, B.M., Karki, S., Mansoor, M. and </w:t>
      </w:r>
      <w:proofErr w:type="spellStart"/>
      <w:r w:rsidRPr="006E03E2">
        <w:rPr>
          <w:rFonts w:ascii="Arial" w:hAnsi="Arial" w:cs="Arial"/>
        </w:rPr>
        <w:t>Mutagaywa</w:t>
      </w:r>
      <w:proofErr w:type="spellEnd"/>
      <w:r w:rsidRPr="006E03E2">
        <w:rPr>
          <w:rFonts w:ascii="Arial" w:hAnsi="Arial" w:cs="Arial"/>
        </w:rPr>
        <w:t>, R., 2025. Organization of services for severe chronic Noncommunicable diseases at first-level hospitals in nine lower-income countries: Results from a Baseline assessment of PEN-Plus initiation. </w:t>
      </w:r>
      <w:r w:rsidRPr="006E03E2">
        <w:rPr>
          <w:rFonts w:ascii="Arial" w:hAnsi="Arial" w:cs="Arial"/>
          <w:i/>
          <w:iCs/>
        </w:rPr>
        <w:t>PLOS Global Public Health</w:t>
      </w:r>
      <w:r w:rsidRPr="006E03E2">
        <w:rPr>
          <w:rFonts w:ascii="Arial" w:hAnsi="Arial" w:cs="Arial"/>
        </w:rPr>
        <w:t>, </w:t>
      </w:r>
      <w:r w:rsidRPr="006E03E2">
        <w:rPr>
          <w:rFonts w:ascii="Arial" w:hAnsi="Arial" w:cs="Arial"/>
          <w:i/>
          <w:iCs/>
        </w:rPr>
        <w:t>5</w:t>
      </w:r>
      <w:r w:rsidRPr="006E03E2">
        <w:rPr>
          <w:rFonts w:ascii="Arial" w:hAnsi="Arial" w:cs="Arial"/>
        </w:rPr>
        <w:t xml:space="preserve">(5), p.e0004552. </w:t>
      </w:r>
      <w:hyperlink r:id="rId17" w:history="1">
        <w:r w:rsidRPr="006E03E2">
          <w:rPr>
            <w:rStyle w:val="Hyperlink"/>
            <w:rFonts w:ascii="Arial" w:hAnsi="Arial" w:cs="Arial"/>
          </w:rPr>
          <w:t>https://journals.plos.org/globalpublichealth/article/file?id=10.1371/journal.pgph.0004552&amp;type=printable</w:t>
        </w:r>
      </w:hyperlink>
      <w:r w:rsidRPr="006E03E2">
        <w:rPr>
          <w:rFonts w:ascii="Arial" w:hAnsi="Arial" w:cs="Arial"/>
        </w:rPr>
        <w:t xml:space="preserve"> </w:t>
      </w:r>
    </w:p>
    <w:p w14:paraId="71337E71"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Broman, K., Richman, J., Ross, E., </w:t>
      </w:r>
      <w:proofErr w:type="spellStart"/>
      <w:r w:rsidRPr="006E03E2">
        <w:rPr>
          <w:rFonts w:ascii="Arial" w:hAnsi="Arial" w:cs="Arial"/>
        </w:rPr>
        <w:t>Zengul</w:t>
      </w:r>
      <w:proofErr w:type="spellEnd"/>
      <w:r w:rsidRPr="006E03E2">
        <w:rPr>
          <w:rFonts w:ascii="Arial" w:hAnsi="Arial" w:cs="Arial"/>
        </w:rPr>
        <w:t>, F., Weech-Maldonado, R. and Bhatia, S., 2023. Hub and spoke framework for study of surgical centralization within United States health systems. </w:t>
      </w:r>
      <w:r w:rsidRPr="006E03E2">
        <w:rPr>
          <w:rFonts w:ascii="Arial" w:hAnsi="Arial" w:cs="Arial"/>
          <w:i/>
          <w:iCs/>
        </w:rPr>
        <w:t>The American Journal of Surgery</w:t>
      </w:r>
      <w:r w:rsidRPr="006E03E2">
        <w:rPr>
          <w:rFonts w:ascii="Arial" w:hAnsi="Arial" w:cs="Arial"/>
        </w:rPr>
        <w:t>, </w:t>
      </w:r>
      <w:r w:rsidRPr="006E03E2">
        <w:rPr>
          <w:rFonts w:ascii="Arial" w:hAnsi="Arial" w:cs="Arial"/>
          <w:i/>
          <w:iCs/>
        </w:rPr>
        <w:t>226</w:t>
      </w:r>
      <w:r w:rsidRPr="006E03E2">
        <w:rPr>
          <w:rFonts w:ascii="Arial" w:hAnsi="Arial" w:cs="Arial"/>
        </w:rPr>
        <w:t xml:space="preserve">(4), pp.524-530. </w:t>
      </w:r>
      <w:hyperlink r:id="rId18" w:history="1">
        <w:r w:rsidRPr="006E03E2">
          <w:rPr>
            <w:rStyle w:val="Hyperlink"/>
            <w:rFonts w:ascii="Arial" w:hAnsi="Arial" w:cs="Arial"/>
          </w:rPr>
          <w:t>https://www.sciencedirect.com/science/article/am/pii/S0002961023001927</w:t>
        </w:r>
      </w:hyperlink>
      <w:r w:rsidRPr="006E03E2">
        <w:rPr>
          <w:rFonts w:ascii="Arial" w:hAnsi="Arial" w:cs="Arial"/>
        </w:rPr>
        <w:t xml:space="preserve"> </w:t>
      </w:r>
    </w:p>
    <w:p w14:paraId="5F8698A1"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Carstensen, K., Kjeldsen, A.M. and Nielsen, C.P., 2024. Distributed leadership in health quality improvement collaboratives. </w:t>
      </w:r>
      <w:r w:rsidRPr="006E03E2">
        <w:rPr>
          <w:rFonts w:ascii="Arial" w:hAnsi="Arial" w:cs="Arial"/>
          <w:i/>
          <w:iCs/>
        </w:rPr>
        <w:t>Health care management review</w:t>
      </w:r>
      <w:r w:rsidRPr="006E03E2">
        <w:rPr>
          <w:rFonts w:ascii="Arial" w:hAnsi="Arial" w:cs="Arial"/>
        </w:rPr>
        <w:t>, </w:t>
      </w:r>
      <w:r w:rsidRPr="006E03E2">
        <w:rPr>
          <w:rFonts w:ascii="Arial" w:hAnsi="Arial" w:cs="Arial"/>
          <w:i/>
          <w:iCs/>
        </w:rPr>
        <w:t>49</w:t>
      </w:r>
      <w:r w:rsidRPr="006E03E2">
        <w:rPr>
          <w:rFonts w:ascii="Arial" w:hAnsi="Arial" w:cs="Arial"/>
        </w:rPr>
        <w:t xml:space="preserve">(1), pp.46-58. </w:t>
      </w:r>
      <w:hyperlink r:id="rId19" w:history="1">
        <w:r w:rsidRPr="006E03E2">
          <w:rPr>
            <w:rStyle w:val="Hyperlink"/>
            <w:rFonts w:ascii="Arial" w:hAnsi="Arial" w:cs="Arial"/>
          </w:rPr>
          <w:t>https://journals.lww.com/hcmrjournal/_layouts/15/oaks.journals/downloadpdf.aspx?an=00004010-202401000-00006</w:t>
        </w:r>
      </w:hyperlink>
      <w:r w:rsidRPr="006E03E2">
        <w:rPr>
          <w:rFonts w:ascii="Arial" w:hAnsi="Arial" w:cs="Arial"/>
        </w:rPr>
        <w:t xml:space="preserve"> </w:t>
      </w:r>
    </w:p>
    <w:p w14:paraId="499A41C3"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Castelyn, C., 2024. Leadership in healthcare during a pandemic: for a systems leadership approach. </w:t>
      </w:r>
      <w:r w:rsidRPr="006E03E2">
        <w:rPr>
          <w:rFonts w:ascii="Arial" w:hAnsi="Arial" w:cs="Arial"/>
          <w:i/>
          <w:iCs/>
        </w:rPr>
        <w:t>Frontiers in Public Health</w:t>
      </w:r>
      <w:r w:rsidRPr="006E03E2">
        <w:rPr>
          <w:rFonts w:ascii="Arial" w:hAnsi="Arial" w:cs="Arial"/>
        </w:rPr>
        <w:t>, </w:t>
      </w:r>
      <w:r w:rsidRPr="006E03E2">
        <w:rPr>
          <w:rFonts w:ascii="Arial" w:hAnsi="Arial" w:cs="Arial"/>
          <w:i/>
          <w:iCs/>
        </w:rPr>
        <w:t>12</w:t>
      </w:r>
      <w:r w:rsidRPr="006E03E2">
        <w:rPr>
          <w:rFonts w:ascii="Arial" w:hAnsi="Arial" w:cs="Arial"/>
        </w:rPr>
        <w:t xml:space="preserve">, p.1361046. </w:t>
      </w:r>
      <w:hyperlink r:id="rId20" w:history="1">
        <w:r w:rsidRPr="006E03E2">
          <w:rPr>
            <w:rStyle w:val="Hyperlink"/>
            <w:rFonts w:ascii="Arial" w:hAnsi="Arial" w:cs="Arial"/>
          </w:rPr>
          <w:t>https://www.frontiersin.org/journals/public-health/articles/10.3389/fpubh.2024.1361046/pdf</w:t>
        </w:r>
      </w:hyperlink>
      <w:r w:rsidRPr="006E03E2">
        <w:rPr>
          <w:rFonts w:ascii="Arial" w:hAnsi="Arial" w:cs="Arial"/>
        </w:rPr>
        <w:t xml:space="preserve"> </w:t>
      </w:r>
    </w:p>
    <w:p w14:paraId="3DD9B78C"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Chen, A.M., 2025. Access improvement in healthcare: a 12-step framework for operational practice. </w:t>
      </w:r>
      <w:r w:rsidRPr="006E03E2">
        <w:rPr>
          <w:rFonts w:ascii="Arial" w:hAnsi="Arial" w:cs="Arial"/>
          <w:i/>
          <w:iCs/>
        </w:rPr>
        <w:t>Frontiers in Health Services</w:t>
      </w:r>
      <w:r w:rsidRPr="006E03E2">
        <w:rPr>
          <w:rFonts w:ascii="Arial" w:hAnsi="Arial" w:cs="Arial"/>
        </w:rPr>
        <w:t>, </w:t>
      </w:r>
      <w:r w:rsidRPr="006E03E2">
        <w:rPr>
          <w:rFonts w:ascii="Arial" w:hAnsi="Arial" w:cs="Arial"/>
          <w:i/>
          <w:iCs/>
        </w:rPr>
        <w:t>4</w:t>
      </w:r>
      <w:r w:rsidRPr="006E03E2">
        <w:rPr>
          <w:rFonts w:ascii="Arial" w:hAnsi="Arial" w:cs="Arial"/>
        </w:rPr>
        <w:t xml:space="preserve">, p.1487914. </w:t>
      </w:r>
      <w:hyperlink r:id="rId21" w:history="1">
        <w:r w:rsidRPr="006E03E2">
          <w:rPr>
            <w:rStyle w:val="Hyperlink"/>
            <w:rFonts w:ascii="Arial" w:hAnsi="Arial" w:cs="Arial"/>
          </w:rPr>
          <w:t>https://www.frontiersin.org/journals/health-services/articles/10.3389/frhs.2024.1487914/pdf</w:t>
        </w:r>
      </w:hyperlink>
      <w:r w:rsidRPr="006E03E2">
        <w:rPr>
          <w:rFonts w:ascii="Arial" w:hAnsi="Arial" w:cs="Arial"/>
        </w:rPr>
        <w:t xml:space="preserve"> </w:t>
      </w:r>
    </w:p>
    <w:p w14:paraId="64634A4D"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Cocoman</w:t>
      </w:r>
      <w:proofErr w:type="spellEnd"/>
      <w:r w:rsidRPr="006E03E2">
        <w:rPr>
          <w:rFonts w:ascii="Arial" w:hAnsi="Arial" w:cs="Arial"/>
        </w:rPr>
        <w:t xml:space="preserve">, O., Jackson, D., </w:t>
      </w:r>
      <w:proofErr w:type="spellStart"/>
      <w:r w:rsidRPr="006E03E2">
        <w:rPr>
          <w:rFonts w:ascii="Arial" w:hAnsi="Arial" w:cs="Arial"/>
        </w:rPr>
        <w:t>Ruysen</w:t>
      </w:r>
      <w:proofErr w:type="spellEnd"/>
      <w:r w:rsidRPr="006E03E2">
        <w:rPr>
          <w:rFonts w:ascii="Arial" w:hAnsi="Arial" w:cs="Arial"/>
        </w:rPr>
        <w:t>, H. and Gilmore, B., 2025. Institutionalising community participation in decision-making in maternal and newborn health services in low-and middle-income countries: An analysis from 102 national health ministries. </w:t>
      </w:r>
      <w:r w:rsidRPr="006E03E2">
        <w:rPr>
          <w:rFonts w:ascii="Arial" w:hAnsi="Arial" w:cs="Arial"/>
          <w:i/>
          <w:iCs/>
        </w:rPr>
        <w:t>PLOS Global Public Health</w:t>
      </w:r>
      <w:r w:rsidRPr="006E03E2">
        <w:rPr>
          <w:rFonts w:ascii="Arial" w:hAnsi="Arial" w:cs="Arial"/>
        </w:rPr>
        <w:t>, </w:t>
      </w:r>
      <w:r w:rsidRPr="006E03E2">
        <w:rPr>
          <w:rFonts w:ascii="Arial" w:hAnsi="Arial" w:cs="Arial"/>
          <w:i/>
          <w:iCs/>
        </w:rPr>
        <w:t>5</w:t>
      </w:r>
      <w:r w:rsidRPr="006E03E2">
        <w:rPr>
          <w:rFonts w:ascii="Arial" w:hAnsi="Arial" w:cs="Arial"/>
        </w:rPr>
        <w:t xml:space="preserve">(9), p.e0005139. </w:t>
      </w:r>
      <w:hyperlink r:id="rId22" w:history="1">
        <w:r w:rsidRPr="006E03E2">
          <w:rPr>
            <w:rStyle w:val="Hyperlink"/>
            <w:rFonts w:ascii="Arial" w:hAnsi="Arial" w:cs="Arial"/>
          </w:rPr>
          <w:t>https://journals.plos.org/globalpublichealth/article/file?id=10.1371/journal.pgph.0005139&amp;type=printable</w:t>
        </w:r>
      </w:hyperlink>
      <w:r w:rsidRPr="006E03E2">
        <w:rPr>
          <w:rFonts w:ascii="Arial" w:hAnsi="Arial" w:cs="Arial"/>
        </w:rPr>
        <w:t xml:space="preserve"> </w:t>
      </w:r>
    </w:p>
    <w:p w14:paraId="50266103"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Demeke, G.W., van Engen, M.L. and Markos, S., 2024. Servant leadership in the healthcare literature: A systematic review. </w:t>
      </w:r>
      <w:r w:rsidRPr="006E03E2">
        <w:rPr>
          <w:rFonts w:ascii="Arial" w:hAnsi="Arial" w:cs="Arial"/>
          <w:i/>
          <w:iCs/>
        </w:rPr>
        <w:t>Journal of healthcare leadership</w:t>
      </w:r>
      <w:r w:rsidRPr="006E03E2">
        <w:rPr>
          <w:rFonts w:ascii="Arial" w:hAnsi="Arial" w:cs="Arial"/>
        </w:rPr>
        <w:t xml:space="preserve">, pp.1-14. </w:t>
      </w:r>
      <w:hyperlink r:id="rId23" w:history="1">
        <w:r w:rsidRPr="006E03E2">
          <w:rPr>
            <w:rStyle w:val="Hyperlink"/>
            <w:rFonts w:ascii="Arial" w:hAnsi="Arial" w:cs="Arial"/>
          </w:rPr>
          <w:t>https://www.tandfonline.com/doi/pdf/10.2147/JHL.S440160</w:t>
        </w:r>
      </w:hyperlink>
      <w:r w:rsidRPr="006E03E2">
        <w:rPr>
          <w:rFonts w:ascii="Arial" w:hAnsi="Arial" w:cs="Arial"/>
        </w:rPr>
        <w:t xml:space="preserve"> </w:t>
      </w:r>
    </w:p>
    <w:p w14:paraId="6B647F49"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Dolansky, M.A., Davey, C.H. and Moore, S.M., 2024. Research and practice in quality improvement and implementation science: the synergy for change model. </w:t>
      </w:r>
      <w:r w:rsidRPr="006E03E2">
        <w:rPr>
          <w:rFonts w:ascii="Arial" w:hAnsi="Arial" w:cs="Arial"/>
          <w:i/>
          <w:iCs/>
        </w:rPr>
        <w:t>Journal of nursing care quality</w:t>
      </w:r>
      <w:r w:rsidRPr="006E03E2">
        <w:rPr>
          <w:rFonts w:ascii="Arial" w:hAnsi="Arial" w:cs="Arial"/>
        </w:rPr>
        <w:t>, </w:t>
      </w:r>
      <w:r w:rsidRPr="006E03E2">
        <w:rPr>
          <w:rFonts w:ascii="Arial" w:hAnsi="Arial" w:cs="Arial"/>
          <w:i/>
          <w:iCs/>
        </w:rPr>
        <w:t>39</w:t>
      </w:r>
      <w:r w:rsidRPr="006E03E2">
        <w:rPr>
          <w:rFonts w:ascii="Arial" w:hAnsi="Arial" w:cs="Arial"/>
        </w:rPr>
        <w:t xml:space="preserve">(3), pp.199-205. </w:t>
      </w:r>
      <w:hyperlink r:id="rId24" w:history="1">
        <w:r w:rsidRPr="006E03E2">
          <w:rPr>
            <w:rStyle w:val="Hyperlink"/>
            <w:rFonts w:ascii="Arial" w:hAnsi="Arial" w:cs="Arial"/>
          </w:rPr>
          <w:t>https://journals.lww.com/jncqjournal/fulltext/2024/07000/research_and_practice_in_quality_improvement_and.2.aspx</w:t>
        </w:r>
      </w:hyperlink>
      <w:r w:rsidRPr="006E03E2">
        <w:rPr>
          <w:rFonts w:ascii="Arial" w:hAnsi="Arial" w:cs="Arial"/>
        </w:rPr>
        <w:t xml:space="preserve"> </w:t>
      </w:r>
    </w:p>
    <w:p w14:paraId="09741380"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Emuli</w:t>
      </w:r>
      <w:proofErr w:type="spellEnd"/>
      <w:r w:rsidRPr="006E03E2">
        <w:rPr>
          <w:rFonts w:ascii="Arial" w:hAnsi="Arial" w:cs="Arial"/>
        </w:rPr>
        <w:t xml:space="preserve">, S., Tegu, C., </w:t>
      </w:r>
      <w:proofErr w:type="spellStart"/>
      <w:r w:rsidRPr="006E03E2">
        <w:rPr>
          <w:rFonts w:ascii="Arial" w:hAnsi="Arial" w:cs="Arial"/>
        </w:rPr>
        <w:t>Oguttu</w:t>
      </w:r>
      <w:proofErr w:type="spellEnd"/>
      <w:r w:rsidRPr="006E03E2">
        <w:rPr>
          <w:rFonts w:ascii="Arial" w:hAnsi="Arial" w:cs="Arial"/>
        </w:rPr>
        <w:t xml:space="preserve">, F., Nantale, R., Ochieng, P., Passi, G., </w:t>
      </w:r>
      <w:proofErr w:type="spellStart"/>
      <w:r w:rsidRPr="006E03E2">
        <w:rPr>
          <w:rFonts w:ascii="Arial" w:hAnsi="Arial" w:cs="Arial"/>
        </w:rPr>
        <w:t>Abeso</w:t>
      </w:r>
      <w:proofErr w:type="spellEnd"/>
      <w:r w:rsidRPr="006E03E2">
        <w:rPr>
          <w:rFonts w:ascii="Arial" w:hAnsi="Arial" w:cs="Arial"/>
        </w:rPr>
        <w:t xml:space="preserve">, J., </w:t>
      </w:r>
      <w:proofErr w:type="spellStart"/>
      <w:r w:rsidRPr="006E03E2">
        <w:rPr>
          <w:rFonts w:ascii="Arial" w:hAnsi="Arial" w:cs="Arial"/>
        </w:rPr>
        <w:t>Wamulugwa</w:t>
      </w:r>
      <w:proofErr w:type="spellEnd"/>
      <w:r w:rsidRPr="006E03E2">
        <w:rPr>
          <w:rFonts w:ascii="Arial" w:hAnsi="Arial" w:cs="Arial"/>
        </w:rPr>
        <w:t xml:space="preserve">, J., Musaba, M.W., Namazi, R. and </w:t>
      </w:r>
      <w:proofErr w:type="spellStart"/>
      <w:r w:rsidRPr="006E03E2">
        <w:rPr>
          <w:rFonts w:ascii="Arial" w:hAnsi="Arial" w:cs="Arial"/>
        </w:rPr>
        <w:t>Kiguli</w:t>
      </w:r>
      <w:proofErr w:type="spellEnd"/>
      <w:r w:rsidRPr="006E03E2">
        <w:rPr>
          <w:rFonts w:ascii="Arial" w:hAnsi="Arial" w:cs="Arial"/>
        </w:rPr>
        <w:t>, S., 2025. Changes in haematological indices among children with sickle cell disease on hydroxyurea treatment for at least 1 year: A cohort study. </w:t>
      </w:r>
      <w:proofErr w:type="spellStart"/>
      <w:r w:rsidRPr="006E03E2">
        <w:rPr>
          <w:rFonts w:ascii="Arial" w:hAnsi="Arial" w:cs="Arial"/>
          <w:i/>
          <w:iCs/>
        </w:rPr>
        <w:t>Plos</w:t>
      </w:r>
      <w:proofErr w:type="spellEnd"/>
      <w:r w:rsidRPr="006E03E2">
        <w:rPr>
          <w:rFonts w:ascii="Arial" w:hAnsi="Arial" w:cs="Arial"/>
          <w:i/>
          <w:iCs/>
        </w:rPr>
        <w:t xml:space="preserve"> one</w:t>
      </w:r>
      <w:r w:rsidRPr="006E03E2">
        <w:rPr>
          <w:rFonts w:ascii="Arial" w:hAnsi="Arial" w:cs="Arial"/>
        </w:rPr>
        <w:t>, </w:t>
      </w:r>
      <w:r w:rsidRPr="006E03E2">
        <w:rPr>
          <w:rFonts w:ascii="Arial" w:hAnsi="Arial" w:cs="Arial"/>
          <w:i/>
          <w:iCs/>
        </w:rPr>
        <w:t>20</w:t>
      </w:r>
      <w:r w:rsidRPr="006E03E2">
        <w:rPr>
          <w:rFonts w:ascii="Arial" w:hAnsi="Arial" w:cs="Arial"/>
        </w:rPr>
        <w:t xml:space="preserve">(11), p.e0335617. </w:t>
      </w:r>
      <w:hyperlink r:id="rId25" w:history="1">
        <w:r w:rsidRPr="006E03E2">
          <w:rPr>
            <w:rStyle w:val="Hyperlink"/>
            <w:rFonts w:ascii="Arial" w:hAnsi="Arial" w:cs="Arial"/>
          </w:rPr>
          <w:t>https://journals.plos.org/plosone/article/file?id=10.1371/journal.pone.0335617&amp;type=printable</w:t>
        </w:r>
      </w:hyperlink>
      <w:r w:rsidRPr="006E03E2">
        <w:rPr>
          <w:rFonts w:ascii="Arial" w:hAnsi="Arial" w:cs="Arial"/>
        </w:rPr>
        <w:t xml:space="preserve"> </w:t>
      </w:r>
    </w:p>
    <w:p w14:paraId="451CD244"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Hunaiti</w:t>
      </w:r>
      <w:proofErr w:type="spellEnd"/>
      <w:r w:rsidRPr="006E03E2">
        <w:rPr>
          <w:rFonts w:ascii="Arial" w:hAnsi="Arial" w:cs="Arial"/>
        </w:rPr>
        <w:t>, Z., 2024. Empowering healthcare leaders: coaching for leadership development. </w:t>
      </w:r>
      <w:proofErr w:type="spellStart"/>
      <w:r w:rsidRPr="006E03E2">
        <w:rPr>
          <w:rFonts w:ascii="Arial" w:hAnsi="Arial" w:cs="Arial"/>
          <w:i/>
          <w:iCs/>
        </w:rPr>
        <w:t>Encyclopedia</w:t>
      </w:r>
      <w:proofErr w:type="spellEnd"/>
      <w:r w:rsidRPr="006E03E2">
        <w:rPr>
          <w:rFonts w:ascii="Arial" w:hAnsi="Arial" w:cs="Arial"/>
        </w:rPr>
        <w:t>, </w:t>
      </w:r>
      <w:r w:rsidRPr="006E03E2">
        <w:rPr>
          <w:rFonts w:ascii="Arial" w:hAnsi="Arial" w:cs="Arial"/>
          <w:i/>
          <w:iCs/>
        </w:rPr>
        <w:t>4</w:t>
      </w:r>
      <w:r w:rsidRPr="006E03E2">
        <w:rPr>
          <w:rFonts w:ascii="Arial" w:hAnsi="Arial" w:cs="Arial"/>
        </w:rPr>
        <w:t xml:space="preserve">(4), pp.1752-1759. </w:t>
      </w:r>
      <w:hyperlink r:id="rId26" w:history="1">
        <w:r w:rsidRPr="006E03E2">
          <w:rPr>
            <w:rStyle w:val="Hyperlink"/>
            <w:rFonts w:ascii="Arial" w:hAnsi="Arial" w:cs="Arial"/>
          </w:rPr>
          <w:t>https://www.mdpi.com/2673-8392/4/4/115</w:t>
        </w:r>
      </w:hyperlink>
      <w:r w:rsidRPr="006E03E2">
        <w:rPr>
          <w:rFonts w:ascii="Arial" w:hAnsi="Arial" w:cs="Arial"/>
        </w:rPr>
        <w:t xml:space="preserve"> </w:t>
      </w:r>
    </w:p>
    <w:p w14:paraId="7DBB6074"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Kuona, P., </w:t>
      </w:r>
      <w:proofErr w:type="spellStart"/>
      <w:r w:rsidRPr="006E03E2">
        <w:rPr>
          <w:rFonts w:ascii="Arial" w:hAnsi="Arial" w:cs="Arial"/>
        </w:rPr>
        <w:t>Kandawasvika</w:t>
      </w:r>
      <w:proofErr w:type="spellEnd"/>
      <w:r w:rsidRPr="006E03E2">
        <w:rPr>
          <w:rFonts w:ascii="Arial" w:hAnsi="Arial" w:cs="Arial"/>
        </w:rPr>
        <w:t xml:space="preserve">, G.Q., </w:t>
      </w:r>
      <w:proofErr w:type="spellStart"/>
      <w:r w:rsidRPr="006E03E2">
        <w:rPr>
          <w:rFonts w:ascii="Arial" w:hAnsi="Arial" w:cs="Arial"/>
        </w:rPr>
        <w:t>Chunda-Liyoka</w:t>
      </w:r>
      <w:proofErr w:type="spellEnd"/>
      <w:r w:rsidRPr="006E03E2">
        <w:rPr>
          <w:rFonts w:ascii="Arial" w:hAnsi="Arial" w:cs="Arial"/>
        </w:rPr>
        <w:t xml:space="preserve">, C., </w:t>
      </w:r>
      <w:proofErr w:type="spellStart"/>
      <w:r w:rsidRPr="006E03E2">
        <w:rPr>
          <w:rFonts w:ascii="Arial" w:hAnsi="Arial" w:cs="Arial"/>
        </w:rPr>
        <w:t>Ruredzo</w:t>
      </w:r>
      <w:proofErr w:type="spellEnd"/>
      <w:r w:rsidRPr="006E03E2">
        <w:rPr>
          <w:rFonts w:ascii="Arial" w:hAnsi="Arial" w:cs="Arial"/>
        </w:rPr>
        <w:t xml:space="preserve">, I.M., Sambo, P.M., </w:t>
      </w:r>
      <w:proofErr w:type="spellStart"/>
      <w:r w:rsidRPr="006E03E2">
        <w:rPr>
          <w:rFonts w:ascii="Arial" w:hAnsi="Arial" w:cs="Arial"/>
        </w:rPr>
        <w:t>Gorejena-Chidawanyika</w:t>
      </w:r>
      <w:proofErr w:type="spellEnd"/>
      <w:r w:rsidRPr="006E03E2">
        <w:rPr>
          <w:rFonts w:ascii="Arial" w:hAnsi="Arial" w:cs="Arial"/>
        </w:rPr>
        <w:t xml:space="preserve">, P., </w:t>
      </w:r>
      <w:proofErr w:type="spellStart"/>
      <w:r w:rsidRPr="006E03E2">
        <w:rPr>
          <w:rFonts w:ascii="Arial" w:hAnsi="Arial" w:cs="Arial"/>
        </w:rPr>
        <w:t>Mantina</w:t>
      </w:r>
      <w:proofErr w:type="spellEnd"/>
      <w:r w:rsidRPr="006E03E2">
        <w:rPr>
          <w:rFonts w:ascii="Arial" w:hAnsi="Arial" w:cs="Arial"/>
        </w:rPr>
        <w:t xml:space="preserve">, H.M., Mtisi, T.J., Phiri, C., Chikara, L. and </w:t>
      </w:r>
      <w:proofErr w:type="spellStart"/>
      <w:r w:rsidRPr="006E03E2">
        <w:rPr>
          <w:rFonts w:ascii="Arial" w:hAnsi="Arial" w:cs="Arial"/>
        </w:rPr>
        <w:t>Kaweme</w:t>
      </w:r>
      <w:proofErr w:type="spellEnd"/>
      <w:r w:rsidRPr="006E03E2">
        <w:rPr>
          <w:rFonts w:ascii="Arial" w:hAnsi="Arial" w:cs="Arial"/>
        </w:rPr>
        <w:t>, N.M., 2025. Sickle hemoglobinopathy research in Zimbabwe and Zambia: setting up an international sickle cell disease registry. </w:t>
      </w:r>
      <w:r w:rsidRPr="006E03E2">
        <w:rPr>
          <w:rFonts w:ascii="Arial" w:hAnsi="Arial" w:cs="Arial"/>
          <w:i/>
          <w:iCs/>
        </w:rPr>
        <w:t>Frontiers in Medicine</w:t>
      </w:r>
      <w:r w:rsidRPr="006E03E2">
        <w:rPr>
          <w:rFonts w:ascii="Arial" w:hAnsi="Arial" w:cs="Arial"/>
        </w:rPr>
        <w:t>, </w:t>
      </w:r>
      <w:r w:rsidRPr="006E03E2">
        <w:rPr>
          <w:rFonts w:ascii="Arial" w:hAnsi="Arial" w:cs="Arial"/>
          <w:i/>
          <w:iCs/>
        </w:rPr>
        <w:t>12</w:t>
      </w:r>
      <w:r w:rsidRPr="006E03E2">
        <w:rPr>
          <w:rFonts w:ascii="Arial" w:hAnsi="Arial" w:cs="Arial"/>
        </w:rPr>
        <w:t xml:space="preserve">, p.1484763. </w:t>
      </w:r>
      <w:hyperlink r:id="rId27" w:history="1">
        <w:r w:rsidRPr="006E03E2">
          <w:rPr>
            <w:rStyle w:val="Hyperlink"/>
            <w:rFonts w:ascii="Arial" w:hAnsi="Arial" w:cs="Arial"/>
          </w:rPr>
          <w:t>https://www.frontiersin.org/journals/medicine/articles/10.3389/fmed.2025.1484763/pdf</w:t>
        </w:r>
      </w:hyperlink>
      <w:r w:rsidRPr="006E03E2">
        <w:rPr>
          <w:rFonts w:ascii="Arial" w:hAnsi="Arial" w:cs="Arial"/>
        </w:rPr>
        <w:t xml:space="preserve">   </w:t>
      </w:r>
    </w:p>
    <w:p w14:paraId="1870359C"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Ladadwa</w:t>
      </w:r>
      <w:proofErr w:type="spellEnd"/>
      <w:r w:rsidRPr="006E03E2">
        <w:rPr>
          <w:rFonts w:ascii="Arial" w:hAnsi="Arial" w:cs="Arial"/>
        </w:rPr>
        <w:t xml:space="preserve">, R., Hariri, M., </w:t>
      </w:r>
      <w:proofErr w:type="spellStart"/>
      <w:r w:rsidRPr="006E03E2">
        <w:rPr>
          <w:rFonts w:ascii="Arial" w:hAnsi="Arial" w:cs="Arial"/>
        </w:rPr>
        <w:t>Alatras</w:t>
      </w:r>
      <w:proofErr w:type="spellEnd"/>
      <w:r w:rsidRPr="006E03E2">
        <w:rPr>
          <w:rFonts w:ascii="Arial" w:hAnsi="Arial" w:cs="Arial"/>
        </w:rPr>
        <w:t xml:space="preserve">, M.M., </w:t>
      </w:r>
      <w:proofErr w:type="spellStart"/>
      <w:r w:rsidRPr="006E03E2">
        <w:rPr>
          <w:rFonts w:ascii="Arial" w:hAnsi="Arial" w:cs="Arial"/>
        </w:rPr>
        <w:t>Elferruh</w:t>
      </w:r>
      <w:proofErr w:type="spellEnd"/>
      <w:r w:rsidRPr="006E03E2">
        <w:rPr>
          <w:rFonts w:ascii="Arial" w:hAnsi="Arial" w:cs="Arial"/>
        </w:rPr>
        <w:t xml:space="preserve">, Y., Ramadan, A., </w:t>
      </w:r>
      <w:proofErr w:type="spellStart"/>
      <w:r w:rsidRPr="006E03E2">
        <w:rPr>
          <w:rFonts w:ascii="Arial" w:hAnsi="Arial" w:cs="Arial"/>
        </w:rPr>
        <w:t>Dowah</w:t>
      </w:r>
      <w:proofErr w:type="spellEnd"/>
      <w:r w:rsidRPr="006E03E2">
        <w:rPr>
          <w:rFonts w:ascii="Arial" w:hAnsi="Arial" w:cs="Arial"/>
        </w:rPr>
        <w:t xml:space="preserve">, M., </w:t>
      </w:r>
      <w:proofErr w:type="spellStart"/>
      <w:r w:rsidRPr="006E03E2">
        <w:rPr>
          <w:rFonts w:ascii="Arial" w:hAnsi="Arial" w:cs="Arial"/>
        </w:rPr>
        <w:t>Bawaneh</w:t>
      </w:r>
      <w:proofErr w:type="spellEnd"/>
      <w:r w:rsidRPr="006E03E2">
        <w:rPr>
          <w:rFonts w:ascii="Arial" w:hAnsi="Arial" w:cs="Arial"/>
        </w:rPr>
        <w:t xml:space="preserve">, Y.M., </w:t>
      </w:r>
      <w:proofErr w:type="spellStart"/>
      <w:r w:rsidRPr="006E03E2">
        <w:rPr>
          <w:rFonts w:ascii="Arial" w:hAnsi="Arial" w:cs="Arial"/>
        </w:rPr>
        <w:t>Aljerk</w:t>
      </w:r>
      <w:proofErr w:type="spellEnd"/>
      <w:r w:rsidRPr="006E03E2">
        <w:rPr>
          <w:rFonts w:ascii="Arial" w:hAnsi="Arial" w:cs="Arial"/>
        </w:rPr>
        <w:t xml:space="preserve">, W., Patel, P., </w:t>
      </w:r>
      <w:proofErr w:type="spellStart"/>
      <w:r w:rsidRPr="006E03E2">
        <w:rPr>
          <w:rFonts w:ascii="Arial" w:hAnsi="Arial" w:cs="Arial"/>
        </w:rPr>
        <w:t>Ekzayez</w:t>
      </w:r>
      <w:proofErr w:type="spellEnd"/>
      <w:r w:rsidRPr="006E03E2">
        <w:rPr>
          <w:rFonts w:ascii="Arial" w:hAnsi="Arial" w:cs="Arial"/>
        </w:rPr>
        <w:t>, A. and El Achi, N., 2024. Health information management systems and practices in conflict-affected settings: the case of northwest Syria. </w:t>
      </w:r>
      <w:r w:rsidRPr="006E03E2">
        <w:rPr>
          <w:rFonts w:ascii="Arial" w:hAnsi="Arial" w:cs="Arial"/>
          <w:i/>
          <w:iCs/>
        </w:rPr>
        <w:t>Globalization and Health</w:t>
      </w:r>
      <w:r w:rsidRPr="006E03E2">
        <w:rPr>
          <w:rFonts w:ascii="Arial" w:hAnsi="Arial" w:cs="Arial"/>
        </w:rPr>
        <w:t>, </w:t>
      </w:r>
      <w:r w:rsidRPr="006E03E2">
        <w:rPr>
          <w:rFonts w:ascii="Arial" w:hAnsi="Arial" w:cs="Arial"/>
          <w:i/>
          <w:iCs/>
        </w:rPr>
        <w:t>20</w:t>
      </w:r>
      <w:r w:rsidRPr="006E03E2">
        <w:rPr>
          <w:rFonts w:ascii="Arial" w:hAnsi="Arial" w:cs="Arial"/>
        </w:rPr>
        <w:t xml:space="preserve">(1), p.45. </w:t>
      </w:r>
      <w:hyperlink r:id="rId28" w:history="1">
        <w:r w:rsidRPr="006E03E2">
          <w:rPr>
            <w:rStyle w:val="Hyperlink"/>
            <w:rFonts w:ascii="Arial" w:hAnsi="Arial" w:cs="Arial"/>
          </w:rPr>
          <w:t>https://link.springer.com/content/pdf/10.1186/s12992-024-01052-w.pdf</w:t>
        </w:r>
      </w:hyperlink>
      <w:r w:rsidRPr="006E03E2">
        <w:rPr>
          <w:rFonts w:ascii="Arial" w:hAnsi="Arial" w:cs="Arial"/>
        </w:rPr>
        <w:t xml:space="preserve"> </w:t>
      </w:r>
    </w:p>
    <w:p w14:paraId="23C551B4"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Lemak, C.H., Pena, D., Jones, D.A., Kim, D.H. and Guptill, J., 2024. Leadership to accelerate healthcare’s digital transformation: Evidence from 33 health systems. </w:t>
      </w:r>
      <w:r w:rsidRPr="006E03E2">
        <w:rPr>
          <w:rFonts w:ascii="Arial" w:hAnsi="Arial" w:cs="Arial"/>
          <w:i/>
          <w:iCs/>
        </w:rPr>
        <w:t>Journal of Healthcare Management</w:t>
      </w:r>
      <w:r w:rsidRPr="006E03E2">
        <w:rPr>
          <w:rFonts w:ascii="Arial" w:hAnsi="Arial" w:cs="Arial"/>
        </w:rPr>
        <w:t>, </w:t>
      </w:r>
      <w:r w:rsidRPr="006E03E2">
        <w:rPr>
          <w:rFonts w:ascii="Arial" w:hAnsi="Arial" w:cs="Arial"/>
          <w:i/>
          <w:iCs/>
        </w:rPr>
        <w:t>69</w:t>
      </w:r>
      <w:r w:rsidRPr="006E03E2">
        <w:rPr>
          <w:rFonts w:ascii="Arial" w:hAnsi="Arial" w:cs="Arial"/>
        </w:rPr>
        <w:t xml:space="preserve">(4), pp.267-279. </w:t>
      </w:r>
      <w:hyperlink r:id="rId29" w:history="1">
        <w:r w:rsidRPr="006E03E2">
          <w:rPr>
            <w:rStyle w:val="Hyperlink"/>
            <w:rFonts w:ascii="Arial" w:hAnsi="Arial" w:cs="Arial"/>
          </w:rPr>
          <w:t>https://journals.lww.com/jhmonline/fulltext/2024/07000/leadership_to_accelerate_healthcare_s_digital.6.aspx?context=latestarticles</w:t>
        </w:r>
      </w:hyperlink>
      <w:r w:rsidRPr="006E03E2">
        <w:rPr>
          <w:rFonts w:ascii="Arial" w:hAnsi="Arial" w:cs="Arial"/>
        </w:rPr>
        <w:t xml:space="preserve">   </w:t>
      </w:r>
    </w:p>
    <w:p w14:paraId="63DC2A6C"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Masterson, D., Lindenfalk, B., </w:t>
      </w:r>
      <w:proofErr w:type="spellStart"/>
      <w:r w:rsidRPr="006E03E2">
        <w:rPr>
          <w:rFonts w:ascii="Arial" w:hAnsi="Arial" w:cs="Arial"/>
        </w:rPr>
        <w:t>Kjellström</w:t>
      </w:r>
      <w:proofErr w:type="spellEnd"/>
      <w:r w:rsidRPr="006E03E2">
        <w:rPr>
          <w:rFonts w:ascii="Arial" w:hAnsi="Arial" w:cs="Arial"/>
        </w:rPr>
        <w:t>, S., Robert, G. and Ockander, M., 2024. Mechanisms for co-designing and co-producing health and social care: a realist synthesis. </w:t>
      </w:r>
      <w:r w:rsidRPr="006E03E2">
        <w:rPr>
          <w:rFonts w:ascii="Arial" w:hAnsi="Arial" w:cs="Arial"/>
          <w:i/>
          <w:iCs/>
        </w:rPr>
        <w:t>Research Involvement and Engagement</w:t>
      </w:r>
      <w:r w:rsidRPr="006E03E2">
        <w:rPr>
          <w:rFonts w:ascii="Arial" w:hAnsi="Arial" w:cs="Arial"/>
        </w:rPr>
        <w:t>, </w:t>
      </w:r>
      <w:r w:rsidRPr="006E03E2">
        <w:rPr>
          <w:rFonts w:ascii="Arial" w:hAnsi="Arial" w:cs="Arial"/>
          <w:i/>
          <w:iCs/>
        </w:rPr>
        <w:t>10</w:t>
      </w:r>
      <w:r w:rsidRPr="006E03E2">
        <w:rPr>
          <w:rFonts w:ascii="Arial" w:hAnsi="Arial" w:cs="Arial"/>
        </w:rPr>
        <w:t xml:space="preserve">(1), p.103. </w:t>
      </w:r>
      <w:hyperlink r:id="rId30" w:history="1">
        <w:r w:rsidRPr="006E03E2">
          <w:rPr>
            <w:rStyle w:val="Hyperlink"/>
            <w:rFonts w:ascii="Arial" w:hAnsi="Arial" w:cs="Arial"/>
          </w:rPr>
          <w:t>https://link.springer.com/content/pdf/10.1186/s40900-024-00638-3.pdf</w:t>
        </w:r>
      </w:hyperlink>
      <w:r w:rsidRPr="006E03E2">
        <w:rPr>
          <w:rFonts w:ascii="Arial" w:hAnsi="Arial" w:cs="Arial"/>
        </w:rPr>
        <w:t xml:space="preserve"> </w:t>
      </w:r>
    </w:p>
    <w:p w14:paraId="10546EBE"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Mekonnen, M. and Bayissa, Z., 2023. The effect of transformational and transactional leadership styles on organizational readiness for change among health professionals. </w:t>
      </w:r>
      <w:r w:rsidRPr="006E03E2">
        <w:rPr>
          <w:rFonts w:ascii="Arial" w:hAnsi="Arial" w:cs="Arial"/>
          <w:i/>
          <w:iCs/>
        </w:rPr>
        <w:t>SAGE open nursing</w:t>
      </w:r>
      <w:r w:rsidRPr="006E03E2">
        <w:rPr>
          <w:rFonts w:ascii="Arial" w:hAnsi="Arial" w:cs="Arial"/>
        </w:rPr>
        <w:t>, </w:t>
      </w:r>
      <w:r w:rsidRPr="006E03E2">
        <w:rPr>
          <w:rFonts w:ascii="Arial" w:hAnsi="Arial" w:cs="Arial"/>
          <w:i/>
          <w:iCs/>
        </w:rPr>
        <w:t>9</w:t>
      </w:r>
      <w:r w:rsidRPr="006E03E2">
        <w:rPr>
          <w:rFonts w:ascii="Arial" w:hAnsi="Arial" w:cs="Arial"/>
        </w:rPr>
        <w:t xml:space="preserve">, p.23779608231185923. </w:t>
      </w:r>
      <w:hyperlink r:id="rId31" w:history="1">
        <w:r w:rsidRPr="006E03E2">
          <w:rPr>
            <w:rStyle w:val="Hyperlink"/>
            <w:rFonts w:ascii="Arial" w:hAnsi="Arial" w:cs="Arial"/>
          </w:rPr>
          <w:t>https://journals.sagepub.com/doi/pdf/10.1177/23779608231185923</w:t>
        </w:r>
      </w:hyperlink>
      <w:r w:rsidRPr="006E03E2">
        <w:rPr>
          <w:rFonts w:ascii="Arial" w:hAnsi="Arial" w:cs="Arial"/>
        </w:rPr>
        <w:t xml:space="preserve"> </w:t>
      </w:r>
    </w:p>
    <w:p w14:paraId="12292C05"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META-ETHNOGRAPHY, A., 2025. </w:t>
      </w:r>
      <w:r w:rsidRPr="006E03E2">
        <w:rPr>
          <w:rFonts w:ascii="Arial" w:hAnsi="Arial" w:cs="Arial"/>
          <w:i/>
          <w:iCs/>
        </w:rPr>
        <w:t>TRANSFORMING INTEGRATED CARE THROUGH CO-PRODUCTION</w:t>
      </w:r>
      <w:r w:rsidRPr="006E03E2">
        <w:rPr>
          <w:rFonts w:ascii="Arial" w:hAnsi="Arial" w:cs="Arial"/>
        </w:rPr>
        <w:t xml:space="preserve">. </w:t>
      </w:r>
      <w:hyperlink r:id="rId32" w:history="1">
        <w:r w:rsidRPr="006E03E2">
          <w:rPr>
            <w:rStyle w:val="Hyperlink"/>
            <w:rFonts w:ascii="Arial" w:hAnsi="Arial" w:cs="Arial"/>
          </w:rPr>
          <w:t>https://doi.org/10.5334/ijic.7603</w:t>
        </w:r>
      </w:hyperlink>
      <w:r w:rsidRPr="006E03E2">
        <w:rPr>
          <w:rFonts w:ascii="Arial" w:hAnsi="Arial" w:cs="Arial"/>
        </w:rPr>
        <w:t xml:space="preserve"> </w:t>
      </w:r>
    </w:p>
    <w:p w14:paraId="508A69BF"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Morian, H., Creutzfeldt, J., Hultin, M. and </w:t>
      </w:r>
      <w:proofErr w:type="spellStart"/>
      <w:r w:rsidRPr="006E03E2">
        <w:rPr>
          <w:rFonts w:ascii="Arial" w:hAnsi="Arial" w:cs="Arial"/>
        </w:rPr>
        <w:t>Härgestam</w:t>
      </w:r>
      <w:proofErr w:type="spellEnd"/>
      <w:r w:rsidRPr="006E03E2">
        <w:rPr>
          <w:rFonts w:ascii="Arial" w:hAnsi="Arial" w:cs="Arial"/>
        </w:rPr>
        <w:t>, M., 2024. Mapping leadership, communication and collaboration in short-term distributed teams across various contexts: a scoping review. </w:t>
      </w:r>
      <w:r w:rsidRPr="006E03E2">
        <w:rPr>
          <w:rFonts w:ascii="Arial" w:hAnsi="Arial" w:cs="Arial"/>
          <w:i/>
          <w:iCs/>
        </w:rPr>
        <w:t>BMJ open</w:t>
      </w:r>
      <w:r w:rsidRPr="006E03E2">
        <w:rPr>
          <w:rFonts w:ascii="Arial" w:hAnsi="Arial" w:cs="Arial"/>
        </w:rPr>
        <w:t>, </w:t>
      </w:r>
      <w:r w:rsidRPr="006E03E2">
        <w:rPr>
          <w:rFonts w:ascii="Arial" w:hAnsi="Arial" w:cs="Arial"/>
          <w:i/>
          <w:iCs/>
        </w:rPr>
        <w:t>14</w:t>
      </w:r>
      <w:r w:rsidRPr="006E03E2">
        <w:rPr>
          <w:rFonts w:ascii="Arial" w:hAnsi="Arial" w:cs="Arial"/>
        </w:rPr>
        <w:t xml:space="preserve">(10), p.e081878. </w:t>
      </w:r>
      <w:hyperlink r:id="rId33" w:history="1">
        <w:r w:rsidRPr="006E03E2">
          <w:rPr>
            <w:rStyle w:val="Hyperlink"/>
            <w:rFonts w:ascii="Arial" w:hAnsi="Arial" w:cs="Arial"/>
          </w:rPr>
          <w:t>https://bmjopen.bmj.com/content/bmjopen/14/10/e081878.full.pdf</w:t>
        </w:r>
      </w:hyperlink>
      <w:r w:rsidRPr="006E03E2">
        <w:rPr>
          <w:rFonts w:ascii="Arial" w:hAnsi="Arial" w:cs="Arial"/>
        </w:rPr>
        <w:t xml:space="preserve"> </w:t>
      </w:r>
    </w:p>
    <w:p w14:paraId="6907AB7C"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lastRenderedPageBreak/>
        <w:t xml:space="preserve">Muzazu, S.G., Chirwa, M., Khatanga-Chihana, S., Munyinda, M. and </w:t>
      </w:r>
      <w:proofErr w:type="spellStart"/>
      <w:r w:rsidRPr="006E03E2">
        <w:rPr>
          <w:rFonts w:ascii="Arial" w:hAnsi="Arial" w:cs="Arial"/>
        </w:rPr>
        <w:t>Simuyandi</w:t>
      </w:r>
      <w:proofErr w:type="spellEnd"/>
      <w:r w:rsidRPr="006E03E2">
        <w:rPr>
          <w:rFonts w:ascii="Arial" w:hAnsi="Arial" w:cs="Arial"/>
        </w:rPr>
        <w:t>, M., 2022. Sickle cell disease in early infancy: a case report. </w:t>
      </w:r>
      <w:proofErr w:type="spellStart"/>
      <w:r w:rsidRPr="006E03E2">
        <w:rPr>
          <w:rFonts w:ascii="Arial" w:hAnsi="Arial" w:cs="Arial"/>
          <w:i/>
          <w:iCs/>
        </w:rPr>
        <w:t>Pediatric</w:t>
      </w:r>
      <w:proofErr w:type="spellEnd"/>
      <w:r w:rsidRPr="006E03E2">
        <w:rPr>
          <w:rFonts w:ascii="Arial" w:hAnsi="Arial" w:cs="Arial"/>
          <w:i/>
          <w:iCs/>
        </w:rPr>
        <w:t xml:space="preserve"> Health, Medicine and Therapeutics</w:t>
      </w:r>
      <w:r w:rsidRPr="006E03E2">
        <w:rPr>
          <w:rFonts w:ascii="Arial" w:hAnsi="Arial" w:cs="Arial"/>
        </w:rPr>
        <w:t xml:space="preserve">, pp.377-383. </w:t>
      </w:r>
      <w:hyperlink r:id="rId34" w:history="1">
        <w:r w:rsidRPr="006E03E2">
          <w:rPr>
            <w:rStyle w:val="Hyperlink"/>
            <w:rFonts w:ascii="Arial" w:hAnsi="Arial" w:cs="Arial"/>
          </w:rPr>
          <w:t>https://www.tandfonline.com/doi/pdf/10.2147/PHMT.S388147</w:t>
        </w:r>
      </w:hyperlink>
      <w:r w:rsidRPr="006E03E2">
        <w:rPr>
          <w:rFonts w:ascii="Arial" w:hAnsi="Arial" w:cs="Arial"/>
        </w:rPr>
        <w:t xml:space="preserve">  </w:t>
      </w:r>
    </w:p>
    <w:p w14:paraId="664AB1D9"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Notarnicola, I., Duka, B., Lommi, M., </w:t>
      </w:r>
      <w:proofErr w:type="spellStart"/>
      <w:r w:rsidRPr="006E03E2">
        <w:rPr>
          <w:rFonts w:ascii="Arial" w:hAnsi="Arial" w:cs="Arial"/>
        </w:rPr>
        <w:t>Grosha</w:t>
      </w:r>
      <w:proofErr w:type="spellEnd"/>
      <w:r w:rsidRPr="006E03E2">
        <w:rPr>
          <w:rFonts w:ascii="Arial" w:hAnsi="Arial" w:cs="Arial"/>
        </w:rPr>
        <w:t xml:space="preserve">, E., De Maria, M., Iacorossi, L., Mastroianni, C., </w:t>
      </w:r>
      <w:proofErr w:type="spellStart"/>
      <w:r w:rsidRPr="006E03E2">
        <w:rPr>
          <w:rFonts w:ascii="Arial" w:hAnsi="Arial" w:cs="Arial"/>
        </w:rPr>
        <w:t>Ivziku</w:t>
      </w:r>
      <w:proofErr w:type="spellEnd"/>
      <w:r w:rsidRPr="006E03E2">
        <w:rPr>
          <w:rFonts w:ascii="Arial" w:hAnsi="Arial" w:cs="Arial"/>
        </w:rPr>
        <w:t xml:space="preserve">, D., Rocco, G. and </w:t>
      </w:r>
      <w:proofErr w:type="spellStart"/>
      <w:r w:rsidRPr="006E03E2">
        <w:rPr>
          <w:rFonts w:ascii="Arial" w:hAnsi="Arial" w:cs="Arial"/>
        </w:rPr>
        <w:t>Stievano</w:t>
      </w:r>
      <w:proofErr w:type="spellEnd"/>
      <w:r w:rsidRPr="006E03E2">
        <w:rPr>
          <w:rFonts w:ascii="Arial" w:hAnsi="Arial" w:cs="Arial"/>
        </w:rPr>
        <w:t>, A., 2024. Transformational leadership and its impact on job satisfaction and personal mastery for nursing leaders in healthcare organizations. </w:t>
      </w:r>
      <w:r w:rsidRPr="006E03E2">
        <w:rPr>
          <w:rFonts w:ascii="Arial" w:hAnsi="Arial" w:cs="Arial"/>
          <w:i/>
          <w:iCs/>
        </w:rPr>
        <w:t>Nursing Reports</w:t>
      </w:r>
      <w:r w:rsidRPr="006E03E2">
        <w:rPr>
          <w:rFonts w:ascii="Arial" w:hAnsi="Arial" w:cs="Arial"/>
        </w:rPr>
        <w:t>, </w:t>
      </w:r>
      <w:r w:rsidRPr="006E03E2">
        <w:rPr>
          <w:rFonts w:ascii="Arial" w:hAnsi="Arial" w:cs="Arial"/>
          <w:i/>
          <w:iCs/>
        </w:rPr>
        <w:t>14</w:t>
      </w:r>
      <w:r w:rsidRPr="006E03E2">
        <w:rPr>
          <w:rFonts w:ascii="Arial" w:hAnsi="Arial" w:cs="Arial"/>
        </w:rPr>
        <w:t xml:space="preserve">(4), pp.3561-3574. </w:t>
      </w:r>
      <w:hyperlink r:id="rId35" w:history="1">
        <w:r w:rsidRPr="006E03E2">
          <w:rPr>
            <w:rStyle w:val="Hyperlink"/>
            <w:rFonts w:ascii="Arial" w:hAnsi="Arial" w:cs="Arial"/>
          </w:rPr>
          <w:t>https://www.mdpi.com/2039-4403/14/4/260</w:t>
        </w:r>
      </w:hyperlink>
      <w:r w:rsidRPr="006E03E2">
        <w:rPr>
          <w:rFonts w:ascii="Arial" w:hAnsi="Arial" w:cs="Arial"/>
        </w:rPr>
        <w:t xml:space="preserve"> </w:t>
      </w:r>
    </w:p>
    <w:p w14:paraId="5A95D10F"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Okeke, C.O., Okeke, C., Asala, S., </w:t>
      </w:r>
      <w:proofErr w:type="spellStart"/>
      <w:r w:rsidRPr="006E03E2">
        <w:rPr>
          <w:rFonts w:ascii="Arial" w:hAnsi="Arial" w:cs="Arial"/>
        </w:rPr>
        <w:t>Ofakunrin</w:t>
      </w:r>
      <w:proofErr w:type="spellEnd"/>
      <w:r w:rsidRPr="006E03E2">
        <w:rPr>
          <w:rFonts w:ascii="Arial" w:hAnsi="Arial" w:cs="Arial"/>
        </w:rPr>
        <w:t xml:space="preserve">, A.O., </w:t>
      </w:r>
      <w:proofErr w:type="spellStart"/>
      <w:r w:rsidRPr="006E03E2">
        <w:rPr>
          <w:rFonts w:ascii="Arial" w:hAnsi="Arial" w:cs="Arial"/>
        </w:rPr>
        <w:t>Ufelle</w:t>
      </w:r>
      <w:proofErr w:type="spellEnd"/>
      <w:r w:rsidRPr="006E03E2">
        <w:rPr>
          <w:rFonts w:ascii="Arial" w:hAnsi="Arial" w:cs="Arial"/>
        </w:rPr>
        <w:t xml:space="preserve">, S. and </w:t>
      </w:r>
      <w:proofErr w:type="spellStart"/>
      <w:r w:rsidRPr="006E03E2">
        <w:rPr>
          <w:rFonts w:ascii="Arial" w:hAnsi="Arial" w:cs="Arial"/>
        </w:rPr>
        <w:t>Nnodu</w:t>
      </w:r>
      <w:proofErr w:type="spellEnd"/>
      <w:r w:rsidRPr="006E03E2">
        <w:rPr>
          <w:rFonts w:ascii="Arial" w:hAnsi="Arial" w:cs="Arial"/>
        </w:rPr>
        <w:t>, O.E., 2024. Sustainability of newborn screening for sickle cell disease in resource-poor countries: a systematic review. </w:t>
      </w:r>
      <w:proofErr w:type="spellStart"/>
      <w:r w:rsidRPr="006E03E2">
        <w:rPr>
          <w:rFonts w:ascii="Arial" w:hAnsi="Arial" w:cs="Arial"/>
          <w:i/>
          <w:iCs/>
        </w:rPr>
        <w:t>Plos</w:t>
      </w:r>
      <w:proofErr w:type="spellEnd"/>
      <w:r w:rsidRPr="006E03E2">
        <w:rPr>
          <w:rFonts w:ascii="Arial" w:hAnsi="Arial" w:cs="Arial"/>
          <w:i/>
          <w:iCs/>
        </w:rPr>
        <w:t xml:space="preserve"> one</w:t>
      </w:r>
      <w:r w:rsidRPr="006E03E2">
        <w:rPr>
          <w:rFonts w:ascii="Arial" w:hAnsi="Arial" w:cs="Arial"/>
        </w:rPr>
        <w:t>, </w:t>
      </w:r>
      <w:r w:rsidRPr="006E03E2">
        <w:rPr>
          <w:rFonts w:ascii="Arial" w:hAnsi="Arial" w:cs="Arial"/>
          <w:i/>
          <w:iCs/>
        </w:rPr>
        <w:t>19</w:t>
      </w:r>
      <w:r w:rsidRPr="006E03E2">
        <w:rPr>
          <w:rFonts w:ascii="Arial" w:hAnsi="Arial" w:cs="Arial"/>
        </w:rPr>
        <w:t xml:space="preserve">(9), p.e0305110. </w:t>
      </w:r>
      <w:hyperlink r:id="rId36" w:history="1">
        <w:r w:rsidRPr="006E03E2">
          <w:rPr>
            <w:rStyle w:val="Hyperlink"/>
            <w:rFonts w:ascii="Arial" w:hAnsi="Arial" w:cs="Arial"/>
          </w:rPr>
          <w:t>https://journals.plos.org/plosone/article/file?id=10.1371/journal.pone.0305110&amp;type=printable</w:t>
        </w:r>
      </w:hyperlink>
      <w:r w:rsidRPr="006E03E2">
        <w:rPr>
          <w:rFonts w:ascii="Arial" w:hAnsi="Arial" w:cs="Arial"/>
        </w:rPr>
        <w:t xml:space="preserve">  </w:t>
      </w:r>
    </w:p>
    <w:p w14:paraId="4082169F"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Panesar, B., Whitmore, C., </w:t>
      </w:r>
      <w:proofErr w:type="spellStart"/>
      <w:r w:rsidRPr="006E03E2">
        <w:rPr>
          <w:rFonts w:ascii="Arial" w:hAnsi="Arial" w:cs="Arial"/>
        </w:rPr>
        <w:t>Vanderhout</w:t>
      </w:r>
      <w:proofErr w:type="spellEnd"/>
      <w:r w:rsidRPr="006E03E2">
        <w:rPr>
          <w:rFonts w:ascii="Arial" w:hAnsi="Arial" w:cs="Arial"/>
        </w:rPr>
        <w:t>, S. and Bird, M., 2025. Evaluating Learning Health Systems: A Jurisdictional Scan. </w:t>
      </w:r>
      <w:r w:rsidRPr="006E03E2">
        <w:rPr>
          <w:rFonts w:ascii="Arial" w:hAnsi="Arial" w:cs="Arial"/>
          <w:i/>
          <w:iCs/>
        </w:rPr>
        <w:t>SSM-Health Systems</w:t>
      </w:r>
      <w:r w:rsidRPr="006E03E2">
        <w:rPr>
          <w:rFonts w:ascii="Arial" w:hAnsi="Arial" w:cs="Arial"/>
        </w:rPr>
        <w:t xml:space="preserve">, p.100117. </w:t>
      </w:r>
      <w:hyperlink r:id="rId37" w:history="1">
        <w:r w:rsidRPr="006E03E2">
          <w:rPr>
            <w:rStyle w:val="Hyperlink"/>
            <w:rFonts w:ascii="Arial" w:hAnsi="Arial" w:cs="Arial"/>
          </w:rPr>
          <w:t>https://www.sciencedirect.com/science/article/pii/S2949856225000698</w:t>
        </w:r>
      </w:hyperlink>
      <w:r w:rsidRPr="006E03E2">
        <w:rPr>
          <w:rFonts w:ascii="Arial" w:hAnsi="Arial" w:cs="Arial"/>
        </w:rPr>
        <w:t xml:space="preserve"> </w:t>
      </w:r>
    </w:p>
    <w:p w14:paraId="59AABA5C"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Rocio, S., María Paulina, E., Karol, R., Luis Fernando, S. and Ingrid, G., 2023. Accelerating systems thinking in health: Perspectives from the region of the Americas. </w:t>
      </w:r>
      <w:r w:rsidRPr="006E03E2">
        <w:rPr>
          <w:rFonts w:ascii="Arial" w:hAnsi="Arial" w:cs="Arial"/>
          <w:i/>
          <w:iCs/>
        </w:rPr>
        <w:t>Frontiers in Public Health</w:t>
      </w:r>
      <w:r w:rsidRPr="006E03E2">
        <w:rPr>
          <w:rFonts w:ascii="Arial" w:hAnsi="Arial" w:cs="Arial"/>
        </w:rPr>
        <w:t>, </w:t>
      </w:r>
      <w:r w:rsidRPr="006E03E2">
        <w:rPr>
          <w:rFonts w:ascii="Arial" w:hAnsi="Arial" w:cs="Arial"/>
          <w:i/>
          <w:iCs/>
        </w:rPr>
        <w:t>11</w:t>
      </w:r>
      <w:r w:rsidRPr="006E03E2">
        <w:rPr>
          <w:rFonts w:ascii="Arial" w:hAnsi="Arial" w:cs="Arial"/>
        </w:rPr>
        <w:t xml:space="preserve">, p.968357. </w:t>
      </w:r>
      <w:hyperlink r:id="rId38" w:history="1">
        <w:r w:rsidRPr="006E03E2">
          <w:rPr>
            <w:rStyle w:val="Hyperlink"/>
            <w:rFonts w:ascii="Arial" w:hAnsi="Arial" w:cs="Arial"/>
          </w:rPr>
          <w:t>https://www.frontiersin.org/journals/public-health/articles/10.3389/fpubh.2023.968357/full</w:t>
        </w:r>
      </w:hyperlink>
      <w:r w:rsidRPr="006E03E2">
        <w:rPr>
          <w:rFonts w:ascii="Arial" w:hAnsi="Arial" w:cs="Arial"/>
        </w:rPr>
        <w:t xml:space="preserve"> </w:t>
      </w:r>
    </w:p>
    <w:p w14:paraId="05BC4B25"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Sapkota, S., Dhakal, A., Rushton, S., van </w:t>
      </w:r>
      <w:proofErr w:type="spellStart"/>
      <w:r w:rsidRPr="006E03E2">
        <w:rPr>
          <w:rFonts w:ascii="Arial" w:hAnsi="Arial" w:cs="Arial"/>
        </w:rPr>
        <w:t>Teijlingen</w:t>
      </w:r>
      <w:proofErr w:type="spellEnd"/>
      <w:r w:rsidRPr="006E03E2">
        <w:rPr>
          <w:rFonts w:ascii="Arial" w:hAnsi="Arial" w:cs="Arial"/>
        </w:rPr>
        <w:t xml:space="preserve">, E., </w:t>
      </w:r>
      <w:proofErr w:type="spellStart"/>
      <w:r w:rsidRPr="006E03E2">
        <w:rPr>
          <w:rFonts w:ascii="Arial" w:hAnsi="Arial" w:cs="Arial"/>
        </w:rPr>
        <w:t>Marahatta</w:t>
      </w:r>
      <w:proofErr w:type="spellEnd"/>
      <w:r w:rsidRPr="006E03E2">
        <w:rPr>
          <w:rFonts w:ascii="Arial" w:hAnsi="Arial" w:cs="Arial"/>
        </w:rPr>
        <w:t>, S.B., Balen, J. and Lee, A.C., 2023. The impact of decentralisation on health systems: a systematic review of reviews. </w:t>
      </w:r>
      <w:r w:rsidRPr="006E03E2">
        <w:rPr>
          <w:rFonts w:ascii="Arial" w:hAnsi="Arial" w:cs="Arial"/>
          <w:i/>
          <w:iCs/>
        </w:rPr>
        <w:t>BMJ Global Health</w:t>
      </w:r>
      <w:r w:rsidRPr="006E03E2">
        <w:rPr>
          <w:rFonts w:ascii="Arial" w:hAnsi="Arial" w:cs="Arial"/>
        </w:rPr>
        <w:t>, </w:t>
      </w:r>
      <w:r w:rsidRPr="006E03E2">
        <w:rPr>
          <w:rFonts w:ascii="Arial" w:hAnsi="Arial" w:cs="Arial"/>
          <w:i/>
          <w:iCs/>
        </w:rPr>
        <w:t>8</w:t>
      </w:r>
      <w:r w:rsidRPr="006E03E2">
        <w:rPr>
          <w:rFonts w:ascii="Arial" w:hAnsi="Arial" w:cs="Arial"/>
        </w:rPr>
        <w:t xml:space="preserve">(12). </w:t>
      </w:r>
      <w:hyperlink r:id="rId39" w:history="1">
        <w:r w:rsidRPr="006E03E2">
          <w:rPr>
            <w:rStyle w:val="Hyperlink"/>
            <w:rFonts w:ascii="Arial" w:hAnsi="Arial" w:cs="Arial"/>
          </w:rPr>
          <w:t>https://gh.bmj.com/content/bmjgh/8/12/e013317.full.pdf</w:t>
        </w:r>
      </w:hyperlink>
      <w:r w:rsidRPr="006E03E2">
        <w:rPr>
          <w:rFonts w:ascii="Arial" w:hAnsi="Arial" w:cs="Arial"/>
        </w:rPr>
        <w:t xml:space="preserve"> </w:t>
      </w:r>
    </w:p>
    <w:p w14:paraId="239B7740"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Singh, A. and Vashist, H., 2025. Ethical leadership in health-care organizations–a scoping review. </w:t>
      </w:r>
      <w:r w:rsidRPr="006E03E2">
        <w:rPr>
          <w:rFonts w:ascii="Arial" w:hAnsi="Arial" w:cs="Arial"/>
          <w:i/>
          <w:iCs/>
        </w:rPr>
        <w:t>Leadership in health services</w:t>
      </w:r>
      <w:r w:rsidRPr="006E03E2">
        <w:rPr>
          <w:rFonts w:ascii="Arial" w:hAnsi="Arial" w:cs="Arial"/>
        </w:rPr>
        <w:t>, </w:t>
      </w:r>
      <w:r w:rsidRPr="006E03E2">
        <w:rPr>
          <w:rFonts w:ascii="Arial" w:hAnsi="Arial" w:cs="Arial"/>
          <w:i/>
          <w:iCs/>
        </w:rPr>
        <w:t>38</w:t>
      </w:r>
      <w:r w:rsidRPr="006E03E2">
        <w:rPr>
          <w:rFonts w:ascii="Arial" w:hAnsi="Arial" w:cs="Arial"/>
        </w:rPr>
        <w:t xml:space="preserve">(1), pp.136-152. </w:t>
      </w:r>
      <w:hyperlink r:id="rId40" w:history="1">
        <w:r w:rsidRPr="006E03E2">
          <w:rPr>
            <w:rStyle w:val="Hyperlink"/>
            <w:rFonts w:ascii="Arial" w:hAnsi="Arial" w:cs="Arial"/>
          </w:rPr>
          <w:t>https://www.emerald.com/lhs/article-pdf/38/1/136/9656984/lhs-04-2024-0035.pdf</w:t>
        </w:r>
      </w:hyperlink>
      <w:r w:rsidRPr="006E03E2">
        <w:rPr>
          <w:rFonts w:ascii="Arial" w:hAnsi="Arial" w:cs="Arial"/>
        </w:rPr>
        <w:t xml:space="preserve"> </w:t>
      </w:r>
    </w:p>
    <w:p w14:paraId="1E3A9D8E"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Singh, P.K., Singh, S., Kumari, V. and Tiwari, M., 2024. Navigating healthcare leadership: Theories, challenges, and practical insights for the future. </w:t>
      </w:r>
      <w:r w:rsidRPr="006E03E2">
        <w:rPr>
          <w:rFonts w:ascii="Arial" w:hAnsi="Arial" w:cs="Arial"/>
          <w:i/>
          <w:iCs/>
        </w:rPr>
        <w:t>Journal of postgraduate medicine</w:t>
      </w:r>
      <w:r w:rsidRPr="006E03E2">
        <w:rPr>
          <w:rFonts w:ascii="Arial" w:hAnsi="Arial" w:cs="Arial"/>
        </w:rPr>
        <w:t>, </w:t>
      </w:r>
      <w:r w:rsidRPr="006E03E2">
        <w:rPr>
          <w:rFonts w:ascii="Arial" w:hAnsi="Arial" w:cs="Arial"/>
          <w:i/>
          <w:iCs/>
        </w:rPr>
        <w:t>70</w:t>
      </w:r>
      <w:r w:rsidRPr="006E03E2">
        <w:rPr>
          <w:rFonts w:ascii="Arial" w:hAnsi="Arial" w:cs="Arial"/>
        </w:rPr>
        <w:t xml:space="preserve">(4), pp.232-241. </w:t>
      </w:r>
      <w:hyperlink r:id="rId41" w:history="1">
        <w:r w:rsidRPr="006E03E2">
          <w:rPr>
            <w:rStyle w:val="Hyperlink"/>
            <w:rFonts w:ascii="Arial" w:hAnsi="Arial" w:cs="Arial"/>
          </w:rPr>
          <w:t>https://pmc.ncbi.nlm.nih.gov/articles/PMC11722716/</w:t>
        </w:r>
      </w:hyperlink>
      <w:r w:rsidRPr="006E03E2">
        <w:rPr>
          <w:rFonts w:ascii="Arial" w:hAnsi="Arial" w:cs="Arial"/>
        </w:rPr>
        <w:t xml:space="preserve">  </w:t>
      </w:r>
    </w:p>
    <w:p w14:paraId="49BB191E"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Smith, R.W., Jarvis, T., Sandhu, H.S., Pinto, A.D., O'Neill, M., Di Ruggiero, E., Pawa, J., Rosella, L. and Allin, S., 2023. Centralization and integration of public health systems: Perspectives of public health leaders on factors facilitating and impeding </w:t>
      </w:r>
      <w:r w:rsidRPr="006E03E2">
        <w:rPr>
          <w:rFonts w:ascii="Arial" w:hAnsi="Arial" w:cs="Arial"/>
        </w:rPr>
        <w:lastRenderedPageBreak/>
        <w:t>COVID-19 responses in three Canadian provinces. </w:t>
      </w:r>
      <w:r w:rsidRPr="006E03E2">
        <w:rPr>
          <w:rFonts w:ascii="Arial" w:hAnsi="Arial" w:cs="Arial"/>
          <w:i/>
          <w:iCs/>
        </w:rPr>
        <w:t>Health Policy</w:t>
      </w:r>
      <w:r w:rsidRPr="006E03E2">
        <w:rPr>
          <w:rFonts w:ascii="Arial" w:hAnsi="Arial" w:cs="Arial"/>
        </w:rPr>
        <w:t>, </w:t>
      </w:r>
      <w:r w:rsidRPr="006E03E2">
        <w:rPr>
          <w:rFonts w:ascii="Arial" w:hAnsi="Arial" w:cs="Arial"/>
          <w:i/>
          <w:iCs/>
        </w:rPr>
        <w:t>127</w:t>
      </w:r>
      <w:r w:rsidRPr="006E03E2">
        <w:rPr>
          <w:rFonts w:ascii="Arial" w:hAnsi="Arial" w:cs="Arial"/>
        </w:rPr>
        <w:t xml:space="preserve">, pp.19-28. </w:t>
      </w:r>
      <w:hyperlink r:id="rId42" w:history="1">
        <w:r w:rsidRPr="006E03E2">
          <w:rPr>
            <w:rStyle w:val="Hyperlink"/>
            <w:rFonts w:ascii="Arial" w:hAnsi="Arial" w:cs="Arial"/>
          </w:rPr>
          <w:t>https://pmc.ncbi.nlm.nih.gov/articles/PMC9681988/pdf/main.pdf</w:t>
        </w:r>
      </w:hyperlink>
      <w:r w:rsidRPr="006E03E2">
        <w:rPr>
          <w:rFonts w:ascii="Arial" w:hAnsi="Arial" w:cs="Arial"/>
        </w:rPr>
        <w:t xml:space="preserve"> </w:t>
      </w:r>
    </w:p>
    <w:p w14:paraId="29BF6725"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Spanos, S., Leask, E., Patel, R., </w:t>
      </w:r>
      <w:proofErr w:type="spellStart"/>
      <w:r w:rsidRPr="006E03E2">
        <w:rPr>
          <w:rFonts w:ascii="Arial" w:hAnsi="Arial" w:cs="Arial"/>
        </w:rPr>
        <w:t>Datyner</w:t>
      </w:r>
      <w:proofErr w:type="spellEnd"/>
      <w:r w:rsidRPr="006E03E2">
        <w:rPr>
          <w:rFonts w:ascii="Arial" w:hAnsi="Arial" w:cs="Arial"/>
        </w:rPr>
        <w:t>, M., Loh, E. and Braithwaite, J., 2024. Healthcare leaders navigating complexity: a scoping review of key trends in future roles and competencies. </w:t>
      </w:r>
      <w:r w:rsidRPr="006E03E2">
        <w:rPr>
          <w:rFonts w:ascii="Arial" w:hAnsi="Arial" w:cs="Arial"/>
          <w:i/>
          <w:iCs/>
        </w:rPr>
        <w:t>BMC Medical Education</w:t>
      </w:r>
      <w:r w:rsidRPr="006E03E2">
        <w:rPr>
          <w:rFonts w:ascii="Arial" w:hAnsi="Arial" w:cs="Arial"/>
        </w:rPr>
        <w:t>, </w:t>
      </w:r>
      <w:r w:rsidRPr="006E03E2">
        <w:rPr>
          <w:rFonts w:ascii="Arial" w:hAnsi="Arial" w:cs="Arial"/>
          <w:i/>
          <w:iCs/>
        </w:rPr>
        <w:t>24</w:t>
      </w:r>
      <w:r w:rsidRPr="006E03E2">
        <w:rPr>
          <w:rFonts w:ascii="Arial" w:hAnsi="Arial" w:cs="Arial"/>
        </w:rPr>
        <w:t xml:space="preserve">(1), p.720. </w:t>
      </w:r>
      <w:hyperlink r:id="rId43" w:history="1">
        <w:r w:rsidRPr="006E03E2">
          <w:rPr>
            <w:rStyle w:val="Hyperlink"/>
            <w:rFonts w:ascii="Arial" w:hAnsi="Arial" w:cs="Arial"/>
          </w:rPr>
          <w:t>https://link.springer.com/content/pdf/10.1186/s12909-024-05689-4.pdf</w:t>
        </w:r>
      </w:hyperlink>
      <w:r w:rsidRPr="006E03E2">
        <w:rPr>
          <w:rFonts w:ascii="Arial" w:hAnsi="Arial" w:cs="Arial"/>
        </w:rPr>
        <w:t xml:space="preserve"> </w:t>
      </w:r>
    </w:p>
    <w:p w14:paraId="2EE4C8B7"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Teame</w:t>
      </w:r>
      <w:proofErr w:type="spellEnd"/>
      <w:r w:rsidRPr="006E03E2">
        <w:rPr>
          <w:rFonts w:ascii="Arial" w:hAnsi="Arial" w:cs="Arial"/>
        </w:rPr>
        <w:t xml:space="preserve">, K., Debie, A. and </w:t>
      </w:r>
      <w:proofErr w:type="spellStart"/>
      <w:r w:rsidRPr="006E03E2">
        <w:rPr>
          <w:rFonts w:ascii="Arial" w:hAnsi="Arial" w:cs="Arial"/>
        </w:rPr>
        <w:t>Tullu</w:t>
      </w:r>
      <w:proofErr w:type="spellEnd"/>
      <w:r w:rsidRPr="006E03E2">
        <w:rPr>
          <w:rFonts w:ascii="Arial" w:hAnsi="Arial" w:cs="Arial"/>
        </w:rPr>
        <w:t>, M., 2022. Healthcare leadership effectiveness among managers in Public Health institutions of Addis Ababa, Central Ethiopia: a mixed methods study. </w:t>
      </w:r>
      <w:r w:rsidRPr="006E03E2">
        <w:rPr>
          <w:rFonts w:ascii="Arial" w:hAnsi="Arial" w:cs="Arial"/>
          <w:i/>
          <w:iCs/>
        </w:rPr>
        <w:t>BMC Health Services Research</w:t>
      </w:r>
      <w:r w:rsidRPr="006E03E2">
        <w:rPr>
          <w:rFonts w:ascii="Arial" w:hAnsi="Arial" w:cs="Arial"/>
        </w:rPr>
        <w:t>, </w:t>
      </w:r>
      <w:r w:rsidRPr="006E03E2">
        <w:rPr>
          <w:rFonts w:ascii="Arial" w:hAnsi="Arial" w:cs="Arial"/>
          <w:i/>
          <w:iCs/>
        </w:rPr>
        <w:t>22</w:t>
      </w:r>
      <w:r w:rsidRPr="006E03E2">
        <w:rPr>
          <w:rFonts w:ascii="Arial" w:hAnsi="Arial" w:cs="Arial"/>
        </w:rPr>
        <w:t xml:space="preserve">(1), p.540. </w:t>
      </w:r>
      <w:hyperlink r:id="rId44" w:history="1">
        <w:r w:rsidRPr="006E03E2">
          <w:rPr>
            <w:rStyle w:val="Hyperlink"/>
            <w:rFonts w:ascii="Arial" w:hAnsi="Arial" w:cs="Arial"/>
          </w:rPr>
          <w:t>https://link.springer.com/content/pdf/10.1186/s12913-022-07879-6.pdf</w:t>
        </w:r>
      </w:hyperlink>
      <w:r w:rsidRPr="006E03E2">
        <w:rPr>
          <w:rFonts w:ascii="Arial" w:hAnsi="Arial" w:cs="Arial"/>
        </w:rPr>
        <w:t xml:space="preserve"> </w:t>
      </w:r>
    </w:p>
    <w:p w14:paraId="19F4D8E5"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Thomson, A.M., McHugh, T.A., Oron, A.P., Teply, C., </w:t>
      </w:r>
      <w:proofErr w:type="spellStart"/>
      <w:r w:rsidRPr="006E03E2">
        <w:rPr>
          <w:rFonts w:ascii="Arial" w:hAnsi="Arial" w:cs="Arial"/>
        </w:rPr>
        <w:t>Lonberg</w:t>
      </w:r>
      <w:proofErr w:type="spellEnd"/>
      <w:r w:rsidRPr="006E03E2">
        <w:rPr>
          <w:rFonts w:ascii="Arial" w:hAnsi="Arial" w:cs="Arial"/>
        </w:rPr>
        <w:t xml:space="preserve">, N., Tella, V.V., Wilner, L.B., Fuller, K., Hagins, H., Aboagye, R.G. and </w:t>
      </w:r>
      <w:proofErr w:type="spellStart"/>
      <w:r w:rsidRPr="006E03E2">
        <w:rPr>
          <w:rFonts w:ascii="Arial" w:hAnsi="Arial" w:cs="Arial"/>
        </w:rPr>
        <w:t>Aboye</w:t>
      </w:r>
      <w:proofErr w:type="spellEnd"/>
      <w:r w:rsidRPr="006E03E2">
        <w:rPr>
          <w:rFonts w:ascii="Arial" w:hAnsi="Arial" w:cs="Arial"/>
        </w:rPr>
        <w:t>, M.B., 2023. Global, regional, and national prevalence and mortality burden of sickle cell disease, 2000–2021: a systematic analysis from the Global Burden of Disease Study 2021. </w:t>
      </w:r>
      <w:r w:rsidRPr="006E03E2">
        <w:rPr>
          <w:rFonts w:ascii="Arial" w:hAnsi="Arial" w:cs="Arial"/>
          <w:i/>
          <w:iCs/>
        </w:rPr>
        <w:t>The Lancet Haematology</w:t>
      </w:r>
      <w:r w:rsidRPr="006E03E2">
        <w:rPr>
          <w:rFonts w:ascii="Arial" w:hAnsi="Arial" w:cs="Arial"/>
        </w:rPr>
        <w:t>, </w:t>
      </w:r>
      <w:r w:rsidRPr="006E03E2">
        <w:rPr>
          <w:rFonts w:ascii="Arial" w:hAnsi="Arial" w:cs="Arial"/>
          <w:i/>
          <w:iCs/>
        </w:rPr>
        <w:t>10</w:t>
      </w:r>
      <w:r w:rsidRPr="006E03E2">
        <w:rPr>
          <w:rFonts w:ascii="Arial" w:hAnsi="Arial" w:cs="Arial"/>
        </w:rPr>
        <w:t xml:space="preserve">(8), </w:t>
      </w:r>
      <w:proofErr w:type="gramStart"/>
      <w:r w:rsidRPr="006E03E2">
        <w:rPr>
          <w:rFonts w:ascii="Arial" w:hAnsi="Arial" w:cs="Arial"/>
        </w:rPr>
        <w:t>pp.e</w:t>
      </w:r>
      <w:proofErr w:type="gramEnd"/>
      <w:r w:rsidRPr="006E03E2">
        <w:rPr>
          <w:rFonts w:ascii="Arial" w:hAnsi="Arial" w:cs="Arial"/>
        </w:rPr>
        <w:t xml:space="preserve">585-e599. </w:t>
      </w:r>
      <w:hyperlink r:id="rId45" w:history="1">
        <w:r w:rsidRPr="006E03E2">
          <w:rPr>
            <w:rStyle w:val="Hyperlink"/>
            <w:rFonts w:ascii="Arial" w:hAnsi="Arial" w:cs="Arial"/>
          </w:rPr>
          <w:t>https://www.thelancet.com/journals/lanhae/article/PIIS2352-3026(23)00118-7/fulltext?linkId=100000205683156</w:t>
        </w:r>
      </w:hyperlink>
      <w:r w:rsidRPr="006E03E2">
        <w:rPr>
          <w:rFonts w:ascii="Arial" w:hAnsi="Arial" w:cs="Arial"/>
        </w:rPr>
        <w:t xml:space="preserve"> </w:t>
      </w:r>
    </w:p>
    <w:p w14:paraId="61317672"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Välimäki, M., Hu, S., </w:t>
      </w:r>
      <w:proofErr w:type="spellStart"/>
      <w:r w:rsidRPr="006E03E2">
        <w:rPr>
          <w:rFonts w:ascii="Arial" w:hAnsi="Arial" w:cs="Arial"/>
        </w:rPr>
        <w:t>Lantta</w:t>
      </w:r>
      <w:proofErr w:type="spellEnd"/>
      <w:r w:rsidRPr="006E03E2">
        <w:rPr>
          <w:rFonts w:ascii="Arial" w:hAnsi="Arial" w:cs="Arial"/>
        </w:rPr>
        <w:t xml:space="preserve">, T., Hipp, K., </w:t>
      </w:r>
      <w:proofErr w:type="spellStart"/>
      <w:r w:rsidRPr="006E03E2">
        <w:rPr>
          <w:rFonts w:ascii="Arial" w:hAnsi="Arial" w:cs="Arial"/>
        </w:rPr>
        <w:t>Varpula</w:t>
      </w:r>
      <w:proofErr w:type="spellEnd"/>
      <w:r w:rsidRPr="006E03E2">
        <w:rPr>
          <w:rFonts w:ascii="Arial" w:hAnsi="Arial" w:cs="Arial"/>
        </w:rPr>
        <w:t>, J., Chen, J., Liu, G., Tang, Y., Chen, W. and Li, X., 2024. The impact of evidence-based nursing leadership in healthcare settings: a mixed methods systematic review. </w:t>
      </w:r>
      <w:r w:rsidRPr="006E03E2">
        <w:rPr>
          <w:rFonts w:ascii="Arial" w:hAnsi="Arial" w:cs="Arial"/>
          <w:i/>
          <w:iCs/>
        </w:rPr>
        <w:t>BMC nursing</w:t>
      </w:r>
      <w:r w:rsidRPr="006E03E2">
        <w:rPr>
          <w:rFonts w:ascii="Arial" w:hAnsi="Arial" w:cs="Arial"/>
        </w:rPr>
        <w:t>, </w:t>
      </w:r>
      <w:r w:rsidRPr="006E03E2">
        <w:rPr>
          <w:rFonts w:ascii="Arial" w:hAnsi="Arial" w:cs="Arial"/>
          <w:i/>
          <w:iCs/>
        </w:rPr>
        <w:t>23</w:t>
      </w:r>
      <w:r w:rsidRPr="006E03E2">
        <w:rPr>
          <w:rFonts w:ascii="Arial" w:hAnsi="Arial" w:cs="Arial"/>
        </w:rPr>
        <w:t xml:space="preserve">(1), p.452. </w:t>
      </w:r>
      <w:hyperlink r:id="rId46" w:history="1">
        <w:r w:rsidRPr="006E03E2">
          <w:rPr>
            <w:rStyle w:val="Hyperlink"/>
            <w:rFonts w:ascii="Arial" w:hAnsi="Arial" w:cs="Arial"/>
          </w:rPr>
          <w:t>https://link.springer.com/content/pdf/10.1186/s12912-024-02096-4.pdf</w:t>
        </w:r>
      </w:hyperlink>
      <w:r w:rsidRPr="006E03E2">
        <w:rPr>
          <w:rFonts w:ascii="Arial" w:hAnsi="Arial" w:cs="Arial"/>
        </w:rPr>
        <w:t xml:space="preserve"> </w:t>
      </w:r>
    </w:p>
    <w:p w14:paraId="4199E887" w14:textId="77777777" w:rsidR="00360196" w:rsidRPr="006E03E2" w:rsidRDefault="00360196" w:rsidP="006E03E2">
      <w:pPr>
        <w:pStyle w:val="ListParagraph"/>
        <w:numPr>
          <w:ilvl w:val="0"/>
          <w:numId w:val="1"/>
        </w:numPr>
        <w:spacing w:line="360" w:lineRule="auto"/>
        <w:jc w:val="both"/>
        <w:rPr>
          <w:rFonts w:ascii="Arial" w:hAnsi="Arial" w:cs="Arial"/>
        </w:rPr>
      </w:pPr>
      <w:proofErr w:type="spellStart"/>
      <w:r w:rsidRPr="006E03E2">
        <w:rPr>
          <w:rFonts w:ascii="Arial" w:hAnsi="Arial" w:cs="Arial"/>
        </w:rPr>
        <w:t>Viphonephom</w:t>
      </w:r>
      <w:proofErr w:type="spellEnd"/>
      <w:r w:rsidRPr="006E03E2">
        <w:rPr>
          <w:rFonts w:ascii="Arial" w:hAnsi="Arial" w:cs="Arial"/>
        </w:rPr>
        <w:t xml:space="preserve">, P., </w:t>
      </w:r>
      <w:proofErr w:type="spellStart"/>
      <w:r w:rsidRPr="006E03E2">
        <w:rPr>
          <w:rFonts w:ascii="Arial" w:hAnsi="Arial" w:cs="Arial"/>
        </w:rPr>
        <w:t>Kounnavong</w:t>
      </w:r>
      <w:proofErr w:type="spellEnd"/>
      <w:r w:rsidRPr="006E03E2">
        <w:rPr>
          <w:rFonts w:ascii="Arial" w:hAnsi="Arial" w:cs="Arial"/>
        </w:rPr>
        <w:t xml:space="preserve">, S. and </w:t>
      </w:r>
      <w:proofErr w:type="spellStart"/>
      <w:r w:rsidRPr="006E03E2">
        <w:rPr>
          <w:rFonts w:ascii="Arial" w:hAnsi="Arial" w:cs="Arial"/>
        </w:rPr>
        <w:t>Reinharz</w:t>
      </w:r>
      <w:proofErr w:type="spellEnd"/>
      <w:r w:rsidRPr="006E03E2">
        <w:rPr>
          <w:rFonts w:ascii="Arial" w:hAnsi="Arial" w:cs="Arial"/>
        </w:rPr>
        <w:t>, D., 2024. The state of decentralization of the healthcare system and nutrition programs in the Lao People’s Democratic Republic: an organizational study. </w:t>
      </w:r>
      <w:r w:rsidRPr="006E03E2">
        <w:rPr>
          <w:rFonts w:ascii="Arial" w:hAnsi="Arial" w:cs="Arial"/>
          <w:i/>
          <w:iCs/>
        </w:rPr>
        <w:t>BMC Health Services Research</w:t>
      </w:r>
      <w:r w:rsidRPr="006E03E2">
        <w:rPr>
          <w:rFonts w:ascii="Arial" w:hAnsi="Arial" w:cs="Arial"/>
        </w:rPr>
        <w:t>, </w:t>
      </w:r>
      <w:r w:rsidRPr="006E03E2">
        <w:rPr>
          <w:rFonts w:ascii="Arial" w:hAnsi="Arial" w:cs="Arial"/>
          <w:i/>
          <w:iCs/>
        </w:rPr>
        <w:t>24</w:t>
      </w:r>
      <w:r w:rsidRPr="006E03E2">
        <w:rPr>
          <w:rFonts w:ascii="Arial" w:hAnsi="Arial" w:cs="Arial"/>
        </w:rPr>
        <w:t xml:space="preserve">(1), p.1037. </w:t>
      </w:r>
      <w:hyperlink r:id="rId47" w:history="1">
        <w:r w:rsidRPr="006E03E2">
          <w:rPr>
            <w:rStyle w:val="Hyperlink"/>
            <w:rFonts w:ascii="Arial" w:hAnsi="Arial" w:cs="Arial"/>
          </w:rPr>
          <w:t>https://link.springer.com/content/pdf/10.1186/s12913-024-11513-y.pdf</w:t>
        </w:r>
      </w:hyperlink>
      <w:r w:rsidRPr="006E03E2">
        <w:rPr>
          <w:rFonts w:ascii="Arial" w:hAnsi="Arial" w:cs="Arial"/>
        </w:rPr>
        <w:t xml:space="preserve">  </w:t>
      </w:r>
    </w:p>
    <w:p w14:paraId="487A5936"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 xml:space="preserve">Who, 2024. Putting governance into practice: The engagement of private health sector for Universal Health Coverage and health security. </w:t>
      </w:r>
      <w:hyperlink r:id="rId48" w:history="1">
        <w:r w:rsidRPr="006E03E2">
          <w:rPr>
            <w:rStyle w:val="Hyperlink"/>
            <w:rFonts w:ascii="Arial" w:hAnsi="Arial" w:cs="Arial"/>
          </w:rPr>
          <w:t>https://www.emro.who.int/emhj-volume-30-2024/volume-30-issue-12/putting-governance-into-practice-the-engagement-of-private-health-sector-for-universal-health-coverage-and-health-security.html</w:t>
        </w:r>
      </w:hyperlink>
      <w:r w:rsidRPr="006E03E2">
        <w:rPr>
          <w:rFonts w:ascii="Arial" w:hAnsi="Arial" w:cs="Arial"/>
        </w:rPr>
        <w:t xml:space="preserve"> </w:t>
      </w:r>
    </w:p>
    <w:p w14:paraId="18BD421D"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Wright, M., 2024. A need for systems thinking and the appliance of (complexity) science in healthcare. </w:t>
      </w:r>
      <w:r w:rsidRPr="006E03E2">
        <w:rPr>
          <w:rFonts w:ascii="Arial" w:hAnsi="Arial" w:cs="Arial"/>
          <w:i/>
          <w:iCs/>
        </w:rPr>
        <w:t>Future Healthcare Journal</w:t>
      </w:r>
      <w:r w:rsidRPr="006E03E2">
        <w:rPr>
          <w:rFonts w:ascii="Arial" w:hAnsi="Arial" w:cs="Arial"/>
        </w:rPr>
        <w:t>, </w:t>
      </w:r>
      <w:r w:rsidRPr="006E03E2">
        <w:rPr>
          <w:rFonts w:ascii="Arial" w:hAnsi="Arial" w:cs="Arial"/>
          <w:i/>
          <w:iCs/>
        </w:rPr>
        <w:t>11</w:t>
      </w:r>
      <w:r w:rsidRPr="006E03E2">
        <w:rPr>
          <w:rFonts w:ascii="Arial" w:hAnsi="Arial" w:cs="Arial"/>
        </w:rPr>
        <w:t xml:space="preserve">(4), p.100185. </w:t>
      </w:r>
      <w:hyperlink r:id="rId49" w:history="1">
        <w:r w:rsidRPr="006E03E2">
          <w:rPr>
            <w:rStyle w:val="Hyperlink"/>
            <w:rFonts w:ascii="Arial" w:hAnsi="Arial" w:cs="Arial"/>
          </w:rPr>
          <w:t>https://www.sciencedirect.com/science/article/pii/S2514664524015753</w:t>
        </w:r>
      </w:hyperlink>
    </w:p>
    <w:p w14:paraId="2F9E0FAE"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Wu, Y., Awang, S.R., Ahmad, T. and You, C., 2024. A systematic review of leadership styles in healthcare sector: Insights and future directions. </w:t>
      </w:r>
      <w:r w:rsidRPr="006E03E2">
        <w:rPr>
          <w:rFonts w:ascii="Arial" w:hAnsi="Arial" w:cs="Arial"/>
          <w:i/>
          <w:iCs/>
        </w:rPr>
        <w:t>Geriatric Nursing</w:t>
      </w:r>
      <w:r w:rsidRPr="006E03E2">
        <w:rPr>
          <w:rFonts w:ascii="Arial" w:hAnsi="Arial" w:cs="Arial"/>
        </w:rPr>
        <w:t>, </w:t>
      </w:r>
      <w:r w:rsidRPr="006E03E2">
        <w:rPr>
          <w:rFonts w:ascii="Arial" w:hAnsi="Arial" w:cs="Arial"/>
          <w:i/>
          <w:iCs/>
        </w:rPr>
        <w:t>59</w:t>
      </w:r>
      <w:r w:rsidRPr="006E03E2">
        <w:rPr>
          <w:rFonts w:ascii="Arial" w:hAnsi="Arial" w:cs="Arial"/>
        </w:rPr>
        <w:t xml:space="preserve">, pp.48-59. </w:t>
      </w:r>
      <w:hyperlink r:id="rId50" w:history="1">
        <w:r w:rsidRPr="006E03E2">
          <w:rPr>
            <w:rStyle w:val="Hyperlink"/>
            <w:rFonts w:ascii="Arial" w:hAnsi="Arial" w:cs="Arial"/>
          </w:rPr>
          <w:t>https://www.sciencedirect.com/science/article/pii/S0197457224001794</w:t>
        </w:r>
      </w:hyperlink>
      <w:r w:rsidRPr="006E03E2">
        <w:rPr>
          <w:rFonts w:ascii="Arial" w:hAnsi="Arial" w:cs="Arial"/>
        </w:rPr>
        <w:t xml:space="preserve"> </w:t>
      </w:r>
    </w:p>
    <w:p w14:paraId="5DCC4214" w14:textId="77777777" w:rsidR="00360196"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lastRenderedPageBreak/>
        <w:t xml:space="preserve">Zarif, A., Bandyopadhyay, S., Miller, G. and </w:t>
      </w:r>
      <w:proofErr w:type="spellStart"/>
      <w:r w:rsidRPr="006E03E2">
        <w:rPr>
          <w:rFonts w:ascii="Arial" w:hAnsi="Arial" w:cs="Arial"/>
        </w:rPr>
        <w:t>Malawana</w:t>
      </w:r>
      <w:proofErr w:type="spellEnd"/>
      <w:r w:rsidRPr="006E03E2">
        <w:rPr>
          <w:rFonts w:ascii="Arial" w:hAnsi="Arial" w:cs="Arial"/>
        </w:rPr>
        <w:t xml:space="preserve">, J., 2024. Delivering medical leadership training through the Healthcare Leadership Academy: a </w:t>
      </w:r>
      <w:proofErr w:type="gramStart"/>
      <w:r w:rsidRPr="006E03E2">
        <w:rPr>
          <w:rFonts w:ascii="Arial" w:hAnsi="Arial" w:cs="Arial"/>
        </w:rPr>
        <w:t>four year</w:t>
      </w:r>
      <w:proofErr w:type="gramEnd"/>
      <w:r w:rsidRPr="006E03E2">
        <w:rPr>
          <w:rFonts w:ascii="Arial" w:hAnsi="Arial" w:cs="Arial"/>
        </w:rPr>
        <w:t xml:space="preserve"> analysis. </w:t>
      </w:r>
      <w:r w:rsidRPr="006E03E2">
        <w:rPr>
          <w:rFonts w:ascii="Arial" w:hAnsi="Arial" w:cs="Arial"/>
          <w:i/>
          <w:iCs/>
        </w:rPr>
        <w:t>BMC Medical Education</w:t>
      </w:r>
      <w:r w:rsidRPr="006E03E2">
        <w:rPr>
          <w:rFonts w:ascii="Arial" w:hAnsi="Arial" w:cs="Arial"/>
        </w:rPr>
        <w:t>, </w:t>
      </w:r>
      <w:r w:rsidRPr="006E03E2">
        <w:rPr>
          <w:rFonts w:ascii="Arial" w:hAnsi="Arial" w:cs="Arial"/>
          <w:i/>
          <w:iCs/>
        </w:rPr>
        <w:t>24</w:t>
      </w:r>
      <w:r w:rsidRPr="006E03E2">
        <w:rPr>
          <w:rFonts w:ascii="Arial" w:hAnsi="Arial" w:cs="Arial"/>
        </w:rPr>
        <w:t xml:space="preserve">(1), p.194. </w:t>
      </w:r>
      <w:hyperlink r:id="rId51" w:history="1">
        <w:r w:rsidRPr="006E03E2">
          <w:rPr>
            <w:rStyle w:val="Hyperlink"/>
            <w:rFonts w:ascii="Arial" w:hAnsi="Arial" w:cs="Arial"/>
          </w:rPr>
          <w:t>https://link.springer.com/content/pdf/10.1186/s12909-024-05031-y.pdf</w:t>
        </w:r>
      </w:hyperlink>
      <w:r w:rsidRPr="006E03E2">
        <w:rPr>
          <w:rFonts w:ascii="Arial" w:hAnsi="Arial" w:cs="Arial"/>
        </w:rPr>
        <w:t xml:space="preserve"> </w:t>
      </w:r>
    </w:p>
    <w:p w14:paraId="000FD821" w14:textId="77777777" w:rsidR="009C5A51" w:rsidRPr="006E03E2" w:rsidRDefault="00360196" w:rsidP="006E03E2">
      <w:pPr>
        <w:pStyle w:val="ListParagraph"/>
        <w:numPr>
          <w:ilvl w:val="0"/>
          <w:numId w:val="1"/>
        </w:numPr>
        <w:spacing w:line="360" w:lineRule="auto"/>
        <w:jc w:val="both"/>
        <w:rPr>
          <w:rFonts w:ascii="Arial" w:hAnsi="Arial" w:cs="Arial"/>
        </w:rPr>
      </w:pPr>
      <w:r w:rsidRPr="006E03E2">
        <w:rPr>
          <w:rFonts w:ascii="Arial" w:hAnsi="Arial" w:cs="Arial"/>
        </w:rPr>
        <w:t>Zhao, J., Liu, T. and Liu, Y., 2024. Leadership support and satisfaction of healthcare professionals in China’s leading hospitals: a cross-sectional study. </w:t>
      </w:r>
      <w:r w:rsidRPr="006E03E2">
        <w:rPr>
          <w:rFonts w:ascii="Arial" w:hAnsi="Arial" w:cs="Arial"/>
          <w:i/>
          <w:iCs/>
        </w:rPr>
        <w:t>BMC health services research</w:t>
      </w:r>
      <w:r w:rsidRPr="006E03E2">
        <w:rPr>
          <w:rFonts w:ascii="Arial" w:hAnsi="Arial" w:cs="Arial"/>
        </w:rPr>
        <w:t>, </w:t>
      </w:r>
      <w:r w:rsidRPr="006E03E2">
        <w:rPr>
          <w:rFonts w:ascii="Arial" w:hAnsi="Arial" w:cs="Arial"/>
          <w:i/>
          <w:iCs/>
        </w:rPr>
        <w:t>24</w:t>
      </w:r>
      <w:r w:rsidRPr="006E03E2">
        <w:rPr>
          <w:rFonts w:ascii="Arial" w:hAnsi="Arial" w:cs="Arial"/>
        </w:rPr>
        <w:t xml:space="preserve">(1), p.1016. </w:t>
      </w:r>
      <w:hyperlink r:id="rId52" w:history="1">
        <w:r w:rsidRPr="006E03E2">
          <w:rPr>
            <w:rStyle w:val="Hyperlink"/>
            <w:rFonts w:ascii="Arial" w:hAnsi="Arial" w:cs="Arial"/>
          </w:rPr>
          <w:t>https://link.springer.com/content/pdf/10.1186/s12913-024-11449-3.pdf</w:t>
        </w:r>
      </w:hyperlink>
      <w:r w:rsidRPr="006E03E2">
        <w:rPr>
          <w:rFonts w:ascii="Arial" w:hAnsi="Arial" w:cs="Arial"/>
        </w:rPr>
        <w:t xml:space="preserve"> </w:t>
      </w:r>
    </w:p>
    <w:sectPr w:rsidR="009C5A51" w:rsidRPr="006E03E2" w:rsidSect="006E6809">
      <w:footerReference w:type="default" r:id="rId5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A486B" w14:textId="77777777" w:rsidR="002E7AE2" w:rsidRDefault="002E7AE2" w:rsidP="006E6809">
      <w:pPr>
        <w:spacing w:after="0" w:line="240" w:lineRule="auto"/>
      </w:pPr>
      <w:r>
        <w:separator/>
      </w:r>
    </w:p>
  </w:endnote>
  <w:endnote w:type="continuationSeparator" w:id="0">
    <w:p w14:paraId="5CAA2062" w14:textId="77777777" w:rsidR="002E7AE2" w:rsidRDefault="002E7AE2" w:rsidP="006E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669026265"/>
      <w:docPartObj>
        <w:docPartGallery w:val="Page Numbers (Bottom of Page)"/>
        <w:docPartUnique/>
      </w:docPartObj>
    </w:sdtPr>
    <w:sdtEndPr>
      <w:rPr>
        <w:noProof/>
      </w:rPr>
    </w:sdtEndPr>
    <w:sdtContent>
      <w:p w14:paraId="71469218" w14:textId="77777777" w:rsidR="00360196" w:rsidRPr="006E6809" w:rsidRDefault="00360196">
        <w:pPr>
          <w:pStyle w:val="Footer"/>
          <w:jc w:val="right"/>
          <w:rPr>
            <w:rFonts w:ascii="Times New Roman" w:hAnsi="Times New Roman" w:cs="Times New Roman"/>
            <w:sz w:val="20"/>
            <w:szCs w:val="20"/>
          </w:rPr>
        </w:pPr>
        <w:r w:rsidRPr="006E6809">
          <w:rPr>
            <w:rFonts w:ascii="Times New Roman" w:hAnsi="Times New Roman" w:cs="Times New Roman"/>
            <w:sz w:val="20"/>
            <w:szCs w:val="20"/>
          </w:rPr>
          <w:fldChar w:fldCharType="begin"/>
        </w:r>
        <w:r w:rsidRPr="006E6809">
          <w:rPr>
            <w:rFonts w:ascii="Times New Roman" w:hAnsi="Times New Roman" w:cs="Times New Roman"/>
            <w:sz w:val="20"/>
            <w:szCs w:val="20"/>
          </w:rPr>
          <w:instrText xml:space="preserve"> PAGE   \* MERGEFORMAT </w:instrText>
        </w:r>
        <w:r w:rsidRPr="006E6809">
          <w:rPr>
            <w:rFonts w:ascii="Times New Roman" w:hAnsi="Times New Roman" w:cs="Times New Roman"/>
            <w:sz w:val="20"/>
            <w:szCs w:val="20"/>
          </w:rPr>
          <w:fldChar w:fldCharType="separate"/>
        </w:r>
        <w:r w:rsidRPr="006E6809">
          <w:rPr>
            <w:rFonts w:ascii="Times New Roman" w:hAnsi="Times New Roman" w:cs="Times New Roman"/>
            <w:noProof/>
            <w:sz w:val="20"/>
            <w:szCs w:val="20"/>
          </w:rPr>
          <w:t>2</w:t>
        </w:r>
        <w:r w:rsidRPr="006E6809">
          <w:rPr>
            <w:rFonts w:ascii="Times New Roman" w:hAnsi="Times New Roman" w:cs="Times New Roman"/>
            <w:noProof/>
            <w:sz w:val="20"/>
            <w:szCs w:val="20"/>
          </w:rPr>
          <w:fldChar w:fldCharType="end"/>
        </w:r>
      </w:p>
    </w:sdtContent>
  </w:sdt>
  <w:p w14:paraId="3B5F8BB2" w14:textId="77777777" w:rsidR="00360196" w:rsidRPr="006E6809" w:rsidRDefault="00360196">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9F188" w14:textId="77777777" w:rsidR="002E7AE2" w:rsidRDefault="002E7AE2" w:rsidP="006E6809">
      <w:pPr>
        <w:spacing w:after="0" w:line="240" w:lineRule="auto"/>
      </w:pPr>
      <w:r>
        <w:separator/>
      </w:r>
    </w:p>
  </w:footnote>
  <w:footnote w:type="continuationSeparator" w:id="0">
    <w:p w14:paraId="0CA940BC" w14:textId="77777777" w:rsidR="002E7AE2" w:rsidRDefault="002E7AE2" w:rsidP="006E6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E0426"/>
    <w:multiLevelType w:val="hybridMultilevel"/>
    <w:tmpl w:val="ACF60A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171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BA7"/>
    <w:rsid w:val="00047018"/>
    <w:rsid w:val="0008126A"/>
    <w:rsid w:val="000C10D0"/>
    <w:rsid w:val="000F2BC8"/>
    <w:rsid w:val="00114237"/>
    <w:rsid w:val="0012266A"/>
    <w:rsid w:val="00164A2B"/>
    <w:rsid w:val="001870A0"/>
    <w:rsid w:val="001D4E1A"/>
    <w:rsid w:val="001D79D3"/>
    <w:rsid w:val="0022750B"/>
    <w:rsid w:val="00245EB7"/>
    <w:rsid w:val="00247C47"/>
    <w:rsid w:val="002628EE"/>
    <w:rsid w:val="00263473"/>
    <w:rsid w:val="00285108"/>
    <w:rsid w:val="00290BA7"/>
    <w:rsid w:val="002945F9"/>
    <w:rsid w:val="002A134F"/>
    <w:rsid w:val="002E7AE2"/>
    <w:rsid w:val="002F3302"/>
    <w:rsid w:val="00360196"/>
    <w:rsid w:val="00442A88"/>
    <w:rsid w:val="00483F7B"/>
    <w:rsid w:val="00487D50"/>
    <w:rsid w:val="004B3824"/>
    <w:rsid w:val="004D1DF2"/>
    <w:rsid w:val="004D3E28"/>
    <w:rsid w:val="00524C36"/>
    <w:rsid w:val="005F5688"/>
    <w:rsid w:val="00612608"/>
    <w:rsid w:val="006415DB"/>
    <w:rsid w:val="00654653"/>
    <w:rsid w:val="00685504"/>
    <w:rsid w:val="006A1690"/>
    <w:rsid w:val="006D43EB"/>
    <w:rsid w:val="006E03E2"/>
    <w:rsid w:val="006E6809"/>
    <w:rsid w:val="00713F97"/>
    <w:rsid w:val="007220C5"/>
    <w:rsid w:val="007270DD"/>
    <w:rsid w:val="00736C24"/>
    <w:rsid w:val="007B7C9E"/>
    <w:rsid w:val="007D3EA0"/>
    <w:rsid w:val="00812AD4"/>
    <w:rsid w:val="008331F9"/>
    <w:rsid w:val="008444CB"/>
    <w:rsid w:val="00850327"/>
    <w:rsid w:val="008663D1"/>
    <w:rsid w:val="008922F3"/>
    <w:rsid w:val="008B632A"/>
    <w:rsid w:val="008D75ED"/>
    <w:rsid w:val="008E0F76"/>
    <w:rsid w:val="00930704"/>
    <w:rsid w:val="00963A10"/>
    <w:rsid w:val="009B2602"/>
    <w:rsid w:val="009C5A51"/>
    <w:rsid w:val="00A1329F"/>
    <w:rsid w:val="00A336F1"/>
    <w:rsid w:val="00A47AA7"/>
    <w:rsid w:val="00AA0890"/>
    <w:rsid w:val="00AB2116"/>
    <w:rsid w:val="00AC0EF7"/>
    <w:rsid w:val="00AC189D"/>
    <w:rsid w:val="00B03E21"/>
    <w:rsid w:val="00B42208"/>
    <w:rsid w:val="00B75F6D"/>
    <w:rsid w:val="00C04E3C"/>
    <w:rsid w:val="00C33924"/>
    <w:rsid w:val="00D06B66"/>
    <w:rsid w:val="00D560A7"/>
    <w:rsid w:val="00D66D62"/>
    <w:rsid w:val="00D67BD4"/>
    <w:rsid w:val="00D93023"/>
    <w:rsid w:val="00DE6652"/>
    <w:rsid w:val="00ED04B8"/>
    <w:rsid w:val="00F03D26"/>
    <w:rsid w:val="00F17E76"/>
    <w:rsid w:val="00F42C65"/>
    <w:rsid w:val="00F461A2"/>
    <w:rsid w:val="00F73433"/>
    <w:rsid w:val="00F9673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C930"/>
  <w15:chartTrackingRefBased/>
  <w15:docId w15:val="{B1F064B0-13E3-4AEA-93DF-4967FE804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15DB"/>
    <w:pPr>
      <w:spacing w:after="0" w:line="360" w:lineRule="auto"/>
      <w:jc w:val="both"/>
      <w:outlineLvl w:val="0"/>
    </w:pPr>
    <w:rPr>
      <w:rFonts w:ascii="Arial" w:hAnsi="Arial" w:cs="Arial"/>
      <w:b/>
      <w:sz w:val="24"/>
      <w:lang w:val="en-IN"/>
    </w:rPr>
  </w:style>
  <w:style w:type="paragraph" w:styleId="Heading2">
    <w:name w:val="heading 2"/>
    <w:basedOn w:val="Normal"/>
    <w:next w:val="Normal"/>
    <w:link w:val="Heading2Char"/>
    <w:uiPriority w:val="9"/>
    <w:unhideWhenUsed/>
    <w:qFormat/>
    <w:rsid w:val="006415DB"/>
    <w:pPr>
      <w:spacing w:after="0" w:line="360" w:lineRule="auto"/>
      <w:jc w:val="both"/>
      <w:outlineLvl w:val="1"/>
    </w:pPr>
    <w:rPr>
      <w:rFonts w:ascii="Arial" w:hAnsi="Arial" w:cs="Arial"/>
      <w:b/>
      <w:bCs/>
      <w:lang w:val="en-IN"/>
    </w:rPr>
  </w:style>
  <w:style w:type="paragraph" w:styleId="Heading3">
    <w:name w:val="heading 3"/>
    <w:basedOn w:val="Normal"/>
    <w:next w:val="Normal"/>
    <w:link w:val="Heading3Char"/>
    <w:uiPriority w:val="9"/>
    <w:unhideWhenUsed/>
    <w:qFormat/>
    <w:rsid w:val="006415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809"/>
    <w:rPr>
      <w:lang w:val="en-GB"/>
    </w:rPr>
  </w:style>
  <w:style w:type="paragraph" w:styleId="Footer">
    <w:name w:val="footer"/>
    <w:basedOn w:val="Normal"/>
    <w:link w:val="FooterChar"/>
    <w:uiPriority w:val="99"/>
    <w:unhideWhenUsed/>
    <w:rsid w:val="006E6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809"/>
    <w:rPr>
      <w:lang w:val="en-GB"/>
    </w:rPr>
  </w:style>
  <w:style w:type="character" w:styleId="Hyperlink">
    <w:name w:val="Hyperlink"/>
    <w:basedOn w:val="DefaultParagraphFont"/>
    <w:uiPriority w:val="99"/>
    <w:unhideWhenUsed/>
    <w:rsid w:val="009C5A51"/>
    <w:rPr>
      <w:color w:val="0563C1" w:themeColor="hyperlink"/>
      <w:u w:val="single"/>
    </w:rPr>
  </w:style>
  <w:style w:type="character" w:styleId="UnresolvedMention">
    <w:name w:val="Unresolved Mention"/>
    <w:basedOn w:val="DefaultParagraphFont"/>
    <w:uiPriority w:val="99"/>
    <w:semiHidden/>
    <w:unhideWhenUsed/>
    <w:rsid w:val="009C5A51"/>
    <w:rPr>
      <w:color w:val="605E5C"/>
      <w:shd w:val="clear" w:color="auto" w:fill="E1DFDD"/>
    </w:rPr>
  </w:style>
  <w:style w:type="character" w:customStyle="1" w:styleId="Heading1Char">
    <w:name w:val="Heading 1 Char"/>
    <w:basedOn w:val="DefaultParagraphFont"/>
    <w:link w:val="Heading1"/>
    <w:uiPriority w:val="9"/>
    <w:rsid w:val="006415DB"/>
    <w:rPr>
      <w:rFonts w:ascii="Arial" w:hAnsi="Arial" w:cs="Arial"/>
      <w:b/>
      <w:sz w:val="24"/>
    </w:rPr>
  </w:style>
  <w:style w:type="paragraph" w:styleId="TOCHeading">
    <w:name w:val="TOC Heading"/>
    <w:basedOn w:val="Heading1"/>
    <w:next w:val="Normal"/>
    <w:uiPriority w:val="39"/>
    <w:unhideWhenUsed/>
    <w:qFormat/>
    <w:rsid w:val="00812AD4"/>
    <w:pPr>
      <w:outlineLvl w:val="9"/>
    </w:pPr>
    <w:rPr>
      <w:lang w:val="en-US"/>
    </w:rPr>
  </w:style>
  <w:style w:type="character" w:customStyle="1" w:styleId="Heading2Char">
    <w:name w:val="Heading 2 Char"/>
    <w:basedOn w:val="DefaultParagraphFont"/>
    <w:link w:val="Heading2"/>
    <w:uiPriority w:val="9"/>
    <w:rsid w:val="006415DB"/>
    <w:rPr>
      <w:rFonts w:ascii="Arial" w:hAnsi="Arial" w:cs="Arial"/>
      <w:b/>
      <w:bCs/>
    </w:rPr>
  </w:style>
  <w:style w:type="character" w:customStyle="1" w:styleId="Heading3Char">
    <w:name w:val="Heading 3 Char"/>
    <w:basedOn w:val="DefaultParagraphFont"/>
    <w:link w:val="Heading3"/>
    <w:uiPriority w:val="9"/>
    <w:rsid w:val="006415DB"/>
    <w:rPr>
      <w:rFonts w:asciiTheme="majorHAnsi" w:eastAsiaTheme="majorEastAsia" w:hAnsiTheme="majorHAnsi" w:cstheme="majorBidi"/>
      <w:color w:val="1F3763" w:themeColor="accent1" w:themeShade="7F"/>
      <w:sz w:val="24"/>
      <w:szCs w:val="24"/>
      <w:lang w:val="en-GB"/>
    </w:rPr>
  </w:style>
  <w:style w:type="paragraph" w:styleId="TOC1">
    <w:name w:val="toc 1"/>
    <w:basedOn w:val="Normal"/>
    <w:next w:val="Normal"/>
    <w:autoRedefine/>
    <w:uiPriority w:val="39"/>
    <w:unhideWhenUsed/>
    <w:rsid w:val="006415DB"/>
    <w:pPr>
      <w:spacing w:after="100"/>
    </w:pPr>
  </w:style>
  <w:style w:type="paragraph" w:styleId="TOC2">
    <w:name w:val="toc 2"/>
    <w:basedOn w:val="Normal"/>
    <w:next w:val="Normal"/>
    <w:autoRedefine/>
    <w:uiPriority w:val="39"/>
    <w:unhideWhenUsed/>
    <w:rsid w:val="006415DB"/>
    <w:pPr>
      <w:spacing w:after="100"/>
      <w:ind w:left="220"/>
    </w:pPr>
  </w:style>
  <w:style w:type="paragraph" w:styleId="ListParagraph">
    <w:name w:val="List Paragraph"/>
    <w:basedOn w:val="Normal"/>
    <w:uiPriority w:val="34"/>
    <w:qFormat/>
    <w:rsid w:val="006E03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1120">
      <w:bodyDiv w:val="1"/>
      <w:marLeft w:val="0"/>
      <w:marRight w:val="0"/>
      <w:marTop w:val="0"/>
      <w:marBottom w:val="0"/>
      <w:divBdr>
        <w:top w:val="none" w:sz="0" w:space="0" w:color="auto"/>
        <w:left w:val="none" w:sz="0" w:space="0" w:color="auto"/>
        <w:bottom w:val="none" w:sz="0" w:space="0" w:color="auto"/>
        <w:right w:val="none" w:sz="0" w:space="0" w:color="auto"/>
      </w:divBdr>
    </w:div>
    <w:div w:id="70086573">
      <w:bodyDiv w:val="1"/>
      <w:marLeft w:val="0"/>
      <w:marRight w:val="0"/>
      <w:marTop w:val="0"/>
      <w:marBottom w:val="0"/>
      <w:divBdr>
        <w:top w:val="none" w:sz="0" w:space="0" w:color="auto"/>
        <w:left w:val="none" w:sz="0" w:space="0" w:color="auto"/>
        <w:bottom w:val="none" w:sz="0" w:space="0" w:color="auto"/>
        <w:right w:val="none" w:sz="0" w:space="0" w:color="auto"/>
      </w:divBdr>
    </w:div>
    <w:div w:id="161048461">
      <w:bodyDiv w:val="1"/>
      <w:marLeft w:val="0"/>
      <w:marRight w:val="0"/>
      <w:marTop w:val="0"/>
      <w:marBottom w:val="0"/>
      <w:divBdr>
        <w:top w:val="none" w:sz="0" w:space="0" w:color="auto"/>
        <w:left w:val="none" w:sz="0" w:space="0" w:color="auto"/>
        <w:bottom w:val="none" w:sz="0" w:space="0" w:color="auto"/>
        <w:right w:val="none" w:sz="0" w:space="0" w:color="auto"/>
      </w:divBdr>
    </w:div>
    <w:div w:id="239873465">
      <w:bodyDiv w:val="1"/>
      <w:marLeft w:val="0"/>
      <w:marRight w:val="0"/>
      <w:marTop w:val="0"/>
      <w:marBottom w:val="0"/>
      <w:divBdr>
        <w:top w:val="none" w:sz="0" w:space="0" w:color="auto"/>
        <w:left w:val="none" w:sz="0" w:space="0" w:color="auto"/>
        <w:bottom w:val="none" w:sz="0" w:space="0" w:color="auto"/>
        <w:right w:val="none" w:sz="0" w:space="0" w:color="auto"/>
      </w:divBdr>
    </w:div>
    <w:div w:id="566114136">
      <w:bodyDiv w:val="1"/>
      <w:marLeft w:val="0"/>
      <w:marRight w:val="0"/>
      <w:marTop w:val="0"/>
      <w:marBottom w:val="0"/>
      <w:divBdr>
        <w:top w:val="none" w:sz="0" w:space="0" w:color="auto"/>
        <w:left w:val="none" w:sz="0" w:space="0" w:color="auto"/>
        <w:bottom w:val="none" w:sz="0" w:space="0" w:color="auto"/>
        <w:right w:val="none" w:sz="0" w:space="0" w:color="auto"/>
      </w:divBdr>
    </w:div>
    <w:div w:id="601887186">
      <w:bodyDiv w:val="1"/>
      <w:marLeft w:val="0"/>
      <w:marRight w:val="0"/>
      <w:marTop w:val="0"/>
      <w:marBottom w:val="0"/>
      <w:divBdr>
        <w:top w:val="none" w:sz="0" w:space="0" w:color="auto"/>
        <w:left w:val="none" w:sz="0" w:space="0" w:color="auto"/>
        <w:bottom w:val="none" w:sz="0" w:space="0" w:color="auto"/>
        <w:right w:val="none" w:sz="0" w:space="0" w:color="auto"/>
      </w:divBdr>
    </w:div>
    <w:div w:id="647785815">
      <w:bodyDiv w:val="1"/>
      <w:marLeft w:val="0"/>
      <w:marRight w:val="0"/>
      <w:marTop w:val="0"/>
      <w:marBottom w:val="0"/>
      <w:divBdr>
        <w:top w:val="none" w:sz="0" w:space="0" w:color="auto"/>
        <w:left w:val="none" w:sz="0" w:space="0" w:color="auto"/>
        <w:bottom w:val="none" w:sz="0" w:space="0" w:color="auto"/>
        <w:right w:val="none" w:sz="0" w:space="0" w:color="auto"/>
      </w:divBdr>
    </w:div>
    <w:div w:id="736170222">
      <w:bodyDiv w:val="1"/>
      <w:marLeft w:val="0"/>
      <w:marRight w:val="0"/>
      <w:marTop w:val="0"/>
      <w:marBottom w:val="0"/>
      <w:divBdr>
        <w:top w:val="none" w:sz="0" w:space="0" w:color="auto"/>
        <w:left w:val="none" w:sz="0" w:space="0" w:color="auto"/>
        <w:bottom w:val="none" w:sz="0" w:space="0" w:color="auto"/>
        <w:right w:val="none" w:sz="0" w:space="0" w:color="auto"/>
      </w:divBdr>
    </w:div>
    <w:div w:id="812910391">
      <w:bodyDiv w:val="1"/>
      <w:marLeft w:val="0"/>
      <w:marRight w:val="0"/>
      <w:marTop w:val="0"/>
      <w:marBottom w:val="0"/>
      <w:divBdr>
        <w:top w:val="none" w:sz="0" w:space="0" w:color="auto"/>
        <w:left w:val="none" w:sz="0" w:space="0" w:color="auto"/>
        <w:bottom w:val="none" w:sz="0" w:space="0" w:color="auto"/>
        <w:right w:val="none" w:sz="0" w:space="0" w:color="auto"/>
      </w:divBdr>
    </w:div>
    <w:div w:id="1072241778">
      <w:bodyDiv w:val="1"/>
      <w:marLeft w:val="0"/>
      <w:marRight w:val="0"/>
      <w:marTop w:val="0"/>
      <w:marBottom w:val="0"/>
      <w:divBdr>
        <w:top w:val="none" w:sz="0" w:space="0" w:color="auto"/>
        <w:left w:val="none" w:sz="0" w:space="0" w:color="auto"/>
        <w:bottom w:val="none" w:sz="0" w:space="0" w:color="auto"/>
        <w:right w:val="none" w:sz="0" w:space="0" w:color="auto"/>
      </w:divBdr>
    </w:div>
    <w:div w:id="1289823718">
      <w:bodyDiv w:val="1"/>
      <w:marLeft w:val="0"/>
      <w:marRight w:val="0"/>
      <w:marTop w:val="0"/>
      <w:marBottom w:val="0"/>
      <w:divBdr>
        <w:top w:val="none" w:sz="0" w:space="0" w:color="auto"/>
        <w:left w:val="none" w:sz="0" w:space="0" w:color="auto"/>
        <w:bottom w:val="none" w:sz="0" w:space="0" w:color="auto"/>
        <w:right w:val="none" w:sz="0" w:space="0" w:color="auto"/>
      </w:divBdr>
    </w:div>
    <w:div w:id="1334142153">
      <w:bodyDiv w:val="1"/>
      <w:marLeft w:val="0"/>
      <w:marRight w:val="0"/>
      <w:marTop w:val="0"/>
      <w:marBottom w:val="0"/>
      <w:divBdr>
        <w:top w:val="none" w:sz="0" w:space="0" w:color="auto"/>
        <w:left w:val="none" w:sz="0" w:space="0" w:color="auto"/>
        <w:bottom w:val="none" w:sz="0" w:space="0" w:color="auto"/>
        <w:right w:val="none" w:sz="0" w:space="0" w:color="auto"/>
      </w:divBdr>
    </w:div>
    <w:div w:id="1349672701">
      <w:bodyDiv w:val="1"/>
      <w:marLeft w:val="0"/>
      <w:marRight w:val="0"/>
      <w:marTop w:val="0"/>
      <w:marBottom w:val="0"/>
      <w:divBdr>
        <w:top w:val="none" w:sz="0" w:space="0" w:color="auto"/>
        <w:left w:val="none" w:sz="0" w:space="0" w:color="auto"/>
        <w:bottom w:val="none" w:sz="0" w:space="0" w:color="auto"/>
        <w:right w:val="none" w:sz="0" w:space="0" w:color="auto"/>
      </w:divBdr>
    </w:div>
    <w:div w:id="1434127963">
      <w:bodyDiv w:val="1"/>
      <w:marLeft w:val="0"/>
      <w:marRight w:val="0"/>
      <w:marTop w:val="0"/>
      <w:marBottom w:val="0"/>
      <w:divBdr>
        <w:top w:val="none" w:sz="0" w:space="0" w:color="auto"/>
        <w:left w:val="none" w:sz="0" w:space="0" w:color="auto"/>
        <w:bottom w:val="none" w:sz="0" w:space="0" w:color="auto"/>
        <w:right w:val="none" w:sz="0" w:space="0" w:color="auto"/>
      </w:divBdr>
    </w:div>
    <w:div w:id="1517690638">
      <w:bodyDiv w:val="1"/>
      <w:marLeft w:val="0"/>
      <w:marRight w:val="0"/>
      <w:marTop w:val="0"/>
      <w:marBottom w:val="0"/>
      <w:divBdr>
        <w:top w:val="none" w:sz="0" w:space="0" w:color="auto"/>
        <w:left w:val="none" w:sz="0" w:space="0" w:color="auto"/>
        <w:bottom w:val="none" w:sz="0" w:space="0" w:color="auto"/>
        <w:right w:val="none" w:sz="0" w:space="0" w:color="auto"/>
      </w:divBdr>
    </w:div>
    <w:div w:id="1546287445">
      <w:bodyDiv w:val="1"/>
      <w:marLeft w:val="0"/>
      <w:marRight w:val="0"/>
      <w:marTop w:val="0"/>
      <w:marBottom w:val="0"/>
      <w:divBdr>
        <w:top w:val="none" w:sz="0" w:space="0" w:color="auto"/>
        <w:left w:val="none" w:sz="0" w:space="0" w:color="auto"/>
        <w:bottom w:val="none" w:sz="0" w:space="0" w:color="auto"/>
        <w:right w:val="none" w:sz="0" w:space="0" w:color="auto"/>
      </w:divBdr>
    </w:div>
    <w:div w:id="1975715442">
      <w:bodyDiv w:val="1"/>
      <w:marLeft w:val="0"/>
      <w:marRight w:val="0"/>
      <w:marTop w:val="0"/>
      <w:marBottom w:val="0"/>
      <w:divBdr>
        <w:top w:val="none" w:sz="0" w:space="0" w:color="auto"/>
        <w:left w:val="none" w:sz="0" w:space="0" w:color="auto"/>
        <w:bottom w:val="none" w:sz="0" w:space="0" w:color="auto"/>
        <w:right w:val="none" w:sz="0" w:space="0" w:color="auto"/>
      </w:divBdr>
    </w:div>
    <w:div w:id="20786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penpublichealthjournal.com/VOLUME/16/ELOCATOR/e187494452302222/FULLTEXT/" TargetMode="External"/><Relationship Id="rId18" Type="http://schemas.openxmlformats.org/officeDocument/2006/relationships/hyperlink" Target="https://www.sciencedirect.com/science/article/am/pii/S0002961023001927" TargetMode="External"/><Relationship Id="rId26" Type="http://schemas.openxmlformats.org/officeDocument/2006/relationships/hyperlink" Target="https://www.mdpi.com/2673-8392/4/4/115" TargetMode="External"/><Relationship Id="rId39" Type="http://schemas.openxmlformats.org/officeDocument/2006/relationships/hyperlink" Target="https://gh.bmj.com/content/bmjgh/8/12/e013317.full.pdf" TargetMode="External"/><Relationship Id="rId21" Type="http://schemas.openxmlformats.org/officeDocument/2006/relationships/hyperlink" Target="https://www.frontiersin.org/journals/health-services/articles/10.3389/frhs.2024.1487914/pdf" TargetMode="External"/><Relationship Id="rId34" Type="http://schemas.openxmlformats.org/officeDocument/2006/relationships/hyperlink" Target="https://www.tandfonline.com/doi/pdf/10.2147/PHMT.S388147" TargetMode="External"/><Relationship Id="rId42" Type="http://schemas.openxmlformats.org/officeDocument/2006/relationships/hyperlink" Target="https://pmc.ncbi.nlm.nih.gov/articles/PMC9681988/pdf/main.pdf" TargetMode="External"/><Relationship Id="rId47" Type="http://schemas.openxmlformats.org/officeDocument/2006/relationships/hyperlink" Target="https://link.springer.com/content/pdf/10.1186/s12913-024-11513-y.pdf" TargetMode="External"/><Relationship Id="rId50" Type="http://schemas.openxmlformats.org/officeDocument/2006/relationships/hyperlink" Target="https://www.sciencedirect.com/science/article/pii/S0197457224001794"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mir.org/2024/1/e45242/" TargetMode="External"/><Relationship Id="rId29" Type="http://schemas.openxmlformats.org/officeDocument/2006/relationships/hyperlink" Target="https://journals.lww.com/jhmonline/fulltext/2024/07000/leadership_to_accelerate_healthcare_s_digital.6.aspx?context=latestarticles" TargetMode="External"/><Relationship Id="rId11" Type="http://schemas.openxmlformats.org/officeDocument/2006/relationships/hyperlink" Target="https://pmc.ncbi.nlm.nih.gov/articles/PMC12038150/" TargetMode="External"/><Relationship Id="rId24" Type="http://schemas.openxmlformats.org/officeDocument/2006/relationships/hyperlink" Target="https://journals.lww.com/jncqjournal/fulltext/2024/07000/research_and_practice_in_quality_improvement_and.2.aspx" TargetMode="External"/><Relationship Id="rId32" Type="http://schemas.openxmlformats.org/officeDocument/2006/relationships/hyperlink" Target="https://doi.org/10.5334/ijic.7603" TargetMode="External"/><Relationship Id="rId37" Type="http://schemas.openxmlformats.org/officeDocument/2006/relationships/hyperlink" Target="https://www.sciencedirect.com/science/article/pii/S2949856225000698" TargetMode="External"/><Relationship Id="rId40" Type="http://schemas.openxmlformats.org/officeDocument/2006/relationships/hyperlink" Target="https://www.emerald.com/lhs/article-pdf/38/1/136/9656984/lhs-04-2024-0035.pdf" TargetMode="External"/><Relationship Id="rId45" Type="http://schemas.openxmlformats.org/officeDocument/2006/relationships/hyperlink" Target="https://www.thelancet.com/journals/lanhae/article/PIIS2352-3026(23)00118-7/fulltext?linkId=100000205683156"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ciencedirect.com/science/article/pii/S2214139124000672" TargetMode="External"/><Relationship Id="rId19" Type="http://schemas.openxmlformats.org/officeDocument/2006/relationships/hyperlink" Target="https://journals.lww.com/hcmrjournal/_layouts/15/oaks.journals/downloadpdf.aspx?an=00004010-202401000-00006" TargetMode="External"/><Relationship Id="rId31" Type="http://schemas.openxmlformats.org/officeDocument/2006/relationships/hyperlink" Target="https://journals.sagepub.com/doi/pdf/10.1177/23779608231185923" TargetMode="External"/><Relationship Id="rId44" Type="http://schemas.openxmlformats.org/officeDocument/2006/relationships/hyperlink" Target="https://link.springer.com/content/pdf/10.1186/s12913-022-07879-6.pdf" TargetMode="External"/><Relationship Id="rId52" Type="http://schemas.openxmlformats.org/officeDocument/2006/relationships/hyperlink" Target="https://link.springer.com/content/pdf/10.1186/s12913-024-11449-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ature.com/articles/s43856-025-00954-z.pdf" TargetMode="External"/><Relationship Id="rId22" Type="http://schemas.openxmlformats.org/officeDocument/2006/relationships/hyperlink" Target="https://journals.plos.org/globalpublichealth/article/file?id=10.1371/journal.pgph.0005139&amp;type=printable" TargetMode="External"/><Relationship Id="rId27" Type="http://schemas.openxmlformats.org/officeDocument/2006/relationships/hyperlink" Target="https://www.frontiersin.org/journals/medicine/articles/10.3389/fmed.2025.1484763/pdf" TargetMode="External"/><Relationship Id="rId30" Type="http://schemas.openxmlformats.org/officeDocument/2006/relationships/hyperlink" Target="https://link.springer.com/content/pdf/10.1186/s40900-024-00638-3.pdf" TargetMode="External"/><Relationship Id="rId35" Type="http://schemas.openxmlformats.org/officeDocument/2006/relationships/hyperlink" Target="https://www.mdpi.com/2039-4403/14/4/260" TargetMode="External"/><Relationship Id="rId43" Type="http://schemas.openxmlformats.org/officeDocument/2006/relationships/hyperlink" Target="https://link.springer.com/content/pdf/10.1186/s12909-024-05689-4.pdf" TargetMode="External"/><Relationship Id="rId48" Type="http://schemas.openxmlformats.org/officeDocument/2006/relationships/hyperlink" Target="https://www.emro.who.int/emhj-volume-30-2024/volume-30-issue-12/putting-governance-into-practice-the-engagement-of-private-health-sector-for-universal-health-coverage-and-health-security.html" TargetMode="External"/><Relationship Id="rId8" Type="http://schemas.openxmlformats.org/officeDocument/2006/relationships/image" Target="media/image1.png"/><Relationship Id="rId51" Type="http://schemas.openxmlformats.org/officeDocument/2006/relationships/hyperlink" Target="https://link.springer.com/content/pdf/10.1186/s12909-024-05031-y.pdf" TargetMode="External"/><Relationship Id="rId3" Type="http://schemas.openxmlformats.org/officeDocument/2006/relationships/styles" Target="styles.xml"/><Relationship Id="rId12" Type="http://schemas.openxmlformats.org/officeDocument/2006/relationships/hyperlink" Target="https://www.sciencedirect.com/science/article/pii/S2212420924006605" TargetMode="External"/><Relationship Id="rId17" Type="http://schemas.openxmlformats.org/officeDocument/2006/relationships/hyperlink" Target="https://journals.plos.org/globalpublichealth/article/file?id=10.1371/journal.pgph.0004552&amp;type=printable" TargetMode="External"/><Relationship Id="rId25" Type="http://schemas.openxmlformats.org/officeDocument/2006/relationships/hyperlink" Target="https://journals.plos.org/plosone/article/file?id=10.1371/journal.pone.0335617&amp;type=printable" TargetMode="External"/><Relationship Id="rId33" Type="http://schemas.openxmlformats.org/officeDocument/2006/relationships/hyperlink" Target="https://bmjopen.bmj.com/content/bmjopen/14/10/e081878.full.pdf" TargetMode="External"/><Relationship Id="rId38" Type="http://schemas.openxmlformats.org/officeDocument/2006/relationships/hyperlink" Target="https://www.frontiersin.org/journals/public-health/articles/10.3389/fpubh.2023.968357/full" TargetMode="External"/><Relationship Id="rId46" Type="http://schemas.openxmlformats.org/officeDocument/2006/relationships/hyperlink" Target="https://link.springer.com/content/pdf/10.1186/s12912-024-02096-4.pdf" TargetMode="External"/><Relationship Id="rId20" Type="http://schemas.openxmlformats.org/officeDocument/2006/relationships/hyperlink" Target="https://www.frontiersin.org/journals/public-health/articles/10.3389/fpubh.2024.1361046/pdf" TargetMode="External"/><Relationship Id="rId41" Type="http://schemas.openxmlformats.org/officeDocument/2006/relationships/hyperlink" Target="https://pmc.ncbi.nlm.nih.gov/articles/PMC1172271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h.bmj.com/content/bmjgh/9/2/e014140.full.pdf" TargetMode="External"/><Relationship Id="rId23" Type="http://schemas.openxmlformats.org/officeDocument/2006/relationships/hyperlink" Target="https://www.tandfonline.com/doi/pdf/10.2147/JHL.S440160" TargetMode="External"/><Relationship Id="rId28" Type="http://schemas.openxmlformats.org/officeDocument/2006/relationships/hyperlink" Target="https://link.springer.com/content/pdf/10.1186/s12992-024-01052-w.pdf" TargetMode="External"/><Relationship Id="rId36" Type="http://schemas.openxmlformats.org/officeDocument/2006/relationships/hyperlink" Target="https://journals.plos.org/plosone/article/file?id=10.1371/journal.pone.0305110&amp;type=printable" TargetMode="External"/><Relationship Id="rId49" Type="http://schemas.openxmlformats.org/officeDocument/2006/relationships/hyperlink" Target="https://www.sciencedirect.com/science/article/pii/S25146645240157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AB8AAAD-7444-48BC-9B46-04D2BF855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23</Pages>
  <Words>7560</Words>
  <Characters>47855</Characters>
  <Application>Microsoft Office Word</Application>
  <DocSecurity>0</DocSecurity>
  <Lines>1196</Lines>
  <Paragraphs>465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Fuaansha Dadabhai Pimpale (2530082)</dc:creator>
  <cp:keywords/>
  <dc:description/>
  <cp:lastModifiedBy>Fuaansha Dadabhai Pimpale (2530082)</cp:lastModifiedBy>
  <cp:revision>27</cp:revision>
  <dcterms:created xsi:type="dcterms:W3CDTF">2026-04-08T12:36:00Z</dcterms:created>
  <dcterms:modified xsi:type="dcterms:W3CDTF">2026-04-20T00:24:00Z</dcterms:modified>
  <cp:category/>
</cp:coreProperties>
</file>