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DB9" w:rsidRDefault="00453DB9"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4D14A1" w:rsidRDefault="004D14A1" w:rsidP="004D14A1">
      <w:pPr>
        <w:spacing w:line="360" w:lineRule="auto"/>
        <w:jc w:val="center"/>
        <w:rPr>
          <w:rFonts w:ascii="Times New Roman" w:hAnsi="Times New Roman" w:cs="Times New Roman"/>
          <w:b/>
          <w:sz w:val="24"/>
          <w:szCs w:val="24"/>
        </w:rPr>
      </w:pPr>
    </w:p>
    <w:p w:rsidR="002D774E" w:rsidRPr="000C052A" w:rsidRDefault="000A33D4" w:rsidP="004D14A1">
      <w:pPr>
        <w:spacing w:line="360" w:lineRule="auto"/>
        <w:jc w:val="center"/>
        <w:rPr>
          <w:rFonts w:ascii="Arial" w:hAnsi="Arial" w:cs="Arial"/>
          <w:b/>
          <w:sz w:val="24"/>
          <w:szCs w:val="24"/>
        </w:rPr>
      </w:pPr>
      <w:r w:rsidRPr="000C052A">
        <w:rPr>
          <w:rFonts w:ascii="Arial" w:hAnsi="Arial" w:cs="Arial"/>
          <w:b/>
          <w:sz w:val="24"/>
          <w:szCs w:val="24"/>
        </w:rPr>
        <w:t xml:space="preserve">How to engage employees throughout the employee </w:t>
      </w:r>
      <w:proofErr w:type="gramStart"/>
      <w:r w:rsidRPr="000C052A">
        <w:rPr>
          <w:rFonts w:ascii="Arial" w:hAnsi="Arial" w:cs="Arial"/>
          <w:b/>
          <w:sz w:val="24"/>
          <w:szCs w:val="24"/>
        </w:rPr>
        <w:t>lifecycle</w:t>
      </w:r>
      <w:proofErr w:type="gramEnd"/>
    </w:p>
    <w:p w:rsidR="002D774E" w:rsidRDefault="00DC0E40" w:rsidP="004D14A1">
      <w:pPr>
        <w:spacing w:line="360" w:lineRule="auto"/>
        <w:jc w:val="center"/>
        <w:rPr>
          <w:rFonts w:ascii="Arial" w:hAnsi="Arial" w:cs="Arial"/>
          <w:b/>
          <w:sz w:val="24"/>
          <w:szCs w:val="24"/>
        </w:rPr>
      </w:pPr>
      <w:r>
        <w:rPr>
          <w:rFonts w:ascii="Arial" w:hAnsi="Arial" w:cs="Arial"/>
          <w:b/>
          <w:sz w:val="24"/>
          <w:szCs w:val="24"/>
        </w:rPr>
        <w:t>Agne Venckute</w:t>
      </w:r>
    </w:p>
    <w:p w:rsidR="00DC0E40" w:rsidRPr="000C052A" w:rsidRDefault="00DC0E40" w:rsidP="004D14A1">
      <w:pPr>
        <w:spacing w:line="360" w:lineRule="auto"/>
        <w:jc w:val="center"/>
        <w:rPr>
          <w:rFonts w:ascii="Arial" w:hAnsi="Arial" w:cs="Arial"/>
          <w:b/>
          <w:sz w:val="24"/>
          <w:szCs w:val="24"/>
        </w:rPr>
      </w:pPr>
      <w:r>
        <w:rPr>
          <w:rFonts w:ascii="Arial" w:hAnsi="Arial" w:cs="Arial"/>
          <w:b/>
          <w:sz w:val="24"/>
          <w:szCs w:val="24"/>
        </w:rPr>
        <w:t>Student id:2109197</w:t>
      </w:r>
    </w:p>
    <w:p w:rsidR="002D774E" w:rsidRDefault="00DC0E40" w:rsidP="004D14A1">
      <w:pPr>
        <w:spacing w:line="360" w:lineRule="auto"/>
        <w:jc w:val="center"/>
        <w:rPr>
          <w:rFonts w:ascii="Arial" w:hAnsi="Arial" w:cs="Arial"/>
          <w:b/>
          <w:sz w:val="24"/>
          <w:szCs w:val="24"/>
        </w:rPr>
      </w:pPr>
      <w:r>
        <w:rPr>
          <w:rFonts w:ascii="Arial" w:hAnsi="Arial" w:cs="Arial"/>
          <w:b/>
          <w:sz w:val="24"/>
          <w:szCs w:val="24"/>
        </w:rPr>
        <w:t>Personnel Resourcing and Development Level 5</w:t>
      </w:r>
    </w:p>
    <w:p w:rsidR="00DC0E40" w:rsidRDefault="00DC0E40" w:rsidP="004D14A1">
      <w:pPr>
        <w:spacing w:line="360" w:lineRule="auto"/>
        <w:jc w:val="center"/>
        <w:rPr>
          <w:rFonts w:ascii="Arial" w:hAnsi="Arial" w:cs="Arial"/>
          <w:b/>
          <w:sz w:val="24"/>
          <w:szCs w:val="24"/>
        </w:rPr>
      </w:pPr>
      <w:r>
        <w:rPr>
          <w:rFonts w:ascii="Arial" w:hAnsi="Arial" w:cs="Arial"/>
          <w:b/>
          <w:sz w:val="24"/>
          <w:szCs w:val="24"/>
        </w:rPr>
        <w:t>BMIH5005</w:t>
      </w:r>
    </w:p>
    <w:p w:rsidR="00DC0E40" w:rsidRPr="000C052A" w:rsidRDefault="00DC0E40" w:rsidP="00DC0E40">
      <w:pPr>
        <w:spacing w:line="360" w:lineRule="auto"/>
        <w:rPr>
          <w:rFonts w:ascii="Arial" w:hAnsi="Arial" w:cs="Arial"/>
          <w:b/>
          <w:sz w:val="24"/>
          <w:szCs w:val="24"/>
        </w:rPr>
      </w:pPr>
    </w:p>
    <w:p w:rsidR="00057C8D" w:rsidRDefault="00DC0E40" w:rsidP="004D14A1">
      <w:pPr>
        <w:spacing w:line="360" w:lineRule="auto"/>
        <w:jc w:val="center"/>
        <w:rPr>
          <w:rFonts w:ascii="Arial" w:hAnsi="Arial" w:cs="Arial"/>
          <w:b/>
          <w:sz w:val="24"/>
          <w:szCs w:val="24"/>
        </w:rPr>
      </w:pPr>
      <w:r>
        <w:rPr>
          <w:rFonts w:ascii="Arial" w:hAnsi="Arial" w:cs="Arial"/>
          <w:b/>
          <w:sz w:val="24"/>
          <w:szCs w:val="24"/>
        </w:rPr>
        <w:t>Module Lead:</w:t>
      </w:r>
    </w:p>
    <w:p w:rsidR="00DC0E40" w:rsidRPr="000C052A" w:rsidRDefault="00DC0E40" w:rsidP="004D14A1">
      <w:pPr>
        <w:spacing w:line="360" w:lineRule="auto"/>
        <w:jc w:val="center"/>
        <w:rPr>
          <w:rFonts w:ascii="Arial" w:hAnsi="Arial" w:cs="Arial"/>
          <w:b/>
          <w:sz w:val="24"/>
          <w:szCs w:val="24"/>
        </w:rPr>
      </w:pPr>
      <w:r>
        <w:rPr>
          <w:rFonts w:ascii="Arial" w:hAnsi="Arial" w:cs="Arial"/>
          <w:b/>
          <w:sz w:val="24"/>
          <w:szCs w:val="24"/>
        </w:rPr>
        <w:t>Kathryn Roberts BA (Hons)</w:t>
      </w:r>
      <w:bookmarkStart w:id="0" w:name="_GoBack"/>
      <w:bookmarkEnd w:id="0"/>
    </w:p>
    <w:p w:rsidR="00453DB9" w:rsidRPr="000C052A" w:rsidRDefault="00453DB9" w:rsidP="00453DB9">
      <w:pPr>
        <w:jc w:val="center"/>
        <w:rPr>
          <w:rFonts w:ascii="Arial" w:hAnsi="Arial" w:cs="Arial"/>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453DB9" w:rsidRDefault="00453DB9" w:rsidP="004D14A1">
      <w:pPr>
        <w:rPr>
          <w:rFonts w:ascii="Times New Roman" w:hAnsi="Times New Roman" w:cs="Times New Roman"/>
          <w:b/>
          <w:sz w:val="24"/>
          <w:szCs w:val="24"/>
        </w:rPr>
      </w:pPr>
    </w:p>
    <w:p w:rsidR="004D14A1" w:rsidRDefault="004D14A1" w:rsidP="004D14A1">
      <w:pPr>
        <w:rPr>
          <w:rFonts w:ascii="Times New Roman" w:hAnsi="Times New Roman" w:cs="Times New Roman"/>
          <w:b/>
          <w:sz w:val="24"/>
          <w:szCs w:val="24"/>
        </w:rPr>
      </w:pPr>
    </w:p>
    <w:p w:rsidR="00453DB9" w:rsidRDefault="00453DB9" w:rsidP="00453DB9">
      <w:pPr>
        <w:jc w:val="center"/>
        <w:rPr>
          <w:rFonts w:ascii="Times New Roman" w:hAnsi="Times New Roman" w:cs="Times New Roman"/>
          <w:b/>
          <w:sz w:val="24"/>
          <w:szCs w:val="24"/>
        </w:rPr>
      </w:pPr>
    </w:p>
    <w:p w:rsidR="0018276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 xml:space="preserve">Human resources are defined as a group of people that makes up the workforce, organization, business, and industry. All businesses sector needs human resources to run the business efficiently. </w:t>
      </w:r>
      <w:r w:rsidR="000C052A" w:rsidRPr="00BF6440">
        <w:rPr>
          <w:rFonts w:ascii="Arial" w:hAnsi="Arial" w:cs="Arial"/>
          <w:sz w:val="24"/>
          <w:szCs w:val="24"/>
        </w:rPr>
        <w:t>Human</w:t>
      </w:r>
      <w:r w:rsidRPr="00BF6440">
        <w:rPr>
          <w:rFonts w:ascii="Arial" w:hAnsi="Arial" w:cs="Arial"/>
          <w:sz w:val="24"/>
          <w:szCs w:val="24"/>
        </w:rPr>
        <w:t xml:space="preserve"> resources are also </w:t>
      </w:r>
      <w:r w:rsidR="000C052A" w:rsidRPr="00BF6440">
        <w:rPr>
          <w:rFonts w:ascii="Arial" w:hAnsi="Arial" w:cs="Arial"/>
          <w:sz w:val="24"/>
          <w:szCs w:val="24"/>
        </w:rPr>
        <w:t>known as manpower, labour, or in other words, people</w:t>
      </w:r>
      <w:r w:rsidR="00D77446" w:rsidRPr="00BF6440">
        <w:rPr>
          <w:rFonts w:ascii="Arial" w:hAnsi="Arial" w:cs="Arial"/>
          <w:sz w:val="24"/>
          <w:szCs w:val="24"/>
        </w:rPr>
        <w:t xml:space="preserve"> (</w:t>
      </w:r>
      <w:r w:rsidR="00D77446" w:rsidRPr="00BF6440">
        <w:rPr>
          <w:rFonts w:ascii="Arial" w:hAnsi="Arial" w:cs="Arial"/>
          <w:sz w:val="24"/>
          <w:szCs w:val="24"/>
          <w:shd w:val="clear" w:color="auto" w:fill="FFFFFF"/>
        </w:rPr>
        <w:t>Di Vaio</w:t>
      </w:r>
      <w:r w:rsidR="00E0428F" w:rsidRPr="00BF6440">
        <w:rPr>
          <w:rFonts w:ascii="Arial" w:hAnsi="Arial" w:cs="Arial"/>
          <w:sz w:val="24"/>
          <w:szCs w:val="24"/>
          <w:shd w:val="clear" w:color="auto" w:fill="FFFFFF"/>
        </w:rPr>
        <w:t xml:space="preserve"> </w:t>
      </w:r>
      <w:r w:rsidR="00E0428F" w:rsidRPr="00BF6440">
        <w:rPr>
          <w:rFonts w:ascii="Arial" w:hAnsi="Arial" w:cs="Arial"/>
          <w:i/>
          <w:sz w:val="24"/>
          <w:szCs w:val="24"/>
          <w:shd w:val="clear" w:color="auto" w:fill="FFFFFF"/>
        </w:rPr>
        <w:t>et al</w:t>
      </w:r>
      <w:r w:rsidR="00E0428F" w:rsidRPr="00BF6440">
        <w:rPr>
          <w:rFonts w:ascii="Arial" w:hAnsi="Arial" w:cs="Arial"/>
          <w:sz w:val="24"/>
          <w:szCs w:val="24"/>
          <w:shd w:val="clear" w:color="auto" w:fill="FFFFFF"/>
        </w:rPr>
        <w:t xml:space="preserve">., </w:t>
      </w:r>
      <w:r w:rsidR="00D77446" w:rsidRPr="00BF6440">
        <w:rPr>
          <w:rFonts w:ascii="Arial" w:hAnsi="Arial" w:cs="Arial"/>
          <w:sz w:val="24"/>
          <w:szCs w:val="24"/>
          <w:shd w:val="clear" w:color="auto" w:fill="FFFFFF"/>
        </w:rPr>
        <w:t>2020</w:t>
      </w:r>
      <w:r w:rsidR="00D77446" w:rsidRPr="00BF6440">
        <w:rPr>
          <w:rFonts w:ascii="Arial" w:hAnsi="Arial" w:cs="Arial"/>
          <w:sz w:val="24"/>
          <w:szCs w:val="24"/>
        </w:rPr>
        <w:t>)</w:t>
      </w:r>
      <w:r w:rsidR="000C052A" w:rsidRPr="00BF6440">
        <w:rPr>
          <w:rFonts w:ascii="Arial" w:hAnsi="Arial" w:cs="Arial"/>
          <w:sz w:val="24"/>
          <w:szCs w:val="24"/>
        </w:rPr>
        <w:t>.</w:t>
      </w:r>
      <w:r w:rsidRPr="00BF6440">
        <w:rPr>
          <w:rFonts w:ascii="Arial" w:hAnsi="Arial" w:cs="Arial"/>
          <w:sz w:val="24"/>
          <w:szCs w:val="24"/>
        </w:rPr>
        <w:t xml:space="preserve"> </w:t>
      </w:r>
      <w:r w:rsidR="00421A73" w:rsidRPr="00BF6440">
        <w:rPr>
          <w:rFonts w:ascii="Arial" w:hAnsi="Arial" w:cs="Arial"/>
          <w:sz w:val="24"/>
          <w:szCs w:val="24"/>
        </w:rPr>
        <w:t xml:space="preserve">It is not limited to employment, budget maintenance, employee satisfaction, transfer, company culture, training, and managing benefits. In the business sector, human </w:t>
      </w:r>
      <w:r w:rsidR="002D5B54" w:rsidRPr="00BF6440">
        <w:rPr>
          <w:rFonts w:ascii="Arial" w:hAnsi="Arial" w:cs="Arial"/>
          <w:sz w:val="24"/>
          <w:szCs w:val="24"/>
        </w:rPr>
        <w:t>resources</w:t>
      </w:r>
      <w:r w:rsidR="00421A73" w:rsidRPr="00BF6440">
        <w:rPr>
          <w:rFonts w:ascii="Arial" w:hAnsi="Arial" w:cs="Arial"/>
          <w:sz w:val="24"/>
          <w:szCs w:val="24"/>
        </w:rPr>
        <w:t xml:space="preserve"> are essential. </w:t>
      </w:r>
      <w:r w:rsidR="002D5B54" w:rsidRPr="00BF6440">
        <w:rPr>
          <w:rFonts w:ascii="Arial" w:hAnsi="Arial" w:cs="Arial"/>
          <w:sz w:val="24"/>
          <w:szCs w:val="24"/>
        </w:rPr>
        <w:t xml:space="preserve">These people look after the whole colleagues present in the office. Hence, they also play an integral role in retaining employees and enhancing any organization's efficiency and effectiveness </w:t>
      </w:r>
      <w:r w:rsidR="004D14A1" w:rsidRPr="00BF6440">
        <w:rPr>
          <w:rFonts w:ascii="Arial" w:hAnsi="Arial" w:cs="Arial"/>
          <w:sz w:val="24"/>
          <w:szCs w:val="24"/>
        </w:rPr>
        <w:t>(</w:t>
      </w:r>
      <w:r w:rsidR="004D14A1" w:rsidRPr="00BF6440">
        <w:rPr>
          <w:rFonts w:ascii="Arial" w:hAnsi="Arial" w:cs="Arial"/>
          <w:color w:val="222222"/>
          <w:sz w:val="24"/>
          <w:szCs w:val="24"/>
          <w:shd w:val="clear" w:color="auto" w:fill="FFFFFF"/>
        </w:rPr>
        <w:t>Snell &amp; Morris, 2018</w:t>
      </w:r>
      <w:r w:rsidR="004D14A1" w:rsidRPr="00BF6440">
        <w:rPr>
          <w:rFonts w:ascii="Arial" w:hAnsi="Arial" w:cs="Arial"/>
          <w:sz w:val="24"/>
          <w:szCs w:val="24"/>
        </w:rPr>
        <w:t>)</w:t>
      </w:r>
      <w:r w:rsidR="002D5B54" w:rsidRPr="00BF6440">
        <w:rPr>
          <w:rFonts w:ascii="Arial" w:hAnsi="Arial" w:cs="Arial"/>
          <w:sz w:val="24"/>
          <w:szCs w:val="24"/>
        </w:rPr>
        <w:t xml:space="preserve">. </w:t>
      </w:r>
    </w:p>
    <w:p w:rsidR="0018276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Human resources play a crucial role in engaging employees in the workforce. Hence, this department has to ensure that employees with the appropriate skills, talents, tools, and environment to perform the assigned tasks. Also, engagement with employees is essential to ensure that work is needed, hence making career progression</w:t>
      </w:r>
      <w:r w:rsidR="0084759F" w:rsidRPr="00BF6440">
        <w:rPr>
          <w:rFonts w:ascii="Arial" w:hAnsi="Arial" w:cs="Arial"/>
          <w:sz w:val="24"/>
          <w:szCs w:val="24"/>
        </w:rPr>
        <w:t xml:space="preserve"> (Roziq </w:t>
      </w:r>
      <w:r w:rsidR="0084759F" w:rsidRPr="00BF6440">
        <w:rPr>
          <w:rFonts w:ascii="Arial" w:hAnsi="Arial" w:cs="Arial"/>
          <w:i/>
          <w:sz w:val="24"/>
          <w:szCs w:val="24"/>
        </w:rPr>
        <w:t>et al,</w:t>
      </w:r>
      <w:r w:rsidR="0084759F" w:rsidRPr="00BF6440">
        <w:rPr>
          <w:rFonts w:ascii="Arial" w:hAnsi="Arial" w:cs="Arial"/>
          <w:sz w:val="24"/>
          <w:szCs w:val="24"/>
        </w:rPr>
        <w:t>. 2021)</w:t>
      </w:r>
      <w:r w:rsidRPr="00BF6440">
        <w:rPr>
          <w:rFonts w:ascii="Arial" w:hAnsi="Arial" w:cs="Arial"/>
          <w:sz w:val="24"/>
          <w:szCs w:val="24"/>
        </w:rPr>
        <w:t>. Another role that human resources play in engaging employees is providing them with tools by the company, telling them about the organization's vision, aim, and different tasks. If employees are introduced to a new environment, help they gain different skills to help enhance the company, which will benefit them</w:t>
      </w:r>
      <w:r w:rsidR="00BF6440" w:rsidRPr="00BF6440">
        <w:rPr>
          <w:rFonts w:ascii="Arial" w:hAnsi="Arial" w:cs="Arial"/>
          <w:sz w:val="24"/>
          <w:szCs w:val="24"/>
        </w:rPr>
        <w:t xml:space="preserve"> (</w:t>
      </w:r>
      <w:r w:rsidR="00BF6440" w:rsidRPr="00BF6440">
        <w:rPr>
          <w:rFonts w:ascii="Arial" w:hAnsi="Arial" w:cs="Arial"/>
          <w:color w:val="222222"/>
          <w:sz w:val="24"/>
          <w:szCs w:val="24"/>
          <w:shd w:val="clear" w:color="auto" w:fill="FFFFFF"/>
        </w:rPr>
        <w:t xml:space="preserve">Gherman </w:t>
      </w:r>
      <w:r w:rsidR="00BF6440" w:rsidRPr="00BF6440">
        <w:rPr>
          <w:rFonts w:ascii="Arial" w:hAnsi="Arial" w:cs="Arial"/>
          <w:i/>
          <w:color w:val="222222"/>
          <w:sz w:val="24"/>
          <w:szCs w:val="24"/>
          <w:shd w:val="clear" w:color="auto" w:fill="FFFFFF"/>
        </w:rPr>
        <w:t xml:space="preserve">et al., </w:t>
      </w:r>
      <w:r w:rsidR="00BF6440" w:rsidRPr="00BF6440">
        <w:rPr>
          <w:rFonts w:ascii="Arial" w:hAnsi="Arial" w:cs="Arial"/>
          <w:color w:val="222222"/>
          <w:sz w:val="24"/>
          <w:szCs w:val="24"/>
          <w:shd w:val="clear" w:color="auto" w:fill="FFFFFF"/>
        </w:rPr>
        <w:t>2016</w:t>
      </w:r>
      <w:r w:rsidR="00BF6440" w:rsidRPr="00BF6440">
        <w:rPr>
          <w:rFonts w:ascii="Arial" w:hAnsi="Arial" w:cs="Arial"/>
          <w:sz w:val="24"/>
          <w:szCs w:val="24"/>
        </w:rPr>
        <w:t>)</w:t>
      </w:r>
      <w:r w:rsidRPr="00BF6440">
        <w:rPr>
          <w:rFonts w:ascii="Arial" w:hAnsi="Arial" w:cs="Arial"/>
          <w:sz w:val="24"/>
          <w:szCs w:val="24"/>
        </w:rPr>
        <w:t xml:space="preserve">. There is a need to increase and enhance employee engagement through socialization, giving attention to each employee, serving the employees (through any means), training, conducting different sessions, and listening to employees. Connecting and linking with employees is another essential function to engage them in the workforce (Stahl </w:t>
      </w:r>
      <w:r w:rsidRPr="00BF6440">
        <w:rPr>
          <w:rFonts w:ascii="Arial" w:hAnsi="Arial" w:cs="Arial"/>
          <w:i/>
          <w:sz w:val="24"/>
          <w:szCs w:val="24"/>
        </w:rPr>
        <w:t xml:space="preserve">et al., </w:t>
      </w:r>
      <w:r w:rsidRPr="00BF6440">
        <w:rPr>
          <w:rFonts w:ascii="Arial" w:hAnsi="Arial" w:cs="Arial"/>
          <w:sz w:val="24"/>
          <w:szCs w:val="24"/>
        </w:rPr>
        <w:t>2020).</w:t>
      </w:r>
    </w:p>
    <w:p w:rsidR="0018276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 xml:space="preserve">Employee engagement has a history from the 1990s. Hence, this has engaged in new importance since 2000 by Melcrum publishing, which conducted a survey which suggested that employee engagement is a new challenge or factor in HR; hence it has </w:t>
      </w:r>
      <w:r w:rsidRPr="00BF6440">
        <w:rPr>
          <w:rFonts w:ascii="Arial" w:hAnsi="Arial" w:cs="Arial"/>
          <w:sz w:val="24"/>
          <w:szCs w:val="24"/>
        </w:rPr>
        <w:lastRenderedPageBreak/>
        <w:t xml:space="preserve">gained new interest. Furthermore, employee engagement as a team includes a good link between employees and employers, leading to a healthy work environment. It is crucial for the success of any organization as integration between employees plays a significant role in employee engagement. The organization has enhanced performance with profit and high employee satisfaction with engaged employees. The CEO of Johnsonville named, Ralph, found that employees in his organization were uninterested in work as he was the only person who was excited in the workforce and performed many tasks to succeed. He suggested that a leader plays not achieve success but sets an environment that hears and listens to employees, enhancing the organizational performance </w:t>
      </w:r>
      <w:r w:rsidR="00F91366" w:rsidRPr="00BF6440">
        <w:rPr>
          <w:rFonts w:ascii="Arial" w:hAnsi="Arial" w:cs="Arial"/>
          <w:sz w:val="24"/>
          <w:szCs w:val="24"/>
        </w:rPr>
        <w:t>(Sadri &amp; Singh, 2014)</w:t>
      </w:r>
      <w:r w:rsidRPr="00BF6440">
        <w:rPr>
          <w:rFonts w:ascii="Arial" w:hAnsi="Arial" w:cs="Arial"/>
          <w:sz w:val="24"/>
          <w:szCs w:val="24"/>
        </w:rPr>
        <w:t>.</w:t>
      </w:r>
    </w:p>
    <w:p w:rsidR="003151D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The employee life cycle refers to the HR model, which recognizes the different stages of an employee's advances or schedule in an organization or workforce</w:t>
      </w:r>
      <w:r w:rsidR="0006196F" w:rsidRPr="00BF6440">
        <w:rPr>
          <w:rFonts w:ascii="Arial" w:hAnsi="Arial" w:cs="Arial"/>
          <w:sz w:val="24"/>
          <w:szCs w:val="24"/>
        </w:rPr>
        <w:t xml:space="preserve"> (</w:t>
      </w:r>
      <w:r w:rsidR="0006196F" w:rsidRPr="00BF6440">
        <w:rPr>
          <w:rFonts w:ascii="Arial" w:hAnsi="Arial" w:cs="Arial"/>
          <w:color w:val="222222"/>
          <w:sz w:val="24"/>
          <w:szCs w:val="24"/>
          <w:shd w:val="clear" w:color="auto" w:fill="FFFFFF"/>
        </w:rPr>
        <w:t xml:space="preserve">Turner &amp; Valencia, 2019). </w:t>
      </w:r>
      <w:r w:rsidRPr="00BF6440">
        <w:rPr>
          <w:rFonts w:ascii="Arial" w:hAnsi="Arial" w:cs="Arial"/>
          <w:sz w:val="24"/>
          <w:szCs w:val="24"/>
        </w:rPr>
        <w:t xml:space="preserve">It is the role of the organization's human resources to keep continuing the employee's progress and track as it gives steps of an individual's career in an organization (Sato </w:t>
      </w:r>
      <w:r w:rsidRPr="00BF6440">
        <w:rPr>
          <w:rFonts w:ascii="Arial" w:hAnsi="Arial" w:cs="Arial"/>
          <w:i/>
          <w:sz w:val="24"/>
          <w:szCs w:val="24"/>
        </w:rPr>
        <w:t xml:space="preserve">et al., </w:t>
      </w:r>
      <w:r w:rsidRPr="00BF6440">
        <w:rPr>
          <w:rFonts w:ascii="Arial" w:hAnsi="Arial" w:cs="Arial"/>
          <w:sz w:val="24"/>
          <w:szCs w:val="24"/>
        </w:rPr>
        <w:t xml:space="preserve">2020). </w:t>
      </w:r>
    </w:p>
    <w:p w:rsidR="003151D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The first step of the employee life cycle is attraction. It refers to the strength and innovation of any product. That lures any individual due to diversity or specification from another workforce. The organization’s growth strategy can be implemented through hovering brand awareness in popular industry magazines, websites, and blogs. It is crucial to be known in the market for the great culture (working environment), offer employees different benefits and compensation, and seek out the company’s softer benefits with lunches, outings, celebrations, Etc. Attraction is the first phase in the cycle. Hence, a good image needs to externalize in the market. For example, Google aims to provide freedom in the work environment and not tied to work at a desk. Google wants productive and outspoken employees; hence, many people are attracted to apply to Google. Google also provides different perks, including healthy meals, free health, subsidies, environment with different games and attractions for the employees to rest and take a break. Furthermore, while advertising the company, the work culture must help increment specific skills that do not bind employees. Thus, attraction is the primary step that the organization takes to make the business work and gain profit (Amarakoon &amp; Colley, 2022).</w:t>
      </w:r>
    </w:p>
    <w:p w:rsidR="001E654F"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lastRenderedPageBreak/>
        <w:t>The second step is recruitment. Hence, the employee lifecycle’s second phase is recruitment, which refers to the period when the organization seeks and recruits the best talent for the organization that runs and maintains the performance of the business. Furthermore, this phase results when a vacant place to employ other people or a position is created to make the work easier (Oaya et al., 2017). This phase can be employed by applying referrals from the existing teams as the individuals of the business do know the better fit for the role. Another way is to apply on the recruitment websites for the role, and people will see and then the organization can interview them to observe them. Hence, employees also asked for help in suggesting suitable candidates for the role in the organization. For instance, Nestle recruits people occasionally; hence the company posts it on its website and social media platforms and contacts their mates for individuals that fit the role in the company; hence individuals are called for interviews and screening. Hence, recruitment is applied in my team; hence social media will firstly come in handy, and I would suggest posting on social media platforms as people are more engaged on social media platforms to reach individuals. Then they can apply for the role or the position. Furthermore, recruitment will help any organization to work more efficiently. Many organizations also send open positions to different universities to have a wide range of options for selecting the best candidate (Bans-Akutey et al., 2021).</w:t>
      </w:r>
    </w:p>
    <w:p w:rsidR="001E654F"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 xml:space="preserve">Moving forward, onboarding is the third step hence of the employee lifecycle. Onboarding occurs when a company has recruited a suitable candidate. This period is complex as new hires need to adjust to the environment and also, in the starting, learn about the regulations and everyday tasks related to the position. Hence, to implement this procedure, well-described job tasks are needed, also telling about the company's aim, objectives, vision, and mission. It is also crucial to lay the candidate's expectations and follow up from the employee to the department's leader. The onboarding process is applied by many companies like Zapier, which is famous for its remote work environment with automated workflows (Scott et al., 2022). The new employees spend their first week familiarising themselves with the company and the team, learning the tools and systems and getting used to the expectations laid out. Another example is Buffer, a prominent company in its genre, as it is transparent and tells salaries, profits, additional costs, and revenue. The employee's onboarding process revolves mainly around 45 days of boot </w:t>
      </w:r>
      <w:r w:rsidRPr="00BF6440">
        <w:rPr>
          <w:rFonts w:ascii="Arial" w:hAnsi="Arial" w:cs="Arial"/>
          <w:sz w:val="24"/>
          <w:szCs w:val="24"/>
        </w:rPr>
        <w:lastRenderedPageBreak/>
        <w:t>camp as contractors. As new hires may feel abandoned by the people, the introductory emails and interaction with the department are done. I would engage this process by first giving the employee interaction with the surroundings, emailing the basic needs and tasks starting from easy, and making the employee interact with other mates. The starting period for many new hires will be the hanging for the employee to adjust to the environment (Kumar &amp; Pandey, 2017).</w:t>
      </w:r>
    </w:p>
    <w:p w:rsidR="001E654F"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After onboarding comes the development phase, the fourth stage of the employee lifecycle. Hence, this phase means encouraging and promoting the employee's professional development in the team and helping them to enhance their skill progress which will provide a promising career in the organization. This stage can be employed by encouraging external learning and providing them with conferences and sessions that will benefit from increasing their talent, which will merit the organization. Also then helping them to practice those skills to evaluate their talent, skill, and knowledge. If the team members work satisfactorily, reward them for their hard work and efforts. Furthermore, I would conduct seminars for the individuals to learn, guiding them to the correct path, helping them with skills and applying and encouraging them to work hard (Zurdo et al., 2015). In the end, rewards are essential for the efforts done by the employee. For example, Amazon provides extensive training to its employees to build confidence and increase their capabilities. Hence, in 2012, Amazon released the Career Choice program for the employees to asses to educational benefits of the company. It will also help them earn certificates and degrees as long as employees take courses. It helped empower employees to pursue professional educational dreams also. It will value their experience while also applying somewhere else. Hence, development seeks to develop and advance the employees, which will further help the organization and profit. In addition, the development stage is crucial for harvesting the optimistic company in that the employee comes first (Venkatesan, 2017).</w:t>
      </w:r>
    </w:p>
    <w:p w:rsidR="001E654F"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 xml:space="preserve">The fifth stage of employee lifestyle is retention. The organization emphasizes keeping employees' energies and ensuring they are happy and satisfied with their roles and the business environment. The company's culture impacts this stage if the surroundings of the company are hostile; hence the employees will leave the company. Hiring appropriate </w:t>
      </w:r>
      <w:r w:rsidRPr="00BF6440">
        <w:rPr>
          <w:rFonts w:ascii="Arial" w:hAnsi="Arial" w:cs="Arial"/>
          <w:sz w:val="24"/>
          <w:szCs w:val="24"/>
        </w:rPr>
        <w:lastRenderedPageBreak/>
        <w:t>people is essential to apply retention in the work environment with good screening. Then help new hires and the team build good relationships. Communication should be part of the work culture; hence employees can communicate with each other. Hence conducting different seminars and outings to motivate the employees of all positions</w:t>
      </w:r>
      <w:r w:rsidR="002521A7" w:rsidRPr="00BF6440">
        <w:rPr>
          <w:rFonts w:ascii="Arial" w:hAnsi="Arial" w:cs="Arial"/>
          <w:sz w:val="24"/>
          <w:szCs w:val="24"/>
        </w:rPr>
        <w:t xml:space="preserve"> (</w:t>
      </w:r>
      <w:r w:rsidR="002521A7" w:rsidRPr="00BF6440">
        <w:rPr>
          <w:rFonts w:ascii="Arial" w:hAnsi="Arial" w:cs="Arial"/>
          <w:color w:val="222222"/>
          <w:sz w:val="24"/>
          <w:szCs w:val="24"/>
          <w:shd w:val="clear" w:color="auto" w:fill="FFFFFF"/>
        </w:rPr>
        <w:t>MANDHANYA, 2015</w:t>
      </w:r>
      <w:r w:rsidR="002521A7" w:rsidRPr="00BF6440">
        <w:rPr>
          <w:rFonts w:ascii="Arial" w:hAnsi="Arial" w:cs="Arial"/>
          <w:sz w:val="24"/>
          <w:szCs w:val="24"/>
        </w:rPr>
        <w:t>)</w:t>
      </w:r>
      <w:r w:rsidRPr="00BF6440">
        <w:rPr>
          <w:rFonts w:ascii="Arial" w:hAnsi="Arial" w:cs="Arial"/>
          <w:sz w:val="24"/>
          <w:szCs w:val="24"/>
        </w:rPr>
        <w:t>. Applying retention strategies in my organization, employees with great loyalty and different outings and seminars with great known people will also be conducted, and communication in the environment will be integral (Ma et al., 2018). For example, Amazon's own Zappos applies retention strategies to define the employee's track. Also, Zappos promote individuality and creativity. Zappos identify employees for their performance to be able to self-manage the work to bring creativity in them. It is essential to promote the company's value with its name, increase strong trust and provide freedom to manage their work as employees want. Another example is Cadence, that focus on sustainability, pay equity, and diversity. It fosters the inclusion of people with different backgrounds. Thus, the company has been awarded Great Place to Work worldwide, Fortune's list of the 100 Best Companies to Work For, and World's Best Multinational Workplace. The company uses the "One Cadence—One Team" slogan, and 92% of employees are proud to be called that (Covella et al. 2017).</w:t>
      </w:r>
    </w:p>
    <w:p w:rsidR="00E94E74"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The last stage of the employee lifecycle is separation. It refers to the conclusion or the end for the employees, whether due to retirement, new employment, or other reasons</w:t>
      </w:r>
      <w:r w:rsidR="007B007B" w:rsidRPr="00BF6440">
        <w:rPr>
          <w:rFonts w:ascii="Arial" w:hAnsi="Arial" w:cs="Arial"/>
          <w:sz w:val="24"/>
          <w:szCs w:val="24"/>
        </w:rPr>
        <w:t xml:space="preserve"> (</w:t>
      </w:r>
      <w:hyperlink r:id="rId5" w:history="1">
        <w:r w:rsidR="007B007B" w:rsidRPr="00BF6440">
          <w:rPr>
            <w:rStyle w:val="surname"/>
            <w:rFonts w:ascii="Arial" w:hAnsi="Arial" w:cs="Arial"/>
            <w:color w:val="007377"/>
            <w:sz w:val="24"/>
            <w:szCs w:val="24"/>
            <w:shd w:val="clear" w:color="auto" w:fill="FFFFFF"/>
          </w:rPr>
          <w:t>Cattermole</w:t>
        </w:r>
      </w:hyperlink>
      <w:r w:rsidR="007B007B" w:rsidRPr="00BF6440">
        <w:rPr>
          <w:rFonts w:ascii="Arial" w:hAnsi="Arial" w:cs="Arial"/>
          <w:sz w:val="24"/>
          <w:szCs w:val="24"/>
        </w:rPr>
        <w:t>, 2019)</w:t>
      </w:r>
      <w:r w:rsidRPr="00BF6440">
        <w:rPr>
          <w:rFonts w:ascii="Arial" w:hAnsi="Arial" w:cs="Arial"/>
          <w:sz w:val="24"/>
          <w:szCs w:val="24"/>
        </w:rPr>
        <w:t>. Hence, the separation process is equally essential to the onboarding process. It is a strategic approach, as when a team member leaves, it impacts the whole team. Hence, the strategies of strategic separation include accepting the leave first. Then understanding the reason with remaining positive towards the dispersion also, asking the feedback as the individual has been working and wishing the person luck, as the leader needs to reaffirm the commitment and remind that departure is hard, but the team will recover</w:t>
      </w:r>
      <w:r w:rsidR="00EC4ABF" w:rsidRPr="00BF6440">
        <w:rPr>
          <w:rFonts w:ascii="Arial" w:hAnsi="Arial" w:cs="Arial"/>
          <w:sz w:val="24"/>
          <w:szCs w:val="24"/>
        </w:rPr>
        <w:t xml:space="preserve"> (</w:t>
      </w:r>
      <w:r w:rsidR="00EC4ABF" w:rsidRPr="00BF6440">
        <w:rPr>
          <w:rFonts w:ascii="Arial" w:hAnsi="Arial" w:cs="Arial"/>
          <w:sz w:val="24"/>
          <w:szCs w:val="24"/>
          <w:shd w:val="clear" w:color="auto" w:fill="FFFFFF"/>
        </w:rPr>
        <w:t xml:space="preserve">Gathiira </w:t>
      </w:r>
      <w:r w:rsidR="00EC4ABF" w:rsidRPr="00BF6440">
        <w:rPr>
          <w:rFonts w:ascii="Arial" w:hAnsi="Arial" w:cs="Arial"/>
          <w:i/>
          <w:sz w:val="24"/>
          <w:szCs w:val="24"/>
          <w:shd w:val="clear" w:color="auto" w:fill="FFFFFF"/>
        </w:rPr>
        <w:t>et al</w:t>
      </w:r>
      <w:r w:rsidR="00EC4ABF" w:rsidRPr="00BF6440">
        <w:rPr>
          <w:rFonts w:ascii="Arial" w:hAnsi="Arial" w:cs="Arial"/>
          <w:sz w:val="24"/>
          <w:szCs w:val="24"/>
          <w:shd w:val="clear" w:color="auto" w:fill="FFFFFF"/>
        </w:rPr>
        <w:t>., 2020</w:t>
      </w:r>
      <w:r w:rsidR="00EC4ABF" w:rsidRPr="00BF6440">
        <w:rPr>
          <w:rFonts w:ascii="Arial" w:hAnsi="Arial" w:cs="Arial"/>
          <w:sz w:val="24"/>
          <w:szCs w:val="24"/>
        </w:rPr>
        <w:t>)</w:t>
      </w:r>
      <w:r w:rsidRPr="00BF6440">
        <w:rPr>
          <w:rFonts w:ascii="Arial" w:hAnsi="Arial" w:cs="Arial"/>
          <w:sz w:val="24"/>
          <w:szCs w:val="24"/>
        </w:rPr>
        <w:t xml:space="preserve">. If an employee wants to leave my organization, it is vital to understand and accept the leave. Also, I will say that leaving is disappointing for that individual. However, the team can cope and wish that individual luck for future endeavours with some souvenirs after the individual’s journey in the company. For example, Flour Milling firms in Uasin Gishu County have good working conditions and work culture; hence still individual left the organization, but the company did not have the </w:t>
      </w:r>
      <w:r w:rsidRPr="00BF6440">
        <w:rPr>
          <w:rFonts w:ascii="Arial" w:hAnsi="Arial" w:cs="Arial"/>
          <w:sz w:val="24"/>
          <w:szCs w:val="24"/>
        </w:rPr>
        <w:lastRenderedPageBreak/>
        <w:t>reason for it but did accept the separation. In addition, separation is the process that the company faces at all costs, and the employee lifecycle starts again (KWAMBOKA, 2016).</w:t>
      </w:r>
    </w:p>
    <w:p w:rsidR="001E654F"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In conclusion, the employee lifecycle is an ongoing process as one individual leaves. Another person is hired then the employee lifecycle process is implemented on that person. Hence, the employee lifecycle has 6 phases: attraction, recruitment, onboarding, development, retention, and separation. Each phase has different implementations to be employed. Many examples include that this cycle is helpful to accomplish. The organization primarily maintains this cycle which human resources also help to continue. It is an impressive model to plan and implement each stage for the employees in a distinct organization.</w:t>
      </w: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1E654F" w:rsidRPr="00BF6440" w:rsidRDefault="001E654F" w:rsidP="00BF6440">
      <w:pPr>
        <w:spacing w:line="360" w:lineRule="auto"/>
        <w:jc w:val="both"/>
        <w:rPr>
          <w:rFonts w:ascii="Arial" w:hAnsi="Arial" w:cs="Arial"/>
          <w:sz w:val="24"/>
          <w:szCs w:val="24"/>
        </w:rPr>
      </w:pPr>
    </w:p>
    <w:p w:rsidR="0058641F" w:rsidRPr="00BF6440" w:rsidRDefault="0058641F" w:rsidP="00BF6440">
      <w:pPr>
        <w:spacing w:line="360" w:lineRule="auto"/>
        <w:jc w:val="both"/>
        <w:rPr>
          <w:rFonts w:ascii="Arial" w:hAnsi="Arial" w:cs="Arial"/>
          <w:sz w:val="24"/>
          <w:szCs w:val="24"/>
        </w:rPr>
      </w:pPr>
    </w:p>
    <w:p w:rsidR="0098426A" w:rsidRPr="00BF6440" w:rsidRDefault="0098426A" w:rsidP="00BF6440">
      <w:pPr>
        <w:spacing w:line="360" w:lineRule="auto"/>
        <w:jc w:val="both"/>
        <w:rPr>
          <w:rFonts w:ascii="Arial" w:hAnsi="Arial" w:cs="Arial"/>
          <w:sz w:val="24"/>
          <w:szCs w:val="24"/>
        </w:rPr>
      </w:pPr>
    </w:p>
    <w:p w:rsidR="0098426A" w:rsidRDefault="0098426A" w:rsidP="00BF6440">
      <w:pPr>
        <w:spacing w:line="360" w:lineRule="auto"/>
        <w:jc w:val="both"/>
        <w:rPr>
          <w:rFonts w:ascii="Arial" w:hAnsi="Arial" w:cs="Arial"/>
          <w:sz w:val="24"/>
          <w:szCs w:val="24"/>
        </w:rPr>
      </w:pPr>
    </w:p>
    <w:p w:rsidR="000A33D4" w:rsidRPr="00BF6440" w:rsidRDefault="000A33D4" w:rsidP="00BF6440">
      <w:pPr>
        <w:spacing w:line="360" w:lineRule="auto"/>
        <w:jc w:val="both"/>
        <w:rPr>
          <w:rFonts w:ascii="Arial" w:hAnsi="Arial" w:cs="Arial"/>
          <w:sz w:val="24"/>
          <w:szCs w:val="24"/>
        </w:rPr>
      </w:pPr>
    </w:p>
    <w:p w:rsidR="0058641F" w:rsidRPr="00BF6440" w:rsidRDefault="0058641F" w:rsidP="00BF6440">
      <w:pPr>
        <w:spacing w:line="360" w:lineRule="auto"/>
        <w:jc w:val="both"/>
        <w:rPr>
          <w:rFonts w:ascii="Arial" w:hAnsi="Arial" w:cs="Arial"/>
          <w:sz w:val="24"/>
          <w:szCs w:val="24"/>
        </w:rPr>
      </w:pPr>
    </w:p>
    <w:p w:rsidR="00182763" w:rsidRPr="00BF6440" w:rsidRDefault="000A33D4" w:rsidP="00BF6440">
      <w:pPr>
        <w:spacing w:line="360" w:lineRule="auto"/>
        <w:jc w:val="both"/>
        <w:rPr>
          <w:rFonts w:ascii="Arial" w:hAnsi="Arial" w:cs="Arial"/>
          <w:sz w:val="24"/>
          <w:szCs w:val="24"/>
        </w:rPr>
      </w:pPr>
      <w:r w:rsidRPr="00BF6440">
        <w:rPr>
          <w:rFonts w:ascii="Arial" w:hAnsi="Arial" w:cs="Arial"/>
          <w:sz w:val="24"/>
          <w:szCs w:val="24"/>
        </w:rPr>
        <w:t>References</w:t>
      </w:r>
    </w:p>
    <w:p w:rsidR="0006196F" w:rsidRPr="00BF6440" w:rsidRDefault="000A33D4" w:rsidP="000A33D4">
      <w:pPr>
        <w:spacing w:line="360" w:lineRule="auto"/>
        <w:ind w:left="720" w:hanging="720"/>
        <w:jc w:val="both"/>
        <w:rPr>
          <w:rFonts w:ascii="Arial" w:hAnsi="Arial" w:cs="Arial"/>
          <w:sz w:val="24"/>
          <w:szCs w:val="24"/>
        </w:rPr>
      </w:pPr>
      <w:r w:rsidRPr="00BF6440">
        <w:rPr>
          <w:rFonts w:ascii="Arial" w:hAnsi="Arial" w:cs="Arial"/>
          <w:color w:val="222222"/>
          <w:sz w:val="24"/>
          <w:szCs w:val="24"/>
          <w:shd w:val="clear" w:color="auto" w:fill="FFFFFF"/>
        </w:rPr>
        <w:t>Turner, A.L. and Valencia, E.O., 2019. </w:t>
      </w:r>
      <w:r w:rsidRPr="00BF6440">
        <w:rPr>
          <w:rFonts w:ascii="Arial" w:hAnsi="Arial" w:cs="Arial"/>
          <w:i/>
          <w:iCs/>
          <w:color w:val="222222"/>
          <w:sz w:val="24"/>
          <w:szCs w:val="24"/>
          <w:shd w:val="clear" w:color="auto" w:fill="FFFFFF"/>
        </w:rPr>
        <w:t>Challenges in the Employee Knowledge Transfer Lifecycle: A Knowledge Management Perspective</w:t>
      </w:r>
      <w:r w:rsidRPr="00BF6440">
        <w:rPr>
          <w:rFonts w:ascii="Arial" w:hAnsi="Arial" w:cs="Arial"/>
          <w:color w:val="222222"/>
          <w:sz w:val="24"/>
          <w:szCs w:val="24"/>
          <w:shd w:val="clear" w:color="auto" w:fill="FFFFFF"/>
        </w:rPr>
        <w:t> (No. LA-UR-19-25052). Los Alamos National Lab.(LANL), Los Alamos, NM (United States).</w:t>
      </w:r>
    </w:p>
    <w:p w:rsidR="0084759F" w:rsidRPr="00BF6440" w:rsidRDefault="000A33D4" w:rsidP="000A33D4">
      <w:pPr>
        <w:spacing w:line="360" w:lineRule="auto"/>
        <w:ind w:left="720" w:hanging="720"/>
        <w:jc w:val="both"/>
        <w:rPr>
          <w:rFonts w:ascii="Arial" w:hAnsi="Arial" w:cs="Arial"/>
          <w:sz w:val="24"/>
          <w:szCs w:val="24"/>
        </w:rPr>
      </w:pPr>
      <w:r w:rsidRPr="00BF6440">
        <w:rPr>
          <w:rFonts w:ascii="Arial" w:hAnsi="Arial" w:cs="Arial"/>
          <w:color w:val="222222"/>
          <w:sz w:val="24"/>
          <w:szCs w:val="24"/>
          <w:shd w:val="clear" w:color="auto" w:fill="FFFFFF"/>
        </w:rPr>
        <w:t>Roziq, M., Reawaroe, H.P. and Rosyidi, A.I., 2021. Investment Perspectives in Human Resources Management and Its Contribution on Organizational Performance and Competitive Advantages. </w:t>
      </w:r>
      <w:r w:rsidRPr="00BF6440">
        <w:rPr>
          <w:rFonts w:ascii="Arial" w:hAnsi="Arial" w:cs="Arial"/>
          <w:i/>
          <w:iCs/>
          <w:color w:val="222222"/>
          <w:sz w:val="24"/>
          <w:szCs w:val="24"/>
          <w:shd w:val="clear" w:color="auto" w:fill="FFFFFF"/>
        </w:rPr>
        <w:t>Journal of Management and Leadership</w:t>
      </w:r>
      <w:r w:rsidRPr="00BF6440">
        <w:rPr>
          <w:rFonts w:ascii="Arial" w:hAnsi="Arial" w:cs="Arial"/>
          <w:color w:val="222222"/>
          <w:sz w:val="24"/>
          <w:szCs w:val="24"/>
          <w:shd w:val="clear" w:color="auto" w:fill="FFFFFF"/>
        </w:rPr>
        <w:t>, </w:t>
      </w:r>
      <w:r w:rsidRPr="00BF6440">
        <w:rPr>
          <w:rFonts w:ascii="Arial" w:hAnsi="Arial" w:cs="Arial"/>
          <w:i/>
          <w:iCs/>
          <w:color w:val="222222"/>
          <w:sz w:val="24"/>
          <w:szCs w:val="24"/>
          <w:shd w:val="clear" w:color="auto" w:fill="FFFFFF"/>
        </w:rPr>
        <w:t>4</w:t>
      </w:r>
      <w:r w:rsidRPr="00BF6440">
        <w:rPr>
          <w:rFonts w:ascii="Arial" w:hAnsi="Arial" w:cs="Arial"/>
          <w:color w:val="222222"/>
          <w:sz w:val="24"/>
          <w:szCs w:val="24"/>
          <w:shd w:val="clear" w:color="auto" w:fill="FFFFFF"/>
        </w:rPr>
        <w:t>(1), pp.1-13.</w:t>
      </w:r>
    </w:p>
    <w:p w:rsidR="001E677E"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Kumar, N. and Pandey, S., 2017. New employee onboarding process in an organization. </w:t>
      </w:r>
      <w:r w:rsidRPr="00BF6440">
        <w:rPr>
          <w:rFonts w:ascii="Arial" w:hAnsi="Arial" w:cs="Arial"/>
          <w:i/>
          <w:iCs/>
          <w:sz w:val="24"/>
          <w:szCs w:val="24"/>
          <w:shd w:val="clear" w:color="auto" w:fill="FFFFFF"/>
        </w:rPr>
        <w:t>International Journal of Engineering Development and Research</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5</w:t>
      </w:r>
      <w:r w:rsidRPr="00BF6440">
        <w:rPr>
          <w:rFonts w:ascii="Arial" w:hAnsi="Arial" w:cs="Arial"/>
          <w:sz w:val="24"/>
          <w:szCs w:val="24"/>
          <w:shd w:val="clear" w:color="auto" w:fill="FFFFFF"/>
        </w:rPr>
        <w:t>(1), pp.198-206.</w:t>
      </w:r>
    </w:p>
    <w:p w:rsidR="00081BEC"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 xml:space="preserve">Venkatesan, R., 2017. Executing a customer engagement strategy. </w:t>
      </w:r>
      <w:r w:rsidRPr="00BF6440">
        <w:rPr>
          <w:rFonts w:ascii="Arial" w:hAnsi="Arial" w:cs="Arial"/>
          <w:i/>
          <w:iCs/>
          <w:sz w:val="24"/>
          <w:szCs w:val="24"/>
          <w:shd w:val="clear" w:color="auto" w:fill="FFFFFF"/>
        </w:rPr>
        <w:t>Journal of the Academy of Marketing Science</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45</w:t>
      </w:r>
      <w:r w:rsidRPr="00BF6440">
        <w:rPr>
          <w:rFonts w:ascii="Arial" w:hAnsi="Arial" w:cs="Arial"/>
          <w:sz w:val="24"/>
          <w:szCs w:val="24"/>
          <w:shd w:val="clear" w:color="auto" w:fill="FFFFFF"/>
        </w:rPr>
        <w:t>(3), pp.289-293.</w:t>
      </w:r>
    </w:p>
    <w:p w:rsidR="00081BEC" w:rsidRPr="00BF6440" w:rsidRDefault="000A33D4" w:rsidP="000A33D4">
      <w:pPr>
        <w:spacing w:line="360" w:lineRule="auto"/>
        <w:ind w:left="720" w:hanging="720"/>
        <w:jc w:val="both"/>
        <w:rPr>
          <w:rFonts w:ascii="Arial" w:hAnsi="Arial" w:cs="Arial"/>
          <w:sz w:val="24"/>
          <w:szCs w:val="24"/>
        </w:rPr>
      </w:pPr>
      <w:r w:rsidRPr="00BF6440">
        <w:rPr>
          <w:rFonts w:ascii="Arial" w:hAnsi="Arial" w:cs="Arial"/>
          <w:sz w:val="24"/>
          <w:szCs w:val="24"/>
          <w:shd w:val="clear" w:color="auto" w:fill="FFFFFF"/>
        </w:rPr>
        <w:t>Zurdo, J., Arnell, A., Obrezanova, O., Smith, N., Gómez de la Cuesta, R., Gallagher, T.R., Michael, R., Stallwood, Y., Ekblad, C., Abrahmsén, L. and Höidén-Guthenberg, I., 2015. Early implementation of QbD in biopharmaceutical development: a practical example. </w:t>
      </w:r>
      <w:r w:rsidRPr="00BF6440">
        <w:rPr>
          <w:rFonts w:ascii="Arial" w:hAnsi="Arial" w:cs="Arial"/>
          <w:i/>
          <w:iCs/>
          <w:sz w:val="24"/>
          <w:szCs w:val="24"/>
          <w:shd w:val="clear" w:color="auto" w:fill="FFFFFF"/>
        </w:rPr>
        <w:t>BioMed Research International</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2015</w:t>
      </w:r>
      <w:r w:rsidRPr="00BF6440">
        <w:rPr>
          <w:rFonts w:ascii="Arial" w:hAnsi="Arial" w:cs="Arial"/>
          <w:sz w:val="24"/>
          <w:szCs w:val="24"/>
          <w:shd w:val="clear" w:color="auto" w:fill="FFFFFF"/>
        </w:rPr>
        <w:t>.</w:t>
      </w:r>
    </w:p>
    <w:p w:rsidR="00F6119D"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Scott, C.P., Dieguez, T.A., Deepak, P., Gu, S. and Wildman, J.L., 2022. Onboarding during COVID-19: Create structure, connect people, and continue adapting. </w:t>
      </w:r>
      <w:r w:rsidRPr="00BF6440">
        <w:rPr>
          <w:rFonts w:ascii="Arial" w:hAnsi="Arial" w:cs="Arial"/>
          <w:i/>
          <w:iCs/>
          <w:sz w:val="24"/>
          <w:szCs w:val="24"/>
          <w:shd w:val="clear" w:color="auto" w:fill="FFFFFF"/>
        </w:rPr>
        <w:t>Organizational Dynamics</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51</w:t>
      </w:r>
      <w:r w:rsidRPr="00BF6440">
        <w:rPr>
          <w:rFonts w:ascii="Arial" w:hAnsi="Arial" w:cs="Arial"/>
          <w:sz w:val="24"/>
          <w:szCs w:val="24"/>
          <w:shd w:val="clear" w:color="auto" w:fill="FFFFFF"/>
        </w:rPr>
        <w:t>(2), p.100828.</w:t>
      </w:r>
    </w:p>
    <w:p w:rsidR="0065470A"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 xml:space="preserve">Ma, Q.K., Mayfield, M. and Mayfield, J., 2018. Keep them onboard! How organizations can develop employee embeddedness to increase employee retention. </w:t>
      </w:r>
      <w:r w:rsidRPr="00BF6440">
        <w:rPr>
          <w:rFonts w:ascii="Arial" w:hAnsi="Arial" w:cs="Arial"/>
          <w:i/>
          <w:iCs/>
          <w:sz w:val="24"/>
          <w:szCs w:val="24"/>
          <w:shd w:val="clear" w:color="auto" w:fill="FFFFFF"/>
        </w:rPr>
        <w:t>Development and Learning in Organizations: An International Journal</w:t>
      </w:r>
      <w:r w:rsidRPr="00BF6440">
        <w:rPr>
          <w:rFonts w:ascii="Arial" w:hAnsi="Arial" w:cs="Arial"/>
          <w:sz w:val="24"/>
          <w:szCs w:val="24"/>
          <w:shd w:val="clear" w:color="auto" w:fill="FFFFFF"/>
        </w:rPr>
        <w:t>.</w:t>
      </w:r>
    </w:p>
    <w:p w:rsidR="00613D10"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KWAMBOKA, N.E., 2016. </w:t>
      </w:r>
      <w:r w:rsidRPr="00BF6440">
        <w:rPr>
          <w:rFonts w:ascii="Arial" w:hAnsi="Arial" w:cs="Arial"/>
          <w:i/>
          <w:iCs/>
          <w:sz w:val="24"/>
          <w:szCs w:val="24"/>
          <w:shd w:val="clear" w:color="auto" w:fill="FFFFFF"/>
        </w:rPr>
        <w:t>EFFECTS OF EMPLOYEE SEPARATION STRATEGIES ON ORGANIZATIONAL PERFORMANCE OF FLOUR MILLING FIRMS IN UASIN GISHU COUNTY, KENYA</w:t>
      </w:r>
      <w:r w:rsidRPr="00BF6440">
        <w:rPr>
          <w:rFonts w:ascii="Arial" w:hAnsi="Arial" w:cs="Arial"/>
          <w:sz w:val="24"/>
          <w:szCs w:val="24"/>
          <w:shd w:val="clear" w:color="auto" w:fill="FFFFFF"/>
        </w:rPr>
        <w:t> (Doctoral dissertation, University of Eldoret).</w:t>
      </w:r>
    </w:p>
    <w:p w:rsidR="00613D10"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lastRenderedPageBreak/>
        <w:t>Gathiira, G., Muathe, S. and Kilika, J., 2020. Mediating Role of Employee Decision on Relationship Between Employee Separation Planning and Retirement Preparedness in Kenya. </w:t>
      </w:r>
      <w:r w:rsidRPr="00BF6440">
        <w:rPr>
          <w:rFonts w:ascii="Arial" w:hAnsi="Arial" w:cs="Arial"/>
          <w:i/>
          <w:iCs/>
          <w:sz w:val="24"/>
          <w:szCs w:val="24"/>
          <w:shd w:val="clear" w:color="auto" w:fill="FFFFFF"/>
        </w:rPr>
        <w:t>International Journal of Business Administration</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11</w:t>
      </w:r>
      <w:r w:rsidRPr="00BF6440">
        <w:rPr>
          <w:rFonts w:ascii="Arial" w:hAnsi="Arial" w:cs="Arial"/>
          <w:sz w:val="24"/>
          <w:szCs w:val="24"/>
          <w:shd w:val="clear" w:color="auto" w:fill="FFFFFF"/>
        </w:rPr>
        <w:t>(4), p.82.</w:t>
      </w:r>
    </w:p>
    <w:p w:rsidR="0065470A" w:rsidRPr="00BF6440" w:rsidRDefault="000A33D4" w:rsidP="000A33D4">
      <w:pPr>
        <w:spacing w:line="360" w:lineRule="auto"/>
        <w:ind w:left="720" w:hanging="720"/>
        <w:jc w:val="both"/>
        <w:rPr>
          <w:rFonts w:ascii="Arial" w:hAnsi="Arial" w:cs="Arial"/>
          <w:sz w:val="24"/>
          <w:szCs w:val="24"/>
        </w:rPr>
      </w:pPr>
      <w:r w:rsidRPr="00BF6440">
        <w:rPr>
          <w:rFonts w:ascii="Arial" w:hAnsi="Arial" w:cs="Arial"/>
          <w:sz w:val="24"/>
          <w:szCs w:val="24"/>
          <w:shd w:val="clear" w:color="auto" w:fill="FFFFFF"/>
        </w:rPr>
        <w:t>Covella, G., McCarthy, V., Kaifi, B. and Cocoran, D., 2017. Leadership’s role in employee retention. </w:t>
      </w:r>
      <w:r w:rsidRPr="00BF6440">
        <w:rPr>
          <w:rFonts w:ascii="Arial" w:hAnsi="Arial" w:cs="Arial"/>
          <w:i/>
          <w:iCs/>
          <w:sz w:val="24"/>
          <w:szCs w:val="24"/>
          <w:shd w:val="clear" w:color="auto" w:fill="FFFFFF"/>
        </w:rPr>
        <w:t>Business Management Dynamics</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7</w:t>
      </w:r>
      <w:r w:rsidRPr="00BF6440">
        <w:rPr>
          <w:rFonts w:ascii="Arial" w:hAnsi="Arial" w:cs="Arial"/>
          <w:sz w:val="24"/>
          <w:szCs w:val="24"/>
          <w:shd w:val="clear" w:color="auto" w:fill="FFFFFF"/>
        </w:rPr>
        <w:t>(5), pp.1-15.</w:t>
      </w:r>
    </w:p>
    <w:p w:rsidR="00182763"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Di Vaio, A., Palladino, R., Hassan, R. and Alvino, F., 2020. Human resources disclosure in the EU Directive 2014/95/EU perspective: A systematic literature review. </w:t>
      </w:r>
      <w:r w:rsidRPr="00BF6440">
        <w:rPr>
          <w:rFonts w:ascii="Arial" w:hAnsi="Arial" w:cs="Arial"/>
          <w:i/>
          <w:iCs/>
          <w:sz w:val="24"/>
          <w:szCs w:val="24"/>
          <w:shd w:val="clear" w:color="auto" w:fill="FFFFFF"/>
        </w:rPr>
        <w:t>Journal of Cleaner Production</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257</w:t>
      </w:r>
      <w:r w:rsidRPr="00BF6440">
        <w:rPr>
          <w:rFonts w:ascii="Arial" w:hAnsi="Arial" w:cs="Arial"/>
          <w:sz w:val="24"/>
          <w:szCs w:val="24"/>
          <w:shd w:val="clear" w:color="auto" w:fill="FFFFFF"/>
        </w:rPr>
        <w:t>, p.120509.</w:t>
      </w:r>
    </w:p>
    <w:p w:rsidR="00133926" w:rsidRPr="00BF6440" w:rsidRDefault="000A33D4" w:rsidP="000A33D4">
      <w:pPr>
        <w:spacing w:line="360" w:lineRule="auto"/>
        <w:ind w:left="720" w:hanging="720"/>
        <w:jc w:val="both"/>
        <w:rPr>
          <w:rFonts w:ascii="Arial" w:hAnsi="Arial" w:cs="Arial"/>
          <w:sz w:val="24"/>
          <w:szCs w:val="24"/>
        </w:rPr>
      </w:pPr>
      <w:r w:rsidRPr="00BF6440">
        <w:rPr>
          <w:rFonts w:ascii="Arial" w:hAnsi="Arial" w:cs="Arial"/>
          <w:sz w:val="24"/>
          <w:szCs w:val="24"/>
          <w:shd w:val="clear" w:color="auto" w:fill="FFFFFF"/>
        </w:rPr>
        <w:t xml:space="preserve">Bans-Akutey, A., Abdullahi, A.M. and Afriyie, E.O., 2021. Effect of recruitment and selection practices on organizational strategic goals. </w:t>
      </w:r>
      <w:r w:rsidRPr="00BF6440">
        <w:rPr>
          <w:rFonts w:ascii="Arial" w:hAnsi="Arial" w:cs="Arial"/>
          <w:i/>
          <w:iCs/>
          <w:sz w:val="24"/>
          <w:szCs w:val="24"/>
          <w:shd w:val="clear" w:color="auto" w:fill="FFFFFF"/>
        </w:rPr>
        <w:t>Annals of Management and Organization Research</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3</w:t>
      </w:r>
      <w:r w:rsidRPr="00BF6440">
        <w:rPr>
          <w:rFonts w:ascii="Arial" w:hAnsi="Arial" w:cs="Arial"/>
          <w:sz w:val="24"/>
          <w:szCs w:val="24"/>
          <w:shd w:val="clear" w:color="auto" w:fill="FFFFFF"/>
        </w:rPr>
        <w:t>(1), pp.35-51.</w:t>
      </w:r>
    </w:p>
    <w:p w:rsidR="004A08AB"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Stahl, G.K., Brewster, C.J., Collings, D.G. and Hajro, A., 2020. Enhancing the role of human resource management in corporate sustainability and social responsibility: A multi-stakeholder, multidimensional approach to HRM. </w:t>
      </w:r>
      <w:r w:rsidRPr="00BF6440">
        <w:rPr>
          <w:rFonts w:ascii="Arial" w:hAnsi="Arial" w:cs="Arial"/>
          <w:i/>
          <w:iCs/>
          <w:sz w:val="24"/>
          <w:szCs w:val="24"/>
          <w:shd w:val="clear" w:color="auto" w:fill="FFFFFF"/>
        </w:rPr>
        <w:t>Human Resource Management Review</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30</w:t>
      </w:r>
      <w:r w:rsidRPr="00BF6440">
        <w:rPr>
          <w:rFonts w:ascii="Arial" w:hAnsi="Arial" w:cs="Arial"/>
          <w:sz w:val="24"/>
          <w:szCs w:val="24"/>
          <w:shd w:val="clear" w:color="auto" w:fill="FFFFFF"/>
        </w:rPr>
        <w:t>(3), p.100708.</w:t>
      </w:r>
    </w:p>
    <w:p w:rsidR="00585332" w:rsidRPr="00BF6440" w:rsidRDefault="000A33D4" w:rsidP="000A33D4">
      <w:pPr>
        <w:spacing w:line="360" w:lineRule="auto"/>
        <w:ind w:left="720" w:hanging="720"/>
        <w:jc w:val="both"/>
        <w:rPr>
          <w:rFonts w:ascii="Arial" w:hAnsi="Arial" w:cs="Arial"/>
          <w:sz w:val="24"/>
          <w:szCs w:val="24"/>
        </w:rPr>
      </w:pPr>
      <w:r w:rsidRPr="00BF6440">
        <w:rPr>
          <w:rFonts w:ascii="Arial" w:hAnsi="Arial" w:cs="Arial"/>
          <w:sz w:val="24"/>
          <w:szCs w:val="24"/>
        </w:rPr>
        <w:t>Sadri, S. and Singh. M. G. B., 2014. Employee Engagement for Better Team Work. International Journal of Research and Scientific Innovation (IJRSI) ISSN: 2321 – 2705.</w:t>
      </w:r>
    </w:p>
    <w:p w:rsidR="00E26F7B"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Sato, Y., Kobayashi, N. and Shirasaka, S., 2020. An analysis of human resource management for knowledge workers: Using the three axes of target employee, lifecycle stage, and human resource flow. </w:t>
      </w:r>
      <w:r w:rsidRPr="00BF6440">
        <w:rPr>
          <w:rFonts w:ascii="Arial" w:hAnsi="Arial" w:cs="Arial"/>
          <w:i/>
          <w:iCs/>
          <w:sz w:val="24"/>
          <w:szCs w:val="24"/>
          <w:shd w:val="clear" w:color="auto" w:fill="FFFFFF"/>
        </w:rPr>
        <w:t>Review of Integrative Business and Economics Research</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9</w:t>
      </w:r>
      <w:r w:rsidRPr="00BF6440">
        <w:rPr>
          <w:rFonts w:ascii="Arial" w:hAnsi="Arial" w:cs="Arial"/>
          <w:sz w:val="24"/>
          <w:szCs w:val="24"/>
          <w:shd w:val="clear" w:color="auto" w:fill="FFFFFF"/>
        </w:rPr>
        <w:t>(1), pp.140-156.</w:t>
      </w:r>
    </w:p>
    <w:p w:rsidR="00544670"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color w:val="222222"/>
          <w:sz w:val="24"/>
          <w:szCs w:val="24"/>
          <w:shd w:val="clear" w:color="auto" w:fill="FFFFFF"/>
        </w:rPr>
        <w:t xml:space="preserve">MANDHANYA, Y., 2015. A STUDY OF IMPACT OF WORKING ENVIRONMENT ON RETENTION OF EMPLOYEES (With particular reference to the Automobile sector). </w:t>
      </w:r>
      <w:r w:rsidRPr="00BF6440">
        <w:rPr>
          <w:rFonts w:ascii="Arial" w:hAnsi="Arial" w:cs="Arial"/>
          <w:i/>
          <w:iCs/>
          <w:color w:val="222222"/>
          <w:sz w:val="24"/>
          <w:szCs w:val="24"/>
          <w:shd w:val="clear" w:color="auto" w:fill="FFFFFF"/>
        </w:rPr>
        <w:t>Global Management Review</w:t>
      </w:r>
      <w:r w:rsidRPr="00BF6440">
        <w:rPr>
          <w:rFonts w:ascii="Arial" w:hAnsi="Arial" w:cs="Arial"/>
          <w:color w:val="222222"/>
          <w:sz w:val="24"/>
          <w:szCs w:val="24"/>
          <w:shd w:val="clear" w:color="auto" w:fill="FFFFFF"/>
        </w:rPr>
        <w:t>, </w:t>
      </w:r>
      <w:r w:rsidRPr="00BF6440">
        <w:rPr>
          <w:rFonts w:ascii="Arial" w:hAnsi="Arial" w:cs="Arial"/>
          <w:i/>
          <w:iCs/>
          <w:color w:val="222222"/>
          <w:sz w:val="24"/>
          <w:szCs w:val="24"/>
          <w:shd w:val="clear" w:color="auto" w:fill="FFFFFF"/>
        </w:rPr>
        <w:t>9</w:t>
      </w:r>
      <w:r w:rsidRPr="00BF6440">
        <w:rPr>
          <w:rFonts w:ascii="Arial" w:hAnsi="Arial" w:cs="Arial"/>
          <w:color w:val="222222"/>
          <w:sz w:val="24"/>
          <w:szCs w:val="24"/>
          <w:shd w:val="clear" w:color="auto" w:fill="FFFFFF"/>
        </w:rPr>
        <w:t>(4).</w:t>
      </w:r>
    </w:p>
    <w:p w:rsidR="00DC2591"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lastRenderedPageBreak/>
        <w:t>Amarakoon, U. and Colley, L., 2022. Attraction and retention of employees in an Australian regional SME: the importance of place and scale in human resource management. </w:t>
      </w:r>
      <w:r w:rsidRPr="00BF6440">
        <w:rPr>
          <w:rFonts w:ascii="Arial" w:hAnsi="Arial" w:cs="Arial"/>
          <w:i/>
          <w:iCs/>
          <w:sz w:val="24"/>
          <w:szCs w:val="24"/>
          <w:shd w:val="clear" w:color="auto" w:fill="FFFFFF"/>
        </w:rPr>
        <w:t>Personnel Review</w:t>
      </w:r>
      <w:r w:rsidRPr="00BF6440">
        <w:rPr>
          <w:rFonts w:ascii="Arial" w:hAnsi="Arial" w:cs="Arial"/>
          <w:sz w:val="24"/>
          <w:szCs w:val="24"/>
          <w:shd w:val="clear" w:color="auto" w:fill="FFFFFF"/>
        </w:rPr>
        <w:t>.</w:t>
      </w:r>
    </w:p>
    <w:p w:rsidR="005A266B" w:rsidRPr="00BF6440" w:rsidRDefault="000A33D4" w:rsidP="000A33D4">
      <w:pPr>
        <w:spacing w:line="360" w:lineRule="auto"/>
        <w:ind w:left="720" w:hanging="720"/>
        <w:jc w:val="both"/>
        <w:rPr>
          <w:rFonts w:ascii="Arial" w:hAnsi="Arial" w:cs="Arial"/>
          <w:sz w:val="24"/>
          <w:szCs w:val="24"/>
          <w:shd w:val="clear" w:color="auto" w:fill="FFFFFF"/>
        </w:rPr>
      </w:pPr>
      <w:r w:rsidRPr="00BF6440">
        <w:rPr>
          <w:rFonts w:ascii="Arial" w:hAnsi="Arial" w:cs="Arial"/>
          <w:sz w:val="24"/>
          <w:szCs w:val="24"/>
          <w:shd w:val="clear" w:color="auto" w:fill="FFFFFF"/>
        </w:rPr>
        <w:t>Oaya, Z.C.T., Ogbu, J. and Remilekun, G., 2017. Impact of recruitment and selection strategy on employees performance: A study of three selected manufacturing companies in Nigeria. </w:t>
      </w:r>
      <w:r w:rsidRPr="00BF6440">
        <w:rPr>
          <w:rFonts w:ascii="Arial" w:hAnsi="Arial" w:cs="Arial"/>
          <w:i/>
          <w:iCs/>
          <w:sz w:val="24"/>
          <w:szCs w:val="24"/>
          <w:shd w:val="clear" w:color="auto" w:fill="FFFFFF"/>
        </w:rPr>
        <w:t>International Journal of Innovation and Economic Development</w:t>
      </w:r>
      <w:r w:rsidRPr="00BF6440">
        <w:rPr>
          <w:rFonts w:ascii="Arial" w:hAnsi="Arial" w:cs="Arial"/>
          <w:sz w:val="24"/>
          <w:szCs w:val="24"/>
          <w:shd w:val="clear" w:color="auto" w:fill="FFFFFF"/>
        </w:rPr>
        <w:t>, </w:t>
      </w:r>
      <w:r w:rsidRPr="00BF6440">
        <w:rPr>
          <w:rFonts w:ascii="Arial" w:hAnsi="Arial" w:cs="Arial"/>
          <w:i/>
          <w:iCs/>
          <w:sz w:val="24"/>
          <w:szCs w:val="24"/>
          <w:shd w:val="clear" w:color="auto" w:fill="FFFFFF"/>
        </w:rPr>
        <w:t>3</w:t>
      </w:r>
      <w:r w:rsidRPr="00BF6440">
        <w:rPr>
          <w:rFonts w:ascii="Arial" w:hAnsi="Arial" w:cs="Arial"/>
          <w:sz w:val="24"/>
          <w:szCs w:val="24"/>
          <w:shd w:val="clear" w:color="auto" w:fill="FFFFFF"/>
        </w:rPr>
        <w:t>(3), pp.32-42.</w:t>
      </w:r>
    </w:p>
    <w:p w:rsidR="002521A7" w:rsidRPr="00BF6440" w:rsidRDefault="000A33D4" w:rsidP="000A33D4">
      <w:pPr>
        <w:spacing w:line="360" w:lineRule="auto"/>
        <w:ind w:left="720" w:hanging="720"/>
        <w:jc w:val="both"/>
        <w:rPr>
          <w:rFonts w:ascii="Arial" w:hAnsi="Arial" w:cs="Arial"/>
          <w:color w:val="222222"/>
          <w:sz w:val="24"/>
          <w:szCs w:val="24"/>
          <w:shd w:val="clear" w:color="auto" w:fill="FFFFFF"/>
        </w:rPr>
      </w:pPr>
      <w:r w:rsidRPr="00BF6440">
        <w:rPr>
          <w:rFonts w:ascii="Arial" w:hAnsi="Arial" w:cs="Arial"/>
          <w:color w:val="222222"/>
          <w:sz w:val="24"/>
          <w:szCs w:val="24"/>
          <w:shd w:val="clear" w:color="auto" w:fill="FFFFFF"/>
        </w:rPr>
        <w:t>Cattermole, G., 2019. Developing the employee lifecycle to keep top talent. </w:t>
      </w:r>
      <w:r w:rsidRPr="00BF6440">
        <w:rPr>
          <w:rFonts w:ascii="Arial" w:hAnsi="Arial" w:cs="Arial"/>
          <w:i/>
          <w:iCs/>
          <w:color w:val="222222"/>
          <w:sz w:val="24"/>
          <w:szCs w:val="24"/>
          <w:shd w:val="clear" w:color="auto" w:fill="FFFFFF"/>
        </w:rPr>
        <w:t>Strategic HR review</w:t>
      </w:r>
      <w:r w:rsidRPr="00BF6440">
        <w:rPr>
          <w:rFonts w:ascii="Arial" w:hAnsi="Arial" w:cs="Arial"/>
          <w:color w:val="222222"/>
          <w:sz w:val="24"/>
          <w:szCs w:val="24"/>
          <w:shd w:val="clear" w:color="auto" w:fill="FFFFFF"/>
        </w:rPr>
        <w:t>.</w:t>
      </w:r>
    </w:p>
    <w:p w:rsidR="004D14A1" w:rsidRPr="00BF6440" w:rsidRDefault="000A33D4" w:rsidP="000A33D4">
      <w:pPr>
        <w:spacing w:line="360" w:lineRule="auto"/>
        <w:ind w:left="720" w:hanging="720"/>
        <w:jc w:val="both"/>
        <w:rPr>
          <w:rFonts w:ascii="Arial" w:hAnsi="Arial" w:cs="Arial"/>
          <w:color w:val="222222"/>
          <w:sz w:val="24"/>
          <w:szCs w:val="24"/>
          <w:shd w:val="clear" w:color="auto" w:fill="FFFFFF"/>
        </w:rPr>
      </w:pPr>
      <w:r w:rsidRPr="00BF6440">
        <w:rPr>
          <w:rFonts w:ascii="Arial" w:hAnsi="Arial" w:cs="Arial"/>
          <w:color w:val="222222"/>
          <w:sz w:val="24"/>
          <w:szCs w:val="24"/>
          <w:shd w:val="clear" w:color="auto" w:fill="FFFFFF"/>
        </w:rPr>
        <w:t>Snell, S. and Morris, S., 2018. </w:t>
      </w:r>
      <w:r w:rsidRPr="00BF6440">
        <w:rPr>
          <w:rFonts w:ascii="Arial" w:hAnsi="Arial" w:cs="Arial"/>
          <w:i/>
          <w:iCs/>
          <w:color w:val="222222"/>
          <w:sz w:val="24"/>
          <w:szCs w:val="24"/>
          <w:shd w:val="clear" w:color="auto" w:fill="FFFFFF"/>
        </w:rPr>
        <w:t>Managing human resources</w:t>
      </w:r>
      <w:r w:rsidRPr="00BF6440">
        <w:rPr>
          <w:rFonts w:ascii="Arial" w:hAnsi="Arial" w:cs="Arial"/>
          <w:color w:val="222222"/>
          <w:sz w:val="24"/>
          <w:szCs w:val="24"/>
          <w:shd w:val="clear" w:color="auto" w:fill="FFFFFF"/>
        </w:rPr>
        <w:t>. Cengage Learning.</w:t>
      </w:r>
    </w:p>
    <w:p w:rsidR="004D14A1" w:rsidRPr="00BF6440" w:rsidRDefault="000A33D4" w:rsidP="000A33D4">
      <w:pPr>
        <w:spacing w:line="360" w:lineRule="auto"/>
        <w:ind w:left="720" w:hanging="720"/>
        <w:jc w:val="both"/>
        <w:rPr>
          <w:rFonts w:ascii="Arial" w:hAnsi="Arial" w:cs="Arial"/>
          <w:color w:val="222222"/>
          <w:sz w:val="24"/>
          <w:szCs w:val="24"/>
          <w:shd w:val="clear" w:color="auto" w:fill="FFFFFF"/>
        </w:rPr>
      </w:pPr>
      <w:r w:rsidRPr="00BF6440">
        <w:rPr>
          <w:rFonts w:ascii="Arial" w:hAnsi="Arial" w:cs="Arial"/>
          <w:color w:val="222222"/>
          <w:sz w:val="24"/>
          <w:szCs w:val="24"/>
          <w:shd w:val="clear" w:color="auto" w:fill="FFFFFF"/>
        </w:rPr>
        <w:t>Gherman, R., Brad, I. and Dincu, A.M., 2016. The role and importance of human resources in organizations. </w:t>
      </w:r>
      <w:r w:rsidRPr="00BF6440">
        <w:rPr>
          <w:rFonts w:ascii="Arial" w:hAnsi="Arial" w:cs="Arial"/>
          <w:i/>
          <w:iCs/>
          <w:color w:val="222222"/>
          <w:sz w:val="24"/>
          <w:szCs w:val="24"/>
          <w:shd w:val="clear" w:color="auto" w:fill="FFFFFF"/>
        </w:rPr>
        <w:t>Lucrări Științifice Management Agricol</w:t>
      </w:r>
      <w:r w:rsidRPr="00BF6440">
        <w:rPr>
          <w:rFonts w:ascii="Arial" w:hAnsi="Arial" w:cs="Arial"/>
          <w:color w:val="222222"/>
          <w:sz w:val="24"/>
          <w:szCs w:val="24"/>
          <w:shd w:val="clear" w:color="auto" w:fill="FFFFFF"/>
        </w:rPr>
        <w:t>, </w:t>
      </w:r>
      <w:r w:rsidRPr="00BF6440">
        <w:rPr>
          <w:rFonts w:ascii="Arial" w:hAnsi="Arial" w:cs="Arial"/>
          <w:i/>
          <w:iCs/>
          <w:color w:val="222222"/>
          <w:sz w:val="24"/>
          <w:szCs w:val="24"/>
          <w:shd w:val="clear" w:color="auto" w:fill="FFFFFF"/>
        </w:rPr>
        <w:t>18</w:t>
      </w:r>
      <w:r w:rsidRPr="00BF6440">
        <w:rPr>
          <w:rFonts w:ascii="Arial" w:hAnsi="Arial" w:cs="Arial"/>
          <w:color w:val="222222"/>
          <w:sz w:val="24"/>
          <w:szCs w:val="24"/>
          <w:shd w:val="clear" w:color="auto" w:fill="FFFFFF"/>
        </w:rPr>
        <w:t>(2), p.63.</w:t>
      </w:r>
    </w:p>
    <w:p w:rsidR="007B007B" w:rsidRPr="0098426A" w:rsidRDefault="007B007B" w:rsidP="0098426A">
      <w:pPr>
        <w:spacing w:line="360" w:lineRule="auto"/>
        <w:jc w:val="both"/>
        <w:rPr>
          <w:rFonts w:ascii="Arial" w:hAnsi="Arial" w:cs="Arial"/>
          <w:sz w:val="24"/>
          <w:szCs w:val="24"/>
          <w:shd w:val="clear" w:color="auto" w:fill="FFFFFF"/>
        </w:rPr>
      </w:pPr>
    </w:p>
    <w:sectPr w:rsidR="007B007B" w:rsidRPr="009842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D0C11"/>
    <w:multiLevelType w:val="hybridMultilevel"/>
    <w:tmpl w:val="E70C56D6"/>
    <w:lvl w:ilvl="0" w:tplc="F7E80DA4">
      <w:start w:val="1"/>
      <w:numFmt w:val="decimal"/>
      <w:lvlText w:val="1.1%1"/>
      <w:lvlJc w:val="left"/>
      <w:pPr>
        <w:ind w:left="720" w:hanging="360"/>
      </w:pPr>
      <w:rPr>
        <w:rFonts w:ascii="Times New Roman" w:hAnsi="Times New Roman" w:hint="default"/>
      </w:rPr>
    </w:lvl>
    <w:lvl w:ilvl="1" w:tplc="C38431F0" w:tentative="1">
      <w:start w:val="1"/>
      <w:numFmt w:val="lowerLetter"/>
      <w:lvlText w:val="%2."/>
      <w:lvlJc w:val="left"/>
      <w:pPr>
        <w:ind w:left="1440" w:hanging="360"/>
      </w:pPr>
    </w:lvl>
    <w:lvl w:ilvl="2" w:tplc="461ABD40" w:tentative="1">
      <w:start w:val="1"/>
      <w:numFmt w:val="lowerRoman"/>
      <w:lvlText w:val="%3."/>
      <w:lvlJc w:val="right"/>
      <w:pPr>
        <w:ind w:left="2160" w:hanging="180"/>
      </w:pPr>
    </w:lvl>
    <w:lvl w:ilvl="3" w:tplc="F440BF7E" w:tentative="1">
      <w:start w:val="1"/>
      <w:numFmt w:val="decimal"/>
      <w:lvlText w:val="%4."/>
      <w:lvlJc w:val="left"/>
      <w:pPr>
        <w:ind w:left="2880" w:hanging="360"/>
      </w:pPr>
    </w:lvl>
    <w:lvl w:ilvl="4" w:tplc="E960A558" w:tentative="1">
      <w:start w:val="1"/>
      <w:numFmt w:val="lowerLetter"/>
      <w:lvlText w:val="%5."/>
      <w:lvlJc w:val="left"/>
      <w:pPr>
        <w:ind w:left="3600" w:hanging="360"/>
      </w:pPr>
    </w:lvl>
    <w:lvl w:ilvl="5" w:tplc="BB8C5FF2" w:tentative="1">
      <w:start w:val="1"/>
      <w:numFmt w:val="lowerRoman"/>
      <w:lvlText w:val="%6."/>
      <w:lvlJc w:val="right"/>
      <w:pPr>
        <w:ind w:left="4320" w:hanging="180"/>
      </w:pPr>
    </w:lvl>
    <w:lvl w:ilvl="6" w:tplc="55109830" w:tentative="1">
      <w:start w:val="1"/>
      <w:numFmt w:val="decimal"/>
      <w:lvlText w:val="%7."/>
      <w:lvlJc w:val="left"/>
      <w:pPr>
        <w:ind w:left="5040" w:hanging="360"/>
      </w:pPr>
    </w:lvl>
    <w:lvl w:ilvl="7" w:tplc="DB8881B0" w:tentative="1">
      <w:start w:val="1"/>
      <w:numFmt w:val="lowerLetter"/>
      <w:lvlText w:val="%8."/>
      <w:lvlJc w:val="left"/>
      <w:pPr>
        <w:ind w:left="5760" w:hanging="360"/>
      </w:pPr>
    </w:lvl>
    <w:lvl w:ilvl="8" w:tplc="CAC477B2" w:tentative="1">
      <w:start w:val="1"/>
      <w:numFmt w:val="lowerRoman"/>
      <w:lvlText w:val="%9."/>
      <w:lvlJc w:val="right"/>
      <w:pPr>
        <w:ind w:left="6480" w:hanging="180"/>
      </w:pPr>
    </w:lvl>
  </w:abstractNum>
  <w:abstractNum w:abstractNumId="1" w15:restartNumberingAfterBreak="0">
    <w:nsid w:val="668D6C83"/>
    <w:multiLevelType w:val="multilevel"/>
    <w:tmpl w:val="457035D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4E"/>
    <w:rsid w:val="00000575"/>
    <w:rsid w:val="00001A27"/>
    <w:rsid w:val="00014126"/>
    <w:rsid w:val="000301B9"/>
    <w:rsid w:val="00057C8D"/>
    <w:rsid w:val="0006196F"/>
    <w:rsid w:val="00081BEC"/>
    <w:rsid w:val="00091EE6"/>
    <w:rsid w:val="00093E87"/>
    <w:rsid w:val="000A0A96"/>
    <w:rsid w:val="000A33D4"/>
    <w:rsid w:val="000A50FA"/>
    <w:rsid w:val="000A7990"/>
    <w:rsid w:val="000C052A"/>
    <w:rsid w:val="000D539E"/>
    <w:rsid w:val="00102774"/>
    <w:rsid w:val="0010301E"/>
    <w:rsid w:val="001168A1"/>
    <w:rsid w:val="00133926"/>
    <w:rsid w:val="0017221E"/>
    <w:rsid w:val="00173E13"/>
    <w:rsid w:val="00182763"/>
    <w:rsid w:val="00183146"/>
    <w:rsid w:val="00193D18"/>
    <w:rsid w:val="001965D7"/>
    <w:rsid w:val="001A28BB"/>
    <w:rsid w:val="001C519B"/>
    <w:rsid w:val="001E654F"/>
    <w:rsid w:val="001E677E"/>
    <w:rsid w:val="001F48C1"/>
    <w:rsid w:val="00215798"/>
    <w:rsid w:val="0023500B"/>
    <w:rsid w:val="0024198C"/>
    <w:rsid w:val="002440B6"/>
    <w:rsid w:val="00246D5B"/>
    <w:rsid w:val="002521A7"/>
    <w:rsid w:val="00284FA2"/>
    <w:rsid w:val="002A2F2E"/>
    <w:rsid w:val="002D5B54"/>
    <w:rsid w:val="002D774E"/>
    <w:rsid w:val="002E0E9E"/>
    <w:rsid w:val="002E5B30"/>
    <w:rsid w:val="003151D3"/>
    <w:rsid w:val="003627E6"/>
    <w:rsid w:val="00375C5C"/>
    <w:rsid w:val="003762AA"/>
    <w:rsid w:val="00392E2C"/>
    <w:rsid w:val="003A7059"/>
    <w:rsid w:val="003C759A"/>
    <w:rsid w:val="003F02CC"/>
    <w:rsid w:val="003F05D6"/>
    <w:rsid w:val="003F372C"/>
    <w:rsid w:val="00417296"/>
    <w:rsid w:val="00421A73"/>
    <w:rsid w:val="00437CB8"/>
    <w:rsid w:val="00453DB9"/>
    <w:rsid w:val="00457C45"/>
    <w:rsid w:val="004643E9"/>
    <w:rsid w:val="00466144"/>
    <w:rsid w:val="004858B9"/>
    <w:rsid w:val="00495F46"/>
    <w:rsid w:val="004A08AB"/>
    <w:rsid w:val="004A402E"/>
    <w:rsid w:val="004A4C3D"/>
    <w:rsid w:val="004C01BC"/>
    <w:rsid w:val="004C18A0"/>
    <w:rsid w:val="004D14A1"/>
    <w:rsid w:val="004E090C"/>
    <w:rsid w:val="004E13C3"/>
    <w:rsid w:val="004F6F1F"/>
    <w:rsid w:val="005019CF"/>
    <w:rsid w:val="00501BEA"/>
    <w:rsid w:val="00503339"/>
    <w:rsid w:val="0051207D"/>
    <w:rsid w:val="00513DCC"/>
    <w:rsid w:val="005164F1"/>
    <w:rsid w:val="00516C9F"/>
    <w:rsid w:val="00544670"/>
    <w:rsid w:val="00544907"/>
    <w:rsid w:val="00561571"/>
    <w:rsid w:val="00585332"/>
    <w:rsid w:val="0058641F"/>
    <w:rsid w:val="00596B40"/>
    <w:rsid w:val="005A266B"/>
    <w:rsid w:val="005A46A9"/>
    <w:rsid w:val="005A72ED"/>
    <w:rsid w:val="005C4D8F"/>
    <w:rsid w:val="005D4E25"/>
    <w:rsid w:val="005F1C69"/>
    <w:rsid w:val="005F2AEC"/>
    <w:rsid w:val="005F7BF5"/>
    <w:rsid w:val="00602E76"/>
    <w:rsid w:val="006061DE"/>
    <w:rsid w:val="00611B4A"/>
    <w:rsid w:val="00611C1D"/>
    <w:rsid w:val="00613D10"/>
    <w:rsid w:val="00615B20"/>
    <w:rsid w:val="00622B84"/>
    <w:rsid w:val="00635996"/>
    <w:rsid w:val="0065470A"/>
    <w:rsid w:val="006549C8"/>
    <w:rsid w:val="00687FC0"/>
    <w:rsid w:val="00691B8B"/>
    <w:rsid w:val="006A6C77"/>
    <w:rsid w:val="006A7608"/>
    <w:rsid w:val="006B3AF9"/>
    <w:rsid w:val="006B4FE7"/>
    <w:rsid w:val="006C1AD7"/>
    <w:rsid w:val="006D6107"/>
    <w:rsid w:val="006F4F15"/>
    <w:rsid w:val="00702434"/>
    <w:rsid w:val="00716CF0"/>
    <w:rsid w:val="00757931"/>
    <w:rsid w:val="0076143C"/>
    <w:rsid w:val="00763F2B"/>
    <w:rsid w:val="00767D56"/>
    <w:rsid w:val="007737F1"/>
    <w:rsid w:val="00783D68"/>
    <w:rsid w:val="00785A51"/>
    <w:rsid w:val="007B007B"/>
    <w:rsid w:val="007E1B2A"/>
    <w:rsid w:val="007F306C"/>
    <w:rsid w:val="008025F2"/>
    <w:rsid w:val="008076BC"/>
    <w:rsid w:val="00813160"/>
    <w:rsid w:val="0082021B"/>
    <w:rsid w:val="00823B16"/>
    <w:rsid w:val="00830E2A"/>
    <w:rsid w:val="0084759F"/>
    <w:rsid w:val="00852E41"/>
    <w:rsid w:val="008653AF"/>
    <w:rsid w:val="008758E6"/>
    <w:rsid w:val="00877902"/>
    <w:rsid w:val="00880015"/>
    <w:rsid w:val="0088422F"/>
    <w:rsid w:val="008D2561"/>
    <w:rsid w:val="008D68DF"/>
    <w:rsid w:val="008F3545"/>
    <w:rsid w:val="008F46CD"/>
    <w:rsid w:val="00907B31"/>
    <w:rsid w:val="00912697"/>
    <w:rsid w:val="00926F14"/>
    <w:rsid w:val="009333EA"/>
    <w:rsid w:val="00937639"/>
    <w:rsid w:val="0097666D"/>
    <w:rsid w:val="0098426A"/>
    <w:rsid w:val="0098623E"/>
    <w:rsid w:val="00986C84"/>
    <w:rsid w:val="00987871"/>
    <w:rsid w:val="009913DE"/>
    <w:rsid w:val="009A3A4D"/>
    <w:rsid w:val="009C5F5C"/>
    <w:rsid w:val="009D3229"/>
    <w:rsid w:val="00A00ECE"/>
    <w:rsid w:val="00A01303"/>
    <w:rsid w:val="00A21E2E"/>
    <w:rsid w:val="00A43DB7"/>
    <w:rsid w:val="00A71D32"/>
    <w:rsid w:val="00A74134"/>
    <w:rsid w:val="00A743F3"/>
    <w:rsid w:val="00A7741D"/>
    <w:rsid w:val="00A80321"/>
    <w:rsid w:val="00A80A21"/>
    <w:rsid w:val="00A83237"/>
    <w:rsid w:val="00A839DA"/>
    <w:rsid w:val="00AC1F4F"/>
    <w:rsid w:val="00AC7E8A"/>
    <w:rsid w:val="00AF4866"/>
    <w:rsid w:val="00B003B3"/>
    <w:rsid w:val="00B02E95"/>
    <w:rsid w:val="00B30386"/>
    <w:rsid w:val="00B309D8"/>
    <w:rsid w:val="00B32A6E"/>
    <w:rsid w:val="00B3390A"/>
    <w:rsid w:val="00B47889"/>
    <w:rsid w:val="00B867F6"/>
    <w:rsid w:val="00BB68A7"/>
    <w:rsid w:val="00BD4844"/>
    <w:rsid w:val="00BD51FC"/>
    <w:rsid w:val="00BF6440"/>
    <w:rsid w:val="00C03892"/>
    <w:rsid w:val="00C1474A"/>
    <w:rsid w:val="00C43E02"/>
    <w:rsid w:val="00C54482"/>
    <w:rsid w:val="00C819F3"/>
    <w:rsid w:val="00C93AF1"/>
    <w:rsid w:val="00C97F8F"/>
    <w:rsid w:val="00CA190A"/>
    <w:rsid w:val="00CA4035"/>
    <w:rsid w:val="00CB2030"/>
    <w:rsid w:val="00CB27A1"/>
    <w:rsid w:val="00CE2F47"/>
    <w:rsid w:val="00CE60D7"/>
    <w:rsid w:val="00D1251C"/>
    <w:rsid w:val="00D24A19"/>
    <w:rsid w:val="00D364BA"/>
    <w:rsid w:val="00D42992"/>
    <w:rsid w:val="00D42FBC"/>
    <w:rsid w:val="00D6131B"/>
    <w:rsid w:val="00D77446"/>
    <w:rsid w:val="00D928E6"/>
    <w:rsid w:val="00DB3361"/>
    <w:rsid w:val="00DC0E40"/>
    <w:rsid w:val="00DC2591"/>
    <w:rsid w:val="00DD2D9D"/>
    <w:rsid w:val="00DD4858"/>
    <w:rsid w:val="00E0428F"/>
    <w:rsid w:val="00E0595C"/>
    <w:rsid w:val="00E152DA"/>
    <w:rsid w:val="00E20DA3"/>
    <w:rsid w:val="00E212FB"/>
    <w:rsid w:val="00E221B3"/>
    <w:rsid w:val="00E26F7B"/>
    <w:rsid w:val="00E6562B"/>
    <w:rsid w:val="00E70B4E"/>
    <w:rsid w:val="00E73C98"/>
    <w:rsid w:val="00E85762"/>
    <w:rsid w:val="00E90706"/>
    <w:rsid w:val="00E94E74"/>
    <w:rsid w:val="00EB5195"/>
    <w:rsid w:val="00EC4ABF"/>
    <w:rsid w:val="00ED61B1"/>
    <w:rsid w:val="00F17846"/>
    <w:rsid w:val="00F237C5"/>
    <w:rsid w:val="00F23A49"/>
    <w:rsid w:val="00F27940"/>
    <w:rsid w:val="00F3080F"/>
    <w:rsid w:val="00F6119D"/>
    <w:rsid w:val="00F91366"/>
    <w:rsid w:val="00FE3621"/>
    <w:rsid w:val="00FE7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4C087"/>
  <w15:chartTrackingRefBased/>
  <w15:docId w15:val="{9354A361-02F8-420A-A349-3CD60E88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autoRedefine/>
    <w:uiPriority w:val="9"/>
    <w:unhideWhenUsed/>
    <w:qFormat/>
    <w:rsid w:val="00D928E6"/>
    <w:pPr>
      <w:keepNext/>
      <w:keepLines/>
      <w:numPr>
        <w:numId w:val="2"/>
      </w:numPr>
      <w:spacing w:before="40" w:after="0" w:line="276" w:lineRule="auto"/>
      <w:ind w:hanging="360"/>
      <w:outlineLvl w:val="1"/>
    </w:pPr>
    <w:rPr>
      <w:rFonts w:asciiTheme="majorHAnsi" w:eastAsiaTheme="majorEastAsia" w:hAnsiTheme="majorHAnsi"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D928E6"/>
    <w:pPr>
      <w:keepNext/>
      <w:keepLines/>
      <w:spacing w:before="40" w:after="0" w:line="276" w:lineRule="auto"/>
      <w:outlineLvl w:val="2"/>
    </w:pPr>
    <w:rPr>
      <w:rFonts w:asciiTheme="majorHAnsi" w:eastAsiaTheme="majorEastAsia" w:hAnsiTheme="majorHAnsi" w:cstheme="majorBidi"/>
      <w:color w:val="1F4D78"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28E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928E6"/>
    <w:rPr>
      <w:rFonts w:asciiTheme="majorHAnsi" w:eastAsiaTheme="majorEastAsia" w:hAnsiTheme="majorHAnsi" w:cstheme="majorBidi"/>
      <w:color w:val="1F4D78" w:themeColor="accent1" w:themeShade="7F"/>
      <w:sz w:val="24"/>
      <w:szCs w:val="24"/>
    </w:rPr>
  </w:style>
  <w:style w:type="character" w:customStyle="1" w:styleId="surname">
    <w:name w:val="surname"/>
    <w:basedOn w:val="DefaultParagraphFont"/>
    <w:rsid w:val="007B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merald.com/insight/search?q=Gary%20Cattermo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2608</Words>
  <Characters>14867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Agne Venckute (2109197)</cp:lastModifiedBy>
  <cp:revision>2</cp:revision>
  <dcterms:created xsi:type="dcterms:W3CDTF">2022-10-25T11:01:00Z</dcterms:created>
  <dcterms:modified xsi:type="dcterms:W3CDTF">2022-10-25T11:01:00Z</dcterms:modified>
</cp:coreProperties>
</file>