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8CA21" w14:textId="41EFF7C2" w:rsidR="00896392" w:rsidRDefault="003273BC" w:rsidP="003273BC">
      <w:pPr>
        <w:jc w:val="center"/>
        <w:rPr>
          <w:rFonts w:ascii="Calibri" w:hAnsi="Calibri" w:cs="Calibri"/>
          <w:b/>
          <w:bCs/>
          <w:sz w:val="24"/>
          <w:szCs w:val="24"/>
        </w:rPr>
      </w:pPr>
      <w:r w:rsidRPr="003273BC">
        <w:rPr>
          <w:rFonts w:ascii="Calibri" w:hAnsi="Calibri" w:cs="Calibri"/>
          <w:b/>
          <w:bCs/>
          <w:sz w:val="24"/>
          <w:szCs w:val="24"/>
        </w:rPr>
        <w:t>Critical Analysis of the Development and implementation of a Decision-Support Tool in Clinical Community Practice supported by a Patient Acuity Tool</w:t>
      </w:r>
    </w:p>
    <w:p w14:paraId="2E00976F" w14:textId="67BE3B83" w:rsidR="003273BC" w:rsidRDefault="003273BC" w:rsidP="003273BC">
      <w:pPr>
        <w:jc w:val="center"/>
        <w:rPr>
          <w:rFonts w:ascii="Calibri" w:hAnsi="Calibri" w:cs="Calibri"/>
          <w:b/>
          <w:bCs/>
          <w:sz w:val="24"/>
          <w:szCs w:val="24"/>
        </w:rPr>
      </w:pPr>
    </w:p>
    <w:p w14:paraId="41D97134" w14:textId="73DB678E" w:rsidR="003273BC" w:rsidRDefault="003273BC" w:rsidP="003273BC">
      <w:pPr>
        <w:rPr>
          <w:rFonts w:ascii="Calibri" w:hAnsi="Calibri" w:cs="Calibri"/>
          <w:b/>
          <w:bCs/>
          <w:sz w:val="24"/>
          <w:szCs w:val="24"/>
        </w:rPr>
      </w:pPr>
      <w:r w:rsidRPr="000F631C">
        <w:rPr>
          <w:rFonts w:ascii="Calibri" w:hAnsi="Calibri" w:cs="Calibri"/>
          <w:b/>
          <w:bCs/>
          <w:sz w:val="24"/>
          <w:szCs w:val="24"/>
        </w:rPr>
        <w:t>Introduction</w:t>
      </w:r>
    </w:p>
    <w:p w14:paraId="4320AA9F" w14:textId="77777777" w:rsidR="000F631C" w:rsidRPr="000F631C" w:rsidRDefault="000F631C" w:rsidP="003273BC">
      <w:pPr>
        <w:rPr>
          <w:rFonts w:ascii="Calibri" w:hAnsi="Calibri" w:cs="Calibri"/>
          <w:b/>
          <w:bCs/>
          <w:sz w:val="24"/>
          <w:szCs w:val="24"/>
        </w:rPr>
      </w:pPr>
    </w:p>
    <w:p w14:paraId="4DD8A631" w14:textId="16C25A59"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There are One Hundred and Fifty-Nine District Nurse (DN) teams across Wales grouped into localities or clusters within Health Boards (HB) and Trusts. The teams will vary significantly in the geographical topography which in turn will significantly impact the patient demographic and caseload size. The DN Workstream is a collaboration of Senior DN’s representing all HB’s and Trusts which meet monthly to discuss and co-ordinate actions in the development of the evidenced based workforce planning tool for DN</w:t>
      </w:r>
      <w:r w:rsidR="00872296">
        <w:rPr>
          <w:rFonts w:ascii="Calibri" w:hAnsi="Calibri" w:cs="Calibri"/>
          <w:sz w:val="24"/>
          <w:szCs w:val="24"/>
        </w:rPr>
        <w:t xml:space="preserve"> (HEIW, 2023)</w:t>
      </w:r>
      <w:r w:rsidRPr="003273BC">
        <w:rPr>
          <w:rFonts w:ascii="Calibri" w:hAnsi="Calibri" w:cs="Calibri"/>
          <w:sz w:val="24"/>
          <w:szCs w:val="24"/>
        </w:rPr>
        <w:t>. The implementation of the workforce planning tool, known as the Welsh Levels of Care (WLoC), will form a part of the triangulated approach to determine the staffing levels within DN services across Wales as the second duty of the Nurse Staffing Levels (Wales) Act 2016 is extended to DN’s. The triangulation refers to three critical areas of knowledge that help inform the HB and Trusts across Wales calculate the number and skill mix of the staff that are required to meet the needs of the DN patient caseload</w:t>
      </w:r>
      <w:r w:rsidR="00872296">
        <w:rPr>
          <w:rFonts w:ascii="Calibri" w:hAnsi="Calibri" w:cs="Calibri"/>
          <w:sz w:val="24"/>
          <w:szCs w:val="24"/>
        </w:rPr>
        <w:t xml:space="preserve"> (HEIW, 2023)</w:t>
      </w:r>
      <w:r w:rsidRPr="003273BC">
        <w:rPr>
          <w:rFonts w:ascii="Calibri" w:hAnsi="Calibri" w:cs="Calibri"/>
          <w:sz w:val="24"/>
          <w:szCs w:val="24"/>
        </w:rPr>
        <w:t xml:space="preserve">. As depicted in Table 2, it is only when consideration of these three elements, can a clear picture of the requirements be seen, and comparative data be generated. </w:t>
      </w:r>
    </w:p>
    <w:p w14:paraId="555129C2" w14:textId="77777777" w:rsidR="000F631C" w:rsidRDefault="000F631C" w:rsidP="003273BC">
      <w:pPr>
        <w:spacing w:line="480" w:lineRule="auto"/>
        <w:rPr>
          <w:rFonts w:ascii="Calibri" w:hAnsi="Calibri" w:cs="Calibri"/>
          <w:sz w:val="24"/>
          <w:szCs w:val="24"/>
        </w:rPr>
      </w:pPr>
      <w:r>
        <w:rPr>
          <w:rFonts w:ascii="Calibri" w:hAnsi="Calibri" w:cs="Calibri"/>
          <w:noProof/>
          <w:sz w:val="24"/>
          <w:szCs w:val="24"/>
        </w:rPr>
        <w:drawing>
          <wp:inline distT="0" distB="0" distL="0" distR="0" wp14:anchorId="7CBECE88" wp14:editId="7900218E">
            <wp:extent cx="3103245" cy="1938655"/>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3245" cy="1938655"/>
                    </a:xfrm>
                    <a:prstGeom prst="rect">
                      <a:avLst/>
                    </a:prstGeom>
                    <a:noFill/>
                  </pic:spPr>
                </pic:pic>
              </a:graphicData>
            </a:graphic>
          </wp:inline>
        </w:drawing>
      </w:r>
    </w:p>
    <w:p w14:paraId="26129BAB" w14:textId="25BBE39A" w:rsidR="003273BC" w:rsidRPr="003273BC" w:rsidRDefault="000F631C" w:rsidP="003273BC">
      <w:pPr>
        <w:spacing w:line="480" w:lineRule="auto"/>
        <w:rPr>
          <w:rFonts w:ascii="Calibri" w:hAnsi="Calibri" w:cs="Calibri"/>
          <w:sz w:val="24"/>
          <w:szCs w:val="24"/>
        </w:rPr>
      </w:pPr>
      <w:r>
        <w:rPr>
          <w:rFonts w:ascii="Calibri" w:hAnsi="Calibri" w:cs="Calibri"/>
          <w:sz w:val="24"/>
          <w:szCs w:val="24"/>
        </w:rPr>
        <w:lastRenderedPageBreak/>
        <w:t>T</w:t>
      </w:r>
      <w:r w:rsidR="003273BC" w:rsidRPr="003273BC">
        <w:rPr>
          <w:rFonts w:ascii="Calibri" w:hAnsi="Calibri" w:cs="Calibri"/>
          <w:sz w:val="24"/>
          <w:szCs w:val="24"/>
        </w:rPr>
        <w:t>able 1.</w:t>
      </w:r>
    </w:p>
    <w:p w14:paraId="32EABA5A" w14:textId="77777777"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 xml:space="preserve">The WLoC is fundamentally an acuity and dependency tool for use within nursing practice. The rationale behind the establishment of the tool was the development of a common language to be used across all nursing services which would help assist in the articulation of the workloads being experienced. Prior to this may acuity tools has been developed and implemented on a local level to varying success but the adoption of an ‘All </w:t>
      </w:r>
      <w:proofErr w:type="spellStart"/>
      <w:r w:rsidRPr="003273BC">
        <w:rPr>
          <w:rFonts w:ascii="Calibri" w:hAnsi="Calibri" w:cs="Calibri"/>
          <w:sz w:val="24"/>
          <w:szCs w:val="24"/>
        </w:rPr>
        <w:t>Wales’</w:t>
      </w:r>
      <w:proofErr w:type="spellEnd"/>
      <w:r w:rsidRPr="003273BC">
        <w:rPr>
          <w:rFonts w:ascii="Calibri" w:hAnsi="Calibri" w:cs="Calibri"/>
          <w:sz w:val="24"/>
          <w:szCs w:val="24"/>
        </w:rPr>
        <w:t xml:space="preserve"> tool has the benefit of being both globally recognised and providing comparable data regardless of the clinical setting. The table below details the WLoC generic descriptors that have been used across all nursing disciplines (Table 2). </w:t>
      </w:r>
    </w:p>
    <w:p w14:paraId="20A6AE86" w14:textId="77777777" w:rsidR="000F631C" w:rsidRDefault="000F631C" w:rsidP="003273BC">
      <w:pPr>
        <w:spacing w:line="480" w:lineRule="auto"/>
        <w:rPr>
          <w:rFonts w:ascii="Calibri" w:hAnsi="Calibri" w:cs="Calibri"/>
          <w:sz w:val="24"/>
          <w:szCs w:val="24"/>
        </w:rPr>
      </w:pPr>
      <w:r>
        <w:rPr>
          <w:rFonts w:asciiTheme="majorHAnsi" w:hAnsiTheme="majorHAnsi" w:cstheme="majorHAnsi"/>
          <w:b/>
          <w:bCs/>
          <w:noProof/>
          <w:sz w:val="24"/>
          <w:szCs w:val="24"/>
        </w:rPr>
        <w:drawing>
          <wp:inline distT="0" distB="0" distL="0" distR="0" wp14:anchorId="0AAF36B5" wp14:editId="7ED27619">
            <wp:extent cx="3767328" cy="1492300"/>
            <wp:effectExtent l="0" t="0" r="5080" b="0"/>
            <wp:docPr id="2" name="Picture 2" descr="Welsh Levels of Care edition 1.pdf — Mozilla Fire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elsh Levels of Care edition 1.pdf — Mozilla Firefox"/>
                    <pic:cNvPicPr/>
                  </pic:nvPicPr>
                  <pic:blipFill rotWithShape="1">
                    <a:blip r:embed="rId8"/>
                    <a:srcRect l="19946" t="34184" r="23297" b="24055"/>
                    <a:stretch/>
                  </pic:blipFill>
                  <pic:spPr bwMode="auto">
                    <a:xfrm>
                      <a:off x="0" y="0"/>
                      <a:ext cx="3767724" cy="1492457"/>
                    </a:xfrm>
                    <a:prstGeom prst="rect">
                      <a:avLst/>
                    </a:prstGeom>
                    <a:ln>
                      <a:noFill/>
                    </a:ln>
                    <a:extLst>
                      <a:ext uri="{53640926-AAD7-44D8-BBD7-CCE9431645EC}">
                        <a14:shadowObscured xmlns:a14="http://schemas.microsoft.com/office/drawing/2010/main"/>
                      </a:ext>
                    </a:extLst>
                  </pic:spPr>
                </pic:pic>
              </a:graphicData>
            </a:graphic>
          </wp:inline>
        </w:drawing>
      </w:r>
    </w:p>
    <w:p w14:paraId="69644103" w14:textId="49A672CB"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Table 2.</w:t>
      </w:r>
      <w:r w:rsidR="00872296">
        <w:rPr>
          <w:rFonts w:ascii="Calibri" w:hAnsi="Calibri" w:cs="Calibri"/>
          <w:sz w:val="24"/>
          <w:szCs w:val="24"/>
        </w:rPr>
        <w:t xml:space="preserve"> (HEIW. 2023).</w:t>
      </w:r>
    </w:p>
    <w:p w14:paraId="302885C6" w14:textId="77777777"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 xml:space="preserve">Initially developed for use within the acute sectors, work began on expanding the WLoC to the community sector. Alongside the generic signifiers found in the tool, three additional descriptors have been developed to assist the clinical workstreams to agree the remit of each indicator level and to help guide clinical staff in application of the tool. Lay descriptors provide the user with general characteristics of the typical patient at each level of care and the type of care level required. Clinical descriptors provide the user with a description of the type of patient in more detail alongside professional considerations and clinical interventions that would be seen at each level. Nursing Themes give a technical overview </w:t>
      </w:r>
      <w:r w:rsidRPr="003273BC">
        <w:rPr>
          <w:rFonts w:ascii="Calibri" w:hAnsi="Calibri" w:cs="Calibri"/>
          <w:sz w:val="24"/>
          <w:szCs w:val="24"/>
        </w:rPr>
        <w:lastRenderedPageBreak/>
        <w:t xml:space="preserve">and interventions broken down at each level also broken down into Activities of Daily Living (ADL’s). The </w:t>
      </w:r>
      <w:proofErr w:type="gramStart"/>
      <w:r w:rsidRPr="003273BC">
        <w:rPr>
          <w:rFonts w:ascii="Calibri" w:hAnsi="Calibri" w:cs="Calibri"/>
          <w:sz w:val="24"/>
          <w:szCs w:val="24"/>
        </w:rPr>
        <w:t>ADL’s</w:t>
      </w:r>
      <w:proofErr w:type="gramEnd"/>
      <w:r w:rsidRPr="003273BC">
        <w:rPr>
          <w:rFonts w:ascii="Calibri" w:hAnsi="Calibri" w:cs="Calibri"/>
          <w:sz w:val="24"/>
          <w:szCs w:val="24"/>
        </w:rPr>
        <w:t xml:space="preserve"> are a common language within nursing and often used to help breakdown the activities of patients into individual areas which can be evaluated separately but also assist with providing a holistic picture of the patient overall. ADL’s include Personal Care, Nutrition &amp; Hydration, Cognition &amp; Communication for example. These descriptors have a commonality across all service users but can also be highly adapted to the clinical areas that are using the WLoC. </w:t>
      </w:r>
    </w:p>
    <w:p w14:paraId="1DA0CA8F" w14:textId="77777777"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The tool has been widely implemented and validated for use in the acute adult areas but adaptation for the community areas was the last stage. The development of evidence-based quality indicators which reflect the quality in patient care across district nursing services alongside recognising the impact of low staffing on these indicators has been the concern of the District Nursing (DN) Workstream.</w:t>
      </w:r>
    </w:p>
    <w:p w14:paraId="3C878A52" w14:textId="4402B118" w:rsidR="003273BC" w:rsidRPr="003273BC" w:rsidRDefault="003273BC" w:rsidP="003273BC">
      <w:pPr>
        <w:spacing w:line="480" w:lineRule="auto"/>
        <w:rPr>
          <w:rFonts w:ascii="Calibri" w:hAnsi="Calibri" w:cs="Calibri"/>
          <w:sz w:val="24"/>
          <w:szCs w:val="24"/>
        </w:rPr>
      </w:pPr>
      <w:r w:rsidRPr="003273BC">
        <w:rPr>
          <w:rFonts w:ascii="Calibri" w:hAnsi="Calibri" w:cs="Calibri"/>
          <w:sz w:val="24"/>
          <w:szCs w:val="24"/>
        </w:rPr>
        <w:t xml:space="preserve">The incorporation of the WLoC into </w:t>
      </w:r>
      <w:proofErr w:type="spellStart"/>
      <w:r w:rsidRPr="003273BC">
        <w:rPr>
          <w:rFonts w:ascii="Calibri" w:hAnsi="Calibri" w:cs="Calibri"/>
          <w:sz w:val="24"/>
          <w:szCs w:val="24"/>
        </w:rPr>
        <w:t>Civica</w:t>
      </w:r>
      <w:proofErr w:type="spellEnd"/>
      <w:r w:rsidRPr="003273BC">
        <w:rPr>
          <w:rFonts w:ascii="Calibri" w:hAnsi="Calibri" w:cs="Calibri"/>
          <w:sz w:val="24"/>
          <w:szCs w:val="24"/>
        </w:rPr>
        <w:t xml:space="preserve"> Scheduling (CS) has brought about an opportunity to develop a clinical support tool. </w:t>
      </w:r>
      <w:proofErr w:type="spellStart"/>
      <w:r w:rsidRPr="003273BC">
        <w:rPr>
          <w:rFonts w:ascii="Calibri" w:hAnsi="Calibri" w:cs="Calibri"/>
          <w:sz w:val="24"/>
          <w:szCs w:val="24"/>
        </w:rPr>
        <w:t>Civica</w:t>
      </w:r>
      <w:proofErr w:type="spellEnd"/>
      <w:r w:rsidRPr="003273BC">
        <w:rPr>
          <w:rFonts w:ascii="Calibri" w:hAnsi="Calibri" w:cs="Calibri"/>
          <w:sz w:val="24"/>
          <w:szCs w:val="24"/>
        </w:rPr>
        <w:t xml:space="preserve"> Scheduling, formally known as </w:t>
      </w:r>
      <w:proofErr w:type="spellStart"/>
      <w:r w:rsidRPr="003273BC">
        <w:rPr>
          <w:rFonts w:ascii="Calibri" w:hAnsi="Calibri" w:cs="Calibri"/>
          <w:sz w:val="24"/>
          <w:szCs w:val="24"/>
        </w:rPr>
        <w:t>Malinko</w:t>
      </w:r>
      <w:proofErr w:type="spellEnd"/>
      <w:r w:rsidRPr="003273BC">
        <w:rPr>
          <w:rFonts w:ascii="Calibri" w:hAnsi="Calibri" w:cs="Calibri"/>
          <w:sz w:val="24"/>
          <w:szCs w:val="24"/>
        </w:rPr>
        <w:t xml:space="preserve">, is an automated scheduling tool developed for use in community services. The web hosted program holds a vast amount of patient information alongside staff competence and skill sets. The programme was designed to assist with the scheduling of the DN caseload by matching patient needs to staff capability alongside availability and location/time requirements. CS tool is not a replacement for staff autonomy, nor does it seek to replace the knowledge and skills of the DN staff who are able to override the system if they feel that the alignment is inappropriate or illogical. The addition of the WLoC tool into the CS program can produce another layer of information that can inform so many other decisions. The phone application of CS allows for DN’s to impart the WLoC data for each patient visited </w:t>
      </w:r>
      <w:r w:rsidRPr="003273BC">
        <w:rPr>
          <w:rFonts w:ascii="Calibri" w:hAnsi="Calibri" w:cs="Calibri"/>
          <w:sz w:val="24"/>
          <w:szCs w:val="24"/>
        </w:rPr>
        <w:lastRenderedPageBreak/>
        <w:t xml:space="preserve">in real time. CS was adopted by all HB’s and Trusts across Wales after a Welsh Government scheme to implement a national scheduling system which was recommended through the DN strategy for Wales (HEIW, 2021). The CS program provides a unique platform in which to execute other policies or strategies because it </w:t>
      </w:r>
      <w:r w:rsidR="00872296" w:rsidRPr="003273BC">
        <w:rPr>
          <w:rFonts w:ascii="Calibri" w:hAnsi="Calibri" w:cs="Calibri"/>
          <w:sz w:val="24"/>
          <w:szCs w:val="24"/>
        </w:rPr>
        <w:t>can</w:t>
      </w:r>
      <w:r w:rsidRPr="003273BC">
        <w:rPr>
          <w:rFonts w:ascii="Calibri" w:hAnsi="Calibri" w:cs="Calibri"/>
          <w:sz w:val="24"/>
          <w:szCs w:val="24"/>
        </w:rPr>
        <w:t xml:space="preserve"> cross compare data across the whole of Wales. The incorporation of WLoC is the start of this but generation of the data is just that. The data has yet to be purposed into something more meaningful </w:t>
      </w:r>
      <w:proofErr w:type="gramStart"/>
      <w:r w:rsidRPr="003273BC">
        <w:rPr>
          <w:rFonts w:ascii="Calibri" w:hAnsi="Calibri" w:cs="Calibri"/>
          <w:sz w:val="24"/>
          <w:szCs w:val="24"/>
        </w:rPr>
        <w:t>i.e.</w:t>
      </w:r>
      <w:proofErr w:type="gramEnd"/>
      <w:r w:rsidRPr="003273BC">
        <w:rPr>
          <w:rFonts w:ascii="Calibri" w:hAnsi="Calibri" w:cs="Calibri"/>
          <w:sz w:val="24"/>
          <w:szCs w:val="24"/>
        </w:rPr>
        <w:t xml:space="preserve"> information. </w:t>
      </w:r>
    </w:p>
    <w:p w14:paraId="07FE07A8" w14:textId="27CEEE4C" w:rsidR="003273BC" w:rsidRDefault="003273BC" w:rsidP="003273BC">
      <w:pPr>
        <w:spacing w:line="480" w:lineRule="auto"/>
        <w:rPr>
          <w:rFonts w:ascii="Calibri" w:hAnsi="Calibri" w:cs="Calibri"/>
          <w:sz w:val="24"/>
          <w:szCs w:val="24"/>
        </w:rPr>
      </w:pPr>
      <w:r w:rsidRPr="003273BC">
        <w:rPr>
          <w:rFonts w:ascii="Calibri" w:hAnsi="Calibri" w:cs="Calibri"/>
          <w:sz w:val="24"/>
          <w:szCs w:val="24"/>
        </w:rPr>
        <w:t xml:space="preserve">The WLoC has now been instigated in the DN teams across Wales since November 2022. This time has allowed for DN staff to get used to the categories and the routine of undertaking the assessments at each opportunity. Huge amounts of data </w:t>
      </w:r>
      <w:proofErr w:type="gramStart"/>
      <w:r w:rsidRPr="003273BC">
        <w:rPr>
          <w:rFonts w:ascii="Calibri" w:hAnsi="Calibri" w:cs="Calibri"/>
          <w:sz w:val="24"/>
          <w:szCs w:val="24"/>
        </w:rPr>
        <w:t>is</w:t>
      </w:r>
      <w:proofErr w:type="gramEnd"/>
      <w:r w:rsidRPr="003273BC">
        <w:rPr>
          <w:rFonts w:ascii="Calibri" w:hAnsi="Calibri" w:cs="Calibri"/>
          <w:sz w:val="24"/>
          <w:szCs w:val="24"/>
        </w:rPr>
        <w:t xml:space="preserve"> being generated but purposing that into a meaningful information which can help inform practices is the next step. Utilising this information into a support decision tool could make the ramifications of adoption the CS and WLoC much further reaching. Patient Management Systems (PMS) which are utilised in secondary care settings could also replicate the digital solution to demonstrating the impact of demands on services in real time</w:t>
      </w:r>
      <w:r w:rsidR="00872296">
        <w:rPr>
          <w:rFonts w:ascii="Calibri" w:hAnsi="Calibri" w:cs="Calibri"/>
          <w:sz w:val="24"/>
          <w:szCs w:val="24"/>
        </w:rPr>
        <w:t xml:space="preserve"> (NIHR. 2023)</w:t>
      </w:r>
      <w:r w:rsidRPr="003273BC">
        <w:rPr>
          <w:rFonts w:ascii="Calibri" w:hAnsi="Calibri" w:cs="Calibri"/>
          <w:sz w:val="24"/>
          <w:szCs w:val="24"/>
        </w:rPr>
        <w:t>. This would need to be developed however as the WLoC have not been incorporated into the digital platforms despite having this tool for far longer than their community counterparts. Automating this aspect of the patient information into the CS tool would bring about a more rounded, in-depth picture of the patient needs alongside the skills and knowledge of the Health Care Professional (HCP) that will be required to manage them.</w:t>
      </w:r>
    </w:p>
    <w:p w14:paraId="5BD6FE76" w14:textId="61ECE927" w:rsidR="000F631C" w:rsidRDefault="000F631C" w:rsidP="003273BC">
      <w:pPr>
        <w:spacing w:line="480" w:lineRule="auto"/>
        <w:rPr>
          <w:rFonts w:ascii="Calibri" w:hAnsi="Calibri" w:cs="Calibri"/>
          <w:sz w:val="24"/>
          <w:szCs w:val="24"/>
        </w:rPr>
      </w:pPr>
    </w:p>
    <w:p w14:paraId="58B979C6" w14:textId="5E817D64" w:rsidR="000F631C" w:rsidRDefault="000F631C" w:rsidP="003273BC">
      <w:pPr>
        <w:spacing w:line="480" w:lineRule="auto"/>
        <w:rPr>
          <w:rFonts w:ascii="Calibri" w:hAnsi="Calibri" w:cs="Calibri"/>
          <w:sz w:val="24"/>
          <w:szCs w:val="24"/>
        </w:rPr>
      </w:pPr>
    </w:p>
    <w:p w14:paraId="28B444B7" w14:textId="26BCDCBA" w:rsidR="000F631C" w:rsidRDefault="000F631C" w:rsidP="003273BC">
      <w:pPr>
        <w:spacing w:line="480" w:lineRule="auto"/>
        <w:rPr>
          <w:rFonts w:ascii="Calibri" w:hAnsi="Calibri" w:cs="Calibri"/>
          <w:sz w:val="24"/>
          <w:szCs w:val="24"/>
        </w:rPr>
      </w:pPr>
    </w:p>
    <w:p w14:paraId="6000EABE" w14:textId="0EDB9D4A" w:rsidR="000F631C" w:rsidRPr="000F631C" w:rsidRDefault="000F631C" w:rsidP="000F631C">
      <w:pPr>
        <w:spacing w:line="480" w:lineRule="auto"/>
        <w:rPr>
          <w:rFonts w:ascii="Calibri" w:hAnsi="Calibri" w:cs="Calibri"/>
          <w:sz w:val="24"/>
          <w:szCs w:val="24"/>
        </w:rPr>
      </w:pPr>
      <w:r w:rsidRPr="000F631C">
        <w:rPr>
          <w:rFonts w:ascii="Calibri" w:hAnsi="Calibri" w:cs="Calibri"/>
          <w:b/>
          <w:bCs/>
          <w:sz w:val="24"/>
          <w:szCs w:val="24"/>
        </w:rPr>
        <w:lastRenderedPageBreak/>
        <w:t xml:space="preserve">Evidence </w:t>
      </w:r>
      <w:proofErr w:type="gramStart"/>
      <w:r w:rsidRPr="000F631C">
        <w:rPr>
          <w:rFonts w:ascii="Calibri" w:hAnsi="Calibri" w:cs="Calibri"/>
          <w:b/>
          <w:bCs/>
          <w:sz w:val="24"/>
          <w:szCs w:val="24"/>
        </w:rPr>
        <w:t>review</w:t>
      </w:r>
      <w:proofErr w:type="gramEnd"/>
      <w:r>
        <w:rPr>
          <w:rFonts w:ascii="Calibri" w:hAnsi="Calibri" w:cs="Calibri"/>
          <w:b/>
          <w:bCs/>
          <w:sz w:val="24"/>
          <w:szCs w:val="24"/>
        </w:rPr>
        <w:t>.</w:t>
      </w:r>
    </w:p>
    <w:p w14:paraId="1E3A73E3"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With the integration of WLoC into a scheduling tool producing automation of resource allocation in mind, a search of the literature could help identify if this has been attempted in similar fields and if any lessons can be learnt about both the adoption of this type of strategy and how any production of information from the data is best presented. The specific field of WLoC into CS within DN is not a field that has been researched in any capacity so to find comparative research, the scope will be widened. The general concept will be to look at acuity tools being adopted to patient management systems within healthcare practices. Healthcare practices has been chosen over nursing practice as this provides two opportunities. Firstly, narrowing the search to nursing practices will discount the research taken place within allied health professionals, a field in which community nursing services aims to diversify within the multi-disciplinary practices throughout Wales. Community Services in Wales have had several different models proposed which will modernise community services and attempt to address the issues within healthcare such as demand outstripping resources. Models such as Neighbourhood Nursing which is based on the Dutch </w:t>
      </w:r>
      <w:proofErr w:type="spellStart"/>
      <w:r w:rsidRPr="000F631C">
        <w:rPr>
          <w:rFonts w:ascii="Calibri" w:hAnsi="Calibri" w:cs="Calibri"/>
          <w:sz w:val="24"/>
          <w:szCs w:val="24"/>
        </w:rPr>
        <w:t>Buurtzorg</w:t>
      </w:r>
      <w:proofErr w:type="spellEnd"/>
      <w:r w:rsidRPr="000F631C">
        <w:rPr>
          <w:rFonts w:ascii="Calibri" w:hAnsi="Calibri" w:cs="Calibri"/>
          <w:sz w:val="24"/>
          <w:szCs w:val="24"/>
        </w:rPr>
        <w:t xml:space="preserve"> model and has been piloted within three HB’s in Wales already, or, the Hospital at Home model where healthcare services deliver hospital level interventions in patients own homes in order to support early discharges or avoid admissions. All models proposed or piloted have a commonality in their approach of prudent healthcare and HCP’s being multiskilled to assess patients effectively, holistically. Secondly, exploring this will help expand knowledge of current practices outside of the authors experience which have a significant bearing on clinical practice going forward if the future of healthcare is a more integrated approach. </w:t>
      </w:r>
    </w:p>
    <w:p w14:paraId="437C7E6B"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lastRenderedPageBreak/>
        <w:t>To begin the process of a literature review, an ECLIPSE table was completed, Table 3 (</w:t>
      </w:r>
      <w:proofErr w:type="spellStart"/>
      <w:r w:rsidRPr="000F631C">
        <w:rPr>
          <w:rFonts w:ascii="Calibri" w:hAnsi="Calibri" w:cs="Calibri"/>
          <w:sz w:val="24"/>
          <w:szCs w:val="24"/>
        </w:rPr>
        <w:t>Wildridge</w:t>
      </w:r>
      <w:proofErr w:type="spellEnd"/>
      <w:r w:rsidRPr="000F631C">
        <w:rPr>
          <w:rFonts w:ascii="Calibri" w:hAnsi="Calibri" w:cs="Calibri"/>
          <w:sz w:val="24"/>
          <w:szCs w:val="24"/>
        </w:rPr>
        <w:t xml:space="preserve"> and Bell, 2002). This will provide a clearly defined search aim which will help to focus the literature review and ensure that the search concepts are also clearly defined. A comprehensive and thorough search strategy will be required to provide a systematic, structured approach towards the literature pertaining to the use of acuity tools to support decision support tools when looking at resource allocation in a healthcare setting. Two healthcare databases will be accessed to provide a strong representation of the literature published. Additionally, a search of the grey literature will be conducted to provide rigour to the search.</w:t>
      </w:r>
    </w:p>
    <w:p w14:paraId="1A0A9621" w14:textId="77777777" w:rsidR="000F631C" w:rsidRPr="000F631C" w:rsidRDefault="000F631C" w:rsidP="000F631C">
      <w:pPr>
        <w:spacing w:line="480" w:lineRule="auto"/>
        <w:rPr>
          <w:rFonts w:ascii="Calibri" w:hAnsi="Calibri" w:cs="Calibri"/>
          <w:b/>
          <w:bCs/>
          <w:sz w:val="24"/>
          <w:szCs w:val="24"/>
        </w:rPr>
      </w:pPr>
    </w:p>
    <w:p w14:paraId="232E3FDD" w14:textId="77777777" w:rsidR="000F631C" w:rsidRPr="000F631C" w:rsidRDefault="000F631C" w:rsidP="000F631C">
      <w:pPr>
        <w:spacing w:line="480" w:lineRule="auto"/>
        <w:rPr>
          <w:rFonts w:ascii="Calibri" w:hAnsi="Calibri" w:cs="Calibri"/>
          <w:b/>
          <w:bCs/>
          <w:sz w:val="24"/>
          <w:szCs w:val="24"/>
        </w:rPr>
      </w:pPr>
    </w:p>
    <w:tbl>
      <w:tblPr>
        <w:tblStyle w:val="TableGrid1"/>
        <w:tblpPr w:leftFromText="180" w:rightFromText="180" w:vertAnchor="page" w:horzAnchor="margin" w:tblpX="-299" w:tblpY="1141"/>
        <w:tblW w:w="5343" w:type="pct"/>
        <w:tblLook w:val="04A0" w:firstRow="1" w:lastRow="0" w:firstColumn="1" w:lastColumn="0" w:noHBand="0" w:noVBand="1"/>
      </w:tblPr>
      <w:tblGrid>
        <w:gridCol w:w="2632"/>
        <w:gridCol w:w="7002"/>
      </w:tblGrid>
      <w:tr w:rsidR="000F631C" w:rsidRPr="000F631C" w14:paraId="10B0A969" w14:textId="77777777" w:rsidTr="000F631C">
        <w:tc>
          <w:tcPr>
            <w:tcW w:w="1366" w:type="pct"/>
            <w:shd w:val="clear" w:color="auto" w:fill="C6D9F1"/>
          </w:tcPr>
          <w:p w14:paraId="4054CCE3" w14:textId="77777777" w:rsidR="000F631C" w:rsidRPr="000F631C" w:rsidRDefault="000F631C" w:rsidP="000F631C">
            <w:pPr>
              <w:spacing w:after="160" w:line="480" w:lineRule="auto"/>
              <w:rPr>
                <w:rFonts w:cs="Calibri"/>
                <w:sz w:val="24"/>
                <w:szCs w:val="24"/>
              </w:rPr>
            </w:pPr>
            <w:bookmarkStart w:id="0" w:name="_Hlk89797467"/>
            <w:proofErr w:type="gramStart"/>
            <w:r w:rsidRPr="000F631C">
              <w:rPr>
                <w:rFonts w:cs="Calibri"/>
                <w:b/>
                <w:sz w:val="24"/>
                <w:szCs w:val="24"/>
                <w:u w:val="single"/>
              </w:rPr>
              <w:lastRenderedPageBreak/>
              <w:t>E</w:t>
            </w:r>
            <w:r w:rsidRPr="000F631C">
              <w:rPr>
                <w:rFonts w:cs="Calibri"/>
                <w:sz w:val="24"/>
                <w:szCs w:val="24"/>
              </w:rPr>
              <w:t>xpectation;</w:t>
            </w:r>
            <w:proofErr w:type="gramEnd"/>
          </w:p>
          <w:p w14:paraId="104504DF" w14:textId="77777777" w:rsidR="000F631C" w:rsidRPr="000F631C" w:rsidRDefault="000F631C" w:rsidP="000F631C">
            <w:pPr>
              <w:spacing w:after="160" w:line="480" w:lineRule="auto"/>
              <w:rPr>
                <w:rFonts w:cs="Calibri"/>
                <w:sz w:val="24"/>
                <w:szCs w:val="24"/>
              </w:rPr>
            </w:pPr>
            <w:r w:rsidRPr="000F631C">
              <w:rPr>
                <w:rFonts w:cs="Calibri"/>
                <w:sz w:val="24"/>
                <w:szCs w:val="24"/>
              </w:rPr>
              <w:t>Why does the user want the information?</w:t>
            </w:r>
          </w:p>
        </w:tc>
        <w:tc>
          <w:tcPr>
            <w:tcW w:w="3634" w:type="pct"/>
          </w:tcPr>
          <w:p w14:paraId="42D8A1C6" w14:textId="77777777" w:rsidR="000F631C" w:rsidRPr="000F631C" w:rsidRDefault="000F631C" w:rsidP="000F631C">
            <w:pPr>
              <w:spacing w:after="160" w:line="480" w:lineRule="auto"/>
              <w:rPr>
                <w:rFonts w:cs="Calibri"/>
                <w:sz w:val="24"/>
                <w:szCs w:val="24"/>
              </w:rPr>
            </w:pPr>
            <w:r w:rsidRPr="000F631C">
              <w:rPr>
                <w:rFonts w:cs="Calibri"/>
                <w:sz w:val="24"/>
                <w:szCs w:val="24"/>
              </w:rPr>
              <w:t>Discover if the instigation of an acuity tool into a decision support tool has made any impact in the ability to manage resources more effectively has been explored within the literature. Additionally, explore if any potential issues that may occur with validation of the tool and comparison of data across teams to support decisions have been identified.</w:t>
            </w:r>
          </w:p>
          <w:p w14:paraId="0BC2FCB4" w14:textId="77777777" w:rsidR="000F631C" w:rsidRPr="000F631C" w:rsidRDefault="000F631C" w:rsidP="000F631C">
            <w:pPr>
              <w:spacing w:after="160" w:line="480" w:lineRule="auto"/>
              <w:rPr>
                <w:rFonts w:cs="Calibri"/>
                <w:sz w:val="24"/>
                <w:szCs w:val="24"/>
              </w:rPr>
            </w:pPr>
          </w:p>
          <w:p w14:paraId="52653BB6" w14:textId="77777777" w:rsidR="000F631C" w:rsidRPr="000F631C" w:rsidRDefault="000F631C" w:rsidP="000F631C">
            <w:pPr>
              <w:spacing w:after="160" w:line="480" w:lineRule="auto"/>
              <w:rPr>
                <w:rFonts w:cs="Calibri"/>
                <w:sz w:val="24"/>
                <w:szCs w:val="24"/>
              </w:rPr>
            </w:pPr>
          </w:p>
        </w:tc>
      </w:tr>
      <w:tr w:rsidR="000F631C" w:rsidRPr="000F631C" w14:paraId="2E547BCC" w14:textId="77777777" w:rsidTr="000F631C">
        <w:tc>
          <w:tcPr>
            <w:tcW w:w="1366" w:type="pct"/>
            <w:shd w:val="clear" w:color="auto" w:fill="C6D9F1"/>
          </w:tcPr>
          <w:p w14:paraId="645FD106" w14:textId="77777777" w:rsidR="000F631C" w:rsidRPr="000F631C" w:rsidRDefault="000F631C" w:rsidP="000F631C">
            <w:pPr>
              <w:spacing w:after="160" w:line="480" w:lineRule="auto"/>
              <w:rPr>
                <w:rFonts w:cs="Calibri"/>
                <w:sz w:val="24"/>
                <w:szCs w:val="24"/>
              </w:rPr>
            </w:pPr>
            <w:r w:rsidRPr="000F631C">
              <w:rPr>
                <w:rFonts w:cs="Calibri"/>
                <w:b/>
                <w:sz w:val="24"/>
                <w:szCs w:val="24"/>
                <w:u w:val="single"/>
              </w:rPr>
              <w:t>C</w:t>
            </w:r>
            <w:r w:rsidRPr="000F631C">
              <w:rPr>
                <w:rFonts w:cs="Calibri"/>
                <w:sz w:val="24"/>
                <w:szCs w:val="24"/>
              </w:rPr>
              <w:t xml:space="preserve">lient </w:t>
            </w:r>
            <w:proofErr w:type="gramStart"/>
            <w:r w:rsidRPr="000F631C">
              <w:rPr>
                <w:rFonts w:cs="Calibri"/>
                <w:sz w:val="24"/>
                <w:szCs w:val="24"/>
              </w:rPr>
              <w:t>Group;</w:t>
            </w:r>
            <w:proofErr w:type="gramEnd"/>
          </w:p>
          <w:p w14:paraId="4AE2AFA4" w14:textId="77777777" w:rsidR="000F631C" w:rsidRPr="000F631C" w:rsidRDefault="000F631C" w:rsidP="000F631C">
            <w:pPr>
              <w:spacing w:after="160" w:line="480" w:lineRule="auto"/>
              <w:rPr>
                <w:rFonts w:cs="Calibri"/>
                <w:sz w:val="24"/>
                <w:szCs w:val="24"/>
              </w:rPr>
            </w:pPr>
            <w:r w:rsidRPr="000F631C">
              <w:rPr>
                <w:rFonts w:cs="Calibri"/>
                <w:sz w:val="24"/>
                <w:szCs w:val="24"/>
              </w:rPr>
              <w:t>For whom is the service intended?</w:t>
            </w:r>
          </w:p>
        </w:tc>
        <w:tc>
          <w:tcPr>
            <w:tcW w:w="3634" w:type="pct"/>
          </w:tcPr>
          <w:p w14:paraId="757905F5" w14:textId="77777777" w:rsidR="000F631C" w:rsidRPr="000F631C" w:rsidRDefault="000F631C" w:rsidP="000F631C">
            <w:pPr>
              <w:spacing w:after="160" w:line="480" w:lineRule="auto"/>
              <w:rPr>
                <w:rFonts w:cs="Calibri"/>
                <w:sz w:val="24"/>
                <w:szCs w:val="24"/>
              </w:rPr>
            </w:pPr>
            <w:r w:rsidRPr="000F631C">
              <w:rPr>
                <w:rFonts w:cs="Calibri"/>
                <w:sz w:val="24"/>
                <w:szCs w:val="24"/>
              </w:rPr>
              <w:t>Healthcare managers – specifically District Nursing, whom have an interest in resource management however the search will encompass all areas of community healthcare practices for reasons already discussed within this assignment.</w:t>
            </w:r>
          </w:p>
          <w:p w14:paraId="3EE690F9" w14:textId="77777777" w:rsidR="000F631C" w:rsidRPr="000F631C" w:rsidRDefault="000F631C" w:rsidP="000F631C">
            <w:pPr>
              <w:spacing w:after="160" w:line="480" w:lineRule="auto"/>
              <w:rPr>
                <w:rFonts w:cs="Calibri"/>
                <w:sz w:val="24"/>
                <w:szCs w:val="24"/>
              </w:rPr>
            </w:pPr>
          </w:p>
        </w:tc>
      </w:tr>
      <w:tr w:rsidR="000F631C" w:rsidRPr="000F631C" w14:paraId="71C253AC" w14:textId="77777777" w:rsidTr="000F631C">
        <w:tc>
          <w:tcPr>
            <w:tcW w:w="1366" w:type="pct"/>
            <w:shd w:val="clear" w:color="auto" w:fill="C6D9F1"/>
          </w:tcPr>
          <w:p w14:paraId="7A1E04B1" w14:textId="77777777" w:rsidR="000F631C" w:rsidRPr="000F631C" w:rsidRDefault="000F631C" w:rsidP="000F631C">
            <w:pPr>
              <w:spacing w:after="160" w:line="480" w:lineRule="auto"/>
              <w:rPr>
                <w:rFonts w:cs="Calibri"/>
                <w:sz w:val="24"/>
                <w:szCs w:val="24"/>
              </w:rPr>
            </w:pPr>
            <w:r w:rsidRPr="000F631C">
              <w:rPr>
                <w:rFonts w:cs="Calibri"/>
                <w:b/>
                <w:sz w:val="24"/>
                <w:szCs w:val="24"/>
                <w:u w:val="single"/>
              </w:rPr>
              <w:t>L</w:t>
            </w:r>
            <w:r w:rsidRPr="000F631C">
              <w:rPr>
                <w:rFonts w:cs="Calibri"/>
                <w:sz w:val="24"/>
                <w:szCs w:val="24"/>
              </w:rPr>
              <w:t xml:space="preserve">ocation: </w:t>
            </w:r>
          </w:p>
          <w:p w14:paraId="6CA6F45B" w14:textId="77777777" w:rsidR="000F631C" w:rsidRPr="000F631C" w:rsidRDefault="000F631C" w:rsidP="000F631C">
            <w:pPr>
              <w:spacing w:after="160" w:line="480" w:lineRule="auto"/>
              <w:rPr>
                <w:rFonts w:cs="Calibri"/>
                <w:sz w:val="24"/>
                <w:szCs w:val="24"/>
              </w:rPr>
            </w:pPr>
            <w:r w:rsidRPr="000F631C">
              <w:rPr>
                <w:rFonts w:cs="Calibri"/>
                <w:sz w:val="24"/>
                <w:szCs w:val="24"/>
              </w:rPr>
              <w:t xml:space="preserve">Where is the service </w:t>
            </w:r>
            <w:proofErr w:type="gramStart"/>
            <w:r w:rsidRPr="000F631C">
              <w:rPr>
                <w:rFonts w:cs="Calibri"/>
                <w:sz w:val="24"/>
                <w:szCs w:val="24"/>
              </w:rPr>
              <w:t>physically</w:t>
            </w:r>
            <w:proofErr w:type="gramEnd"/>
          </w:p>
          <w:p w14:paraId="5BF94337" w14:textId="77777777" w:rsidR="000F631C" w:rsidRPr="000F631C" w:rsidRDefault="000F631C" w:rsidP="000F631C">
            <w:pPr>
              <w:spacing w:after="160" w:line="480" w:lineRule="auto"/>
              <w:rPr>
                <w:rFonts w:cs="Calibri"/>
                <w:sz w:val="24"/>
                <w:szCs w:val="24"/>
              </w:rPr>
            </w:pPr>
            <w:r w:rsidRPr="000F631C">
              <w:rPr>
                <w:rFonts w:cs="Calibri"/>
                <w:sz w:val="24"/>
                <w:szCs w:val="24"/>
              </w:rPr>
              <w:t>sited?</w:t>
            </w:r>
          </w:p>
        </w:tc>
        <w:tc>
          <w:tcPr>
            <w:tcW w:w="3634" w:type="pct"/>
          </w:tcPr>
          <w:p w14:paraId="04946E13" w14:textId="77777777" w:rsidR="000F631C" w:rsidRPr="000F631C" w:rsidRDefault="000F631C" w:rsidP="000F631C">
            <w:pPr>
              <w:spacing w:after="160" w:line="480" w:lineRule="auto"/>
              <w:rPr>
                <w:rFonts w:cs="Calibri"/>
                <w:sz w:val="24"/>
                <w:szCs w:val="24"/>
              </w:rPr>
            </w:pPr>
            <w:r w:rsidRPr="000F631C">
              <w:rPr>
                <w:rFonts w:cs="Calibri"/>
                <w:sz w:val="24"/>
                <w:szCs w:val="24"/>
              </w:rPr>
              <w:t>All areas of community clinical practice within health care. The physical location is not paramount in this case.</w:t>
            </w:r>
          </w:p>
          <w:p w14:paraId="4D4F8141" w14:textId="77777777" w:rsidR="000F631C" w:rsidRPr="000F631C" w:rsidRDefault="000F631C" w:rsidP="000F631C">
            <w:pPr>
              <w:spacing w:after="160" w:line="480" w:lineRule="auto"/>
              <w:rPr>
                <w:rFonts w:cs="Calibri"/>
                <w:sz w:val="24"/>
                <w:szCs w:val="24"/>
              </w:rPr>
            </w:pPr>
          </w:p>
          <w:p w14:paraId="7E1E76D9" w14:textId="77777777" w:rsidR="000F631C" w:rsidRPr="000F631C" w:rsidRDefault="000F631C" w:rsidP="000F631C">
            <w:pPr>
              <w:spacing w:after="160" w:line="480" w:lineRule="auto"/>
              <w:rPr>
                <w:rFonts w:cs="Calibri"/>
                <w:sz w:val="24"/>
                <w:szCs w:val="24"/>
              </w:rPr>
            </w:pPr>
          </w:p>
        </w:tc>
      </w:tr>
      <w:tr w:rsidR="000F631C" w:rsidRPr="000F631C" w14:paraId="499CBB6E" w14:textId="77777777" w:rsidTr="000F631C">
        <w:tc>
          <w:tcPr>
            <w:tcW w:w="1366" w:type="pct"/>
            <w:shd w:val="clear" w:color="auto" w:fill="C6D9F1"/>
          </w:tcPr>
          <w:p w14:paraId="4710DC9A" w14:textId="77777777" w:rsidR="000F631C" w:rsidRPr="000F631C" w:rsidRDefault="000F631C" w:rsidP="000F631C">
            <w:pPr>
              <w:spacing w:after="160" w:line="480" w:lineRule="auto"/>
              <w:rPr>
                <w:rFonts w:cs="Calibri"/>
                <w:sz w:val="24"/>
                <w:szCs w:val="24"/>
              </w:rPr>
            </w:pPr>
            <w:r w:rsidRPr="000F631C">
              <w:rPr>
                <w:rFonts w:cs="Calibri"/>
                <w:b/>
                <w:sz w:val="24"/>
                <w:szCs w:val="24"/>
                <w:u w:val="single"/>
              </w:rPr>
              <w:t>I</w:t>
            </w:r>
            <w:r w:rsidRPr="000F631C">
              <w:rPr>
                <w:rFonts w:cs="Calibri"/>
                <w:sz w:val="24"/>
                <w:szCs w:val="24"/>
              </w:rPr>
              <w:t>mpact: What is the service change being evaluated? What would represent success?</w:t>
            </w:r>
          </w:p>
          <w:p w14:paraId="6CEBE82B" w14:textId="77777777" w:rsidR="000F631C" w:rsidRPr="000F631C" w:rsidRDefault="000F631C" w:rsidP="000F631C">
            <w:pPr>
              <w:spacing w:after="160" w:line="480" w:lineRule="auto"/>
              <w:rPr>
                <w:rFonts w:cs="Calibri"/>
                <w:sz w:val="24"/>
                <w:szCs w:val="24"/>
              </w:rPr>
            </w:pPr>
            <w:r w:rsidRPr="000F631C">
              <w:rPr>
                <w:rFonts w:cs="Calibri"/>
                <w:sz w:val="24"/>
                <w:szCs w:val="24"/>
              </w:rPr>
              <w:lastRenderedPageBreak/>
              <w:t xml:space="preserve">How is this measured? What are the </w:t>
            </w:r>
            <w:proofErr w:type="gramStart"/>
            <w:r w:rsidRPr="000F631C">
              <w:rPr>
                <w:rFonts w:cs="Calibri"/>
                <w:sz w:val="24"/>
                <w:szCs w:val="24"/>
              </w:rPr>
              <w:t>anticipated</w:t>
            </w:r>
            <w:proofErr w:type="gramEnd"/>
          </w:p>
          <w:p w14:paraId="3136ACDD" w14:textId="77777777" w:rsidR="000F631C" w:rsidRPr="000F631C" w:rsidRDefault="000F631C" w:rsidP="000F631C">
            <w:pPr>
              <w:spacing w:after="160" w:line="480" w:lineRule="auto"/>
              <w:rPr>
                <w:rFonts w:cs="Calibri"/>
                <w:sz w:val="24"/>
                <w:szCs w:val="24"/>
              </w:rPr>
            </w:pPr>
            <w:r w:rsidRPr="000F631C">
              <w:rPr>
                <w:rFonts w:cs="Calibri"/>
                <w:sz w:val="24"/>
                <w:szCs w:val="24"/>
              </w:rPr>
              <w:t>measures, improvements, or affects?</w:t>
            </w:r>
          </w:p>
        </w:tc>
        <w:tc>
          <w:tcPr>
            <w:tcW w:w="3634" w:type="pct"/>
          </w:tcPr>
          <w:p w14:paraId="19925BDA" w14:textId="77777777" w:rsidR="000F631C" w:rsidRPr="000F631C" w:rsidRDefault="000F631C" w:rsidP="000F631C">
            <w:pPr>
              <w:spacing w:after="160" w:line="480" w:lineRule="auto"/>
              <w:rPr>
                <w:rFonts w:cs="Calibri"/>
                <w:sz w:val="24"/>
                <w:szCs w:val="24"/>
              </w:rPr>
            </w:pPr>
            <w:r w:rsidRPr="000F631C">
              <w:rPr>
                <w:rFonts w:cs="Calibri"/>
                <w:sz w:val="24"/>
                <w:szCs w:val="24"/>
              </w:rPr>
              <w:lastRenderedPageBreak/>
              <w:t xml:space="preserve">The service being evaluated pertains to the use of acuity tools to support decision support tools for resource management within a healthcare setting. The development being proposed will use the existing validated acuity tool of WLoC and </w:t>
            </w:r>
            <w:proofErr w:type="spellStart"/>
            <w:proofErr w:type="gramStart"/>
            <w:r w:rsidRPr="000F631C">
              <w:rPr>
                <w:rFonts w:cs="Calibri"/>
                <w:sz w:val="24"/>
                <w:szCs w:val="24"/>
              </w:rPr>
              <w:t>it’s</w:t>
            </w:r>
            <w:proofErr w:type="spellEnd"/>
            <w:proofErr w:type="gramEnd"/>
            <w:r w:rsidRPr="000F631C">
              <w:rPr>
                <w:rFonts w:cs="Calibri"/>
                <w:sz w:val="24"/>
                <w:szCs w:val="24"/>
              </w:rPr>
              <w:t xml:space="preserve"> incorporation into CS </w:t>
            </w:r>
            <w:r w:rsidRPr="000F631C">
              <w:rPr>
                <w:rFonts w:cs="Calibri"/>
                <w:sz w:val="24"/>
                <w:szCs w:val="24"/>
              </w:rPr>
              <w:lastRenderedPageBreak/>
              <w:t>but go further in the use of the data being produced. Utilising the data being produced through the WLoC and CS will:</w:t>
            </w:r>
          </w:p>
          <w:p w14:paraId="1EDA6B33"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Improve the ability of managers to have oversight of the demand being placed on services.</w:t>
            </w:r>
          </w:p>
          <w:p w14:paraId="3C4F556D"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Improve the ability of community services to articulate the demands on the services and the pressures being felt by the team.</w:t>
            </w:r>
          </w:p>
          <w:p w14:paraId="4A8CFE87"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Allow service managers to review resource allocation and demand in real time.</w:t>
            </w:r>
          </w:p>
          <w:p w14:paraId="1E0D6945"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Improve communication across all teams throughout Wales and help ensure equal distribution of work.</w:t>
            </w:r>
          </w:p>
          <w:p w14:paraId="038C48F2"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Facilitate the redistribution of resources to areas that need the most support.</w:t>
            </w:r>
          </w:p>
          <w:p w14:paraId="37D72D54"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 xml:space="preserve">Allow national organisations to understand the ‘picture’ across the organisations and how this compares to other clinical environments </w:t>
            </w:r>
            <w:proofErr w:type="gramStart"/>
            <w:r w:rsidRPr="000F631C">
              <w:rPr>
                <w:rFonts w:cs="Calibri"/>
                <w:sz w:val="24"/>
                <w:szCs w:val="24"/>
              </w:rPr>
              <w:t>e.g.</w:t>
            </w:r>
            <w:proofErr w:type="gramEnd"/>
            <w:r w:rsidRPr="000F631C">
              <w:rPr>
                <w:rFonts w:cs="Calibri"/>
                <w:sz w:val="24"/>
                <w:szCs w:val="24"/>
              </w:rPr>
              <w:t xml:space="preserve"> acute settings.</w:t>
            </w:r>
          </w:p>
          <w:p w14:paraId="54F2B8F2"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Maintain confidentiality across the services for those viewing patient identifiable information outside of their own HB or Trust.</w:t>
            </w:r>
          </w:p>
          <w:p w14:paraId="7EADF60D" w14:textId="77777777" w:rsidR="000F631C" w:rsidRPr="000F631C" w:rsidRDefault="000F631C" w:rsidP="000F631C">
            <w:pPr>
              <w:numPr>
                <w:ilvl w:val="0"/>
                <w:numId w:val="23"/>
              </w:numPr>
              <w:spacing w:after="160" w:line="480" w:lineRule="auto"/>
              <w:rPr>
                <w:rFonts w:cs="Calibri"/>
                <w:sz w:val="24"/>
                <w:szCs w:val="24"/>
              </w:rPr>
            </w:pPr>
            <w:r w:rsidRPr="000F631C">
              <w:rPr>
                <w:rFonts w:cs="Calibri"/>
                <w:sz w:val="24"/>
                <w:szCs w:val="24"/>
              </w:rPr>
              <w:t>Ensure that the dashboard that is developed is easily translatable for all staff that need to utilise it.</w:t>
            </w:r>
          </w:p>
          <w:p w14:paraId="72C53E44" w14:textId="77777777" w:rsidR="000F631C" w:rsidRPr="000F631C" w:rsidRDefault="000F631C" w:rsidP="000F631C">
            <w:pPr>
              <w:spacing w:after="160" w:line="480" w:lineRule="auto"/>
              <w:rPr>
                <w:rFonts w:cs="Calibri"/>
                <w:sz w:val="24"/>
                <w:szCs w:val="24"/>
              </w:rPr>
            </w:pPr>
          </w:p>
          <w:p w14:paraId="13F2A620" w14:textId="77777777" w:rsidR="000F631C" w:rsidRPr="000F631C" w:rsidRDefault="000F631C" w:rsidP="000F631C">
            <w:pPr>
              <w:spacing w:after="160" w:line="480" w:lineRule="auto"/>
              <w:rPr>
                <w:rFonts w:cs="Calibri"/>
                <w:sz w:val="24"/>
                <w:szCs w:val="24"/>
              </w:rPr>
            </w:pPr>
            <w:r w:rsidRPr="000F631C">
              <w:rPr>
                <w:rFonts w:cs="Calibri"/>
                <w:sz w:val="24"/>
                <w:szCs w:val="24"/>
              </w:rPr>
              <w:t>Success:</w:t>
            </w:r>
          </w:p>
          <w:p w14:paraId="5EDBD0FF" w14:textId="77777777" w:rsidR="000F631C" w:rsidRPr="000F631C" w:rsidRDefault="000F631C" w:rsidP="000F631C">
            <w:pPr>
              <w:spacing w:after="160" w:line="480" w:lineRule="auto"/>
              <w:rPr>
                <w:rFonts w:cs="Calibri"/>
                <w:sz w:val="24"/>
                <w:szCs w:val="24"/>
              </w:rPr>
            </w:pPr>
          </w:p>
          <w:p w14:paraId="31EDA965" w14:textId="77777777" w:rsidR="000F631C" w:rsidRPr="000F631C" w:rsidRDefault="000F631C" w:rsidP="000F631C">
            <w:pPr>
              <w:spacing w:after="160" w:line="480" w:lineRule="auto"/>
              <w:rPr>
                <w:rFonts w:cs="Calibri"/>
                <w:sz w:val="24"/>
                <w:szCs w:val="24"/>
              </w:rPr>
            </w:pPr>
            <w:r w:rsidRPr="000F631C">
              <w:rPr>
                <w:rFonts w:cs="Calibri"/>
                <w:sz w:val="24"/>
                <w:szCs w:val="24"/>
              </w:rPr>
              <w:t>Increase in the flow of information across all organisations.</w:t>
            </w:r>
          </w:p>
          <w:p w14:paraId="05884A9B" w14:textId="77777777" w:rsidR="000F631C" w:rsidRPr="000F631C" w:rsidRDefault="000F631C" w:rsidP="000F631C">
            <w:pPr>
              <w:spacing w:after="160" w:line="480" w:lineRule="auto"/>
              <w:rPr>
                <w:rFonts w:cs="Calibri"/>
                <w:sz w:val="24"/>
                <w:szCs w:val="24"/>
              </w:rPr>
            </w:pPr>
            <w:r w:rsidRPr="000F631C">
              <w:rPr>
                <w:rFonts w:cs="Calibri"/>
                <w:sz w:val="24"/>
                <w:szCs w:val="24"/>
              </w:rPr>
              <w:t xml:space="preserve">Improve the ability of community managers to better allocate their resources to the areas that most need support. Success would not only allow the resource to meet the demand in terms of sheer capacity, </w:t>
            </w:r>
            <w:proofErr w:type="gramStart"/>
            <w:r w:rsidRPr="000F631C">
              <w:rPr>
                <w:rFonts w:cs="Calibri"/>
                <w:sz w:val="24"/>
                <w:szCs w:val="24"/>
              </w:rPr>
              <w:t>the dashboard should</w:t>
            </w:r>
            <w:proofErr w:type="gramEnd"/>
            <w:r w:rsidRPr="000F631C">
              <w:rPr>
                <w:rFonts w:cs="Calibri"/>
                <w:sz w:val="24"/>
                <w:szCs w:val="24"/>
              </w:rPr>
              <w:t xml:space="preserve"> allow for correct allocation of staff capability to patients need without being task orientated.</w:t>
            </w:r>
          </w:p>
          <w:p w14:paraId="58A2D7A7" w14:textId="77777777" w:rsidR="000F631C" w:rsidRPr="000F631C" w:rsidRDefault="000F631C" w:rsidP="000F631C">
            <w:pPr>
              <w:spacing w:after="160" w:line="480" w:lineRule="auto"/>
              <w:rPr>
                <w:rFonts w:cs="Calibri"/>
                <w:sz w:val="24"/>
                <w:szCs w:val="24"/>
              </w:rPr>
            </w:pPr>
          </w:p>
          <w:p w14:paraId="7A37F61C" w14:textId="77777777" w:rsidR="000F631C" w:rsidRPr="000F631C" w:rsidRDefault="000F631C" w:rsidP="000F631C">
            <w:pPr>
              <w:spacing w:after="160" w:line="480" w:lineRule="auto"/>
              <w:rPr>
                <w:rFonts w:cs="Calibri"/>
                <w:sz w:val="24"/>
                <w:szCs w:val="24"/>
              </w:rPr>
            </w:pPr>
          </w:p>
          <w:p w14:paraId="4FE98536" w14:textId="77777777" w:rsidR="000F631C" w:rsidRPr="000F631C" w:rsidRDefault="000F631C" w:rsidP="000F631C">
            <w:pPr>
              <w:spacing w:after="160" w:line="480" w:lineRule="auto"/>
              <w:rPr>
                <w:rFonts w:cs="Calibri"/>
                <w:sz w:val="24"/>
                <w:szCs w:val="24"/>
              </w:rPr>
            </w:pPr>
            <w:proofErr w:type="gramStart"/>
            <w:r w:rsidRPr="000F631C">
              <w:rPr>
                <w:rFonts w:cs="Calibri"/>
                <w:sz w:val="24"/>
                <w:szCs w:val="24"/>
              </w:rPr>
              <w:t>Measured;</w:t>
            </w:r>
            <w:proofErr w:type="gramEnd"/>
          </w:p>
          <w:p w14:paraId="4CA837F7" w14:textId="77777777" w:rsidR="000F631C" w:rsidRPr="000F631C" w:rsidRDefault="000F631C" w:rsidP="000F631C">
            <w:pPr>
              <w:spacing w:after="160" w:line="480" w:lineRule="auto"/>
              <w:rPr>
                <w:rFonts w:cs="Calibri"/>
                <w:sz w:val="24"/>
                <w:szCs w:val="24"/>
              </w:rPr>
            </w:pPr>
          </w:p>
          <w:p w14:paraId="6C77E647" w14:textId="77777777" w:rsidR="000F631C" w:rsidRPr="000F631C" w:rsidRDefault="000F631C" w:rsidP="000F631C">
            <w:pPr>
              <w:spacing w:after="160" w:line="480" w:lineRule="auto"/>
              <w:rPr>
                <w:rFonts w:cs="Calibri"/>
                <w:sz w:val="24"/>
                <w:szCs w:val="24"/>
              </w:rPr>
            </w:pPr>
            <w:r w:rsidRPr="000F631C">
              <w:rPr>
                <w:rFonts w:cs="Calibri"/>
                <w:sz w:val="24"/>
                <w:szCs w:val="24"/>
              </w:rPr>
              <w:t>Quantifiable data produced through the CS to evidence the resource allocation effectiveness pre and post intervention. This will require interpretation of data into usable information by community managers.</w:t>
            </w:r>
          </w:p>
          <w:p w14:paraId="4ECA330B" w14:textId="77777777" w:rsidR="000F631C" w:rsidRPr="000F631C" w:rsidRDefault="000F631C" w:rsidP="000F631C">
            <w:pPr>
              <w:spacing w:after="160" w:line="480" w:lineRule="auto"/>
              <w:rPr>
                <w:rFonts w:cs="Calibri"/>
                <w:sz w:val="24"/>
                <w:szCs w:val="24"/>
              </w:rPr>
            </w:pPr>
            <w:r w:rsidRPr="000F631C">
              <w:rPr>
                <w:rFonts w:cs="Calibri"/>
                <w:sz w:val="24"/>
                <w:szCs w:val="24"/>
              </w:rPr>
              <w:t xml:space="preserve">Questionnaire of staff opinion pre and post intervention at all grades will also help provide quantifiable data to evidence that the change has made an impact to service delivery. </w:t>
            </w:r>
          </w:p>
          <w:p w14:paraId="3E151393" w14:textId="77777777" w:rsidR="000F631C" w:rsidRPr="000F631C" w:rsidRDefault="000F631C" w:rsidP="000F631C">
            <w:pPr>
              <w:spacing w:after="160" w:line="480" w:lineRule="auto"/>
              <w:rPr>
                <w:rFonts w:cs="Calibri"/>
                <w:sz w:val="24"/>
                <w:szCs w:val="24"/>
              </w:rPr>
            </w:pPr>
          </w:p>
        </w:tc>
      </w:tr>
      <w:tr w:rsidR="000F631C" w:rsidRPr="000F631C" w14:paraId="22642D68" w14:textId="77777777" w:rsidTr="000F631C">
        <w:tc>
          <w:tcPr>
            <w:tcW w:w="1366" w:type="pct"/>
            <w:shd w:val="clear" w:color="auto" w:fill="C6D9F1"/>
          </w:tcPr>
          <w:p w14:paraId="1CCF3A50" w14:textId="77777777" w:rsidR="000F631C" w:rsidRPr="000F631C" w:rsidRDefault="000F631C" w:rsidP="000F631C">
            <w:pPr>
              <w:spacing w:after="160" w:line="480" w:lineRule="auto"/>
              <w:rPr>
                <w:rFonts w:cs="Calibri"/>
                <w:sz w:val="24"/>
                <w:szCs w:val="24"/>
              </w:rPr>
            </w:pPr>
            <w:r w:rsidRPr="000F631C">
              <w:rPr>
                <w:rFonts w:cs="Calibri"/>
                <w:b/>
                <w:sz w:val="24"/>
                <w:szCs w:val="24"/>
                <w:u w:val="single"/>
              </w:rPr>
              <w:lastRenderedPageBreak/>
              <w:t>P</w:t>
            </w:r>
            <w:r w:rsidRPr="000F631C">
              <w:rPr>
                <w:rFonts w:cs="Calibri"/>
                <w:sz w:val="24"/>
                <w:szCs w:val="24"/>
              </w:rPr>
              <w:t>rofessionals: Who provides or improves the service?</w:t>
            </w:r>
          </w:p>
        </w:tc>
        <w:tc>
          <w:tcPr>
            <w:tcW w:w="3634" w:type="pct"/>
          </w:tcPr>
          <w:p w14:paraId="54FCD040" w14:textId="77777777" w:rsidR="000F631C" w:rsidRPr="000F631C" w:rsidRDefault="000F631C" w:rsidP="000F631C">
            <w:pPr>
              <w:spacing w:after="160" w:line="480" w:lineRule="auto"/>
              <w:rPr>
                <w:rFonts w:cs="Calibri"/>
                <w:sz w:val="24"/>
                <w:szCs w:val="24"/>
              </w:rPr>
            </w:pPr>
            <w:r w:rsidRPr="000F631C">
              <w:rPr>
                <w:rFonts w:cs="Calibri"/>
                <w:sz w:val="24"/>
                <w:szCs w:val="24"/>
              </w:rPr>
              <w:t>Community Service Workers provide the service whilst the improvement will be at a managerial level. Community managers across all service provisions that are responsible for allocation of resources.</w:t>
            </w:r>
          </w:p>
          <w:p w14:paraId="01CE0224" w14:textId="77777777" w:rsidR="000F631C" w:rsidRPr="000F631C" w:rsidRDefault="000F631C" w:rsidP="000F631C">
            <w:pPr>
              <w:spacing w:after="160" w:line="480" w:lineRule="auto"/>
              <w:rPr>
                <w:rFonts w:cs="Calibri"/>
                <w:sz w:val="24"/>
                <w:szCs w:val="24"/>
              </w:rPr>
            </w:pPr>
          </w:p>
          <w:p w14:paraId="5734DF37" w14:textId="77777777" w:rsidR="000F631C" w:rsidRPr="000F631C" w:rsidRDefault="000F631C" w:rsidP="000F631C">
            <w:pPr>
              <w:spacing w:after="160" w:line="480" w:lineRule="auto"/>
              <w:rPr>
                <w:rFonts w:cs="Calibri"/>
                <w:sz w:val="24"/>
                <w:szCs w:val="24"/>
              </w:rPr>
            </w:pPr>
          </w:p>
        </w:tc>
      </w:tr>
      <w:tr w:rsidR="000F631C" w:rsidRPr="000F631C" w14:paraId="333AA956" w14:textId="77777777" w:rsidTr="000F631C">
        <w:tc>
          <w:tcPr>
            <w:tcW w:w="1366" w:type="pct"/>
            <w:shd w:val="clear" w:color="auto" w:fill="C6D9F1"/>
          </w:tcPr>
          <w:p w14:paraId="782EB2E3" w14:textId="77777777" w:rsidR="000F631C" w:rsidRPr="000F631C" w:rsidRDefault="000F631C" w:rsidP="000F631C">
            <w:pPr>
              <w:spacing w:after="160" w:line="480" w:lineRule="auto"/>
              <w:rPr>
                <w:rFonts w:cs="Calibri"/>
                <w:sz w:val="24"/>
                <w:szCs w:val="24"/>
              </w:rPr>
            </w:pPr>
            <w:r w:rsidRPr="000F631C">
              <w:rPr>
                <w:rFonts w:cs="Calibri"/>
                <w:b/>
                <w:sz w:val="24"/>
                <w:szCs w:val="24"/>
                <w:u w:val="single"/>
              </w:rPr>
              <w:t>Se</w:t>
            </w:r>
            <w:r w:rsidRPr="000F631C">
              <w:rPr>
                <w:rFonts w:cs="Calibri"/>
                <w:sz w:val="24"/>
                <w:szCs w:val="24"/>
              </w:rPr>
              <w:t>rvice: What type of service is under</w:t>
            </w:r>
          </w:p>
          <w:p w14:paraId="3291B2F0" w14:textId="77777777" w:rsidR="000F631C" w:rsidRPr="000F631C" w:rsidRDefault="000F631C" w:rsidP="000F631C">
            <w:pPr>
              <w:spacing w:after="160" w:line="480" w:lineRule="auto"/>
              <w:rPr>
                <w:rFonts w:cs="Calibri"/>
                <w:b/>
                <w:sz w:val="24"/>
                <w:szCs w:val="24"/>
                <w:u w:val="single"/>
              </w:rPr>
            </w:pPr>
            <w:r w:rsidRPr="000F631C">
              <w:rPr>
                <w:rFonts w:cs="Calibri"/>
                <w:sz w:val="24"/>
                <w:szCs w:val="24"/>
              </w:rPr>
              <w:t>consideration?</w:t>
            </w:r>
          </w:p>
        </w:tc>
        <w:tc>
          <w:tcPr>
            <w:tcW w:w="3634" w:type="pct"/>
          </w:tcPr>
          <w:p w14:paraId="1A8A806D" w14:textId="77777777" w:rsidR="000F631C" w:rsidRPr="000F631C" w:rsidRDefault="000F631C" w:rsidP="000F631C">
            <w:pPr>
              <w:spacing w:after="160" w:line="480" w:lineRule="auto"/>
              <w:rPr>
                <w:rFonts w:cs="Calibri"/>
                <w:sz w:val="24"/>
                <w:szCs w:val="24"/>
              </w:rPr>
            </w:pPr>
            <w:r w:rsidRPr="000F631C">
              <w:rPr>
                <w:rFonts w:cs="Calibri"/>
                <w:sz w:val="24"/>
                <w:szCs w:val="24"/>
              </w:rPr>
              <w:t>Community services that facilitate care within patients own homes.</w:t>
            </w:r>
          </w:p>
          <w:p w14:paraId="4E6D83E7" w14:textId="77777777" w:rsidR="000F631C" w:rsidRPr="000F631C" w:rsidRDefault="000F631C" w:rsidP="000F631C">
            <w:pPr>
              <w:spacing w:after="160" w:line="480" w:lineRule="auto"/>
              <w:rPr>
                <w:rFonts w:cs="Calibri"/>
                <w:sz w:val="24"/>
                <w:szCs w:val="24"/>
              </w:rPr>
            </w:pPr>
          </w:p>
          <w:p w14:paraId="5A6A187F" w14:textId="77777777" w:rsidR="000F631C" w:rsidRPr="000F631C" w:rsidRDefault="000F631C" w:rsidP="000F631C">
            <w:pPr>
              <w:spacing w:after="160" w:line="480" w:lineRule="auto"/>
              <w:rPr>
                <w:rFonts w:cs="Calibri"/>
                <w:sz w:val="24"/>
                <w:szCs w:val="24"/>
              </w:rPr>
            </w:pPr>
          </w:p>
        </w:tc>
      </w:tr>
    </w:tbl>
    <w:p w14:paraId="623DAAA5" w14:textId="77777777" w:rsid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 </w:t>
      </w:r>
    </w:p>
    <w:p w14:paraId="3097A46C" w14:textId="34094235"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Table 3 (</w:t>
      </w:r>
      <w:proofErr w:type="spellStart"/>
      <w:r w:rsidRPr="000F631C">
        <w:rPr>
          <w:rFonts w:ascii="Calibri" w:hAnsi="Calibri" w:cs="Calibri"/>
          <w:sz w:val="24"/>
          <w:szCs w:val="24"/>
        </w:rPr>
        <w:t>Wildridge</w:t>
      </w:r>
      <w:proofErr w:type="spellEnd"/>
      <w:r w:rsidRPr="000F631C">
        <w:rPr>
          <w:rFonts w:ascii="Calibri" w:hAnsi="Calibri" w:cs="Calibri"/>
          <w:sz w:val="24"/>
          <w:szCs w:val="24"/>
        </w:rPr>
        <w:t xml:space="preserve"> and Bell, 2002)</w:t>
      </w:r>
      <w:bookmarkEnd w:id="0"/>
    </w:p>
    <w:p w14:paraId="448B9641"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The key terms of reference will focus on nursing acuity tools, workforce management and decision support tools. Booleans will be employed to focus the literature review by using two separate databases in which the resultant articles will be reviewed for both type of research being reported on and the grade of evidence for consideration. The process for this is demonstrated in Table 4, Table 5, and Table 6.</w:t>
      </w:r>
    </w:p>
    <w:p w14:paraId="3A101F58" w14:textId="77777777" w:rsidR="000F631C" w:rsidRPr="000F631C" w:rsidRDefault="000F631C" w:rsidP="000F631C">
      <w:pPr>
        <w:spacing w:line="480" w:lineRule="auto"/>
        <w:rPr>
          <w:rFonts w:ascii="Calibri" w:hAnsi="Calibri" w:cs="Calibri"/>
          <w:b/>
          <w:bCs/>
          <w:sz w:val="24"/>
          <w:szCs w:val="24"/>
        </w:rPr>
      </w:pPr>
    </w:p>
    <w:p w14:paraId="178F43BF" w14:textId="72C8576D" w:rsidR="000F631C" w:rsidRDefault="000F631C" w:rsidP="000F631C">
      <w:pPr>
        <w:spacing w:line="480" w:lineRule="auto"/>
        <w:rPr>
          <w:rFonts w:ascii="Calibri" w:hAnsi="Calibri" w:cs="Calibri"/>
          <w:sz w:val="24"/>
          <w:szCs w:val="24"/>
        </w:rPr>
      </w:pPr>
    </w:p>
    <w:p w14:paraId="0ACEE87D" w14:textId="77777777" w:rsidR="000F631C" w:rsidRPr="000F631C" w:rsidRDefault="000F631C" w:rsidP="000F631C">
      <w:pPr>
        <w:spacing w:line="480" w:lineRule="auto"/>
        <w:rPr>
          <w:rFonts w:ascii="Calibri" w:hAnsi="Calibri" w:cs="Calibri"/>
          <w:sz w:val="24"/>
          <w:szCs w:val="24"/>
        </w:rPr>
      </w:pPr>
    </w:p>
    <w:tbl>
      <w:tblPr>
        <w:tblStyle w:val="TableGrid2"/>
        <w:tblW w:w="9924" w:type="dxa"/>
        <w:tblInd w:w="-431" w:type="dxa"/>
        <w:tblLook w:val="04A0" w:firstRow="1" w:lastRow="0" w:firstColumn="1" w:lastColumn="0" w:noHBand="0" w:noVBand="1"/>
      </w:tblPr>
      <w:tblGrid>
        <w:gridCol w:w="3403"/>
        <w:gridCol w:w="3260"/>
        <w:gridCol w:w="3261"/>
      </w:tblGrid>
      <w:tr w:rsidR="000F631C" w:rsidRPr="000F631C" w14:paraId="50F3183A" w14:textId="77777777" w:rsidTr="000F631C">
        <w:trPr>
          <w:trHeight w:val="841"/>
        </w:trPr>
        <w:tc>
          <w:tcPr>
            <w:tcW w:w="3403" w:type="dxa"/>
          </w:tcPr>
          <w:p w14:paraId="6E26A284" w14:textId="77777777" w:rsidR="000F631C" w:rsidRPr="000F631C" w:rsidRDefault="000F631C" w:rsidP="000F631C">
            <w:pPr>
              <w:spacing w:after="160" w:line="480" w:lineRule="auto"/>
              <w:rPr>
                <w:rFonts w:eastAsiaTheme="minorHAnsi" w:cs="Calibri"/>
                <w:b/>
                <w:bCs/>
                <w:sz w:val="24"/>
                <w:szCs w:val="24"/>
                <w:lang w:eastAsia="en-US"/>
              </w:rPr>
            </w:pPr>
          </w:p>
          <w:p w14:paraId="5B35A1A1" w14:textId="57685FA8" w:rsidR="000F631C" w:rsidRPr="000F631C" w:rsidRDefault="000F631C" w:rsidP="000F631C">
            <w:pPr>
              <w:spacing w:after="160" w:line="480" w:lineRule="auto"/>
              <w:rPr>
                <w:rFonts w:eastAsiaTheme="minorHAnsi" w:cs="Calibri"/>
                <w:b/>
                <w:bCs/>
                <w:sz w:val="24"/>
                <w:szCs w:val="24"/>
                <w:lang w:eastAsia="en-US"/>
              </w:rPr>
            </w:pPr>
            <w:r>
              <w:rPr>
                <w:rFonts w:eastAsiaTheme="minorHAnsi" w:cs="Calibri"/>
                <w:b/>
                <w:bCs/>
                <w:sz w:val="24"/>
                <w:szCs w:val="24"/>
                <w:lang w:eastAsia="en-US"/>
              </w:rPr>
              <w:t xml:space="preserve">      </w:t>
            </w:r>
            <w:r w:rsidRPr="000F631C">
              <w:rPr>
                <w:rFonts w:eastAsiaTheme="minorHAnsi" w:cs="Calibri"/>
                <w:b/>
                <w:bCs/>
                <w:sz w:val="24"/>
                <w:szCs w:val="24"/>
                <w:lang w:eastAsia="en-US"/>
              </w:rPr>
              <w:t>Nursing Acuity Tool</w:t>
            </w:r>
          </w:p>
        </w:tc>
        <w:tc>
          <w:tcPr>
            <w:tcW w:w="3260" w:type="dxa"/>
          </w:tcPr>
          <w:p w14:paraId="33868B1C"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mc:AlternateContent>
                <mc:Choice Requires="wps">
                  <w:drawing>
                    <wp:anchor distT="0" distB="0" distL="114300" distR="114300" simplePos="0" relativeHeight="251659264" behindDoc="0" locked="0" layoutInCell="1" allowOverlap="1" wp14:anchorId="4B7B2150" wp14:editId="4DB9C810">
                      <wp:simplePos x="0" y="0"/>
                      <wp:positionH relativeFrom="column">
                        <wp:posOffset>-282468</wp:posOffset>
                      </wp:positionH>
                      <wp:positionV relativeFrom="paragraph">
                        <wp:posOffset>117475</wp:posOffset>
                      </wp:positionV>
                      <wp:extent cx="504825" cy="285750"/>
                      <wp:effectExtent l="0" t="0" r="9525"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85750"/>
                              </a:xfrm>
                              <a:prstGeom prst="rect">
                                <a:avLst/>
                              </a:prstGeom>
                              <a:solidFill>
                                <a:srgbClr val="FFFFFF"/>
                              </a:solidFill>
                              <a:ln w="9525">
                                <a:solidFill>
                                  <a:srgbClr val="000000"/>
                                </a:solidFill>
                                <a:miter lim="800000"/>
                                <a:headEnd/>
                                <a:tailEnd/>
                              </a:ln>
                            </wps:spPr>
                            <wps:txbx>
                              <w:txbxContent>
                                <w:p w14:paraId="284A3235" w14:textId="77777777" w:rsidR="000F631C" w:rsidRDefault="000F631C" w:rsidP="000F631C">
                                  <w:pPr>
                                    <w:jc w:val="center"/>
                                  </w:pPr>
                                  <w:r>
                                    <w: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7B2150" id="_x0000_t202" coordsize="21600,21600" o:spt="202" path="m,l,21600r21600,l21600,xe">
                      <v:stroke joinstyle="miter"/>
                      <v:path gradientshapeok="t" o:connecttype="rect"/>
                    </v:shapetype>
                    <v:shape id="Text Box 2" o:spid="_x0000_s1026" type="#_x0000_t202" style="position:absolute;margin-left:-22.25pt;margin-top:9.25pt;width:39.7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">
                      <v:textbox>
                        <w:txbxContent>
                          <w:p w14:paraId="284A3235" w14:textId="77777777" w:rsidR="000F631C" w:rsidRDefault="000F631C" w:rsidP="000F631C">
                            <w:pPr>
                              <w:jc w:val="center"/>
                            </w:pPr>
                            <w:r>
                              <w:t>AND</w:t>
                            </w:r>
                          </w:p>
                        </w:txbxContent>
                      </v:textbox>
                    </v:shape>
                  </w:pict>
                </mc:Fallback>
              </mc:AlternateContent>
            </w:r>
          </w:p>
          <w:p w14:paraId="4B93810C" w14:textId="778449C7" w:rsidR="000F631C" w:rsidRPr="000F631C" w:rsidRDefault="000F631C" w:rsidP="000F631C">
            <w:pPr>
              <w:spacing w:after="160" w:line="480" w:lineRule="auto"/>
              <w:rPr>
                <w:rFonts w:eastAsiaTheme="minorHAnsi" w:cs="Calibri"/>
                <w:b/>
                <w:bCs/>
                <w:sz w:val="24"/>
                <w:szCs w:val="24"/>
                <w:lang w:eastAsia="en-US"/>
              </w:rPr>
            </w:pPr>
            <w:r>
              <w:rPr>
                <w:rFonts w:eastAsiaTheme="minorHAnsi" w:cs="Calibri"/>
                <w:b/>
                <w:bCs/>
                <w:sz w:val="24"/>
                <w:szCs w:val="24"/>
                <w:lang w:eastAsia="en-US"/>
              </w:rPr>
              <w:t xml:space="preserve">   </w:t>
            </w:r>
            <w:r w:rsidRPr="000F631C">
              <w:rPr>
                <w:rFonts w:eastAsiaTheme="minorHAnsi" w:cs="Calibri"/>
                <w:b/>
                <w:bCs/>
                <w:sz w:val="24"/>
                <w:szCs w:val="24"/>
                <w:lang w:eastAsia="en-US"/>
              </w:rPr>
              <w:t>Workforce Management</w:t>
            </w:r>
          </w:p>
          <w:p w14:paraId="74CA74F6" w14:textId="77777777" w:rsidR="000F631C" w:rsidRPr="000F631C" w:rsidRDefault="000F631C" w:rsidP="000F631C">
            <w:pPr>
              <w:spacing w:after="160" w:line="480" w:lineRule="auto"/>
              <w:rPr>
                <w:rFonts w:eastAsiaTheme="minorHAnsi" w:cs="Calibri"/>
                <w:b/>
                <w:bCs/>
                <w:sz w:val="24"/>
                <w:szCs w:val="24"/>
                <w:lang w:eastAsia="en-US"/>
              </w:rPr>
            </w:pPr>
          </w:p>
        </w:tc>
        <w:tc>
          <w:tcPr>
            <w:tcW w:w="3261" w:type="dxa"/>
          </w:tcPr>
          <w:p w14:paraId="15F5E5C6"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mc:AlternateContent>
                <mc:Choice Requires="wps">
                  <w:drawing>
                    <wp:anchor distT="0" distB="0" distL="114300" distR="114300" simplePos="0" relativeHeight="251660288" behindDoc="0" locked="0" layoutInCell="1" allowOverlap="1" wp14:anchorId="6B3CEB05" wp14:editId="1B111D86">
                      <wp:simplePos x="0" y="0"/>
                      <wp:positionH relativeFrom="column">
                        <wp:posOffset>-280502</wp:posOffset>
                      </wp:positionH>
                      <wp:positionV relativeFrom="paragraph">
                        <wp:posOffset>118374</wp:posOffset>
                      </wp:positionV>
                      <wp:extent cx="504825" cy="285750"/>
                      <wp:effectExtent l="0" t="0" r="9525"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285750"/>
                              </a:xfrm>
                              <a:prstGeom prst="rect">
                                <a:avLst/>
                              </a:prstGeom>
                              <a:solidFill>
                                <a:srgbClr val="FFFFFF"/>
                              </a:solidFill>
                              <a:ln w="9525">
                                <a:solidFill>
                                  <a:srgbClr val="000000"/>
                                </a:solidFill>
                                <a:miter lim="800000"/>
                                <a:headEnd/>
                                <a:tailEnd/>
                              </a:ln>
                            </wps:spPr>
                            <wps:txbx>
                              <w:txbxContent>
                                <w:p w14:paraId="3EEB6B64" w14:textId="77777777" w:rsidR="000F631C" w:rsidRDefault="000F631C" w:rsidP="000F631C">
                                  <w:pPr>
                                    <w:jc w:val="center"/>
                                  </w:pPr>
                                  <w:r>
                                    <w: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CEB05" id="_x0000_s1027" type="#_x0000_t202" style="position:absolute;margin-left:-22.1pt;margin-top:9.3pt;width:39.7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">
                      <v:textbox>
                        <w:txbxContent>
                          <w:p w14:paraId="3EEB6B64" w14:textId="77777777" w:rsidR="000F631C" w:rsidRDefault="000F631C" w:rsidP="000F631C">
                            <w:pPr>
                              <w:jc w:val="center"/>
                            </w:pPr>
                            <w:r>
                              <w:t>AND</w:t>
                            </w:r>
                          </w:p>
                        </w:txbxContent>
                      </v:textbox>
                    </v:shape>
                  </w:pict>
                </mc:Fallback>
              </mc:AlternateContent>
            </w:r>
          </w:p>
          <w:p w14:paraId="157C9FB2" w14:textId="29DE82FD" w:rsidR="000F631C" w:rsidRPr="000F631C" w:rsidRDefault="000F631C" w:rsidP="000F631C">
            <w:pPr>
              <w:spacing w:after="160" w:line="480" w:lineRule="auto"/>
              <w:rPr>
                <w:rFonts w:eastAsiaTheme="minorHAnsi" w:cs="Calibri"/>
                <w:b/>
                <w:bCs/>
                <w:sz w:val="24"/>
                <w:szCs w:val="24"/>
                <w:lang w:eastAsia="en-US"/>
              </w:rPr>
            </w:pPr>
            <w:r>
              <w:rPr>
                <w:rFonts w:eastAsiaTheme="minorHAnsi" w:cs="Calibri"/>
                <w:b/>
                <w:bCs/>
                <w:sz w:val="24"/>
                <w:szCs w:val="24"/>
                <w:lang w:eastAsia="en-US"/>
              </w:rPr>
              <w:t xml:space="preserve">           </w:t>
            </w:r>
            <w:r w:rsidRPr="000F631C">
              <w:rPr>
                <w:rFonts w:eastAsiaTheme="minorHAnsi" w:cs="Calibri"/>
                <w:b/>
                <w:bCs/>
                <w:sz w:val="24"/>
                <w:szCs w:val="24"/>
                <w:lang w:eastAsia="en-US"/>
              </w:rPr>
              <w:t>Decision Support</w:t>
            </w:r>
          </w:p>
          <w:p w14:paraId="69071D12" w14:textId="77777777" w:rsidR="000F631C" w:rsidRPr="000F631C" w:rsidRDefault="000F631C" w:rsidP="000F631C">
            <w:pPr>
              <w:spacing w:after="160" w:line="480" w:lineRule="auto"/>
              <w:rPr>
                <w:rFonts w:eastAsiaTheme="minorHAnsi" w:cs="Calibri"/>
                <w:b/>
                <w:bCs/>
                <w:sz w:val="24"/>
                <w:szCs w:val="24"/>
                <w:lang w:eastAsia="en-US"/>
              </w:rPr>
            </w:pPr>
          </w:p>
        </w:tc>
      </w:tr>
      <w:tr w:rsidR="000F631C" w:rsidRPr="000F631C" w14:paraId="7BE75632" w14:textId="77777777" w:rsidTr="000F631C">
        <w:trPr>
          <w:trHeight w:val="839"/>
        </w:trPr>
        <w:tc>
          <w:tcPr>
            <w:tcW w:w="9924" w:type="dxa"/>
            <w:gridSpan w:val="3"/>
          </w:tcPr>
          <w:p w14:paraId="18F53700"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mc:AlternateContent>
                <mc:Choice Requires="wps">
                  <w:drawing>
                    <wp:anchor distT="0" distB="0" distL="114300" distR="114300" simplePos="0" relativeHeight="251661312" behindDoc="0" locked="0" layoutInCell="1" allowOverlap="1" wp14:anchorId="7AA65725" wp14:editId="5A6A32DB">
                      <wp:simplePos x="0" y="0"/>
                      <wp:positionH relativeFrom="column">
                        <wp:posOffset>4138295</wp:posOffset>
                      </wp:positionH>
                      <wp:positionV relativeFrom="paragraph">
                        <wp:posOffset>81915</wp:posOffset>
                      </wp:positionV>
                      <wp:extent cx="533400" cy="32385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23850"/>
                              </a:xfrm>
                              <a:prstGeom prst="rect">
                                <a:avLst/>
                              </a:prstGeom>
                              <a:solidFill>
                                <a:srgbClr val="FFFFFF"/>
                              </a:solidFill>
                              <a:ln w="9525">
                                <a:solidFill>
                                  <a:srgbClr val="000000"/>
                                </a:solidFill>
                                <a:miter lim="800000"/>
                                <a:headEnd/>
                                <a:tailEnd/>
                              </a:ln>
                            </wps:spPr>
                            <wps:txbx>
                              <w:txbxContent>
                                <w:p w14:paraId="1FB8C512" w14:textId="77777777" w:rsidR="000F631C" w:rsidRDefault="000F631C" w:rsidP="000F631C">
                                  <w:r>
                                    <w: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65725" id="Text Box 7" o:spid="_x0000_s1028" type="#_x0000_t202" style="position:absolute;margin-left:325.85pt;margin-top:6.45pt;width:42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">
                      <v:textbox>
                        <w:txbxContent>
                          <w:p w14:paraId="1FB8C512" w14:textId="77777777" w:rsidR="000F631C" w:rsidRDefault="000F631C" w:rsidP="000F631C">
                            <w:r>
                              <w:t>OR</w:t>
                            </w:r>
                          </w:p>
                        </w:txbxContent>
                      </v:textbox>
                    </v:shape>
                  </w:pict>
                </mc:Fallback>
              </mc:AlternateContent>
            </w:r>
            <w:r w:rsidRPr="000F631C">
              <w:rPr>
                <w:rFonts w:eastAsiaTheme="minorHAnsi" w:cs="Calibri"/>
                <w:b/>
                <w:bCs/>
                <w:sz w:val="24"/>
                <w:szCs w:val="24"/>
                <w:lang w:eastAsia="en-US"/>
              </w:rPr>
              <mc:AlternateContent>
                <mc:Choice Requires="wps">
                  <w:drawing>
                    <wp:anchor distT="0" distB="0" distL="114300" distR="114300" simplePos="0" relativeHeight="251662336" behindDoc="0" locked="0" layoutInCell="1" allowOverlap="1" wp14:anchorId="372DE4AF" wp14:editId="76AAE157">
                      <wp:simplePos x="0" y="0"/>
                      <wp:positionH relativeFrom="column">
                        <wp:posOffset>4481195</wp:posOffset>
                      </wp:positionH>
                      <wp:positionV relativeFrom="paragraph">
                        <wp:posOffset>163195</wp:posOffset>
                      </wp:positionV>
                      <wp:extent cx="87630" cy="189865"/>
                      <wp:effectExtent l="19050" t="0" r="26670" b="19685"/>
                      <wp:wrapNone/>
                      <wp:docPr id="8" name="Down Arrow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630" cy="189865"/>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D7F40C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352.85pt;margin-top:12.85pt;width:6.9pt;height:1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" adj="16615" fillcolor="#4f81bd" strokecolor="#385d8a" strokeweight="2pt">
                      <v:path arrowok="t"/>
                    </v:shape>
                  </w:pict>
                </mc:Fallback>
              </mc:AlternateContent>
            </w:r>
            <w:r w:rsidRPr="000F631C">
              <w:rPr>
                <w:rFonts w:eastAsiaTheme="minorHAnsi" w:cs="Calibri"/>
                <w:b/>
                <w:bCs/>
                <w:sz w:val="24"/>
                <w:szCs w:val="24"/>
                <w:lang w:eastAsia="en-US"/>
              </w:rPr>
              <mc:AlternateContent>
                <mc:Choice Requires="wps">
                  <w:drawing>
                    <wp:anchor distT="0" distB="0" distL="114300" distR="114300" simplePos="0" relativeHeight="251664384" behindDoc="0" locked="0" layoutInCell="1" allowOverlap="1" wp14:anchorId="1493C9A8" wp14:editId="04AC0009">
                      <wp:simplePos x="0" y="0"/>
                      <wp:positionH relativeFrom="column">
                        <wp:posOffset>1238250</wp:posOffset>
                      </wp:positionH>
                      <wp:positionV relativeFrom="paragraph">
                        <wp:posOffset>161925</wp:posOffset>
                      </wp:positionV>
                      <wp:extent cx="87630" cy="189865"/>
                      <wp:effectExtent l="19050" t="0" r="26670" b="19685"/>
                      <wp:wrapNone/>
                      <wp:docPr id="10" name="Down Arrow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630" cy="189865"/>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E21578" id="Down Arrow 10" o:spid="_x0000_s1026" type="#_x0000_t67" style="position:absolute;margin-left:97.5pt;margin-top:12.75pt;width:6.9pt;height:1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" adj="16615" fillcolor="#4f81bd" strokecolor="#385d8a" strokeweight="2pt">
                      <v:path arrowok="t"/>
                    </v:shape>
                  </w:pict>
                </mc:Fallback>
              </mc:AlternateContent>
            </w:r>
            <w:r w:rsidRPr="000F631C">
              <w:rPr>
                <w:rFonts w:eastAsiaTheme="minorHAnsi" w:cs="Calibri"/>
                <w:b/>
                <w:bCs/>
                <w:sz w:val="24"/>
                <w:szCs w:val="24"/>
                <w:lang w:eastAsia="en-US"/>
              </w:rPr>
              <mc:AlternateContent>
                <mc:Choice Requires="wps">
                  <w:drawing>
                    <wp:anchor distT="0" distB="0" distL="114300" distR="114300" simplePos="0" relativeHeight="251663360" behindDoc="0" locked="0" layoutInCell="1" allowOverlap="1" wp14:anchorId="558A101E" wp14:editId="2C99273E">
                      <wp:simplePos x="0" y="0"/>
                      <wp:positionH relativeFrom="column">
                        <wp:posOffset>895350</wp:posOffset>
                      </wp:positionH>
                      <wp:positionV relativeFrom="paragraph">
                        <wp:posOffset>99695</wp:posOffset>
                      </wp:positionV>
                      <wp:extent cx="533400" cy="32385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23850"/>
                              </a:xfrm>
                              <a:prstGeom prst="rect">
                                <a:avLst/>
                              </a:prstGeom>
                              <a:solidFill>
                                <a:srgbClr val="FFFFFF"/>
                              </a:solidFill>
                              <a:ln w="9525">
                                <a:solidFill>
                                  <a:srgbClr val="000000"/>
                                </a:solidFill>
                                <a:miter lim="800000"/>
                                <a:headEnd/>
                                <a:tailEnd/>
                              </a:ln>
                            </wps:spPr>
                            <wps:txbx>
                              <w:txbxContent>
                                <w:p w14:paraId="08F07C3A" w14:textId="77777777" w:rsidR="000F631C" w:rsidRDefault="000F631C" w:rsidP="000F631C">
                                  <w:r>
                                    <w: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A101E" id="Text Box 9" o:spid="_x0000_s1029" type="#_x0000_t202" style="position:absolute;margin-left:70.5pt;margin-top:7.85pt;width:42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">
                      <v:textbox>
                        <w:txbxContent>
                          <w:p w14:paraId="08F07C3A" w14:textId="77777777" w:rsidR="000F631C" w:rsidRDefault="000F631C" w:rsidP="000F631C">
                            <w:r>
                              <w:t>OR</w:t>
                            </w:r>
                          </w:p>
                        </w:txbxContent>
                      </v:textbox>
                    </v:shape>
                  </w:pict>
                </mc:Fallback>
              </mc:AlternateContent>
            </w:r>
          </w:p>
          <w:p w14:paraId="124BAAE2" w14:textId="2C0EE6D6" w:rsidR="000F631C" w:rsidRPr="000F631C" w:rsidRDefault="000F631C" w:rsidP="000F631C">
            <w:pPr>
              <w:spacing w:after="160" w:line="480" w:lineRule="auto"/>
              <w:rPr>
                <w:rFonts w:eastAsiaTheme="minorHAnsi" w:cs="Calibri"/>
                <w:b/>
                <w:bCs/>
                <w:sz w:val="24"/>
                <w:szCs w:val="24"/>
                <w:lang w:eastAsia="en-US"/>
              </w:rPr>
            </w:pPr>
            <w:r>
              <w:rPr>
                <w:rFonts w:eastAsiaTheme="minorHAnsi" w:cs="Calibri"/>
                <w:b/>
                <w:bCs/>
                <w:sz w:val="24"/>
                <w:szCs w:val="24"/>
                <w:lang w:eastAsia="en-US"/>
              </w:rPr>
              <w:t xml:space="preserve">                                                                        </w:t>
            </w:r>
            <w:r w:rsidRPr="000F631C">
              <w:rPr>
                <w:rFonts w:eastAsiaTheme="minorHAnsi" w:cs="Calibri"/>
                <w:b/>
                <w:bCs/>
                <w:sz w:val="24"/>
                <w:szCs w:val="24"/>
                <w:lang w:eastAsia="en-US"/>
              </w:rPr>
              <w:t>Alternative Words</w:t>
            </w:r>
          </w:p>
        </w:tc>
      </w:tr>
      <w:tr w:rsidR="000F631C" w:rsidRPr="000F631C" w14:paraId="6F42459A" w14:textId="77777777" w:rsidTr="000F631C">
        <w:trPr>
          <w:trHeight w:val="1088"/>
        </w:trPr>
        <w:tc>
          <w:tcPr>
            <w:tcW w:w="3403" w:type="dxa"/>
          </w:tcPr>
          <w:p w14:paraId="74E2C1E8" w14:textId="77777777" w:rsidR="000F631C" w:rsidRPr="000F631C" w:rsidRDefault="000F631C" w:rsidP="000F631C">
            <w:pPr>
              <w:spacing w:after="160" w:line="480" w:lineRule="auto"/>
              <w:rPr>
                <w:rFonts w:eastAsiaTheme="minorHAnsi" w:cs="Calibri"/>
                <w:b/>
                <w:bCs/>
                <w:sz w:val="24"/>
                <w:szCs w:val="24"/>
                <w:lang w:eastAsia="en-US"/>
              </w:rPr>
            </w:pPr>
          </w:p>
          <w:p w14:paraId="3A35EA53"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Nursing Dependency Tool</w:t>
            </w:r>
          </w:p>
          <w:p w14:paraId="416B5489" w14:textId="77777777" w:rsidR="000F631C" w:rsidRPr="000F631C" w:rsidRDefault="000F631C" w:rsidP="000F631C">
            <w:pPr>
              <w:spacing w:after="160" w:line="480" w:lineRule="auto"/>
              <w:rPr>
                <w:rFonts w:eastAsiaTheme="minorHAnsi" w:cs="Calibri"/>
                <w:b/>
                <w:bCs/>
                <w:sz w:val="24"/>
                <w:szCs w:val="24"/>
                <w:lang w:eastAsia="en-US"/>
              </w:rPr>
            </w:pPr>
          </w:p>
        </w:tc>
        <w:tc>
          <w:tcPr>
            <w:tcW w:w="3260" w:type="dxa"/>
          </w:tcPr>
          <w:p w14:paraId="4D96D234" w14:textId="77777777" w:rsidR="000F631C" w:rsidRPr="000F631C" w:rsidRDefault="000F631C" w:rsidP="000F631C">
            <w:pPr>
              <w:spacing w:after="160" w:line="480" w:lineRule="auto"/>
              <w:rPr>
                <w:rFonts w:eastAsiaTheme="minorHAnsi" w:cs="Calibri"/>
                <w:b/>
                <w:bCs/>
                <w:sz w:val="24"/>
                <w:szCs w:val="24"/>
                <w:lang w:eastAsia="en-US"/>
              </w:rPr>
            </w:pPr>
          </w:p>
          <w:p w14:paraId="2E0AE4D7"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 xml:space="preserve"> Resource Management</w:t>
            </w:r>
          </w:p>
          <w:p w14:paraId="72F9DEAC" w14:textId="77777777" w:rsidR="000F631C" w:rsidRPr="000F631C" w:rsidRDefault="000F631C" w:rsidP="000F631C">
            <w:pPr>
              <w:spacing w:after="160" w:line="480" w:lineRule="auto"/>
              <w:rPr>
                <w:rFonts w:eastAsiaTheme="minorHAnsi" w:cs="Calibri"/>
                <w:b/>
                <w:bCs/>
                <w:sz w:val="24"/>
                <w:szCs w:val="24"/>
                <w:lang w:eastAsia="en-US"/>
              </w:rPr>
            </w:pPr>
          </w:p>
        </w:tc>
        <w:tc>
          <w:tcPr>
            <w:tcW w:w="3261" w:type="dxa"/>
          </w:tcPr>
          <w:p w14:paraId="76E07321" w14:textId="77777777" w:rsidR="000F631C" w:rsidRPr="000F631C" w:rsidRDefault="000F631C" w:rsidP="000F631C">
            <w:pPr>
              <w:spacing w:after="160" w:line="480" w:lineRule="auto"/>
              <w:rPr>
                <w:rFonts w:eastAsiaTheme="minorHAnsi" w:cs="Calibri"/>
                <w:b/>
                <w:bCs/>
                <w:sz w:val="24"/>
                <w:szCs w:val="24"/>
                <w:lang w:eastAsia="en-US"/>
              </w:rPr>
            </w:pPr>
          </w:p>
          <w:p w14:paraId="1BADA291" w14:textId="77777777" w:rsidR="000F631C" w:rsidRPr="000F631C" w:rsidRDefault="000F631C" w:rsidP="000F631C">
            <w:pPr>
              <w:spacing w:after="160" w:line="480" w:lineRule="auto"/>
              <w:rPr>
                <w:rFonts w:eastAsiaTheme="minorHAnsi" w:cs="Calibri"/>
                <w:b/>
                <w:bCs/>
                <w:sz w:val="24"/>
                <w:szCs w:val="24"/>
                <w:lang w:eastAsia="en-US"/>
              </w:rPr>
            </w:pPr>
          </w:p>
        </w:tc>
      </w:tr>
    </w:tbl>
    <w:p w14:paraId="5C75163C"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Table 4.</w:t>
      </w:r>
    </w:p>
    <w:p w14:paraId="12E2EE37" w14:textId="77777777" w:rsidR="000F631C" w:rsidRPr="000F631C" w:rsidRDefault="000F631C" w:rsidP="000F631C">
      <w:pPr>
        <w:spacing w:line="480" w:lineRule="auto"/>
        <w:rPr>
          <w:rFonts w:ascii="Calibri" w:hAnsi="Calibri" w:cs="Calibri"/>
          <w:sz w:val="24"/>
          <w:szCs w:val="24"/>
        </w:rPr>
      </w:pPr>
    </w:p>
    <w:tbl>
      <w:tblPr>
        <w:tblStyle w:val="TableGrid2"/>
        <w:tblW w:w="9924" w:type="dxa"/>
        <w:tblInd w:w="-431" w:type="dxa"/>
        <w:tblLook w:val="04A0" w:firstRow="1" w:lastRow="0" w:firstColumn="1" w:lastColumn="0" w:noHBand="0" w:noVBand="1"/>
      </w:tblPr>
      <w:tblGrid>
        <w:gridCol w:w="2411"/>
        <w:gridCol w:w="1263"/>
        <w:gridCol w:w="2564"/>
        <w:gridCol w:w="1264"/>
        <w:gridCol w:w="2422"/>
      </w:tblGrid>
      <w:tr w:rsidR="000F631C" w:rsidRPr="000F631C" w14:paraId="65D387D3" w14:textId="77777777" w:rsidTr="000F631C">
        <w:tc>
          <w:tcPr>
            <w:tcW w:w="2411" w:type="dxa"/>
          </w:tcPr>
          <w:p w14:paraId="26D97578"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Search 1</w:t>
            </w:r>
          </w:p>
        </w:tc>
        <w:tc>
          <w:tcPr>
            <w:tcW w:w="1263" w:type="dxa"/>
          </w:tcPr>
          <w:p w14:paraId="7F7C4CFD" w14:textId="77777777" w:rsidR="000F631C" w:rsidRPr="000F631C" w:rsidRDefault="000F631C" w:rsidP="000F631C">
            <w:pPr>
              <w:spacing w:after="160" w:line="480" w:lineRule="auto"/>
              <w:rPr>
                <w:rFonts w:eastAsiaTheme="minorHAnsi" w:cs="Calibri"/>
                <w:b/>
                <w:bCs/>
                <w:sz w:val="24"/>
                <w:szCs w:val="24"/>
                <w:lang w:eastAsia="en-US"/>
              </w:rPr>
            </w:pPr>
          </w:p>
        </w:tc>
        <w:tc>
          <w:tcPr>
            <w:tcW w:w="2564" w:type="dxa"/>
          </w:tcPr>
          <w:p w14:paraId="5EA2824A"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Search 2</w:t>
            </w:r>
          </w:p>
        </w:tc>
        <w:tc>
          <w:tcPr>
            <w:tcW w:w="1264" w:type="dxa"/>
          </w:tcPr>
          <w:p w14:paraId="1B6D3ECE" w14:textId="77777777" w:rsidR="000F631C" w:rsidRPr="000F631C" w:rsidRDefault="000F631C" w:rsidP="000F631C">
            <w:pPr>
              <w:spacing w:after="160" w:line="480" w:lineRule="auto"/>
              <w:rPr>
                <w:rFonts w:eastAsiaTheme="minorHAnsi" w:cs="Calibri"/>
                <w:b/>
                <w:bCs/>
                <w:sz w:val="24"/>
                <w:szCs w:val="24"/>
                <w:lang w:eastAsia="en-US"/>
              </w:rPr>
            </w:pPr>
          </w:p>
        </w:tc>
        <w:tc>
          <w:tcPr>
            <w:tcW w:w="2422" w:type="dxa"/>
          </w:tcPr>
          <w:p w14:paraId="490F2A38"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Search 3</w:t>
            </w:r>
          </w:p>
        </w:tc>
      </w:tr>
      <w:tr w:rsidR="000F631C" w:rsidRPr="000F631C" w14:paraId="14354B64" w14:textId="77777777" w:rsidTr="000F631C">
        <w:tc>
          <w:tcPr>
            <w:tcW w:w="2411" w:type="dxa"/>
          </w:tcPr>
          <w:p w14:paraId="7F0E8F8D" w14:textId="77777777" w:rsidR="000F631C" w:rsidRPr="000F631C" w:rsidRDefault="000F631C" w:rsidP="000F631C">
            <w:pPr>
              <w:spacing w:after="160" w:line="480" w:lineRule="auto"/>
              <w:rPr>
                <w:rFonts w:eastAsiaTheme="minorHAnsi" w:cs="Calibri"/>
                <w:b/>
                <w:bCs/>
                <w:sz w:val="24"/>
                <w:szCs w:val="24"/>
                <w:lang w:eastAsia="en-US"/>
              </w:rPr>
            </w:pPr>
          </w:p>
          <w:p w14:paraId="6CA6159F" w14:textId="77777777" w:rsidR="000F631C" w:rsidRPr="000F631C" w:rsidRDefault="000F631C" w:rsidP="000F631C">
            <w:pPr>
              <w:spacing w:after="160" w:line="480" w:lineRule="auto"/>
              <w:rPr>
                <w:rFonts w:eastAsiaTheme="minorHAnsi" w:cs="Calibri"/>
                <w:b/>
                <w:bCs/>
                <w:sz w:val="24"/>
                <w:szCs w:val="24"/>
                <w:lang w:eastAsia="en-US"/>
              </w:rPr>
            </w:pPr>
            <w:proofErr w:type="spellStart"/>
            <w:r w:rsidRPr="000F631C">
              <w:rPr>
                <w:rFonts w:eastAsiaTheme="minorHAnsi" w:cs="Calibri"/>
                <w:b/>
                <w:bCs/>
                <w:sz w:val="24"/>
                <w:szCs w:val="24"/>
                <w:lang w:eastAsia="en-US"/>
              </w:rPr>
              <w:t>Nurs</w:t>
            </w:r>
            <w:proofErr w:type="spellEnd"/>
            <w:r w:rsidRPr="000F631C">
              <w:rPr>
                <w:rFonts w:eastAsiaTheme="minorHAnsi" w:cs="Calibri"/>
                <w:b/>
                <w:bCs/>
                <w:sz w:val="24"/>
                <w:szCs w:val="24"/>
                <w:lang w:eastAsia="en-US"/>
              </w:rPr>
              <w:t>* Acuity Tool</w:t>
            </w:r>
          </w:p>
          <w:p w14:paraId="3A986947" w14:textId="77777777" w:rsidR="000F631C" w:rsidRPr="000F631C" w:rsidRDefault="000F631C" w:rsidP="000F631C">
            <w:pPr>
              <w:spacing w:after="160" w:line="480" w:lineRule="auto"/>
              <w:rPr>
                <w:rFonts w:eastAsiaTheme="minorHAnsi" w:cs="Calibri"/>
                <w:b/>
                <w:bCs/>
                <w:sz w:val="24"/>
                <w:szCs w:val="24"/>
                <w:u w:val="single"/>
                <w:lang w:eastAsia="en-US"/>
              </w:rPr>
            </w:pPr>
            <w:r w:rsidRPr="000F631C">
              <w:rPr>
                <w:rFonts w:eastAsiaTheme="minorHAnsi" w:cs="Calibri"/>
                <w:b/>
                <w:bCs/>
                <w:sz w:val="24"/>
                <w:szCs w:val="24"/>
                <w:u w:val="single"/>
                <w:lang w:eastAsia="en-US"/>
              </w:rPr>
              <w:t>OR</w:t>
            </w:r>
          </w:p>
          <w:p w14:paraId="040B8DA8" w14:textId="77777777" w:rsidR="000F631C" w:rsidRPr="000F631C" w:rsidRDefault="000F631C" w:rsidP="000F631C">
            <w:pPr>
              <w:spacing w:after="160" w:line="480" w:lineRule="auto"/>
              <w:rPr>
                <w:rFonts w:eastAsiaTheme="minorHAnsi" w:cs="Calibri"/>
                <w:b/>
                <w:bCs/>
                <w:sz w:val="24"/>
                <w:szCs w:val="24"/>
                <w:lang w:eastAsia="en-US"/>
              </w:rPr>
            </w:pPr>
            <w:proofErr w:type="spellStart"/>
            <w:r w:rsidRPr="000F631C">
              <w:rPr>
                <w:rFonts w:eastAsiaTheme="minorHAnsi" w:cs="Calibri"/>
                <w:b/>
                <w:bCs/>
                <w:sz w:val="24"/>
                <w:szCs w:val="24"/>
                <w:lang w:eastAsia="en-US"/>
              </w:rPr>
              <w:t>Nurs</w:t>
            </w:r>
            <w:proofErr w:type="spellEnd"/>
            <w:r w:rsidRPr="000F631C">
              <w:rPr>
                <w:rFonts w:eastAsiaTheme="minorHAnsi" w:cs="Calibri"/>
                <w:b/>
                <w:bCs/>
                <w:sz w:val="24"/>
                <w:szCs w:val="24"/>
                <w:lang w:eastAsia="en-US"/>
              </w:rPr>
              <w:t>* Dependency Tool</w:t>
            </w:r>
          </w:p>
          <w:p w14:paraId="4A4616BC" w14:textId="77777777" w:rsidR="000F631C" w:rsidRPr="000F631C" w:rsidRDefault="000F631C" w:rsidP="000F631C">
            <w:pPr>
              <w:spacing w:after="160" w:line="480" w:lineRule="auto"/>
              <w:rPr>
                <w:rFonts w:eastAsiaTheme="minorHAnsi" w:cs="Calibri"/>
                <w:b/>
                <w:bCs/>
                <w:sz w:val="24"/>
                <w:szCs w:val="24"/>
                <w:lang w:eastAsia="en-US"/>
              </w:rPr>
            </w:pPr>
          </w:p>
        </w:tc>
        <w:tc>
          <w:tcPr>
            <w:tcW w:w="1263" w:type="dxa"/>
          </w:tcPr>
          <w:p w14:paraId="7DE306AE" w14:textId="77777777" w:rsidR="000F631C" w:rsidRPr="000F631C" w:rsidRDefault="000F631C" w:rsidP="000F631C">
            <w:pPr>
              <w:spacing w:after="160" w:line="480" w:lineRule="auto"/>
              <w:rPr>
                <w:rFonts w:eastAsiaTheme="minorHAnsi" w:cs="Calibri"/>
                <w:b/>
                <w:bCs/>
                <w:sz w:val="24"/>
                <w:szCs w:val="24"/>
                <w:lang w:eastAsia="en-US"/>
              </w:rPr>
            </w:pPr>
          </w:p>
          <w:p w14:paraId="09843FFE" w14:textId="77777777" w:rsidR="000F631C" w:rsidRPr="000F631C" w:rsidRDefault="000F631C" w:rsidP="000F631C">
            <w:pPr>
              <w:spacing w:after="160" w:line="480" w:lineRule="auto"/>
              <w:rPr>
                <w:rFonts w:eastAsiaTheme="minorHAnsi" w:cs="Calibri"/>
                <w:b/>
                <w:bCs/>
                <w:sz w:val="24"/>
                <w:szCs w:val="24"/>
                <w:lang w:eastAsia="en-US"/>
              </w:rPr>
            </w:pPr>
          </w:p>
          <w:p w14:paraId="3197B3A3" w14:textId="77777777" w:rsidR="000F631C" w:rsidRPr="000F631C" w:rsidRDefault="000F631C" w:rsidP="000F631C">
            <w:pPr>
              <w:spacing w:after="160" w:line="480" w:lineRule="auto"/>
              <w:rPr>
                <w:rFonts w:eastAsiaTheme="minorHAnsi" w:cs="Calibri"/>
                <w:b/>
                <w:bCs/>
                <w:sz w:val="24"/>
                <w:szCs w:val="24"/>
                <w:lang w:eastAsia="en-US"/>
              </w:rPr>
            </w:pPr>
          </w:p>
          <w:p w14:paraId="23D34F2E" w14:textId="77777777" w:rsidR="000F631C" w:rsidRPr="000F631C" w:rsidRDefault="000F631C" w:rsidP="000F631C">
            <w:pPr>
              <w:spacing w:after="160" w:line="480" w:lineRule="auto"/>
              <w:rPr>
                <w:rFonts w:eastAsiaTheme="minorHAnsi" w:cs="Calibri"/>
                <w:b/>
                <w:bCs/>
                <w:sz w:val="24"/>
                <w:szCs w:val="24"/>
                <w:u w:val="single"/>
                <w:lang w:eastAsia="en-US"/>
              </w:rPr>
            </w:pPr>
            <w:r w:rsidRPr="000F631C">
              <w:rPr>
                <w:rFonts w:eastAsiaTheme="minorHAnsi" w:cs="Calibri"/>
                <w:b/>
                <w:bCs/>
                <w:sz w:val="24"/>
                <w:szCs w:val="24"/>
                <w:u w:val="single"/>
                <w:lang w:eastAsia="en-US"/>
              </w:rPr>
              <w:t>AND</w:t>
            </w:r>
          </w:p>
        </w:tc>
        <w:tc>
          <w:tcPr>
            <w:tcW w:w="2564" w:type="dxa"/>
          </w:tcPr>
          <w:p w14:paraId="7C915ED1" w14:textId="77777777" w:rsidR="000F631C" w:rsidRPr="000F631C" w:rsidRDefault="000F631C" w:rsidP="000F631C">
            <w:pPr>
              <w:spacing w:after="160" w:line="480" w:lineRule="auto"/>
              <w:rPr>
                <w:rFonts w:eastAsiaTheme="minorHAnsi" w:cs="Calibri"/>
                <w:b/>
                <w:bCs/>
                <w:sz w:val="24"/>
                <w:szCs w:val="24"/>
                <w:lang w:eastAsia="en-US"/>
              </w:rPr>
            </w:pPr>
          </w:p>
          <w:p w14:paraId="6FEF6039"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Workforce Management</w:t>
            </w:r>
          </w:p>
          <w:p w14:paraId="4D4B64EA" w14:textId="77777777" w:rsidR="000F631C" w:rsidRPr="000F631C" w:rsidRDefault="000F631C" w:rsidP="000F631C">
            <w:pPr>
              <w:spacing w:after="160" w:line="480" w:lineRule="auto"/>
              <w:rPr>
                <w:rFonts w:eastAsiaTheme="minorHAnsi" w:cs="Calibri"/>
                <w:b/>
                <w:bCs/>
                <w:sz w:val="24"/>
                <w:szCs w:val="24"/>
                <w:u w:val="single"/>
                <w:lang w:eastAsia="en-US"/>
              </w:rPr>
            </w:pPr>
            <w:r w:rsidRPr="000F631C">
              <w:rPr>
                <w:rFonts w:eastAsiaTheme="minorHAnsi" w:cs="Calibri"/>
                <w:b/>
                <w:bCs/>
                <w:sz w:val="24"/>
                <w:szCs w:val="24"/>
                <w:u w:val="single"/>
                <w:lang w:eastAsia="en-US"/>
              </w:rPr>
              <w:t>OR</w:t>
            </w:r>
          </w:p>
          <w:p w14:paraId="606B48BC"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Resource Management</w:t>
            </w:r>
          </w:p>
          <w:p w14:paraId="0ED24B70" w14:textId="77777777" w:rsidR="000F631C" w:rsidRPr="000F631C" w:rsidRDefault="000F631C" w:rsidP="000F631C">
            <w:pPr>
              <w:spacing w:after="160" w:line="480" w:lineRule="auto"/>
              <w:rPr>
                <w:rFonts w:eastAsiaTheme="minorHAnsi" w:cs="Calibri"/>
                <w:b/>
                <w:bCs/>
                <w:sz w:val="24"/>
                <w:szCs w:val="24"/>
                <w:lang w:eastAsia="en-US"/>
              </w:rPr>
            </w:pPr>
          </w:p>
        </w:tc>
        <w:tc>
          <w:tcPr>
            <w:tcW w:w="1264" w:type="dxa"/>
          </w:tcPr>
          <w:p w14:paraId="34A4B3D2" w14:textId="77777777" w:rsidR="000F631C" w:rsidRPr="000F631C" w:rsidRDefault="000F631C" w:rsidP="000F631C">
            <w:pPr>
              <w:spacing w:after="160" w:line="480" w:lineRule="auto"/>
              <w:rPr>
                <w:rFonts w:eastAsiaTheme="minorHAnsi" w:cs="Calibri"/>
                <w:b/>
                <w:bCs/>
                <w:sz w:val="24"/>
                <w:szCs w:val="24"/>
                <w:lang w:eastAsia="en-US"/>
              </w:rPr>
            </w:pPr>
          </w:p>
          <w:p w14:paraId="2D93589B" w14:textId="77777777" w:rsidR="000F631C" w:rsidRPr="000F631C" w:rsidRDefault="000F631C" w:rsidP="000F631C">
            <w:pPr>
              <w:spacing w:after="160" w:line="480" w:lineRule="auto"/>
              <w:rPr>
                <w:rFonts w:eastAsiaTheme="minorHAnsi" w:cs="Calibri"/>
                <w:b/>
                <w:bCs/>
                <w:sz w:val="24"/>
                <w:szCs w:val="24"/>
                <w:lang w:eastAsia="en-US"/>
              </w:rPr>
            </w:pPr>
          </w:p>
          <w:p w14:paraId="08BAF992" w14:textId="77777777" w:rsidR="000F631C" w:rsidRPr="000F631C" w:rsidRDefault="000F631C" w:rsidP="000F631C">
            <w:pPr>
              <w:spacing w:after="160" w:line="480" w:lineRule="auto"/>
              <w:rPr>
                <w:rFonts w:eastAsiaTheme="minorHAnsi" w:cs="Calibri"/>
                <w:b/>
                <w:bCs/>
                <w:sz w:val="24"/>
                <w:szCs w:val="24"/>
                <w:lang w:eastAsia="en-US"/>
              </w:rPr>
            </w:pPr>
          </w:p>
          <w:p w14:paraId="0804FF8E" w14:textId="77777777" w:rsidR="000F631C" w:rsidRPr="000F631C" w:rsidRDefault="000F631C" w:rsidP="000F631C">
            <w:pPr>
              <w:spacing w:after="160" w:line="480" w:lineRule="auto"/>
              <w:rPr>
                <w:rFonts w:eastAsiaTheme="minorHAnsi" w:cs="Calibri"/>
                <w:b/>
                <w:bCs/>
                <w:sz w:val="24"/>
                <w:szCs w:val="24"/>
                <w:u w:val="single"/>
                <w:lang w:eastAsia="en-US"/>
              </w:rPr>
            </w:pPr>
            <w:r w:rsidRPr="000F631C">
              <w:rPr>
                <w:rFonts w:eastAsiaTheme="minorHAnsi" w:cs="Calibri"/>
                <w:b/>
                <w:bCs/>
                <w:sz w:val="24"/>
                <w:szCs w:val="24"/>
                <w:u w:val="single"/>
                <w:lang w:eastAsia="en-US"/>
              </w:rPr>
              <w:t>AND</w:t>
            </w:r>
          </w:p>
        </w:tc>
        <w:tc>
          <w:tcPr>
            <w:tcW w:w="2422" w:type="dxa"/>
          </w:tcPr>
          <w:p w14:paraId="42CC8FD3" w14:textId="77777777" w:rsidR="000F631C" w:rsidRPr="000F631C" w:rsidRDefault="000F631C" w:rsidP="000F631C">
            <w:pPr>
              <w:spacing w:after="160" w:line="480" w:lineRule="auto"/>
              <w:rPr>
                <w:rFonts w:eastAsiaTheme="minorHAnsi" w:cs="Calibri"/>
                <w:b/>
                <w:bCs/>
                <w:sz w:val="24"/>
                <w:szCs w:val="24"/>
                <w:lang w:eastAsia="en-US"/>
              </w:rPr>
            </w:pPr>
          </w:p>
          <w:p w14:paraId="3CB6760F" w14:textId="77777777" w:rsidR="000F631C" w:rsidRPr="000F631C" w:rsidRDefault="000F631C" w:rsidP="000F631C">
            <w:pPr>
              <w:spacing w:after="160" w:line="480" w:lineRule="auto"/>
              <w:rPr>
                <w:rFonts w:eastAsiaTheme="minorHAnsi" w:cs="Calibri"/>
                <w:b/>
                <w:bCs/>
                <w:sz w:val="24"/>
                <w:szCs w:val="24"/>
                <w:lang w:eastAsia="en-US"/>
              </w:rPr>
            </w:pPr>
            <w:r w:rsidRPr="000F631C">
              <w:rPr>
                <w:rFonts w:eastAsiaTheme="minorHAnsi" w:cs="Calibri"/>
                <w:b/>
                <w:bCs/>
                <w:sz w:val="24"/>
                <w:szCs w:val="24"/>
                <w:lang w:eastAsia="en-US"/>
              </w:rPr>
              <w:t>Decision Support</w:t>
            </w:r>
          </w:p>
          <w:p w14:paraId="3EDBE036" w14:textId="77777777" w:rsidR="000F631C" w:rsidRPr="000F631C" w:rsidRDefault="000F631C" w:rsidP="000F631C">
            <w:pPr>
              <w:spacing w:after="160" w:line="480" w:lineRule="auto"/>
              <w:rPr>
                <w:rFonts w:eastAsiaTheme="minorHAnsi" w:cs="Calibri"/>
                <w:b/>
                <w:bCs/>
                <w:sz w:val="24"/>
                <w:szCs w:val="24"/>
                <w:lang w:eastAsia="en-US"/>
              </w:rPr>
            </w:pPr>
          </w:p>
        </w:tc>
      </w:tr>
    </w:tbl>
    <w:p w14:paraId="5B99F1A6"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Table 5.</w:t>
      </w:r>
    </w:p>
    <w:p w14:paraId="3BD86198" w14:textId="77777777" w:rsidR="000F631C" w:rsidRPr="000F631C" w:rsidRDefault="000F631C" w:rsidP="000F631C">
      <w:pPr>
        <w:spacing w:line="480" w:lineRule="auto"/>
        <w:rPr>
          <w:rFonts w:ascii="Calibri" w:hAnsi="Calibri" w:cs="Calibri"/>
          <w:sz w:val="24"/>
          <w:szCs w:val="24"/>
        </w:rPr>
      </w:pPr>
    </w:p>
    <w:p w14:paraId="7724DA75" w14:textId="77777777" w:rsidR="000F631C" w:rsidRPr="000F631C" w:rsidRDefault="000F631C" w:rsidP="000F631C">
      <w:pPr>
        <w:spacing w:line="480" w:lineRule="auto"/>
        <w:rPr>
          <w:rFonts w:ascii="Calibri" w:hAnsi="Calibri" w:cs="Calibri"/>
          <w:sz w:val="24"/>
          <w:szCs w:val="24"/>
        </w:rPr>
      </w:pPr>
    </w:p>
    <w:tbl>
      <w:tblPr>
        <w:tblStyle w:val="GridTable1Light-Accent11"/>
        <w:tblW w:w="9356" w:type="dxa"/>
        <w:tblInd w:w="-289" w:type="dxa"/>
        <w:tblLayout w:type="fixed"/>
        <w:tblLook w:val="04A0" w:firstRow="1" w:lastRow="0" w:firstColumn="1" w:lastColumn="0" w:noHBand="0" w:noVBand="1"/>
      </w:tblPr>
      <w:tblGrid>
        <w:gridCol w:w="1350"/>
        <w:gridCol w:w="1044"/>
        <w:gridCol w:w="1718"/>
        <w:gridCol w:w="1134"/>
        <w:gridCol w:w="1134"/>
        <w:gridCol w:w="1417"/>
        <w:gridCol w:w="1559"/>
      </w:tblGrid>
      <w:tr w:rsidR="000F631C" w:rsidRPr="000F631C" w14:paraId="608F5DBD" w14:textId="77777777" w:rsidTr="000F63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5BDDBD54" w14:textId="77777777" w:rsidR="000F631C" w:rsidRPr="000F631C" w:rsidRDefault="000F631C" w:rsidP="000F631C">
            <w:pPr>
              <w:spacing w:after="160" w:line="480" w:lineRule="auto"/>
              <w:rPr>
                <w:rFonts w:cs="Calibri"/>
                <w:sz w:val="24"/>
                <w:szCs w:val="24"/>
              </w:rPr>
            </w:pPr>
            <w:bookmarkStart w:id="1" w:name="_Hlk89802502"/>
            <w:r w:rsidRPr="000F631C">
              <w:rPr>
                <w:rFonts w:cs="Calibri"/>
                <w:sz w:val="24"/>
                <w:szCs w:val="24"/>
              </w:rPr>
              <w:t>Database Name</w:t>
            </w:r>
          </w:p>
        </w:tc>
        <w:tc>
          <w:tcPr>
            <w:tcW w:w="1044" w:type="dxa"/>
          </w:tcPr>
          <w:p w14:paraId="64B51F0C"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Search Number</w:t>
            </w:r>
          </w:p>
        </w:tc>
        <w:tc>
          <w:tcPr>
            <w:tcW w:w="1718" w:type="dxa"/>
          </w:tcPr>
          <w:p w14:paraId="1374FFE8"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Limiting Terms</w:t>
            </w:r>
          </w:p>
        </w:tc>
        <w:tc>
          <w:tcPr>
            <w:tcW w:w="1134" w:type="dxa"/>
          </w:tcPr>
          <w:p w14:paraId="0A8A1404"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Number of Articles</w:t>
            </w:r>
          </w:p>
        </w:tc>
        <w:tc>
          <w:tcPr>
            <w:tcW w:w="1134" w:type="dxa"/>
          </w:tcPr>
          <w:p w14:paraId="6E2EA1C9"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Number of Relevant Articles Identified</w:t>
            </w:r>
          </w:p>
        </w:tc>
        <w:tc>
          <w:tcPr>
            <w:tcW w:w="1417" w:type="dxa"/>
          </w:tcPr>
          <w:p w14:paraId="0E018F0A"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Duplicates</w:t>
            </w:r>
          </w:p>
        </w:tc>
        <w:tc>
          <w:tcPr>
            <w:tcW w:w="1559" w:type="dxa"/>
          </w:tcPr>
          <w:p w14:paraId="6CD91F36" w14:textId="77777777" w:rsidR="000F631C" w:rsidRPr="000F631C" w:rsidRDefault="000F631C" w:rsidP="000F631C">
            <w:pPr>
              <w:spacing w:after="160" w:line="480" w:lineRule="auto"/>
              <w:cnfStyle w:val="100000000000" w:firstRow="1"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Number of articles Accessed / Reviewed</w:t>
            </w:r>
          </w:p>
        </w:tc>
      </w:tr>
      <w:tr w:rsidR="000F631C" w:rsidRPr="000F631C" w14:paraId="7AE8F457"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val="restart"/>
          </w:tcPr>
          <w:p w14:paraId="770C1710" w14:textId="77777777" w:rsidR="000F631C" w:rsidRPr="000F631C" w:rsidRDefault="000F631C" w:rsidP="000F631C">
            <w:pPr>
              <w:spacing w:after="160" w:line="480" w:lineRule="auto"/>
              <w:rPr>
                <w:rFonts w:cs="Calibri"/>
                <w:sz w:val="24"/>
                <w:szCs w:val="24"/>
              </w:rPr>
            </w:pPr>
            <w:r w:rsidRPr="000F631C">
              <w:rPr>
                <w:rFonts w:cs="Calibri"/>
                <w:sz w:val="24"/>
                <w:szCs w:val="24"/>
              </w:rPr>
              <w:t>Science Direct (</w:t>
            </w:r>
            <w:proofErr w:type="spellStart"/>
            <w:r w:rsidRPr="000F631C">
              <w:rPr>
                <w:rFonts w:cs="Calibri"/>
                <w:sz w:val="24"/>
                <w:szCs w:val="24"/>
              </w:rPr>
              <w:t>Elsiver</w:t>
            </w:r>
            <w:proofErr w:type="spellEnd"/>
            <w:r w:rsidRPr="000F631C">
              <w:rPr>
                <w:rFonts w:cs="Calibri"/>
                <w:sz w:val="24"/>
                <w:szCs w:val="24"/>
              </w:rPr>
              <w:t>)</w:t>
            </w:r>
          </w:p>
        </w:tc>
        <w:tc>
          <w:tcPr>
            <w:tcW w:w="1044" w:type="dxa"/>
          </w:tcPr>
          <w:p w14:paraId="25DDC73C"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w:t>
            </w:r>
          </w:p>
        </w:tc>
        <w:tc>
          <w:tcPr>
            <w:tcW w:w="1718" w:type="dxa"/>
          </w:tcPr>
          <w:p w14:paraId="48311D8A"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2019 – Current Year. Filter Duplicates.</w:t>
            </w:r>
          </w:p>
        </w:tc>
        <w:tc>
          <w:tcPr>
            <w:tcW w:w="1134" w:type="dxa"/>
          </w:tcPr>
          <w:p w14:paraId="1F4721AF"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2,199</w:t>
            </w:r>
          </w:p>
        </w:tc>
        <w:tc>
          <w:tcPr>
            <w:tcW w:w="1134" w:type="dxa"/>
            <w:shd w:val="clear" w:color="auto" w:fill="B8CCE4"/>
          </w:tcPr>
          <w:p w14:paraId="06E3F54B"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7245F2FE"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0087F5AF"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21DF7168"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55F2AF88" w14:textId="77777777" w:rsidR="000F631C" w:rsidRPr="000F631C" w:rsidRDefault="000F631C" w:rsidP="000F631C">
            <w:pPr>
              <w:spacing w:after="160" w:line="480" w:lineRule="auto"/>
              <w:rPr>
                <w:rFonts w:cs="Calibri"/>
                <w:sz w:val="24"/>
                <w:szCs w:val="24"/>
              </w:rPr>
            </w:pPr>
          </w:p>
        </w:tc>
        <w:tc>
          <w:tcPr>
            <w:tcW w:w="1044" w:type="dxa"/>
          </w:tcPr>
          <w:p w14:paraId="5A44D86F"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2</w:t>
            </w:r>
          </w:p>
        </w:tc>
        <w:tc>
          <w:tcPr>
            <w:tcW w:w="1718" w:type="dxa"/>
          </w:tcPr>
          <w:p w14:paraId="1E3006F9"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2019 – Current Year. Filter Duplicates.</w:t>
            </w:r>
          </w:p>
        </w:tc>
        <w:tc>
          <w:tcPr>
            <w:tcW w:w="1134" w:type="dxa"/>
          </w:tcPr>
          <w:p w14:paraId="33884078"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14,053</w:t>
            </w:r>
          </w:p>
        </w:tc>
        <w:tc>
          <w:tcPr>
            <w:tcW w:w="1134" w:type="dxa"/>
            <w:shd w:val="clear" w:color="auto" w:fill="B8CCE4"/>
          </w:tcPr>
          <w:p w14:paraId="0D1E1669"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564E7350"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1AAAB49B"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17829AAC"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140E671E" w14:textId="77777777" w:rsidR="000F631C" w:rsidRPr="000F631C" w:rsidRDefault="000F631C" w:rsidP="000F631C">
            <w:pPr>
              <w:spacing w:after="160" w:line="480" w:lineRule="auto"/>
              <w:rPr>
                <w:rFonts w:cs="Calibri"/>
                <w:sz w:val="24"/>
                <w:szCs w:val="24"/>
              </w:rPr>
            </w:pPr>
          </w:p>
        </w:tc>
        <w:tc>
          <w:tcPr>
            <w:tcW w:w="1044" w:type="dxa"/>
          </w:tcPr>
          <w:p w14:paraId="0796B68E"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3</w:t>
            </w:r>
          </w:p>
        </w:tc>
        <w:tc>
          <w:tcPr>
            <w:tcW w:w="1718" w:type="dxa"/>
          </w:tcPr>
          <w:p w14:paraId="3BE61218"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2019 – Current Year. Filter Duplicates.</w:t>
            </w:r>
          </w:p>
        </w:tc>
        <w:tc>
          <w:tcPr>
            <w:tcW w:w="1134" w:type="dxa"/>
          </w:tcPr>
          <w:p w14:paraId="0450F88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458,653</w:t>
            </w:r>
          </w:p>
        </w:tc>
        <w:tc>
          <w:tcPr>
            <w:tcW w:w="1134" w:type="dxa"/>
            <w:shd w:val="clear" w:color="auto" w:fill="B8CCE4"/>
          </w:tcPr>
          <w:p w14:paraId="315A929B"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7AB7160D"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5CD5F771"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3E6F71A7"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08746C30" w14:textId="77777777" w:rsidR="000F631C" w:rsidRPr="000F631C" w:rsidRDefault="000F631C" w:rsidP="000F631C">
            <w:pPr>
              <w:spacing w:after="160" w:line="480" w:lineRule="auto"/>
              <w:rPr>
                <w:rFonts w:cs="Calibri"/>
                <w:sz w:val="24"/>
                <w:szCs w:val="24"/>
              </w:rPr>
            </w:pPr>
          </w:p>
        </w:tc>
        <w:tc>
          <w:tcPr>
            <w:tcW w:w="1044" w:type="dxa"/>
          </w:tcPr>
          <w:p w14:paraId="75672DA6"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 “AND” 2 “AND” 3</w:t>
            </w:r>
          </w:p>
        </w:tc>
        <w:tc>
          <w:tcPr>
            <w:tcW w:w="1718" w:type="dxa"/>
          </w:tcPr>
          <w:p w14:paraId="124F2CB3"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2019 – Current Year. Filter Duplicates. Full Text.</w:t>
            </w:r>
          </w:p>
        </w:tc>
        <w:tc>
          <w:tcPr>
            <w:tcW w:w="1134" w:type="dxa"/>
          </w:tcPr>
          <w:p w14:paraId="0272780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169</w:t>
            </w:r>
          </w:p>
        </w:tc>
        <w:tc>
          <w:tcPr>
            <w:tcW w:w="1134" w:type="dxa"/>
          </w:tcPr>
          <w:p w14:paraId="7C72F2A3"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5</w:t>
            </w:r>
          </w:p>
        </w:tc>
        <w:tc>
          <w:tcPr>
            <w:tcW w:w="1417" w:type="dxa"/>
          </w:tcPr>
          <w:p w14:paraId="60D35878"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0</w:t>
            </w:r>
          </w:p>
        </w:tc>
        <w:tc>
          <w:tcPr>
            <w:tcW w:w="1559" w:type="dxa"/>
          </w:tcPr>
          <w:p w14:paraId="26F5CABD"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5</w:t>
            </w:r>
          </w:p>
        </w:tc>
      </w:tr>
      <w:tr w:rsidR="000F631C" w:rsidRPr="000F631C" w14:paraId="79246624"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val="restart"/>
          </w:tcPr>
          <w:p w14:paraId="5467E7F6" w14:textId="77777777" w:rsidR="000F631C" w:rsidRPr="000F631C" w:rsidRDefault="000F631C" w:rsidP="000F631C">
            <w:pPr>
              <w:spacing w:after="160" w:line="480" w:lineRule="auto"/>
              <w:rPr>
                <w:rFonts w:cs="Calibri"/>
                <w:sz w:val="24"/>
                <w:szCs w:val="24"/>
              </w:rPr>
            </w:pPr>
            <w:r w:rsidRPr="000F631C">
              <w:rPr>
                <w:rFonts w:cs="Calibri"/>
                <w:sz w:val="24"/>
                <w:szCs w:val="24"/>
              </w:rPr>
              <w:t>Cumulative Index of Nursing and Allied Health (CINHAL)</w:t>
            </w:r>
          </w:p>
          <w:p w14:paraId="313AAF78" w14:textId="77777777" w:rsidR="000F631C" w:rsidRPr="000F631C" w:rsidRDefault="000F631C" w:rsidP="000F631C">
            <w:pPr>
              <w:spacing w:after="160" w:line="480" w:lineRule="auto"/>
              <w:rPr>
                <w:rFonts w:cs="Calibri"/>
                <w:sz w:val="24"/>
                <w:szCs w:val="24"/>
              </w:rPr>
            </w:pPr>
            <w:r w:rsidRPr="000F631C">
              <w:rPr>
                <w:rFonts w:cs="Calibri"/>
                <w:sz w:val="24"/>
                <w:szCs w:val="24"/>
              </w:rPr>
              <w:t>EBSCO Host</w:t>
            </w:r>
          </w:p>
        </w:tc>
        <w:tc>
          <w:tcPr>
            <w:tcW w:w="1044" w:type="dxa"/>
          </w:tcPr>
          <w:p w14:paraId="336A6609"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w:t>
            </w:r>
          </w:p>
        </w:tc>
        <w:tc>
          <w:tcPr>
            <w:tcW w:w="1718" w:type="dxa"/>
          </w:tcPr>
          <w:p w14:paraId="13D94023"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From 2013 to Current Date. English Language.</w:t>
            </w:r>
          </w:p>
        </w:tc>
        <w:tc>
          <w:tcPr>
            <w:tcW w:w="1134" w:type="dxa"/>
          </w:tcPr>
          <w:p w14:paraId="107E4287"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43</w:t>
            </w:r>
          </w:p>
        </w:tc>
        <w:tc>
          <w:tcPr>
            <w:tcW w:w="1134" w:type="dxa"/>
            <w:shd w:val="clear" w:color="auto" w:fill="B8CCE4"/>
          </w:tcPr>
          <w:p w14:paraId="56CAF747"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437D4E83"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3939CAC3"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4AF3CD82"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046F61FA" w14:textId="77777777" w:rsidR="000F631C" w:rsidRPr="000F631C" w:rsidRDefault="000F631C" w:rsidP="000F631C">
            <w:pPr>
              <w:spacing w:after="160" w:line="480" w:lineRule="auto"/>
              <w:rPr>
                <w:rFonts w:cs="Calibri"/>
                <w:sz w:val="24"/>
                <w:szCs w:val="24"/>
              </w:rPr>
            </w:pPr>
          </w:p>
        </w:tc>
        <w:tc>
          <w:tcPr>
            <w:tcW w:w="1044" w:type="dxa"/>
          </w:tcPr>
          <w:p w14:paraId="400E60B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2</w:t>
            </w:r>
          </w:p>
        </w:tc>
        <w:tc>
          <w:tcPr>
            <w:tcW w:w="1718" w:type="dxa"/>
          </w:tcPr>
          <w:p w14:paraId="02A0ABAA"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From 2013 to Current Date. English Language.</w:t>
            </w:r>
          </w:p>
        </w:tc>
        <w:tc>
          <w:tcPr>
            <w:tcW w:w="1134" w:type="dxa"/>
          </w:tcPr>
          <w:p w14:paraId="68E65D2A"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88,454</w:t>
            </w:r>
          </w:p>
        </w:tc>
        <w:tc>
          <w:tcPr>
            <w:tcW w:w="1134" w:type="dxa"/>
            <w:shd w:val="clear" w:color="auto" w:fill="B8CCE4"/>
          </w:tcPr>
          <w:p w14:paraId="68910E3E"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1FDC4647"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6080DEE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7479CA08"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061FD7A9" w14:textId="77777777" w:rsidR="000F631C" w:rsidRPr="000F631C" w:rsidRDefault="000F631C" w:rsidP="000F631C">
            <w:pPr>
              <w:spacing w:after="160" w:line="480" w:lineRule="auto"/>
              <w:rPr>
                <w:rFonts w:cs="Calibri"/>
                <w:sz w:val="24"/>
                <w:szCs w:val="24"/>
              </w:rPr>
            </w:pPr>
          </w:p>
        </w:tc>
        <w:tc>
          <w:tcPr>
            <w:tcW w:w="1044" w:type="dxa"/>
          </w:tcPr>
          <w:p w14:paraId="0EA1234C"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3</w:t>
            </w:r>
          </w:p>
        </w:tc>
        <w:tc>
          <w:tcPr>
            <w:tcW w:w="1718" w:type="dxa"/>
          </w:tcPr>
          <w:p w14:paraId="56D3D73A"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 xml:space="preserve">Peer Reviewed. From 2013 to Current Date. </w:t>
            </w:r>
            <w:r w:rsidRPr="000F631C">
              <w:rPr>
                <w:rFonts w:cs="Calibri"/>
                <w:sz w:val="24"/>
                <w:szCs w:val="24"/>
              </w:rPr>
              <w:lastRenderedPageBreak/>
              <w:t>English Language.</w:t>
            </w:r>
          </w:p>
        </w:tc>
        <w:tc>
          <w:tcPr>
            <w:tcW w:w="1134" w:type="dxa"/>
          </w:tcPr>
          <w:p w14:paraId="17F4A3E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lastRenderedPageBreak/>
              <w:t>9,589</w:t>
            </w:r>
          </w:p>
        </w:tc>
        <w:tc>
          <w:tcPr>
            <w:tcW w:w="1134" w:type="dxa"/>
            <w:shd w:val="clear" w:color="auto" w:fill="B8CCE4"/>
          </w:tcPr>
          <w:p w14:paraId="1F4010CF"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417" w:type="dxa"/>
            <w:shd w:val="clear" w:color="auto" w:fill="B8CCE4"/>
          </w:tcPr>
          <w:p w14:paraId="77D1AAC4"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c>
          <w:tcPr>
            <w:tcW w:w="1559" w:type="dxa"/>
            <w:shd w:val="clear" w:color="auto" w:fill="B8CCE4"/>
          </w:tcPr>
          <w:p w14:paraId="41910BAD"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p>
        </w:tc>
      </w:tr>
      <w:tr w:rsidR="000F631C" w:rsidRPr="000F631C" w14:paraId="450F024C" w14:textId="77777777" w:rsidTr="000F631C">
        <w:tc>
          <w:tcPr>
            <w:cnfStyle w:val="001000000000" w:firstRow="0" w:lastRow="0" w:firstColumn="1" w:lastColumn="0" w:oddVBand="0" w:evenVBand="0" w:oddHBand="0" w:evenHBand="0" w:firstRowFirstColumn="0" w:firstRowLastColumn="0" w:lastRowFirstColumn="0" w:lastRowLastColumn="0"/>
            <w:tcW w:w="1350" w:type="dxa"/>
            <w:vMerge/>
          </w:tcPr>
          <w:p w14:paraId="7F487B1B" w14:textId="77777777" w:rsidR="000F631C" w:rsidRPr="000F631C" w:rsidRDefault="000F631C" w:rsidP="000F631C">
            <w:pPr>
              <w:spacing w:after="160" w:line="480" w:lineRule="auto"/>
              <w:rPr>
                <w:rFonts w:cs="Calibri"/>
                <w:sz w:val="24"/>
                <w:szCs w:val="24"/>
              </w:rPr>
            </w:pPr>
          </w:p>
        </w:tc>
        <w:tc>
          <w:tcPr>
            <w:tcW w:w="1044" w:type="dxa"/>
          </w:tcPr>
          <w:p w14:paraId="1AA7B1B9"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1 “AND” 2 “AND” 3</w:t>
            </w:r>
          </w:p>
        </w:tc>
        <w:tc>
          <w:tcPr>
            <w:tcW w:w="1718" w:type="dxa"/>
          </w:tcPr>
          <w:p w14:paraId="2E59C3E0"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Peer Reviewed. From 2013 to Current Date. English Language.</w:t>
            </w:r>
          </w:p>
        </w:tc>
        <w:tc>
          <w:tcPr>
            <w:tcW w:w="1134" w:type="dxa"/>
          </w:tcPr>
          <w:p w14:paraId="44BC2EA8"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21</w:t>
            </w:r>
          </w:p>
        </w:tc>
        <w:tc>
          <w:tcPr>
            <w:tcW w:w="1134" w:type="dxa"/>
          </w:tcPr>
          <w:p w14:paraId="0256CB69"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3</w:t>
            </w:r>
          </w:p>
        </w:tc>
        <w:tc>
          <w:tcPr>
            <w:tcW w:w="1417" w:type="dxa"/>
          </w:tcPr>
          <w:p w14:paraId="56C62F98"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0</w:t>
            </w:r>
          </w:p>
        </w:tc>
        <w:tc>
          <w:tcPr>
            <w:tcW w:w="1559" w:type="dxa"/>
          </w:tcPr>
          <w:p w14:paraId="0C1CB9C2"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sz w:val="24"/>
                <w:szCs w:val="24"/>
              </w:rPr>
            </w:pPr>
            <w:r w:rsidRPr="000F631C">
              <w:rPr>
                <w:rFonts w:cs="Calibri"/>
                <w:sz w:val="24"/>
                <w:szCs w:val="24"/>
              </w:rPr>
              <w:t>9</w:t>
            </w:r>
          </w:p>
        </w:tc>
      </w:tr>
      <w:tr w:rsidR="000F631C" w:rsidRPr="000F631C" w14:paraId="6DD9764F" w14:textId="77777777" w:rsidTr="000F631C">
        <w:tc>
          <w:tcPr>
            <w:cnfStyle w:val="001000000000" w:firstRow="0" w:lastRow="0" w:firstColumn="1" w:lastColumn="0" w:oddVBand="0" w:evenVBand="0" w:oddHBand="0" w:evenHBand="0" w:firstRowFirstColumn="0" w:firstRowLastColumn="0" w:lastRowFirstColumn="0" w:lastRowLastColumn="0"/>
            <w:tcW w:w="7797" w:type="dxa"/>
            <w:gridSpan w:val="6"/>
          </w:tcPr>
          <w:p w14:paraId="6BD7E7A3" w14:textId="77777777" w:rsidR="000F631C" w:rsidRPr="000F631C" w:rsidRDefault="000F631C" w:rsidP="000F631C">
            <w:pPr>
              <w:spacing w:after="160" w:line="480" w:lineRule="auto"/>
              <w:rPr>
                <w:rFonts w:cs="Calibri"/>
                <w:sz w:val="24"/>
                <w:szCs w:val="24"/>
              </w:rPr>
            </w:pPr>
            <w:r w:rsidRPr="000F631C">
              <w:rPr>
                <w:rFonts w:cs="Calibri"/>
                <w:sz w:val="24"/>
                <w:szCs w:val="24"/>
              </w:rPr>
              <w:t>Final Article Number to be Reviewed</w:t>
            </w:r>
          </w:p>
        </w:tc>
        <w:tc>
          <w:tcPr>
            <w:tcW w:w="1559" w:type="dxa"/>
          </w:tcPr>
          <w:p w14:paraId="54DE43BC" w14:textId="77777777" w:rsidR="000F631C" w:rsidRPr="000F631C" w:rsidRDefault="000F631C" w:rsidP="000F631C">
            <w:pPr>
              <w:spacing w:after="160" w:line="480" w:lineRule="auto"/>
              <w:cnfStyle w:val="000000000000" w:firstRow="0" w:lastRow="0" w:firstColumn="0" w:lastColumn="0" w:oddVBand="0" w:evenVBand="0" w:oddHBand="0" w:evenHBand="0" w:firstRowFirstColumn="0" w:firstRowLastColumn="0" w:lastRowFirstColumn="0" w:lastRowLastColumn="0"/>
              <w:rPr>
                <w:rFonts w:cs="Calibri"/>
                <w:b/>
                <w:sz w:val="24"/>
                <w:szCs w:val="24"/>
              </w:rPr>
            </w:pPr>
            <w:r w:rsidRPr="000F631C">
              <w:rPr>
                <w:rFonts w:cs="Calibri"/>
                <w:b/>
                <w:sz w:val="24"/>
                <w:szCs w:val="24"/>
              </w:rPr>
              <w:t>9</w:t>
            </w:r>
          </w:p>
        </w:tc>
      </w:tr>
    </w:tbl>
    <w:bookmarkEnd w:id="1"/>
    <w:p w14:paraId="4A9CADEF"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Table 6.</w:t>
      </w:r>
    </w:p>
    <w:p w14:paraId="77C97FC4" w14:textId="77777777" w:rsidR="000F631C" w:rsidRPr="000F631C" w:rsidRDefault="000F631C" w:rsidP="000F631C">
      <w:pPr>
        <w:spacing w:line="480" w:lineRule="auto"/>
        <w:rPr>
          <w:rFonts w:ascii="Calibri" w:hAnsi="Calibri" w:cs="Calibri"/>
          <w:sz w:val="24"/>
          <w:szCs w:val="24"/>
        </w:rPr>
      </w:pPr>
    </w:p>
    <w:p w14:paraId="08376929"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A comprehensive search of two bibliographic databases was conducted (Science Direct </w:t>
      </w:r>
      <w:proofErr w:type="spellStart"/>
      <w:r w:rsidRPr="000F631C">
        <w:rPr>
          <w:rFonts w:ascii="Calibri" w:hAnsi="Calibri" w:cs="Calibri"/>
          <w:sz w:val="24"/>
          <w:szCs w:val="24"/>
        </w:rPr>
        <w:t>Elsiver</w:t>
      </w:r>
      <w:proofErr w:type="spellEnd"/>
      <w:r w:rsidRPr="000F631C">
        <w:rPr>
          <w:rFonts w:ascii="Calibri" w:hAnsi="Calibri" w:cs="Calibri"/>
          <w:sz w:val="24"/>
          <w:szCs w:val="24"/>
        </w:rPr>
        <w:t xml:space="preserve"> and Cumulative Index of Nursing and Allied Health (CINHAL) EBSCO Host) with the search criteria set as above in Table 4. These databases were selected to represent the breadth of health and social care publications within the findings. The search was initially planned to run within three databases to provide additional rigour to the search however the search conducted within the MEDLINE database resulted in significant overlap and low number of citations. The search was discontinued at this stage, but a simplified search of MEDLINE was conducted towards the end of this literature review however there were no further studies identified thereby validating the alteration in search strategy.</w:t>
      </w:r>
    </w:p>
    <w:p w14:paraId="50C9ED2F" w14:textId="77777777" w:rsidR="000F631C" w:rsidRPr="000F631C" w:rsidRDefault="000F631C" w:rsidP="000F631C">
      <w:pPr>
        <w:spacing w:line="480" w:lineRule="auto"/>
        <w:rPr>
          <w:rFonts w:ascii="Calibri" w:hAnsi="Calibri" w:cs="Calibri"/>
          <w:sz w:val="24"/>
          <w:szCs w:val="24"/>
        </w:rPr>
      </w:pPr>
    </w:p>
    <w:p w14:paraId="6D9D131E" w14:textId="77777777" w:rsidR="000F631C" w:rsidRPr="000F631C" w:rsidRDefault="000F631C" w:rsidP="000F631C">
      <w:pPr>
        <w:spacing w:line="480" w:lineRule="auto"/>
        <w:rPr>
          <w:rFonts w:ascii="Calibri" w:hAnsi="Calibri" w:cs="Calibri"/>
          <w:sz w:val="24"/>
          <w:szCs w:val="24"/>
        </w:rPr>
      </w:pPr>
    </w:p>
    <w:p w14:paraId="04AAB9D2" w14:textId="2960F692" w:rsidR="000F631C" w:rsidRPr="000F631C" w:rsidRDefault="000F631C" w:rsidP="000F631C">
      <w:pPr>
        <w:spacing w:line="480" w:lineRule="auto"/>
        <w:rPr>
          <w:rFonts w:ascii="Calibri" w:hAnsi="Calibri" w:cs="Calibri"/>
          <w:sz w:val="24"/>
          <w:szCs w:val="24"/>
        </w:rPr>
      </w:pPr>
      <w:r w:rsidRPr="000F631C">
        <w:lastRenderedPageBreak/>
        <w:drawing>
          <wp:inline distT="0" distB="0" distL="0" distR="0" wp14:anchorId="31BA2C86" wp14:editId="18B9C255">
            <wp:extent cx="5731510" cy="6496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496050"/>
                    </a:xfrm>
                    <a:prstGeom prst="rect">
                      <a:avLst/>
                    </a:prstGeom>
                    <a:noFill/>
                    <a:ln>
                      <a:noFill/>
                    </a:ln>
                  </pic:spPr>
                </pic:pic>
              </a:graphicData>
            </a:graphic>
          </wp:inline>
        </w:drawing>
      </w:r>
      <w:r w:rsidRPr="000F631C">
        <w:rPr>
          <w:rFonts w:ascii="Calibri" w:hAnsi="Calibri" w:cs="Calibri"/>
          <w:sz w:val="24"/>
          <w:szCs w:val="24"/>
        </w:rPr>
        <w:t>Table 7.</w:t>
      </w:r>
    </w:p>
    <w:p w14:paraId="62E1DB4D"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Appraising the literature for the quality of evidence to be synthesized is a fundamental phase of any systematic review. For appraisal of the literature to conducted in a methodical, consistent, uniform manner, a framework will be adopted. The Critical Appraisal Skills Programme (CASP, 2018) tools will be deployed followed by identification of the themes within the literature body. These themes can then be used to form the basis for the </w:t>
      </w:r>
      <w:r w:rsidRPr="000F631C">
        <w:rPr>
          <w:rFonts w:ascii="Calibri" w:hAnsi="Calibri" w:cs="Calibri"/>
          <w:sz w:val="24"/>
          <w:szCs w:val="24"/>
        </w:rPr>
        <w:lastRenderedPageBreak/>
        <w:t xml:space="preserve">literature review by framing the discussion around the papers. The correct tool selection is fundamental to the quality of the review as the quality of the appraisal will formulate the body of the synthesis. Despite the significance that the tool selection can play in the quality of the review, little guidance is available on the essential criteria that should be employed in the synthesis or the specific contents that should be assessed for empirical evidence (Dalton </w:t>
      </w:r>
      <w:r w:rsidRPr="000F631C">
        <w:rPr>
          <w:rFonts w:ascii="Calibri" w:hAnsi="Calibri" w:cs="Calibri"/>
          <w:i/>
          <w:sz w:val="24"/>
          <w:szCs w:val="24"/>
        </w:rPr>
        <w:t>et al</w:t>
      </w:r>
      <w:r w:rsidRPr="000F631C">
        <w:rPr>
          <w:rFonts w:ascii="Calibri" w:hAnsi="Calibri" w:cs="Calibri"/>
          <w:sz w:val="24"/>
          <w:szCs w:val="24"/>
        </w:rPr>
        <w:t>. 2017). The structure is provided by CASP (2018</w:t>
      </w:r>
      <w:proofErr w:type="gramStart"/>
      <w:r w:rsidRPr="000F631C">
        <w:rPr>
          <w:rFonts w:ascii="Calibri" w:hAnsi="Calibri" w:cs="Calibri"/>
          <w:sz w:val="24"/>
          <w:szCs w:val="24"/>
        </w:rPr>
        <w:t>)</w:t>
      </w:r>
      <w:proofErr w:type="gramEnd"/>
      <w:r w:rsidRPr="000F631C">
        <w:rPr>
          <w:rFonts w:ascii="Calibri" w:hAnsi="Calibri" w:cs="Calibri"/>
          <w:sz w:val="24"/>
          <w:szCs w:val="24"/>
        </w:rPr>
        <w:t xml:space="preserve"> but this only provides a basic framework therefore additional questions have been added to the evaluation which are pertinent to the articles to try and broaden the scope of pertinent information being collated (Hannes and </w:t>
      </w:r>
      <w:proofErr w:type="spellStart"/>
      <w:r w:rsidRPr="000F631C">
        <w:rPr>
          <w:rFonts w:ascii="Calibri" w:hAnsi="Calibri" w:cs="Calibri"/>
          <w:sz w:val="24"/>
          <w:szCs w:val="24"/>
        </w:rPr>
        <w:t>Macaitis</w:t>
      </w:r>
      <w:proofErr w:type="spellEnd"/>
      <w:r w:rsidRPr="000F631C">
        <w:rPr>
          <w:rFonts w:ascii="Calibri" w:hAnsi="Calibri" w:cs="Calibri"/>
          <w:sz w:val="24"/>
          <w:szCs w:val="24"/>
        </w:rPr>
        <w:t>, 2012).</w:t>
      </w:r>
    </w:p>
    <w:p w14:paraId="0DA70386"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In a review of the literature, five papers were identified as relevant to this study. All papers identified were critically appraised and examined for the factors related to utilization of an acuity tool when interfaced with an electronic patient / workload management programme alongside the rigour of each study. Table 8. sets out each paper content alongside the parameters employed.</w:t>
      </w:r>
    </w:p>
    <w:p w14:paraId="5B3EEA65" w14:textId="07E001A7" w:rsidR="000F631C" w:rsidRDefault="000F631C" w:rsidP="000F631C">
      <w:pPr>
        <w:spacing w:line="480" w:lineRule="auto"/>
        <w:rPr>
          <w:rFonts w:ascii="Calibri" w:hAnsi="Calibri" w:cs="Calibri"/>
          <w:sz w:val="24"/>
          <w:szCs w:val="24"/>
        </w:rPr>
      </w:pPr>
    </w:p>
    <w:p w14:paraId="37AC2981" w14:textId="62C0F86D" w:rsidR="000F631C" w:rsidRDefault="000F631C" w:rsidP="000F631C">
      <w:pPr>
        <w:spacing w:line="480" w:lineRule="auto"/>
        <w:rPr>
          <w:rFonts w:ascii="Calibri" w:hAnsi="Calibri" w:cs="Calibri"/>
          <w:sz w:val="24"/>
          <w:szCs w:val="24"/>
        </w:rPr>
      </w:pPr>
    </w:p>
    <w:p w14:paraId="20076124" w14:textId="56265900" w:rsidR="000F631C" w:rsidRDefault="000F631C" w:rsidP="000F631C">
      <w:pPr>
        <w:spacing w:line="480" w:lineRule="auto"/>
        <w:rPr>
          <w:rFonts w:ascii="Calibri" w:hAnsi="Calibri" w:cs="Calibri"/>
          <w:sz w:val="24"/>
          <w:szCs w:val="24"/>
        </w:rPr>
      </w:pPr>
    </w:p>
    <w:p w14:paraId="18313450" w14:textId="32B09656" w:rsidR="000F631C" w:rsidRDefault="000F631C" w:rsidP="000F631C">
      <w:pPr>
        <w:spacing w:line="480" w:lineRule="auto"/>
        <w:rPr>
          <w:rFonts w:ascii="Calibri" w:hAnsi="Calibri" w:cs="Calibri"/>
          <w:sz w:val="24"/>
          <w:szCs w:val="24"/>
        </w:rPr>
      </w:pPr>
    </w:p>
    <w:p w14:paraId="3B8440B4" w14:textId="5BB2FC9A" w:rsidR="000F631C" w:rsidRDefault="000F631C" w:rsidP="000F631C">
      <w:pPr>
        <w:spacing w:line="480" w:lineRule="auto"/>
        <w:rPr>
          <w:rFonts w:ascii="Calibri" w:hAnsi="Calibri" w:cs="Calibri"/>
          <w:sz w:val="24"/>
          <w:szCs w:val="24"/>
        </w:rPr>
      </w:pPr>
    </w:p>
    <w:p w14:paraId="7C917729" w14:textId="77777777" w:rsidR="000F631C" w:rsidRPr="000F631C" w:rsidRDefault="000F631C" w:rsidP="000F631C">
      <w:pPr>
        <w:spacing w:line="480" w:lineRule="auto"/>
        <w:rPr>
          <w:rFonts w:ascii="Calibri" w:hAnsi="Calibri" w:cs="Calibri"/>
          <w:sz w:val="24"/>
          <w:szCs w:val="24"/>
        </w:rPr>
      </w:pPr>
    </w:p>
    <w:p w14:paraId="6FF094B9" w14:textId="77777777" w:rsidR="000F631C" w:rsidRDefault="000F631C" w:rsidP="000F631C">
      <w:pPr>
        <w:spacing w:line="480" w:lineRule="auto"/>
        <w:rPr>
          <w:rFonts w:ascii="Calibri" w:hAnsi="Calibri" w:cs="Calibri"/>
          <w:sz w:val="24"/>
          <w:szCs w:val="24"/>
        </w:rPr>
        <w:sectPr w:rsidR="000F631C">
          <w:headerReference w:type="default" r:id="rId10"/>
          <w:footerReference w:type="default" r:id="rId11"/>
          <w:pgSz w:w="11906" w:h="16838"/>
          <w:pgMar w:top="1440" w:right="1440" w:bottom="1440" w:left="1440" w:header="708" w:footer="708" w:gutter="0"/>
          <w:cols w:space="708"/>
          <w:docGrid w:linePitch="360"/>
        </w:sectPr>
      </w:pPr>
    </w:p>
    <w:tbl>
      <w:tblPr>
        <w:tblStyle w:val="TableGrid"/>
        <w:tblW w:w="14459" w:type="dxa"/>
        <w:tblInd w:w="-289" w:type="dxa"/>
        <w:tblLook w:val="04A0" w:firstRow="1" w:lastRow="0" w:firstColumn="1" w:lastColumn="0" w:noHBand="0" w:noVBand="1"/>
      </w:tblPr>
      <w:tblGrid>
        <w:gridCol w:w="2122"/>
        <w:gridCol w:w="2286"/>
        <w:gridCol w:w="3827"/>
        <w:gridCol w:w="1763"/>
        <w:gridCol w:w="4461"/>
      </w:tblGrid>
      <w:tr w:rsidR="000F631C" w:rsidRPr="000F631C" w14:paraId="183ACA32" w14:textId="77777777" w:rsidTr="000F631C">
        <w:tc>
          <w:tcPr>
            <w:tcW w:w="2122" w:type="dxa"/>
          </w:tcPr>
          <w:p w14:paraId="17B2FFCF"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lastRenderedPageBreak/>
              <w:t>Author / Date</w:t>
            </w:r>
          </w:p>
        </w:tc>
        <w:tc>
          <w:tcPr>
            <w:tcW w:w="2286" w:type="dxa"/>
          </w:tcPr>
          <w:p w14:paraId="490C56E1"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Research Design / Level of Evidence</w:t>
            </w:r>
          </w:p>
        </w:tc>
        <w:tc>
          <w:tcPr>
            <w:tcW w:w="3827" w:type="dxa"/>
          </w:tcPr>
          <w:p w14:paraId="796DD5CB"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Purpose of Study</w:t>
            </w:r>
          </w:p>
        </w:tc>
        <w:tc>
          <w:tcPr>
            <w:tcW w:w="1763" w:type="dxa"/>
          </w:tcPr>
          <w:p w14:paraId="05AFC7B5"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Sample, Size, Setting</w:t>
            </w:r>
          </w:p>
        </w:tc>
        <w:tc>
          <w:tcPr>
            <w:tcW w:w="4461" w:type="dxa"/>
          </w:tcPr>
          <w:p w14:paraId="438D2114"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Results</w:t>
            </w:r>
          </w:p>
        </w:tc>
      </w:tr>
      <w:tr w:rsidR="000F631C" w:rsidRPr="000F631C" w14:paraId="4099ABFF" w14:textId="77777777" w:rsidTr="000F631C">
        <w:tc>
          <w:tcPr>
            <w:tcW w:w="2122" w:type="dxa"/>
          </w:tcPr>
          <w:p w14:paraId="226B900C"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Giammona et al. (2016)</w:t>
            </w:r>
          </w:p>
        </w:tc>
        <w:tc>
          <w:tcPr>
            <w:tcW w:w="2286" w:type="dxa"/>
          </w:tcPr>
          <w:p w14:paraId="1381D276"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RD: Quality Improvement Initiative</w:t>
            </w:r>
          </w:p>
          <w:p w14:paraId="7673B1E2"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LoE</w:t>
            </w:r>
            <w:proofErr w:type="spellEnd"/>
            <w:r w:rsidRPr="000F631C">
              <w:rPr>
                <w:rFonts w:ascii="Calibri" w:hAnsi="Calibri" w:cs="Calibri"/>
                <w:sz w:val="24"/>
                <w:szCs w:val="24"/>
              </w:rPr>
              <w:t>: Level V</w:t>
            </w:r>
          </w:p>
        </w:tc>
        <w:tc>
          <w:tcPr>
            <w:tcW w:w="3827" w:type="dxa"/>
          </w:tcPr>
          <w:p w14:paraId="4F7C3412"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This Quality Improvement Initiative was to evaluate a Nursing Care Score (NCS) system integrated into the Electronic Health Record (EHR) within an acute area.</w:t>
            </w:r>
          </w:p>
        </w:tc>
        <w:tc>
          <w:tcPr>
            <w:tcW w:w="1763" w:type="dxa"/>
          </w:tcPr>
          <w:p w14:paraId="6AE671E0"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 xml:space="preserve">Nurses on the unit, </w:t>
            </w:r>
            <w:proofErr w:type="gramStart"/>
            <w:r w:rsidRPr="000F631C">
              <w:rPr>
                <w:rFonts w:ascii="Calibri" w:hAnsi="Calibri" w:cs="Calibri"/>
                <w:sz w:val="24"/>
                <w:szCs w:val="24"/>
              </w:rPr>
              <w:t>Small</w:t>
            </w:r>
            <w:proofErr w:type="gramEnd"/>
            <w:r w:rsidRPr="000F631C">
              <w:rPr>
                <w:rFonts w:ascii="Calibri" w:hAnsi="Calibri" w:cs="Calibri"/>
                <w:sz w:val="24"/>
                <w:szCs w:val="24"/>
              </w:rPr>
              <w:t xml:space="preserve"> sample n 40, Cardiothoracic Unit in Italy</w:t>
            </w:r>
          </w:p>
        </w:tc>
        <w:tc>
          <w:tcPr>
            <w:tcW w:w="4461" w:type="dxa"/>
          </w:tcPr>
          <w:p w14:paraId="25AB8853"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Demonstrated that integration of an acuity tool into EHR did not increase the work burden on nurses by increasing the workload of the individual.</w:t>
            </w:r>
          </w:p>
        </w:tc>
      </w:tr>
      <w:tr w:rsidR="000F631C" w:rsidRPr="000F631C" w14:paraId="4C931F65" w14:textId="77777777" w:rsidTr="000F631C">
        <w:tc>
          <w:tcPr>
            <w:tcW w:w="2122" w:type="dxa"/>
          </w:tcPr>
          <w:p w14:paraId="6268394A"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Kontio</w:t>
            </w:r>
            <w:proofErr w:type="spellEnd"/>
            <w:r w:rsidRPr="000F631C">
              <w:rPr>
                <w:rFonts w:ascii="Calibri" w:hAnsi="Calibri" w:cs="Calibri"/>
                <w:sz w:val="24"/>
                <w:szCs w:val="24"/>
              </w:rPr>
              <w:t xml:space="preserve"> et al. (2014)</w:t>
            </w:r>
          </w:p>
        </w:tc>
        <w:tc>
          <w:tcPr>
            <w:tcW w:w="2286" w:type="dxa"/>
          </w:tcPr>
          <w:p w14:paraId="536ABC0D"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RD: A quantitative experimental study.</w:t>
            </w:r>
          </w:p>
          <w:p w14:paraId="40BD1557"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LoE</w:t>
            </w:r>
            <w:proofErr w:type="spellEnd"/>
            <w:r w:rsidRPr="000F631C">
              <w:rPr>
                <w:rFonts w:ascii="Calibri" w:hAnsi="Calibri" w:cs="Calibri"/>
                <w:sz w:val="24"/>
                <w:szCs w:val="24"/>
              </w:rPr>
              <w:t>: Level IV Uncontrolled Cohort Study</w:t>
            </w:r>
          </w:p>
        </w:tc>
        <w:tc>
          <w:tcPr>
            <w:tcW w:w="3827" w:type="dxa"/>
          </w:tcPr>
          <w:p w14:paraId="30E8838C"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This study aims to examine the degree in which the information held within the EHR’s can be used to predict the acuity scores within cardiac patients the following day.</w:t>
            </w:r>
          </w:p>
        </w:tc>
        <w:tc>
          <w:tcPr>
            <w:tcW w:w="1763" w:type="dxa"/>
          </w:tcPr>
          <w:p w14:paraId="630B5CA3"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EHR’s, n 23,528, University Hospitals</w:t>
            </w:r>
          </w:p>
        </w:tc>
        <w:tc>
          <w:tcPr>
            <w:tcW w:w="4461" w:type="dxa"/>
          </w:tcPr>
          <w:p w14:paraId="45EDBDB2"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Prediction of acuity is possible from the nursing documentation triangulated with the previously assigned acuity scores. The accuracy of the scores was improved by using the two data sets together. Cross-validation of was used to demonstrate the accuracy of the predictability tool.</w:t>
            </w:r>
          </w:p>
        </w:tc>
      </w:tr>
      <w:tr w:rsidR="000F631C" w:rsidRPr="000F631C" w14:paraId="704DF7B9" w14:textId="77777777" w:rsidTr="000F631C">
        <w:tc>
          <w:tcPr>
            <w:tcW w:w="2122" w:type="dxa"/>
          </w:tcPr>
          <w:p w14:paraId="43283557"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lastRenderedPageBreak/>
              <w:t>Larson et al. (2017)</w:t>
            </w:r>
          </w:p>
        </w:tc>
        <w:tc>
          <w:tcPr>
            <w:tcW w:w="2286" w:type="dxa"/>
          </w:tcPr>
          <w:p w14:paraId="789327AA"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RD: Process Improvement Project</w:t>
            </w:r>
          </w:p>
          <w:p w14:paraId="40659586"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LoE</w:t>
            </w:r>
            <w:proofErr w:type="spellEnd"/>
            <w:r w:rsidRPr="000F631C">
              <w:rPr>
                <w:rFonts w:ascii="Calibri" w:hAnsi="Calibri" w:cs="Calibri"/>
                <w:sz w:val="24"/>
                <w:szCs w:val="24"/>
              </w:rPr>
              <w:t>: Level V Descriptive Study</w:t>
            </w:r>
          </w:p>
        </w:tc>
        <w:tc>
          <w:tcPr>
            <w:tcW w:w="3827" w:type="dxa"/>
          </w:tcPr>
          <w:p w14:paraId="14261DC2"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The project aimed to devise a nursing intensity of care index (NICI) which utilizes electronically available data sets to incorporate information which had been previously difficult to obtain.</w:t>
            </w:r>
          </w:p>
        </w:tc>
        <w:tc>
          <w:tcPr>
            <w:tcW w:w="1763" w:type="dxa"/>
          </w:tcPr>
          <w:p w14:paraId="15505A6B"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Patients previously discharged from services, n 152,072, Three New York Hospitals.</w:t>
            </w:r>
          </w:p>
        </w:tc>
        <w:tc>
          <w:tcPr>
            <w:tcW w:w="4461" w:type="dxa"/>
          </w:tcPr>
          <w:p w14:paraId="46A98487"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 xml:space="preserve">The tool developed utilizes information held within the EHR to measure acuity. The NICI tool was validated through clinical expert comparison utilising the Spearman rho correlation coefficient with a result of 0.94 (p&lt;001). </w:t>
            </w:r>
          </w:p>
        </w:tc>
      </w:tr>
      <w:tr w:rsidR="000F631C" w:rsidRPr="000F631C" w14:paraId="7218F0B3" w14:textId="77777777" w:rsidTr="000F631C">
        <w:tc>
          <w:tcPr>
            <w:tcW w:w="2122" w:type="dxa"/>
          </w:tcPr>
          <w:p w14:paraId="7A255563"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Massarweh</w:t>
            </w:r>
            <w:proofErr w:type="spellEnd"/>
            <w:r w:rsidRPr="000F631C">
              <w:rPr>
                <w:rFonts w:ascii="Calibri" w:hAnsi="Calibri" w:cs="Calibri"/>
                <w:sz w:val="24"/>
                <w:szCs w:val="24"/>
              </w:rPr>
              <w:t xml:space="preserve">, </w:t>
            </w:r>
            <w:proofErr w:type="spellStart"/>
            <w:r w:rsidRPr="000F631C">
              <w:rPr>
                <w:rFonts w:ascii="Calibri" w:hAnsi="Calibri" w:cs="Calibri"/>
                <w:sz w:val="24"/>
                <w:szCs w:val="24"/>
              </w:rPr>
              <w:t>Tidyman</w:t>
            </w:r>
            <w:proofErr w:type="spellEnd"/>
            <w:r w:rsidRPr="000F631C">
              <w:rPr>
                <w:rFonts w:ascii="Calibri" w:hAnsi="Calibri" w:cs="Calibri"/>
                <w:sz w:val="24"/>
                <w:szCs w:val="24"/>
              </w:rPr>
              <w:t xml:space="preserve"> and </w:t>
            </w:r>
            <w:proofErr w:type="spellStart"/>
            <w:r w:rsidRPr="000F631C">
              <w:rPr>
                <w:rFonts w:ascii="Calibri" w:hAnsi="Calibri" w:cs="Calibri"/>
                <w:sz w:val="24"/>
                <w:szCs w:val="24"/>
              </w:rPr>
              <w:t>Luu</w:t>
            </w:r>
            <w:proofErr w:type="spellEnd"/>
            <w:r w:rsidRPr="000F631C">
              <w:rPr>
                <w:rFonts w:ascii="Calibri" w:hAnsi="Calibri" w:cs="Calibri"/>
                <w:sz w:val="24"/>
                <w:szCs w:val="24"/>
              </w:rPr>
              <w:t xml:space="preserve"> (2017)</w:t>
            </w:r>
          </w:p>
        </w:tc>
        <w:tc>
          <w:tcPr>
            <w:tcW w:w="2286" w:type="dxa"/>
          </w:tcPr>
          <w:p w14:paraId="0549A770"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RD: Quality Improvement Project</w:t>
            </w:r>
          </w:p>
          <w:p w14:paraId="75A91986"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LoE</w:t>
            </w:r>
            <w:proofErr w:type="spellEnd"/>
            <w:r w:rsidRPr="000F631C">
              <w:rPr>
                <w:rFonts w:ascii="Calibri" w:hAnsi="Calibri" w:cs="Calibri"/>
                <w:sz w:val="24"/>
                <w:szCs w:val="24"/>
              </w:rPr>
              <w:t>: Level V</w:t>
            </w:r>
          </w:p>
        </w:tc>
        <w:tc>
          <w:tcPr>
            <w:tcW w:w="3827" w:type="dxa"/>
          </w:tcPr>
          <w:p w14:paraId="73451F77"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 xml:space="preserve">This project aims to introduce a technology-enhanced tool (the </w:t>
            </w:r>
            <w:proofErr w:type="spellStart"/>
            <w:r w:rsidRPr="000F631C">
              <w:rPr>
                <w:rFonts w:ascii="Calibri" w:hAnsi="Calibri" w:cs="Calibri"/>
                <w:sz w:val="24"/>
                <w:szCs w:val="24"/>
              </w:rPr>
              <w:t>eAssignment</w:t>
            </w:r>
            <w:proofErr w:type="spellEnd"/>
            <w:r w:rsidRPr="000F631C">
              <w:rPr>
                <w:rFonts w:ascii="Calibri" w:hAnsi="Calibri" w:cs="Calibri"/>
                <w:sz w:val="24"/>
                <w:szCs w:val="24"/>
              </w:rPr>
              <w:t xml:space="preserve"> sheet) to improve safety when assigning patient care tasks to nurses.</w:t>
            </w:r>
          </w:p>
        </w:tc>
        <w:tc>
          <w:tcPr>
            <w:tcW w:w="1763" w:type="dxa"/>
          </w:tcPr>
          <w:p w14:paraId="3DD506C0"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Volunteer nurse managers, n21, Integrated hospital system</w:t>
            </w:r>
          </w:p>
        </w:tc>
        <w:tc>
          <w:tcPr>
            <w:tcW w:w="4461" w:type="dxa"/>
          </w:tcPr>
          <w:p w14:paraId="3070CA98"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 xml:space="preserve">The effectiveness of using the </w:t>
            </w:r>
            <w:proofErr w:type="spellStart"/>
            <w:r w:rsidRPr="000F631C">
              <w:rPr>
                <w:rFonts w:ascii="Calibri" w:hAnsi="Calibri" w:cs="Calibri"/>
                <w:sz w:val="24"/>
                <w:szCs w:val="24"/>
              </w:rPr>
              <w:t>eAssignment</w:t>
            </w:r>
            <w:proofErr w:type="spellEnd"/>
            <w:r w:rsidRPr="000F631C">
              <w:rPr>
                <w:rFonts w:ascii="Calibri" w:hAnsi="Calibri" w:cs="Calibri"/>
                <w:sz w:val="24"/>
                <w:szCs w:val="24"/>
              </w:rPr>
              <w:t xml:space="preserve"> sheet was felt to have a positive impact on managers assigning nurses to patient tasks. Additionally, the study found that the tool promoted patient safety, equitability in workload distribution and propositioned the potential for financial gains.</w:t>
            </w:r>
          </w:p>
        </w:tc>
      </w:tr>
      <w:tr w:rsidR="000F631C" w:rsidRPr="000F631C" w14:paraId="0839D07D" w14:textId="77777777" w:rsidTr="000F631C">
        <w:tc>
          <w:tcPr>
            <w:tcW w:w="2122" w:type="dxa"/>
          </w:tcPr>
          <w:p w14:paraId="41D6E7CE"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lastRenderedPageBreak/>
              <w:t>Young et al. (2015)</w:t>
            </w:r>
          </w:p>
        </w:tc>
        <w:tc>
          <w:tcPr>
            <w:tcW w:w="2286" w:type="dxa"/>
          </w:tcPr>
          <w:p w14:paraId="6C87AF83"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RD: Descriptive Analysis</w:t>
            </w:r>
          </w:p>
          <w:p w14:paraId="2C652116" w14:textId="77777777" w:rsidR="000F631C" w:rsidRPr="000F631C" w:rsidRDefault="000F631C" w:rsidP="000F631C">
            <w:pPr>
              <w:spacing w:after="160" w:line="480" w:lineRule="auto"/>
              <w:rPr>
                <w:rFonts w:ascii="Calibri" w:hAnsi="Calibri" w:cs="Calibri"/>
                <w:sz w:val="24"/>
                <w:szCs w:val="24"/>
              </w:rPr>
            </w:pPr>
            <w:proofErr w:type="spellStart"/>
            <w:r w:rsidRPr="000F631C">
              <w:rPr>
                <w:rFonts w:ascii="Calibri" w:hAnsi="Calibri" w:cs="Calibri"/>
                <w:sz w:val="24"/>
                <w:szCs w:val="24"/>
              </w:rPr>
              <w:t>LoE</w:t>
            </w:r>
            <w:proofErr w:type="spellEnd"/>
            <w:r w:rsidRPr="000F631C">
              <w:rPr>
                <w:rFonts w:ascii="Calibri" w:hAnsi="Calibri" w:cs="Calibri"/>
                <w:sz w:val="24"/>
                <w:szCs w:val="24"/>
              </w:rPr>
              <w:t>: Level V</w:t>
            </w:r>
          </w:p>
        </w:tc>
        <w:tc>
          <w:tcPr>
            <w:tcW w:w="3827" w:type="dxa"/>
          </w:tcPr>
          <w:p w14:paraId="3EB3236E"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 xml:space="preserve">This study aimed to achieve three goals. </w:t>
            </w:r>
          </w:p>
          <w:p w14:paraId="79631603" w14:textId="77777777" w:rsidR="000F631C" w:rsidRPr="000F631C" w:rsidRDefault="000F631C" w:rsidP="000F631C">
            <w:pPr>
              <w:numPr>
                <w:ilvl w:val="0"/>
                <w:numId w:val="24"/>
              </w:numPr>
              <w:spacing w:after="160" w:line="480" w:lineRule="auto"/>
              <w:rPr>
                <w:rFonts w:ascii="Calibri" w:hAnsi="Calibri" w:cs="Calibri"/>
                <w:sz w:val="24"/>
                <w:szCs w:val="24"/>
              </w:rPr>
            </w:pPr>
            <w:r w:rsidRPr="000F631C">
              <w:rPr>
                <w:rFonts w:ascii="Calibri" w:hAnsi="Calibri" w:cs="Calibri"/>
                <w:sz w:val="24"/>
                <w:szCs w:val="24"/>
              </w:rPr>
              <w:t>Identification of common themes in nursing activities through the nurse managers within an organisation.</w:t>
            </w:r>
          </w:p>
          <w:p w14:paraId="6950763C" w14:textId="77777777" w:rsidR="000F631C" w:rsidRPr="000F631C" w:rsidRDefault="000F631C" w:rsidP="000F631C">
            <w:pPr>
              <w:numPr>
                <w:ilvl w:val="0"/>
                <w:numId w:val="24"/>
              </w:numPr>
              <w:spacing w:after="160" w:line="480" w:lineRule="auto"/>
              <w:rPr>
                <w:rFonts w:ascii="Calibri" w:hAnsi="Calibri" w:cs="Calibri"/>
                <w:sz w:val="24"/>
                <w:szCs w:val="24"/>
              </w:rPr>
            </w:pPr>
            <w:r w:rsidRPr="000F631C">
              <w:rPr>
                <w:rFonts w:ascii="Calibri" w:hAnsi="Calibri" w:cs="Calibri"/>
                <w:sz w:val="24"/>
                <w:szCs w:val="24"/>
              </w:rPr>
              <w:t>Systematic review of these activities in relation to the existing resource management tools and the classification of the intervention devised.</w:t>
            </w:r>
          </w:p>
          <w:p w14:paraId="4ED4D375" w14:textId="77777777" w:rsidR="000F631C" w:rsidRPr="000F631C" w:rsidRDefault="000F631C" w:rsidP="000F631C">
            <w:pPr>
              <w:numPr>
                <w:ilvl w:val="0"/>
                <w:numId w:val="24"/>
              </w:numPr>
              <w:spacing w:after="160" w:line="480" w:lineRule="auto"/>
              <w:rPr>
                <w:rFonts w:ascii="Calibri" w:hAnsi="Calibri" w:cs="Calibri"/>
                <w:sz w:val="24"/>
                <w:szCs w:val="24"/>
              </w:rPr>
            </w:pPr>
            <w:r w:rsidRPr="000F631C">
              <w:rPr>
                <w:rFonts w:ascii="Calibri" w:hAnsi="Calibri" w:cs="Calibri"/>
                <w:sz w:val="24"/>
                <w:szCs w:val="24"/>
              </w:rPr>
              <w:lastRenderedPageBreak/>
              <w:t>Articulate the challenges perceived by the managers in staffing decision-making.</w:t>
            </w:r>
          </w:p>
        </w:tc>
        <w:tc>
          <w:tcPr>
            <w:tcW w:w="1763" w:type="dxa"/>
          </w:tcPr>
          <w:p w14:paraId="55C10C6A"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lastRenderedPageBreak/>
              <w:t>Nurse managers, n15, A large UK healthcare system in the Midwest.</w:t>
            </w:r>
          </w:p>
        </w:tc>
        <w:tc>
          <w:tcPr>
            <w:tcW w:w="4461" w:type="dxa"/>
          </w:tcPr>
          <w:p w14:paraId="6A062156" w14:textId="77777777" w:rsidR="000F631C" w:rsidRPr="000F631C" w:rsidRDefault="000F631C" w:rsidP="000F631C">
            <w:pPr>
              <w:spacing w:after="160" w:line="480" w:lineRule="auto"/>
              <w:rPr>
                <w:rFonts w:ascii="Calibri" w:hAnsi="Calibri" w:cs="Calibri"/>
                <w:sz w:val="24"/>
                <w:szCs w:val="24"/>
              </w:rPr>
            </w:pPr>
            <w:r w:rsidRPr="000F631C">
              <w:rPr>
                <w:rFonts w:ascii="Calibri" w:hAnsi="Calibri" w:cs="Calibri"/>
                <w:sz w:val="24"/>
                <w:szCs w:val="24"/>
              </w:rPr>
              <w:t>The survey conducted found that there was a high level of commonality with 21 of the 502 nursing activities being used by 90% of managers to determine staff needs for an area. Conversely, 13 of the activities were not considered by 90% of the managers. The study found that when multiple activities were being conducted within one clinical area, nurse managers commonly only considered one of the nursing interventions when assigning patients thereby hindering the flexibility of the workforce to react.</w:t>
            </w:r>
          </w:p>
        </w:tc>
      </w:tr>
    </w:tbl>
    <w:p w14:paraId="2D0002A2"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Table 8.</w:t>
      </w:r>
    </w:p>
    <w:p w14:paraId="7471D5AB" w14:textId="77777777" w:rsidR="000F631C" w:rsidRPr="000F631C" w:rsidRDefault="000F631C" w:rsidP="000F631C">
      <w:pPr>
        <w:spacing w:line="480" w:lineRule="auto"/>
        <w:rPr>
          <w:rFonts w:ascii="Calibri" w:hAnsi="Calibri" w:cs="Calibri"/>
          <w:sz w:val="24"/>
          <w:szCs w:val="24"/>
        </w:rPr>
      </w:pPr>
    </w:p>
    <w:p w14:paraId="414D1698" w14:textId="77777777" w:rsidR="000F631C" w:rsidRDefault="000F631C" w:rsidP="000F631C">
      <w:pPr>
        <w:spacing w:line="480" w:lineRule="auto"/>
        <w:rPr>
          <w:rFonts w:ascii="Calibri" w:hAnsi="Calibri" w:cs="Calibri"/>
          <w:sz w:val="24"/>
          <w:szCs w:val="24"/>
        </w:rPr>
      </w:pPr>
    </w:p>
    <w:p w14:paraId="570472A4" w14:textId="77777777" w:rsidR="000F631C" w:rsidRDefault="000F631C" w:rsidP="000F631C">
      <w:pPr>
        <w:spacing w:line="480" w:lineRule="auto"/>
        <w:rPr>
          <w:rFonts w:ascii="Calibri" w:hAnsi="Calibri" w:cs="Calibri"/>
          <w:sz w:val="24"/>
          <w:szCs w:val="24"/>
        </w:rPr>
      </w:pPr>
    </w:p>
    <w:p w14:paraId="307F1F0B" w14:textId="77777777" w:rsidR="000F631C" w:rsidRDefault="000F631C" w:rsidP="000F631C">
      <w:pPr>
        <w:spacing w:line="480" w:lineRule="auto"/>
        <w:rPr>
          <w:rFonts w:ascii="Calibri" w:hAnsi="Calibri" w:cs="Calibri"/>
          <w:sz w:val="24"/>
          <w:szCs w:val="24"/>
        </w:rPr>
      </w:pPr>
    </w:p>
    <w:p w14:paraId="20F28BF9" w14:textId="77777777" w:rsidR="000F631C" w:rsidRDefault="000F631C" w:rsidP="000F631C">
      <w:pPr>
        <w:spacing w:line="480" w:lineRule="auto"/>
        <w:rPr>
          <w:rFonts w:ascii="Calibri" w:hAnsi="Calibri" w:cs="Calibri"/>
          <w:sz w:val="24"/>
          <w:szCs w:val="24"/>
        </w:rPr>
      </w:pPr>
    </w:p>
    <w:p w14:paraId="10A770CA" w14:textId="77777777" w:rsidR="000F631C" w:rsidRDefault="000F631C" w:rsidP="000F631C">
      <w:pPr>
        <w:spacing w:line="480" w:lineRule="auto"/>
        <w:rPr>
          <w:rFonts w:ascii="Calibri" w:hAnsi="Calibri" w:cs="Calibri"/>
          <w:sz w:val="24"/>
          <w:szCs w:val="24"/>
        </w:rPr>
      </w:pPr>
    </w:p>
    <w:p w14:paraId="7B865F23" w14:textId="77777777" w:rsidR="000F631C" w:rsidRDefault="000F631C" w:rsidP="000F631C">
      <w:pPr>
        <w:spacing w:line="480" w:lineRule="auto"/>
        <w:rPr>
          <w:rFonts w:ascii="Calibri" w:hAnsi="Calibri" w:cs="Calibri"/>
          <w:sz w:val="24"/>
          <w:szCs w:val="24"/>
        </w:rPr>
        <w:sectPr w:rsidR="000F631C" w:rsidSect="000F631C">
          <w:pgSz w:w="16838" w:h="11906" w:orient="landscape"/>
          <w:pgMar w:top="1440" w:right="1440" w:bottom="1440" w:left="1440" w:header="709" w:footer="709" w:gutter="0"/>
          <w:cols w:space="708"/>
          <w:docGrid w:linePitch="360"/>
        </w:sectPr>
      </w:pPr>
    </w:p>
    <w:p w14:paraId="19E966CE" w14:textId="77777777" w:rsidR="000F631C" w:rsidRDefault="000F631C" w:rsidP="000F631C">
      <w:pPr>
        <w:spacing w:line="480" w:lineRule="auto"/>
        <w:rPr>
          <w:rFonts w:ascii="Calibri" w:hAnsi="Calibri" w:cs="Calibri"/>
          <w:sz w:val="24"/>
          <w:szCs w:val="24"/>
        </w:rPr>
      </w:pPr>
    </w:p>
    <w:p w14:paraId="4E1EF2A3" w14:textId="7F4F9952"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The literature clearly demonstrated that most of the allocation methodologies adopted by organisations focussed on using volume-based reasoning and reimbursement-driven approaches (Gelinas, 2016). The workload of the nursing staff in the research can be defined as a contingent of the work environment itself, the acuity of the patients being cared for and the turnover of the nurses that are employed there. All three of these aspects need to be considered for an accurate picture of the demand to be matched against the resources required to manage it. The variability of patient needs, especially when reduced to tasks, significantly impacts the ability to predict the true demand on the nurse – to patient workloads. There have been many acuity tools trialled, both electronic and paper-based, which have interfaced with the EHR and used in a variety of settings (Giammona et al., 2016). The drawback to the tools being deployed is the impact that this has on staff time having to complete them by hand. The papers demonstrated how the integration of </w:t>
      </w:r>
      <w:proofErr w:type="gramStart"/>
      <w:r w:rsidRPr="000F631C">
        <w:rPr>
          <w:rFonts w:ascii="Calibri" w:hAnsi="Calibri" w:cs="Calibri"/>
          <w:sz w:val="24"/>
          <w:szCs w:val="24"/>
        </w:rPr>
        <w:t>a</w:t>
      </w:r>
      <w:proofErr w:type="gramEnd"/>
      <w:r w:rsidRPr="000F631C">
        <w:rPr>
          <w:rFonts w:ascii="Calibri" w:hAnsi="Calibri" w:cs="Calibri"/>
          <w:sz w:val="24"/>
          <w:szCs w:val="24"/>
        </w:rPr>
        <w:t xml:space="preserve"> acuity-based staffing tool into an EHR programme helps to provide equilibrium to workloads and allow for consistency. Prudence can also be seen as directing high-quality, </w:t>
      </w:r>
      <w:r w:rsidR="00B95F5D" w:rsidRPr="000F631C">
        <w:rPr>
          <w:rFonts w:ascii="Calibri" w:hAnsi="Calibri" w:cs="Calibri"/>
          <w:sz w:val="24"/>
          <w:szCs w:val="24"/>
        </w:rPr>
        <w:t>evidence-based</w:t>
      </w:r>
      <w:r w:rsidRPr="000F631C">
        <w:rPr>
          <w:rFonts w:ascii="Calibri" w:hAnsi="Calibri" w:cs="Calibri"/>
          <w:sz w:val="24"/>
          <w:szCs w:val="24"/>
        </w:rPr>
        <w:t xml:space="preserve"> healthcare whilst still considering the cost of providing this.</w:t>
      </w:r>
    </w:p>
    <w:p w14:paraId="144F3840"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The Nursing Care Score (NCS) system devised and implemented by Giammona et al. (2016) integrated into the EHR with the aim to reduce the impact of additional time needing to be spent documenting in an additional system. The resultant data demonstrated an improvement in staff satisfaction as the workload was distributed more evenly amongst nursing staff. Equitability in the distribution of workloads has also been demonstrated to improve job satisfaction. Improved job satisfaction has been shown to promote retention in a service and decrease burnout experienced by staff (Giammona et al., 2016). Utilization of </w:t>
      </w:r>
      <w:r w:rsidRPr="000F631C">
        <w:rPr>
          <w:rFonts w:ascii="Calibri" w:hAnsi="Calibri" w:cs="Calibri"/>
          <w:sz w:val="24"/>
          <w:szCs w:val="24"/>
        </w:rPr>
        <w:lastRenderedPageBreak/>
        <w:t xml:space="preserve">a nursing workload measurement tool built into a EHR demonstrated that there was no negative impact on nurse workload and improved equality in workload distribution through research conducted in this quality improvement initiative. </w:t>
      </w:r>
    </w:p>
    <w:p w14:paraId="3E2DAB58"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The concept of using EHR’s to determine acuity scores for use in reduction of healthcare cost, improved equitability of workloads, enhancements in appropriate utilisation of resource management was also identified in </w:t>
      </w:r>
      <w:proofErr w:type="spellStart"/>
      <w:r w:rsidRPr="000F631C">
        <w:rPr>
          <w:rFonts w:ascii="Calibri" w:hAnsi="Calibri" w:cs="Calibri"/>
          <w:sz w:val="24"/>
          <w:szCs w:val="24"/>
        </w:rPr>
        <w:t>Kontio</w:t>
      </w:r>
      <w:proofErr w:type="spellEnd"/>
      <w:r w:rsidRPr="000F631C">
        <w:rPr>
          <w:rFonts w:ascii="Calibri" w:hAnsi="Calibri" w:cs="Calibri"/>
          <w:sz w:val="24"/>
          <w:szCs w:val="24"/>
        </w:rPr>
        <w:t xml:space="preserve"> et el. (2014). The paper concentrated on reducing the impact of recording the acuity by nurse staff through drawing information from previously assigned scored and free text documentation electronically recorded. Larson et al. (2017) also used the approach using pre-recorded, available, electronic data to reduce the impact of recording acuity but still provide usable data. The NICI tool developed was shown to be beneficial in measuring the nursing intensity or acuity of needs required however the NICI was not interfaced into the EHR’s. The NICI scores were validated against clinical experts independently assessing patients and a high level of comparison was found. Once validated, the NICI scores were used to support decision making in nursing resource allocation and it was integrated into the EHR. Utilisation of the information supported the establishment of evidenced-based data about the significance of interventions. Future development of the tool aims to improve patient safety and enhance clinical practice alongside providing a financial benefit for organisations.</w:t>
      </w:r>
    </w:p>
    <w:p w14:paraId="79131C5E" w14:textId="14E60570"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Similarly, </w:t>
      </w:r>
      <w:proofErr w:type="spellStart"/>
      <w:r w:rsidRPr="000F631C">
        <w:rPr>
          <w:rFonts w:ascii="Calibri" w:hAnsi="Calibri" w:cs="Calibri"/>
          <w:sz w:val="24"/>
          <w:szCs w:val="24"/>
        </w:rPr>
        <w:t>Massarweh</w:t>
      </w:r>
      <w:proofErr w:type="spellEnd"/>
      <w:r w:rsidRPr="000F631C">
        <w:rPr>
          <w:rFonts w:ascii="Calibri" w:hAnsi="Calibri" w:cs="Calibri"/>
          <w:sz w:val="24"/>
          <w:szCs w:val="24"/>
        </w:rPr>
        <w:t xml:space="preserve">, </w:t>
      </w:r>
      <w:proofErr w:type="spellStart"/>
      <w:r w:rsidRPr="000F631C">
        <w:rPr>
          <w:rFonts w:ascii="Calibri" w:hAnsi="Calibri" w:cs="Calibri"/>
          <w:sz w:val="24"/>
          <w:szCs w:val="24"/>
        </w:rPr>
        <w:t>Tidyman</w:t>
      </w:r>
      <w:proofErr w:type="spellEnd"/>
      <w:r w:rsidRPr="000F631C">
        <w:rPr>
          <w:rFonts w:ascii="Calibri" w:hAnsi="Calibri" w:cs="Calibri"/>
          <w:sz w:val="24"/>
          <w:szCs w:val="24"/>
        </w:rPr>
        <w:t xml:space="preserve"> and </w:t>
      </w:r>
      <w:proofErr w:type="spellStart"/>
      <w:r w:rsidRPr="000F631C">
        <w:rPr>
          <w:rFonts w:ascii="Calibri" w:hAnsi="Calibri" w:cs="Calibri"/>
          <w:sz w:val="24"/>
          <w:szCs w:val="24"/>
        </w:rPr>
        <w:t>Luu</w:t>
      </w:r>
      <w:proofErr w:type="spellEnd"/>
      <w:r w:rsidRPr="000F631C">
        <w:rPr>
          <w:rFonts w:ascii="Calibri" w:hAnsi="Calibri" w:cs="Calibri"/>
          <w:sz w:val="24"/>
          <w:szCs w:val="24"/>
        </w:rPr>
        <w:t xml:space="preserve"> (2017) designed and implemented an </w:t>
      </w:r>
      <w:proofErr w:type="spellStart"/>
      <w:r w:rsidRPr="000F631C">
        <w:rPr>
          <w:rFonts w:ascii="Calibri" w:hAnsi="Calibri" w:cs="Calibri"/>
          <w:sz w:val="24"/>
          <w:szCs w:val="24"/>
        </w:rPr>
        <w:t>eAssignment</w:t>
      </w:r>
      <w:proofErr w:type="spellEnd"/>
      <w:r w:rsidRPr="000F631C">
        <w:rPr>
          <w:rFonts w:ascii="Calibri" w:hAnsi="Calibri" w:cs="Calibri"/>
          <w:sz w:val="24"/>
          <w:szCs w:val="24"/>
        </w:rPr>
        <w:t xml:space="preserve"> sheet that interfaced with electronically recorded patient information with the aim of providing equitability in workload distribution. The tool was successfully validated within the QI project to a high standard however, the program did not interface with the EHR therefore applicability to practice is limited. The authors of this paper identified that data-</w:t>
      </w:r>
      <w:r w:rsidRPr="000F631C">
        <w:rPr>
          <w:rFonts w:ascii="Calibri" w:hAnsi="Calibri" w:cs="Calibri"/>
          <w:sz w:val="24"/>
          <w:szCs w:val="24"/>
        </w:rPr>
        <w:lastRenderedPageBreak/>
        <w:t xml:space="preserve">enabled technology is key to informing decision-making and progressing clinical practice. The authors surmised that the advancement of clinical practice would be best accomplished by moving away from opinion-based, subjectable acuity tools towards an evidence-based, validated, acuity-based staffing decision making tool. Young et al. (2015) also surmised the same and set out to determine which factors are most influential in nurse staffing decision-making. A significant volume of activities </w:t>
      </w:r>
      <w:r w:rsidR="00B95F5D" w:rsidRPr="000F631C">
        <w:rPr>
          <w:rFonts w:ascii="Calibri" w:hAnsi="Calibri" w:cs="Calibri"/>
          <w:sz w:val="24"/>
          <w:szCs w:val="24"/>
        </w:rPr>
        <w:t>was</w:t>
      </w:r>
      <w:r w:rsidRPr="000F631C">
        <w:rPr>
          <w:rFonts w:ascii="Calibri" w:hAnsi="Calibri" w:cs="Calibri"/>
          <w:sz w:val="24"/>
          <w:szCs w:val="24"/>
        </w:rPr>
        <w:t xml:space="preserve"> identified, over one-thousand, four hundred and thirty eight, which were then evaluated by clinical experts to remove duplicate or redundant activities. Of the volume identified, only twenty-one activities were noted as being used by ninety percent of managers in their decision-making however, of the twenty tools that were evaluated against this, no tools were found to contain all these activities. This, therefore, cast doubt on their validity and reliability as well as going some why to explain why the available tools have been so underutilized within clinical practice. Young et al. (2015) concluded that a standardised approach which can interface with the EHR would optimise the impact of the decision-support tool alongside providing a basis for comparison across services. Like the approach by Welsh Government with the WLoC, standardisation and validation </w:t>
      </w:r>
      <w:proofErr w:type="gramStart"/>
      <w:r w:rsidRPr="000F631C">
        <w:rPr>
          <w:rFonts w:ascii="Calibri" w:hAnsi="Calibri" w:cs="Calibri"/>
          <w:sz w:val="24"/>
          <w:szCs w:val="24"/>
        </w:rPr>
        <w:t>is</w:t>
      </w:r>
      <w:proofErr w:type="gramEnd"/>
      <w:r w:rsidRPr="000F631C">
        <w:rPr>
          <w:rFonts w:ascii="Calibri" w:hAnsi="Calibri" w:cs="Calibri"/>
          <w:sz w:val="24"/>
          <w:szCs w:val="24"/>
        </w:rPr>
        <w:t xml:space="preserve"> paramount but without effective dissemination through an accessible dashboard the tool will not be effectives used. </w:t>
      </w:r>
    </w:p>
    <w:p w14:paraId="6D343456"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The papers reviewed promoted the use of electronic acuity tools for use within decision making and evidence generated supported the integration of these tools into EHR’s. The evidence suggests there is a positive impact on patient safety through reduction of sentinel events, prudency applied to healthcare costs and improved job satisfaction (Giammona et al., 2016; </w:t>
      </w:r>
      <w:proofErr w:type="spellStart"/>
      <w:r w:rsidRPr="000F631C">
        <w:rPr>
          <w:rFonts w:ascii="Calibri" w:hAnsi="Calibri" w:cs="Calibri"/>
          <w:sz w:val="24"/>
          <w:szCs w:val="24"/>
        </w:rPr>
        <w:t>Kontio</w:t>
      </w:r>
      <w:proofErr w:type="spellEnd"/>
      <w:r w:rsidRPr="000F631C">
        <w:rPr>
          <w:rFonts w:ascii="Calibri" w:hAnsi="Calibri" w:cs="Calibri"/>
          <w:sz w:val="24"/>
          <w:szCs w:val="24"/>
        </w:rPr>
        <w:t xml:space="preserve"> et al., 2014; Larson et al., 2017; </w:t>
      </w:r>
      <w:proofErr w:type="spellStart"/>
      <w:r w:rsidRPr="000F631C">
        <w:rPr>
          <w:rFonts w:ascii="Calibri" w:hAnsi="Calibri" w:cs="Calibri"/>
          <w:sz w:val="24"/>
          <w:szCs w:val="24"/>
        </w:rPr>
        <w:t>Massarweh</w:t>
      </w:r>
      <w:proofErr w:type="spellEnd"/>
      <w:r w:rsidRPr="000F631C">
        <w:rPr>
          <w:rFonts w:ascii="Calibri" w:hAnsi="Calibri" w:cs="Calibri"/>
          <w:sz w:val="24"/>
          <w:szCs w:val="24"/>
        </w:rPr>
        <w:t xml:space="preserve"> et al., 2017; &amp; Young et al., 2015). There were, however, limitations to the studies methodologies and executions. </w:t>
      </w:r>
    </w:p>
    <w:p w14:paraId="06C8C08E" w14:textId="77777777"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lastRenderedPageBreak/>
        <w:t xml:space="preserve">There was a significant lack of research identified within the literature review relating to acuity tools supporting decision-making when integrated into electronic patient information. It has been evidenced within the limited research that one tool cannot be a panacea for all types of clinical practices and retain the validity and reliability required. Additionally, applying a tool across one area of clinical practice globally poses </w:t>
      </w:r>
      <w:proofErr w:type="spellStart"/>
      <w:proofErr w:type="gramStart"/>
      <w:r w:rsidRPr="000F631C">
        <w:rPr>
          <w:rFonts w:ascii="Calibri" w:hAnsi="Calibri" w:cs="Calibri"/>
          <w:sz w:val="24"/>
          <w:szCs w:val="24"/>
        </w:rPr>
        <w:t>it’s</w:t>
      </w:r>
      <w:proofErr w:type="spellEnd"/>
      <w:proofErr w:type="gramEnd"/>
      <w:r w:rsidRPr="000F631C">
        <w:rPr>
          <w:rFonts w:ascii="Calibri" w:hAnsi="Calibri" w:cs="Calibri"/>
          <w:sz w:val="24"/>
          <w:szCs w:val="24"/>
        </w:rPr>
        <w:t xml:space="preserve"> own issues as there are fundamental differences in healthcare provision and outlooks. The research found demonstrated a lower level of research and quality improvement projects therefore a recommendation for further research in this area is made. A search of the grey literature was also conducted but found similar issues in terms of volume and quality. </w:t>
      </w:r>
    </w:p>
    <w:p w14:paraId="5E8FBE0F" w14:textId="5268B1A6" w:rsidR="000F631C" w:rsidRPr="000F631C" w:rsidRDefault="000F631C" w:rsidP="000F631C">
      <w:pPr>
        <w:spacing w:line="480" w:lineRule="auto"/>
        <w:rPr>
          <w:rFonts w:ascii="Calibri" w:hAnsi="Calibri" w:cs="Calibri"/>
          <w:sz w:val="24"/>
          <w:szCs w:val="24"/>
        </w:rPr>
      </w:pPr>
      <w:r w:rsidRPr="000F631C">
        <w:rPr>
          <w:rFonts w:ascii="Calibri" w:hAnsi="Calibri" w:cs="Calibri"/>
          <w:sz w:val="24"/>
          <w:szCs w:val="24"/>
        </w:rPr>
        <w:t xml:space="preserve">Multiple end users stand to benefit from the application of a decision-support tool that is based on acuity. The interface with EHR provides further opportunity for benefit to nurse leaders, staff, </w:t>
      </w:r>
      <w:r w:rsidR="00B95F5D" w:rsidRPr="000F631C">
        <w:rPr>
          <w:rFonts w:ascii="Calibri" w:hAnsi="Calibri" w:cs="Calibri"/>
          <w:sz w:val="24"/>
          <w:szCs w:val="24"/>
        </w:rPr>
        <w:t>patients,</w:t>
      </w:r>
      <w:r w:rsidRPr="000F631C">
        <w:rPr>
          <w:rFonts w:ascii="Calibri" w:hAnsi="Calibri" w:cs="Calibri"/>
          <w:sz w:val="24"/>
          <w:szCs w:val="24"/>
        </w:rPr>
        <w:t xml:space="preserve"> and families as well as higher level organisational management. Through reduction in financial burden of misappropriated resource management, increasing staff retention through increased job satisfaction, improvement in patient satisfaction scores as demand is met more effectively, reduction in adverse events through improved resource management, organisations can reap real-time benefits of a decision-support tool. Triangulation of the data is key to providing validity to the resultant data and ensure it is useful for the end users. The evidence also demonstrates that initial start-up costs also need to be considered as the financial benefits are longer term. Training of staff, adoption of the tool into clinical practices, the existing hardware capabilities to facilitate new technology and the continued yearly update cost for a system all need to be factored into adoption of a decision-support tool (</w:t>
      </w:r>
      <w:proofErr w:type="spellStart"/>
      <w:r w:rsidRPr="000F631C">
        <w:rPr>
          <w:rFonts w:ascii="Calibri" w:hAnsi="Calibri" w:cs="Calibri"/>
          <w:sz w:val="24"/>
          <w:szCs w:val="24"/>
        </w:rPr>
        <w:t>Dyrda</w:t>
      </w:r>
      <w:proofErr w:type="spellEnd"/>
      <w:r w:rsidRPr="000F631C">
        <w:rPr>
          <w:rFonts w:ascii="Calibri" w:hAnsi="Calibri" w:cs="Calibri"/>
          <w:sz w:val="24"/>
          <w:szCs w:val="24"/>
        </w:rPr>
        <w:t>, 2016). Many of these costs however can be potentially offset by the increase in staff retention through improved job satisfaction.</w:t>
      </w:r>
      <w:r w:rsidRPr="000F631C">
        <w:rPr>
          <w:rFonts w:ascii="Calibri" w:hAnsi="Calibri" w:cs="Calibri"/>
          <w:sz w:val="24"/>
          <w:szCs w:val="24"/>
        </w:rPr>
        <w:br/>
      </w:r>
    </w:p>
    <w:p w14:paraId="3F2B6477" w14:textId="37965ACB" w:rsidR="00B95F5D" w:rsidRPr="00B95F5D" w:rsidRDefault="00B95F5D" w:rsidP="00B95F5D">
      <w:pPr>
        <w:spacing w:line="480" w:lineRule="auto"/>
        <w:rPr>
          <w:rFonts w:ascii="Calibri" w:hAnsi="Calibri" w:cs="Calibri"/>
          <w:sz w:val="24"/>
          <w:szCs w:val="24"/>
        </w:rPr>
      </w:pPr>
      <w:r w:rsidRPr="00B95F5D">
        <w:rPr>
          <w:rFonts w:ascii="Calibri" w:hAnsi="Calibri" w:cs="Calibri"/>
          <w:b/>
          <w:bCs/>
          <w:sz w:val="24"/>
          <w:szCs w:val="24"/>
        </w:rPr>
        <w:lastRenderedPageBreak/>
        <w:t>Implementation issues</w:t>
      </w:r>
    </w:p>
    <w:p w14:paraId="7EB9EFA9" w14:textId="4857C2B1"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t xml:space="preserve">Implementation of the proposed dashboard does however have some issues that need to be addressed from the offset. Change in healthcare is an inevitable advent however the ability to foster a culture where change is embraced is often challenging withing the NHS system (NICE, 2007). It appears almost counter intuitive that the NHS does not have a culture of change embedded into the everyday clinical practice. The ability to flexibility </w:t>
      </w:r>
      <w:proofErr w:type="gramStart"/>
      <w:r w:rsidRPr="00B95F5D">
        <w:rPr>
          <w:rFonts w:ascii="Calibri" w:hAnsi="Calibri" w:cs="Calibri"/>
          <w:sz w:val="24"/>
          <w:szCs w:val="24"/>
        </w:rPr>
        <w:t>adapt</w:t>
      </w:r>
      <w:proofErr w:type="gramEnd"/>
      <w:r w:rsidRPr="00B95F5D">
        <w:rPr>
          <w:rFonts w:ascii="Calibri" w:hAnsi="Calibri" w:cs="Calibri"/>
          <w:sz w:val="24"/>
          <w:szCs w:val="24"/>
        </w:rPr>
        <w:t xml:space="preserve"> to change in an organisation that experiences such high levels of change needs to be at the core of the NHS if it is going to succeed. Achievement of change in any organisation is </w:t>
      </w:r>
      <w:proofErr w:type="spellStart"/>
      <w:r w:rsidRPr="00B95F5D">
        <w:rPr>
          <w:rFonts w:ascii="Calibri" w:hAnsi="Calibri" w:cs="Calibri"/>
          <w:sz w:val="24"/>
          <w:szCs w:val="24"/>
        </w:rPr>
        <w:t>dependant</w:t>
      </w:r>
      <w:proofErr w:type="spellEnd"/>
      <w:r w:rsidRPr="00B95F5D">
        <w:rPr>
          <w:rFonts w:ascii="Calibri" w:hAnsi="Calibri" w:cs="Calibri"/>
          <w:sz w:val="24"/>
          <w:szCs w:val="24"/>
        </w:rPr>
        <w:t xml:space="preserve"> on the leadership of services. Clear communication by leaders that are passionate about their service and take pride in delivery is key. Additionally, clarity of vision and expression of the values being imparted is crucial to the success of the change (NHSI 2017). Change management literature states if successful change is not only going to be implemented but also achieve sustainability after initial execution, the efficacy of leadership is crucial within the process (Burke, 2017; Thornton 2016).</w:t>
      </w:r>
    </w:p>
    <w:p w14:paraId="3E2C1CB5" w14:textId="69D6E3A3"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t xml:space="preserve">The diversity of clinical environments found within the NHS is vast, each with </w:t>
      </w:r>
      <w:r w:rsidRPr="00B95F5D">
        <w:rPr>
          <w:rFonts w:ascii="Calibri" w:hAnsi="Calibri" w:cs="Calibri"/>
          <w:sz w:val="24"/>
          <w:szCs w:val="24"/>
        </w:rPr>
        <w:t>its</w:t>
      </w:r>
      <w:r w:rsidRPr="00B95F5D">
        <w:rPr>
          <w:rFonts w:ascii="Calibri" w:hAnsi="Calibri" w:cs="Calibri"/>
          <w:sz w:val="24"/>
          <w:szCs w:val="24"/>
        </w:rPr>
        <w:t xml:space="preserve"> own nuances and priorities. It is not surprising then as a result there is a lack of consensus on the change methodology which should be adopted to facilitate change. To implement the proposed dashboard within clinical practice, Lewin’s 1958 model of change would be adapted. The model is broken into three simple steps which helps with implementation, adaptability and understanding of the model for all that need to be involved. As depicted in Table 9., the ‘unfreeze’ stage starts by challenging the status quo as the equilibrium needs to be confronted to negate individual or group resistance. Once identified and challenged, unfreezing of the routine practice, the proposed change can then be implemented which is </w:t>
      </w:r>
      <w:r w:rsidRPr="00B95F5D">
        <w:rPr>
          <w:rFonts w:ascii="Calibri" w:hAnsi="Calibri" w:cs="Calibri"/>
          <w:sz w:val="24"/>
          <w:szCs w:val="24"/>
        </w:rPr>
        <w:lastRenderedPageBreak/>
        <w:t xml:space="preserve">the movement phase of the model. Perception of success is then dependant on the following ‘refreeze’ phase which aims to cement the change into practice. This phase is imperative if the change is going to be sustainable and reversion to previous statuses is avoided. Adoption of the change into standard operating procedures or policies can also help support the change. </w:t>
      </w:r>
    </w:p>
    <w:p w14:paraId="3D561E66" w14:textId="77777777" w:rsidR="00B95F5D" w:rsidRPr="00B95F5D" w:rsidRDefault="00B95F5D" w:rsidP="00B95F5D">
      <w:pPr>
        <w:spacing w:line="480" w:lineRule="auto"/>
        <w:rPr>
          <w:rFonts w:ascii="Calibri" w:hAnsi="Calibri" w:cs="Calibri"/>
          <w:sz w:val="24"/>
          <w:szCs w:val="24"/>
        </w:rPr>
      </w:pPr>
    </w:p>
    <w:p w14:paraId="2BD9164F" w14:textId="77777777"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drawing>
          <wp:inline distT="0" distB="0" distL="0" distR="0" wp14:anchorId="31469322" wp14:editId="7B874854">
            <wp:extent cx="5856765" cy="2786332"/>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2"/>
                    <a:srcRect l="5264" t="7638" r="5382" b="10122"/>
                    <a:stretch/>
                  </pic:blipFill>
                  <pic:spPr bwMode="auto">
                    <a:xfrm>
                      <a:off x="0" y="0"/>
                      <a:ext cx="5857304" cy="2786588"/>
                    </a:xfrm>
                    <a:prstGeom prst="rect">
                      <a:avLst/>
                    </a:prstGeom>
                    <a:ln>
                      <a:noFill/>
                    </a:ln>
                    <a:extLst>
                      <a:ext uri="{53640926-AAD7-44D8-BBD7-CCE9431645EC}">
                        <a14:shadowObscured xmlns:a14="http://schemas.microsoft.com/office/drawing/2010/main"/>
                      </a:ext>
                    </a:extLst>
                  </pic:spPr>
                </pic:pic>
              </a:graphicData>
            </a:graphic>
          </wp:inline>
        </w:drawing>
      </w:r>
    </w:p>
    <w:p w14:paraId="35E4A41B" w14:textId="1E25FE42"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t>Table 9.</w:t>
      </w:r>
    </w:p>
    <w:p w14:paraId="75BA5241" w14:textId="73E7E4DD"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t xml:space="preserve">Lewin’s (1958) model both anticipates and reflects the operational forces of change that regularly occur when change is proposed within any clinical environment. Forces can be either in promotion or opposition of the </w:t>
      </w:r>
      <w:r w:rsidRPr="00B95F5D">
        <w:rPr>
          <w:rFonts w:ascii="Calibri" w:hAnsi="Calibri" w:cs="Calibri"/>
          <w:sz w:val="24"/>
          <w:szCs w:val="24"/>
        </w:rPr>
        <w:t>change,</w:t>
      </w:r>
      <w:r w:rsidRPr="00B95F5D">
        <w:rPr>
          <w:rFonts w:ascii="Calibri" w:hAnsi="Calibri" w:cs="Calibri"/>
          <w:sz w:val="24"/>
          <w:szCs w:val="24"/>
        </w:rPr>
        <w:t xml:space="preserve"> but the model considers this a pivotal point, especially if one is greater than the other (</w:t>
      </w:r>
      <w:proofErr w:type="spellStart"/>
      <w:r w:rsidRPr="00B95F5D">
        <w:rPr>
          <w:rFonts w:ascii="Calibri" w:hAnsi="Calibri" w:cs="Calibri"/>
          <w:sz w:val="24"/>
          <w:szCs w:val="24"/>
        </w:rPr>
        <w:t>Kritsonis</w:t>
      </w:r>
      <w:proofErr w:type="spellEnd"/>
      <w:r w:rsidRPr="00B95F5D">
        <w:rPr>
          <w:rFonts w:ascii="Calibri" w:hAnsi="Calibri" w:cs="Calibri"/>
          <w:sz w:val="24"/>
          <w:szCs w:val="24"/>
        </w:rPr>
        <w:t>, 2005). Inclusion of the end users is also key to sustainability. Buy in to the change through active participation needs to be strongly encouraged if the dashboard is to be appropriately utilised and make a real impact on clinical practice. Inclusion of the end users is paramount at the early stages of any change so perceived ownership of the change can be felt by all members.</w:t>
      </w:r>
    </w:p>
    <w:p w14:paraId="7C9C4254" w14:textId="0031E345" w:rsidR="00B95F5D" w:rsidRPr="00B95F5D" w:rsidRDefault="00B95F5D" w:rsidP="00B95F5D">
      <w:pPr>
        <w:spacing w:line="480" w:lineRule="auto"/>
        <w:rPr>
          <w:rFonts w:ascii="Calibri" w:hAnsi="Calibri" w:cs="Calibri"/>
          <w:sz w:val="24"/>
          <w:szCs w:val="24"/>
        </w:rPr>
      </w:pPr>
      <w:r w:rsidRPr="00B95F5D">
        <w:rPr>
          <w:rFonts w:ascii="Calibri" w:hAnsi="Calibri" w:cs="Calibri"/>
          <w:b/>
          <w:bCs/>
          <w:sz w:val="24"/>
          <w:szCs w:val="24"/>
        </w:rPr>
        <w:lastRenderedPageBreak/>
        <w:t xml:space="preserve">Evaluation </w:t>
      </w:r>
    </w:p>
    <w:p w14:paraId="11A97D77" w14:textId="06510B18"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t xml:space="preserve">Nurses play a critical role in the determination of patient safety, quality of care delivery and facilitating positive patient outcomes. The clinical team will need to understand the significance of the dashboard and the importance of ensuring that it is both completed accurately and utilised effectively in resource management. Education on the dashboard will be as key in </w:t>
      </w:r>
      <w:proofErr w:type="spellStart"/>
      <w:proofErr w:type="gramStart"/>
      <w:r w:rsidRPr="00B95F5D">
        <w:rPr>
          <w:rFonts w:ascii="Calibri" w:hAnsi="Calibri" w:cs="Calibri"/>
          <w:sz w:val="24"/>
          <w:szCs w:val="24"/>
        </w:rPr>
        <w:t>it’s</w:t>
      </w:r>
      <w:proofErr w:type="spellEnd"/>
      <w:proofErr w:type="gramEnd"/>
      <w:r w:rsidRPr="00B95F5D">
        <w:rPr>
          <w:rFonts w:ascii="Calibri" w:hAnsi="Calibri" w:cs="Calibri"/>
          <w:sz w:val="24"/>
          <w:szCs w:val="24"/>
        </w:rPr>
        <w:t xml:space="preserve"> success as effective leadership in the instigation. Implementing the decision-support tool into CS will positively impact organisational costings, improve </w:t>
      </w:r>
      <w:r w:rsidRPr="00B95F5D">
        <w:rPr>
          <w:rFonts w:ascii="Calibri" w:hAnsi="Calibri" w:cs="Calibri"/>
          <w:sz w:val="24"/>
          <w:szCs w:val="24"/>
        </w:rPr>
        <w:t>patient,</w:t>
      </w:r>
      <w:r w:rsidRPr="00B95F5D">
        <w:rPr>
          <w:rFonts w:ascii="Calibri" w:hAnsi="Calibri" w:cs="Calibri"/>
          <w:sz w:val="24"/>
          <w:szCs w:val="24"/>
        </w:rPr>
        <w:t xml:space="preserve"> and staff satisfaction therefore decreasing staff turnover, and provide instrumental data sets for assistance in organisational change (</w:t>
      </w:r>
      <w:proofErr w:type="spellStart"/>
      <w:r w:rsidRPr="00B95F5D">
        <w:rPr>
          <w:rFonts w:ascii="Calibri" w:hAnsi="Calibri" w:cs="Calibri"/>
          <w:sz w:val="24"/>
          <w:szCs w:val="24"/>
        </w:rPr>
        <w:t>Massarweh</w:t>
      </w:r>
      <w:proofErr w:type="spellEnd"/>
      <w:r w:rsidRPr="00B95F5D">
        <w:rPr>
          <w:rFonts w:ascii="Calibri" w:hAnsi="Calibri" w:cs="Calibri"/>
          <w:sz w:val="24"/>
          <w:szCs w:val="24"/>
        </w:rPr>
        <w:t xml:space="preserve"> et al., 2017). Documenting this change and the impact on clinical practice will need to be considered if a change is to be evidenced. A pre-implementation questionnaire can be employed to gather the current picture of the WLoC is being used alongside CS. This will give both a subjective viewpoint of clinical practice and provide data on how resource management is currently being undertaken. Quantitative data can also be gathered from CS providing direct comparison for pre and post implementation. Efficacy can be directly measured through both data gathered from CS and from the EHR system which has been utilized within the community setting being piloted for over twenty years. Data pertaining to the perimeters already identified as key within the literature when decisions are made around resource management in a clinical environment. This data is already being generated and is easily repeated pre-implementation, three months after implementation to gather initial data sets and six months post implementation to establish if the change has been sustainable. Additionally, post implementation an end user experience questionnaire can also be adopted to evaluate the usability of the dashboard. This will ensure that the pilot HB end users have been able to </w:t>
      </w:r>
      <w:r w:rsidRPr="00B95F5D">
        <w:rPr>
          <w:rFonts w:ascii="Calibri" w:hAnsi="Calibri" w:cs="Calibri"/>
          <w:sz w:val="24"/>
          <w:szCs w:val="24"/>
        </w:rPr>
        <w:lastRenderedPageBreak/>
        <w:t>identify any potential changes that may improve the dashboard usability before this is rolled out to the rest of Wales.</w:t>
      </w:r>
    </w:p>
    <w:p w14:paraId="2E3EF5E7" w14:textId="6E2345B9" w:rsidR="00B95F5D" w:rsidRDefault="00B95F5D" w:rsidP="00B95F5D">
      <w:pPr>
        <w:spacing w:line="480" w:lineRule="auto"/>
        <w:rPr>
          <w:rFonts w:ascii="Calibri" w:hAnsi="Calibri" w:cs="Calibri"/>
          <w:b/>
          <w:bCs/>
          <w:sz w:val="24"/>
          <w:szCs w:val="24"/>
        </w:rPr>
      </w:pPr>
    </w:p>
    <w:p w14:paraId="5A36B847" w14:textId="00484F31" w:rsidR="00B95F5D" w:rsidRDefault="00B95F5D" w:rsidP="00B95F5D">
      <w:pPr>
        <w:spacing w:line="480" w:lineRule="auto"/>
        <w:rPr>
          <w:rFonts w:ascii="Calibri" w:hAnsi="Calibri" w:cs="Calibri"/>
          <w:b/>
          <w:bCs/>
          <w:sz w:val="24"/>
          <w:szCs w:val="24"/>
        </w:rPr>
      </w:pPr>
    </w:p>
    <w:p w14:paraId="7112C4A5" w14:textId="780ED078" w:rsidR="00B95F5D" w:rsidRDefault="00B95F5D" w:rsidP="00B95F5D">
      <w:pPr>
        <w:spacing w:line="480" w:lineRule="auto"/>
        <w:rPr>
          <w:rFonts w:ascii="Calibri" w:hAnsi="Calibri" w:cs="Calibri"/>
          <w:b/>
          <w:bCs/>
          <w:sz w:val="24"/>
          <w:szCs w:val="24"/>
        </w:rPr>
      </w:pPr>
    </w:p>
    <w:p w14:paraId="6B6094C9" w14:textId="7338D356" w:rsidR="00B95F5D" w:rsidRDefault="00B95F5D" w:rsidP="00B95F5D">
      <w:pPr>
        <w:spacing w:line="480" w:lineRule="auto"/>
        <w:rPr>
          <w:rFonts w:ascii="Calibri" w:hAnsi="Calibri" w:cs="Calibri"/>
          <w:b/>
          <w:bCs/>
          <w:sz w:val="24"/>
          <w:szCs w:val="24"/>
        </w:rPr>
      </w:pPr>
    </w:p>
    <w:p w14:paraId="66106EDE" w14:textId="1F7A38C1" w:rsidR="00B95F5D" w:rsidRDefault="00B95F5D" w:rsidP="00B95F5D">
      <w:pPr>
        <w:spacing w:line="480" w:lineRule="auto"/>
        <w:rPr>
          <w:rFonts w:ascii="Calibri" w:hAnsi="Calibri" w:cs="Calibri"/>
          <w:b/>
          <w:bCs/>
          <w:sz w:val="24"/>
          <w:szCs w:val="24"/>
        </w:rPr>
      </w:pPr>
    </w:p>
    <w:p w14:paraId="2EE0127D" w14:textId="65321F19" w:rsidR="00B95F5D" w:rsidRDefault="00B95F5D" w:rsidP="00B95F5D">
      <w:pPr>
        <w:spacing w:line="480" w:lineRule="auto"/>
        <w:rPr>
          <w:rFonts w:ascii="Calibri" w:hAnsi="Calibri" w:cs="Calibri"/>
          <w:b/>
          <w:bCs/>
          <w:sz w:val="24"/>
          <w:szCs w:val="24"/>
        </w:rPr>
      </w:pPr>
    </w:p>
    <w:p w14:paraId="4EDFEC2E" w14:textId="7F748257" w:rsidR="00B95F5D" w:rsidRDefault="00B95F5D" w:rsidP="00B95F5D">
      <w:pPr>
        <w:spacing w:line="480" w:lineRule="auto"/>
        <w:rPr>
          <w:rFonts w:ascii="Calibri" w:hAnsi="Calibri" w:cs="Calibri"/>
          <w:b/>
          <w:bCs/>
          <w:sz w:val="24"/>
          <w:szCs w:val="24"/>
        </w:rPr>
      </w:pPr>
    </w:p>
    <w:p w14:paraId="33B93772" w14:textId="6390E35C" w:rsidR="00B95F5D" w:rsidRDefault="00B95F5D" w:rsidP="00B95F5D">
      <w:pPr>
        <w:spacing w:line="480" w:lineRule="auto"/>
        <w:rPr>
          <w:rFonts w:ascii="Calibri" w:hAnsi="Calibri" w:cs="Calibri"/>
          <w:b/>
          <w:bCs/>
          <w:sz w:val="24"/>
          <w:szCs w:val="24"/>
        </w:rPr>
      </w:pPr>
    </w:p>
    <w:p w14:paraId="486F1D2F" w14:textId="69BF68F7" w:rsidR="00B95F5D" w:rsidRDefault="00B95F5D" w:rsidP="00B95F5D">
      <w:pPr>
        <w:spacing w:line="480" w:lineRule="auto"/>
        <w:rPr>
          <w:rFonts w:ascii="Calibri" w:hAnsi="Calibri" w:cs="Calibri"/>
          <w:b/>
          <w:bCs/>
          <w:sz w:val="24"/>
          <w:szCs w:val="24"/>
        </w:rPr>
      </w:pPr>
    </w:p>
    <w:p w14:paraId="6F2AC436" w14:textId="56B64ED1" w:rsidR="00B95F5D" w:rsidRDefault="00B95F5D" w:rsidP="00B95F5D">
      <w:pPr>
        <w:spacing w:line="480" w:lineRule="auto"/>
        <w:rPr>
          <w:rFonts w:ascii="Calibri" w:hAnsi="Calibri" w:cs="Calibri"/>
          <w:b/>
          <w:bCs/>
          <w:sz w:val="24"/>
          <w:szCs w:val="24"/>
        </w:rPr>
      </w:pPr>
    </w:p>
    <w:p w14:paraId="2AFA83DD" w14:textId="67A18A40" w:rsidR="00B95F5D" w:rsidRDefault="00B95F5D" w:rsidP="00B95F5D">
      <w:pPr>
        <w:spacing w:line="480" w:lineRule="auto"/>
        <w:rPr>
          <w:rFonts w:ascii="Calibri" w:hAnsi="Calibri" w:cs="Calibri"/>
          <w:b/>
          <w:bCs/>
          <w:sz w:val="24"/>
          <w:szCs w:val="24"/>
        </w:rPr>
      </w:pPr>
    </w:p>
    <w:p w14:paraId="3B41B8B4" w14:textId="6357AA1B" w:rsidR="00B95F5D" w:rsidRDefault="00B95F5D" w:rsidP="00B95F5D">
      <w:pPr>
        <w:spacing w:line="480" w:lineRule="auto"/>
        <w:rPr>
          <w:rFonts w:ascii="Calibri" w:hAnsi="Calibri" w:cs="Calibri"/>
          <w:b/>
          <w:bCs/>
          <w:sz w:val="24"/>
          <w:szCs w:val="24"/>
        </w:rPr>
      </w:pPr>
    </w:p>
    <w:p w14:paraId="3525AA0C" w14:textId="00F958D8" w:rsidR="00B95F5D" w:rsidRDefault="00B95F5D" w:rsidP="00B95F5D">
      <w:pPr>
        <w:spacing w:line="480" w:lineRule="auto"/>
        <w:rPr>
          <w:rFonts w:ascii="Calibri" w:hAnsi="Calibri" w:cs="Calibri"/>
          <w:b/>
          <w:bCs/>
          <w:sz w:val="24"/>
          <w:szCs w:val="24"/>
        </w:rPr>
      </w:pPr>
    </w:p>
    <w:p w14:paraId="78D1F8B5" w14:textId="2A3F3855" w:rsidR="00B95F5D" w:rsidRDefault="00B95F5D" w:rsidP="00B95F5D">
      <w:pPr>
        <w:spacing w:line="480" w:lineRule="auto"/>
        <w:rPr>
          <w:rFonts w:ascii="Calibri" w:hAnsi="Calibri" w:cs="Calibri"/>
          <w:b/>
          <w:bCs/>
          <w:sz w:val="24"/>
          <w:szCs w:val="24"/>
        </w:rPr>
      </w:pPr>
    </w:p>
    <w:p w14:paraId="5660EE91" w14:textId="5FAD1AC6" w:rsidR="00B95F5D" w:rsidRDefault="00B95F5D" w:rsidP="00B95F5D">
      <w:pPr>
        <w:spacing w:line="480" w:lineRule="auto"/>
        <w:rPr>
          <w:rFonts w:ascii="Calibri" w:hAnsi="Calibri" w:cs="Calibri"/>
          <w:b/>
          <w:bCs/>
          <w:sz w:val="24"/>
          <w:szCs w:val="24"/>
        </w:rPr>
      </w:pPr>
    </w:p>
    <w:p w14:paraId="0EE8FF91" w14:textId="1BA104CA" w:rsidR="00B95F5D" w:rsidRDefault="00B95F5D" w:rsidP="00B95F5D">
      <w:pPr>
        <w:spacing w:line="480" w:lineRule="auto"/>
        <w:rPr>
          <w:rFonts w:ascii="Calibri" w:hAnsi="Calibri" w:cs="Calibri"/>
          <w:b/>
          <w:bCs/>
          <w:sz w:val="24"/>
          <w:szCs w:val="24"/>
        </w:rPr>
      </w:pPr>
    </w:p>
    <w:p w14:paraId="0B418C2F" w14:textId="6CAB8F88" w:rsidR="00B95F5D" w:rsidRDefault="00B95F5D" w:rsidP="00B95F5D">
      <w:pPr>
        <w:spacing w:line="480" w:lineRule="auto"/>
        <w:rPr>
          <w:rFonts w:ascii="Calibri" w:hAnsi="Calibri" w:cs="Calibri"/>
          <w:b/>
          <w:bCs/>
          <w:sz w:val="24"/>
          <w:szCs w:val="24"/>
        </w:rPr>
      </w:pPr>
    </w:p>
    <w:p w14:paraId="1FAD3A6C" w14:textId="7104B97A" w:rsidR="00B95F5D" w:rsidRDefault="00B95F5D" w:rsidP="00B95F5D">
      <w:pPr>
        <w:spacing w:line="480" w:lineRule="auto"/>
        <w:rPr>
          <w:rFonts w:ascii="Calibri" w:hAnsi="Calibri" w:cs="Calibri"/>
          <w:b/>
          <w:bCs/>
          <w:sz w:val="24"/>
          <w:szCs w:val="24"/>
        </w:rPr>
      </w:pPr>
      <w:r>
        <w:rPr>
          <w:rFonts w:ascii="Calibri" w:hAnsi="Calibri" w:cs="Calibri"/>
          <w:b/>
          <w:bCs/>
          <w:sz w:val="24"/>
          <w:szCs w:val="24"/>
        </w:rPr>
        <w:lastRenderedPageBreak/>
        <w:t>References</w:t>
      </w:r>
    </w:p>
    <w:p w14:paraId="33B95062"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Burke, W. 2017. Organization change: Theory and practice. 5th ed. California: SAGE Publications Inc</w:t>
      </w:r>
    </w:p>
    <w:p w14:paraId="674D9698" w14:textId="77777777" w:rsidR="00864ADD" w:rsidRPr="00864ADD" w:rsidRDefault="00864ADD" w:rsidP="00864ADD">
      <w:pPr>
        <w:spacing w:line="480" w:lineRule="auto"/>
        <w:rPr>
          <w:rFonts w:ascii="Calibri" w:hAnsi="Calibri" w:cs="Calibri"/>
          <w:sz w:val="24"/>
          <w:szCs w:val="24"/>
        </w:rPr>
      </w:pPr>
    </w:p>
    <w:p w14:paraId="26972624"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CASP (Systematic Review) Checklist. [online] Available at: https://casp-uk.net/wp-content/uploads/2018/01/CASP-Systematic-Review-Checklist_2018.pdf. [Accessed: 12th February 2023].  </w:t>
      </w:r>
    </w:p>
    <w:p w14:paraId="0F9EF7DE" w14:textId="77777777" w:rsidR="00864ADD" w:rsidRPr="00864ADD" w:rsidRDefault="00864ADD" w:rsidP="00864ADD">
      <w:pPr>
        <w:spacing w:line="480" w:lineRule="auto"/>
        <w:rPr>
          <w:rFonts w:ascii="Calibri" w:hAnsi="Calibri" w:cs="Calibri"/>
          <w:sz w:val="24"/>
          <w:szCs w:val="24"/>
        </w:rPr>
      </w:pPr>
    </w:p>
    <w:p w14:paraId="6097A962"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Dalton, J., Booth, A. and Noyes, J, (2017) Potential value of systematic reviews of qualitative evidence in informing user-centred health and social care: findings from a descriptive overview. Journal of Clinical Epidemiology, 88, pp. 37–46.</w:t>
      </w:r>
    </w:p>
    <w:p w14:paraId="3549F51C" w14:textId="77777777" w:rsidR="00864ADD" w:rsidRPr="00864ADD" w:rsidRDefault="00864ADD" w:rsidP="00864ADD">
      <w:pPr>
        <w:spacing w:line="480" w:lineRule="auto"/>
        <w:rPr>
          <w:rFonts w:ascii="Calibri" w:hAnsi="Calibri" w:cs="Calibri"/>
          <w:sz w:val="24"/>
          <w:szCs w:val="24"/>
        </w:rPr>
      </w:pPr>
    </w:p>
    <w:p w14:paraId="714D0B36"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Gelinas, L. (2016, September). Patient assignment </w:t>
      </w:r>
      <w:proofErr w:type="spellStart"/>
      <w:proofErr w:type="gramStart"/>
      <w:r w:rsidRPr="00864ADD">
        <w:rPr>
          <w:rFonts w:ascii="Calibri" w:hAnsi="Calibri" w:cs="Calibri"/>
          <w:sz w:val="24"/>
          <w:szCs w:val="24"/>
        </w:rPr>
        <w:t>vs.nurse</w:t>
      </w:r>
      <w:proofErr w:type="spellEnd"/>
      <w:proofErr w:type="gramEnd"/>
      <w:r w:rsidRPr="00864ADD">
        <w:rPr>
          <w:rFonts w:ascii="Calibri" w:hAnsi="Calibri" w:cs="Calibri"/>
          <w:sz w:val="24"/>
          <w:szCs w:val="24"/>
        </w:rPr>
        <w:t xml:space="preserve"> staffing: More than just numbers. American Nurse Today, 11(9), 6. Retrieved from </w:t>
      </w:r>
      <w:proofErr w:type="gramStart"/>
      <w:r w:rsidRPr="00864ADD">
        <w:rPr>
          <w:rFonts w:ascii="Calibri" w:hAnsi="Calibri" w:cs="Calibri"/>
          <w:sz w:val="24"/>
          <w:szCs w:val="24"/>
        </w:rPr>
        <w:t>https://www.american</w:t>
      </w:r>
      <w:proofErr w:type="gramEnd"/>
    </w:p>
    <w:p w14:paraId="33B400DE"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nursetoday.com/</w:t>
      </w:r>
      <w:proofErr w:type="spellStart"/>
      <w:r w:rsidRPr="00864ADD">
        <w:rPr>
          <w:rFonts w:ascii="Calibri" w:hAnsi="Calibri" w:cs="Calibri"/>
          <w:sz w:val="24"/>
          <w:szCs w:val="24"/>
        </w:rPr>
        <w:t>wp</w:t>
      </w:r>
      <w:proofErr w:type="spellEnd"/>
      <w:r w:rsidRPr="00864ADD">
        <w:rPr>
          <w:rFonts w:ascii="Calibri" w:hAnsi="Calibri" w:cs="Calibri"/>
          <w:sz w:val="24"/>
          <w:szCs w:val="24"/>
        </w:rPr>
        <w:t xml:space="preserve">-content/uploads/2016/09/ant9-Gelinas-818.pdf. [Accessed: 12th February 2023].  </w:t>
      </w:r>
    </w:p>
    <w:p w14:paraId="1B920E01" w14:textId="77777777" w:rsidR="00864ADD" w:rsidRPr="00864ADD" w:rsidRDefault="00864ADD" w:rsidP="00864ADD">
      <w:pPr>
        <w:spacing w:line="480" w:lineRule="auto"/>
        <w:rPr>
          <w:rFonts w:ascii="Calibri" w:hAnsi="Calibri" w:cs="Calibri"/>
          <w:sz w:val="24"/>
          <w:szCs w:val="24"/>
        </w:rPr>
      </w:pPr>
    </w:p>
    <w:p w14:paraId="4D300F89"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Giammona, S., Arena, G., Calo, M., Barone, M. A., </w:t>
      </w:r>
      <w:proofErr w:type="spellStart"/>
      <w:r w:rsidRPr="00864ADD">
        <w:rPr>
          <w:rFonts w:ascii="Calibri" w:hAnsi="Calibri" w:cs="Calibri"/>
          <w:sz w:val="24"/>
          <w:szCs w:val="24"/>
        </w:rPr>
        <w:t>Scelsa</w:t>
      </w:r>
      <w:proofErr w:type="spellEnd"/>
      <w:r w:rsidRPr="00864ADD">
        <w:rPr>
          <w:rFonts w:ascii="Calibri" w:hAnsi="Calibri" w:cs="Calibri"/>
          <w:sz w:val="24"/>
          <w:szCs w:val="24"/>
        </w:rPr>
        <w:t xml:space="preserve">, D., </w:t>
      </w:r>
      <w:proofErr w:type="spellStart"/>
      <w:r w:rsidRPr="00864ADD">
        <w:rPr>
          <w:rFonts w:ascii="Calibri" w:hAnsi="Calibri" w:cs="Calibri"/>
          <w:sz w:val="24"/>
          <w:szCs w:val="24"/>
        </w:rPr>
        <w:t>Lepre</w:t>
      </w:r>
      <w:proofErr w:type="spellEnd"/>
      <w:r w:rsidRPr="00864ADD">
        <w:rPr>
          <w:rFonts w:ascii="Calibri" w:hAnsi="Calibri" w:cs="Calibri"/>
          <w:sz w:val="24"/>
          <w:szCs w:val="24"/>
        </w:rPr>
        <w:t xml:space="preserve">, A., </w:t>
      </w:r>
      <w:proofErr w:type="gramStart"/>
      <w:r w:rsidRPr="00864ADD">
        <w:rPr>
          <w:rFonts w:ascii="Calibri" w:hAnsi="Calibri" w:cs="Calibri"/>
          <w:sz w:val="24"/>
          <w:szCs w:val="24"/>
        </w:rPr>
        <w:t>and,</w:t>
      </w:r>
      <w:proofErr w:type="gramEnd"/>
      <w:r w:rsidRPr="00864ADD">
        <w:rPr>
          <w:rFonts w:ascii="Calibri" w:hAnsi="Calibri" w:cs="Calibri"/>
          <w:sz w:val="24"/>
          <w:szCs w:val="24"/>
        </w:rPr>
        <w:t xml:space="preserve"> Schlenk, E. A. (2016). Nursing workload and staff allocation in an </w:t>
      </w:r>
      <w:proofErr w:type="spellStart"/>
      <w:r w:rsidRPr="00864ADD">
        <w:rPr>
          <w:rFonts w:ascii="Calibri" w:hAnsi="Calibri" w:cs="Calibri"/>
          <w:sz w:val="24"/>
          <w:szCs w:val="24"/>
        </w:rPr>
        <w:t>italian</w:t>
      </w:r>
      <w:proofErr w:type="spellEnd"/>
      <w:r w:rsidRPr="00864ADD">
        <w:rPr>
          <w:rFonts w:ascii="Calibri" w:hAnsi="Calibri" w:cs="Calibri"/>
          <w:sz w:val="24"/>
          <w:szCs w:val="24"/>
        </w:rPr>
        <w:t xml:space="preserve"> hospital: A quality improvement initiative based on nursing care score. Central European Journal of Nursing &amp; Midwifery, 7(2), 420- 427. [Accessed: 12th February 2023].  </w:t>
      </w:r>
    </w:p>
    <w:p w14:paraId="47D0C613" w14:textId="77777777" w:rsidR="00864ADD" w:rsidRPr="00864ADD" w:rsidRDefault="00864ADD" w:rsidP="00864ADD">
      <w:pPr>
        <w:spacing w:line="480" w:lineRule="auto"/>
        <w:rPr>
          <w:rFonts w:ascii="Calibri" w:hAnsi="Calibri" w:cs="Calibri"/>
          <w:sz w:val="24"/>
          <w:szCs w:val="24"/>
        </w:rPr>
      </w:pPr>
    </w:p>
    <w:p w14:paraId="2F4B8F6F"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Hannes, K. and </w:t>
      </w:r>
      <w:proofErr w:type="spellStart"/>
      <w:r w:rsidRPr="00864ADD">
        <w:rPr>
          <w:rFonts w:ascii="Calibri" w:hAnsi="Calibri" w:cs="Calibri"/>
          <w:sz w:val="24"/>
          <w:szCs w:val="24"/>
        </w:rPr>
        <w:t>Macaitis</w:t>
      </w:r>
      <w:proofErr w:type="spellEnd"/>
      <w:r w:rsidRPr="00864ADD">
        <w:rPr>
          <w:rFonts w:ascii="Calibri" w:hAnsi="Calibri" w:cs="Calibri"/>
          <w:sz w:val="24"/>
          <w:szCs w:val="24"/>
        </w:rPr>
        <w:t>, K. (2012) A move to more systematic and transparent approaches in qualitative evidence synthesis: update on a review of published papers. Quality Research, 12, pp. 402–442.</w:t>
      </w:r>
    </w:p>
    <w:p w14:paraId="00CA6893" w14:textId="77777777" w:rsidR="00864ADD" w:rsidRPr="00864ADD" w:rsidRDefault="00864ADD" w:rsidP="00864ADD">
      <w:pPr>
        <w:spacing w:line="480" w:lineRule="auto"/>
        <w:rPr>
          <w:rFonts w:ascii="Calibri" w:hAnsi="Calibri" w:cs="Calibri"/>
          <w:sz w:val="24"/>
          <w:szCs w:val="24"/>
        </w:rPr>
      </w:pPr>
    </w:p>
    <w:p w14:paraId="701A7B4F"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Health Education and Improvement Wales (HEIW). (2023). District Nursing Workstream. Available at: https://heiw.nhs.wales/our-work/all-wales-nurse-staffing-programme/district-nursing-work-stream/. [Accessed: 17th February 2023].  </w:t>
      </w:r>
    </w:p>
    <w:p w14:paraId="42F97079" w14:textId="77777777" w:rsidR="00864ADD" w:rsidRPr="00864ADD" w:rsidRDefault="00864ADD" w:rsidP="00864ADD">
      <w:pPr>
        <w:spacing w:line="480" w:lineRule="auto"/>
        <w:rPr>
          <w:rFonts w:ascii="Calibri" w:hAnsi="Calibri" w:cs="Calibri"/>
          <w:sz w:val="24"/>
          <w:szCs w:val="24"/>
        </w:rPr>
      </w:pPr>
    </w:p>
    <w:p w14:paraId="765CB130" w14:textId="77777777" w:rsidR="00864ADD" w:rsidRPr="00864ADD" w:rsidRDefault="00864ADD" w:rsidP="00864ADD">
      <w:pPr>
        <w:spacing w:line="480" w:lineRule="auto"/>
        <w:rPr>
          <w:rFonts w:ascii="Calibri" w:hAnsi="Calibri" w:cs="Calibri"/>
          <w:sz w:val="24"/>
          <w:szCs w:val="24"/>
        </w:rPr>
      </w:pPr>
      <w:proofErr w:type="spellStart"/>
      <w:r w:rsidRPr="00864ADD">
        <w:rPr>
          <w:rFonts w:ascii="Calibri" w:hAnsi="Calibri" w:cs="Calibri"/>
          <w:sz w:val="24"/>
          <w:szCs w:val="24"/>
        </w:rPr>
        <w:t>Kontio</w:t>
      </w:r>
      <w:proofErr w:type="spellEnd"/>
      <w:r w:rsidRPr="00864ADD">
        <w:rPr>
          <w:rFonts w:ascii="Calibri" w:hAnsi="Calibri" w:cs="Calibri"/>
          <w:sz w:val="24"/>
          <w:szCs w:val="24"/>
        </w:rPr>
        <w:t xml:space="preserve">, E., </w:t>
      </w:r>
      <w:proofErr w:type="spellStart"/>
      <w:r w:rsidRPr="00864ADD">
        <w:rPr>
          <w:rFonts w:ascii="Calibri" w:hAnsi="Calibri" w:cs="Calibri"/>
          <w:sz w:val="24"/>
          <w:szCs w:val="24"/>
        </w:rPr>
        <w:t>Airola</w:t>
      </w:r>
      <w:proofErr w:type="spellEnd"/>
      <w:r w:rsidRPr="00864ADD">
        <w:rPr>
          <w:rFonts w:ascii="Calibri" w:hAnsi="Calibri" w:cs="Calibri"/>
          <w:sz w:val="24"/>
          <w:szCs w:val="24"/>
        </w:rPr>
        <w:t xml:space="preserve">, A., </w:t>
      </w:r>
      <w:proofErr w:type="spellStart"/>
      <w:r w:rsidRPr="00864ADD">
        <w:rPr>
          <w:rFonts w:ascii="Calibri" w:hAnsi="Calibri" w:cs="Calibri"/>
          <w:sz w:val="24"/>
          <w:szCs w:val="24"/>
        </w:rPr>
        <w:t>Pahikkala</w:t>
      </w:r>
      <w:proofErr w:type="spellEnd"/>
      <w:r w:rsidRPr="00864ADD">
        <w:rPr>
          <w:rFonts w:ascii="Calibri" w:hAnsi="Calibri" w:cs="Calibri"/>
          <w:sz w:val="24"/>
          <w:szCs w:val="24"/>
        </w:rPr>
        <w:t xml:space="preserve">, T., Lundgren-Laine, H., Junttila, K., </w:t>
      </w:r>
      <w:proofErr w:type="spellStart"/>
      <w:r w:rsidRPr="00864ADD">
        <w:rPr>
          <w:rFonts w:ascii="Calibri" w:hAnsi="Calibri" w:cs="Calibri"/>
          <w:sz w:val="24"/>
          <w:szCs w:val="24"/>
        </w:rPr>
        <w:t>Korvenranta</w:t>
      </w:r>
      <w:proofErr w:type="spellEnd"/>
      <w:r w:rsidRPr="00864ADD">
        <w:rPr>
          <w:rFonts w:ascii="Calibri" w:hAnsi="Calibri" w:cs="Calibri"/>
          <w:sz w:val="24"/>
          <w:szCs w:val="24"/>
        </w:rPr>
        <w:t xml:space="preserve">, H., and </w:t>
      </w:r>
      <w:proofErr w:type="spellStart"/>
      <w:r w:rsidRPr="00864ADD">
        <w:rPr>
          <w:rFonts w:ascii="Calibri" w:hAnsi="Calibri" w:cs="Calibri"/>
          <w:sz w:val="24"/>
          <w:szCs w:val="24"/>
        </w:rPr>
        <w:t>Salanterä</w:t>
      </w:r>
      <w:proofErr w:type="spellEnd"/>
      <w:r w:rsidRPr="00864ADD">
        <w:rPr>
          <w:rFonts w:ascii="Calibri" w:hAnsi="Calibri" w:cs="Calibri"/>
          <w:sz w:val="24"/>
          <w:szCs w:val="24"/>
        </w:rPr>
        <w:t>, S. (2014). Predicting patient acuity from electronic patient records.</w:t>
      </w:r>
    </w:p>
    <w:p w14:paraId="5D067978"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Journal of Biomedical Informatics, 51, 35-40. [Accessed: 12th February 2023].  </w:t>
      </w:r>
    </w:p>
    <w:p w14:paraId="5C6ED452" w14:textId="77777777" w:rsidR="00864ADD" w:rsidRPr="00864ADD" w:rsidRDefault="00864ADD" w:rsidP="00864ADD">
      <w:pPr>
        <w:spacing w:line="480" w:lineRule="auto"/>
        <w:rPr>
          <w:rFonts w:ascii="Calibri" w:hAnsi="Calibri" w:cs="Calibri"/>
          <w:sz w:val="24"/>
          <w:szCs w:val="24"/>
        </w:rPr>
      </w:pPr>
    </w:p>
    <w:p w14:paraId="22D444ED" w14:textId="77777777" w:rsidR="00864ADD" w:rsidRPr="00864ADD" w:rsidRDefault="00864ADD" w:rsidP="00864ADD">
      <w:pPr>
        <w:spacing w:line="480" w:lineRule="auto"/>
        <w:rPr>
          <w:rFonts w:ascii="Calibri" w:hAnsi="Calibri" w:cs="Calibri"/>
          <w:sz w:val="24"/>
          <w:szCs w:val="24"/>
        </w:rPr>
      </w:pPr>
      <w:proofErr w:type="spellStart"/>
      <w:r w:rsidRPr="00864ADD">
        <w:rPr>
          <w:rFonts w:ascii="Calibri" w:hAnsi="Calibri" w:cs="Calibri"/>
          <w:sz w:val="24"/>
          <w:szCs w:val="24"/>
        </w:rPr>
        <w:t>Kritsonis</w:t>
      </w:r>
      <w:proofErr w:type="spellEnd"/>
      <w:r w:rsidRPr="00864ADD">
        <w:rPr>
          <w:rFonts w:ascii="Calibri" w:hAnsi="Calibri" w:cs="Calibri"/>
          <w:sz w:val="24"/>
          <w:szCs w:val="24"/>
        </w:rPr>
        <w:t>, A. 2005. Comparison of change theories. International journal of scholarly academic intellectual diversity 8(1), pp.1-7.</w:t>
      </w:r>
    </w:p>
    <w:p w14:paraId="44650A98" w14:textId="77777777" w:rsidR="00864ADD" w:rsidRPr="00864ADD" w:rsidRDefault="00864ADD" w:rsidP="00864ADD">
      <w:pPr>
        <w:spacing w:line="480" w:lineRule="auto"/>
        <w:rPr>
          <w:rFonts w:ascii="Calibri" w:hAnsi="Calibri" w:cs="Calibri"/>
          <w:sz w:val="24"/>
          <w:szCs w:val="24"/>
        </w:rPr>
      </w:pPr>
    </w:p>
    <w:p w14:paraId="73544288"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Larson, E. L., Cohen, B., Liu, J., Zachariah, P., Yao, D., and Shang, J. (2017). Assessing intensity of nursing care needs using electronically available data. CIN: Computers, Informatics, Nursing, 35(12), 617-623. [Accessed: 12th February 2023].  </w:t>
      </w:r>
    </w:p>
    <w:p w14:paraId="02894908" w14:textId="77777777" w:rsidR="00864ADD" w:rsidRPr="00864ADD" w:rsidRDefault="00864ADD" w:rsidP="00864ADD">
      <w:pPr>
        <w:spacing w:line="480" w:lineRule="auto"/>
        <w:rPr>
          <w:rFonts w:ascii="Calibri" w:hAnsi="Calibri" w:cs="Calibri"/>
          <w:sz w:val="24"/>
          <w:szCs w:val="24"/>
        </w:rPr>
      </w:pPr>
    </w:p>
    <w:p w14:paraId="67C3617D"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lastRenderedPageBreak/>
        <w:t>Lewin, K. 1958. “Group Decision and Social Change”. In: Newcomb, T. and Hartley, E. eds. Readings in Social Psychology. 3rd ed. New York: Holt, Rinehart and Winston, pp. 340-44.</w:t>
      </w:r>
    </w:p>
    <w:p w14:paraId="4D7FF159" w14:textId="77777777" w:rsidR="00864ADD" w:rsidRPr="00864ADD" w:rsidRDefault="00864ADD" w:rsidP="00864ADD">
      <w:pPr>
        <w:spacing w:line="480" w:lineRule="auto"/>
        <w:rPr>
          <w:rFonts w:ascii="Calibri" w:hAnsi="Calibri" w:cs="Calibri"/>
          <w:sz w:val="24"/>
          <w:szCs w:val="24"/>
        </w:rPr>
      </w:pPr>
    </w:p>
    <w:p w14:paraId="405AB441" w14:textId="77777777" w:rsidR="00864ADD" w:rsidRPr="00864ADD" w:rsidRDefault="00864ADD" w:rsidP="00864ADD">
      <w:pPr>
        <w:spacing w:line="480" w:lineRule="auto"/>
        <w:rPr>
          <w:rFonts w:ascii="Calibri" w:hAnsi="Calibri" w:cs="Calibri"/>
          <w:sz w:val="24"/>
          <w:szCs w:val="24"/>
        </w:rPr>
      </w:pPr>
      <w:proofErr w:type="spellStart"/>
      <w:r w:rsidRPr="00864ADD">
        <w:rPr>
          <w:rFonts w:ascii="Calibri" w:hAnsi="Calibri" w:cs="Calibri"/>
          <w:sz w:val="24"/>
          <w:szCs w:val="24"/>
        </w:rPr>
        <w:t>Massarweh</w:t>
      </w:r>
      <w:proofErr w:type="spellEnd"/>
      <w:r w:rsidRPr="00864ADD">
        <w:rPr>
          <w:rFonts w:ascii="Calibri" w:hAnsi="Calibri" w:cs="Calibri"/>
          <w:sz w:val="24"/>
          <w:szCs w:val="24"/>
        </w:rPr>
        <w:t xml:space="preserve">, L. J., </w:t>
      </w:r>
      <w:proofErr w:type="spellStart"/>
      <w:r w:rsidRPr="00864ADD">
        <w:rPr>
          <w:rFonts w:ascii="Calibri" w:hAnsi="Calibri" w:cs="Calibri"/>
          <w:sz w:val="24"/>
          <w:szCs w:val="24"/>
        </w:rPr>
        <w:t>Tidyman</w:t>
      </w:r>
      <w:proofErr w:type="spellEnd"/>
      <w:r w:rsidRPr="00864ADD">
        <w:rPr>
          <w:rFonts w:ascii="Calibri" w:hAnsi="Calibri" w:cs="Calibri"/>
          <w:sz w:val="24"/>
          <w:szCs w:val="24"/>
        </w:rPr>
        <w:t xml:space="preserve">, T., &amp; </w:t>
      </w:r>
      <w:proofErr w:type="spellStart"/>
      <w:r w:rsidRPr="00864ADD">
        <w:rPr>
          <w:rFonts w:ascii="Calibri" w:hAnsi="Calibri" w:cs="Calibri"/>
          <w:sz w:val="24"/>
          <w:szCs w:val="24"/>
        </w:rPr>
        <w:t>Luu</w:t>
      </w:r>
      <w:proofErr w:type="spellEnd"/>
      <w:r w:rsidRPr="00864ADD">
        <w:rPr>
          <w:rFonts w:ascii="Calibri" w:hAnsi="Calibri" w:cs="Calibri"/>
          <w:sz w:val="24"/>
          <w:szCs w:val="24"/>
        </w:rPr>
        <w:t xml:space="preserve">, D. H. (2017). Starting the shift out right: The electronic e-Assignment sheet using clinical decision support in a quality improvement project. Nursing Economics, 35(4), 194. [Accessed: 12th February 2023].  </w:t>
      </w:r>
    </w:p>
    <w:p w14:paraId="72C2020B" w14:textId="77777777" w:rsidR="00864ADD" w:rsidRPr="00864ADD" w:rsidRDefault="00864ADD" w:rsidP="00864ADD">
      <w:pPr>
        <w:spacing w:line="480" w:lineRule="auto"/>
        <w:rPr>
          <w:rFonts w:ascii="Calibri" w:hAnsi="Calibri" w:cs="Calibri"/>
          <w:sz w:val="24"/>
          <w:szCs w:val="24"/>
        </w:rPr>
      </w:pPr>
    </w:p>
    <w:p w14:paraId="17D5576F"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National Institute for Clinical Excellence (NICE).  2007. How to change practice: understand, </w:t>
      </w:r>
      <w:proofErr w:type="gramStart"/>
      <w:r w:rsidRPr="00864ADD">
        <w:rPr>
          <w:rFonts w:ascii="Calibri" w:hAnsi="Calibri" w:cs="Calibri"/>
          <w:sz w:val="24"/>
          <w:szCs w:val="24"/>
        </w:rPr>
        <w:t>identify</w:t>
      </w:r>
      <w:proofErr w:type="gramEnd"/>
      <w:r w:rsidRPr="00864ADD">
        <w:rPr>
          <w:rFonts w:ascii="Calibri" w:hAnsi="Calibri" w:cs="Calibri"/>
          <w:sz w:val="24"/>
          <w:szCs w:val="24"/>
        </w:rPr>
        <w:t xml:space="preserve"> and overcome barriers to change. London: NICE. Available at: https://www.nice.org.uk/media/default/about/what-we-do/into-practice/support-for-service-improvement-and-audit/how-to-change-practice-barriers-to-change.pdf [Accessed: 02nd February 2023].</w:t>
      </w:r>
    </w:p>
    <w:p w14:paraId="6E88057A" w14:textId="77777777" w:rsidR="00864ADD" w:rsidRPr="00864ADD" w:rsidRDefault="00864ADD" w:rsidP="00864ADD">
      <w:pPr>
        <w:spacing w:line="480" w:lineRule="auto"/>
        <w:rPr>
          <w:rFonts w:ascii="Calibri" w:hAnsi="Calibri" w:cs="Calibri"/>
          <w:sz w:val="24"/>
          <w:szCs w:val="24"/>
        </w:rPr>
      </w:pPr>
    </w:p>
    <w:p w14:paraId="73471673"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National Institute for Health and Care Research (NIHR). 2023. Clinical decision-support tools. Available at: https://evidence.nihr.ac.uk/collection/clinical-decision-support-tools/. [Accessed: 02nd February 2023].</w:t>
      </w:r>
    </w:p>
    <w:p w14:paraId="093520CF"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NHSI. 2017. Developmental reviews of leadership and governance using the well-led framework: guidance for NHS trusts and NHS foundation trusts. London: NHS Improvement. Available at: https://improvement.nhs.uk/documents/1259/Wellled_guidance_June_2017.pdf [Accessed: 02nd February 2023].  </w:t>
      </w:r>
    </w:p>
    <w:p w14:paraId="56384F62" w14:textId="77777777" w:rsidR="00864ADD" w:rsidRPr="00864ADD" w:rsidRDefault="00864ADD" w:rsidP="00864ADD">
      <w:pPr>
        <w:spacing w:line="480" w:lineRule="auto"/>
        <w:rPr>
          <w:rFonts w:ascii="Calibri" w:hAnsi="Calibri" w:cs="Calibri"/>
          <w:sz w:val="24"/>
          <w:szCs w:val="24"/>
        </w:rPr>
      </w:pPr>
    </w:p>
    <w:p w14:paraId="494A468E"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lastRenderedPageBreak/>
        <w:t>Thornton, H. 2016. Current thinking on leadership and physiotherapy practice. Available at: file:///C:/Users/roger/AppData/Local/Packages/Microsoft.MicrosoftEdge_8wekyb3d8b bwe/TempState/Downloads/current_leadership_thinking_and_physiotherapy_practic e.pdf [Accessed: 15th February 2023].</w:t>
      </w:r>
    </w:p>
    <w:p w14:paraId="41819B44" w14:textId="77777777" w:rsidR="00864ADD" w:rsidRPr="00864ADD" w:rsidRDefault="00864ADD" w:rsidP="00864ADD">
      <w:pPr>
        <w:spacing w:line="480" w:lineRule="auto"/>
        <w:rPr>
          <w:rFonts w:ascii="Calibri" w:hAnsi="Calibri" w:cs="Calibri"/>
          <w:sz w:val="24"/>
          <w:szCs w:val="24"/>
        </w:rPr>
      </w:pPr>
    </w:p>
    <w:p w14:paraId="242E45D7" w14:textId="77777777" w:rsidR="00864ADD" w:rsidRPr="00864ADD" w:rsidRDefault="00864ADD" w:rsidP="00864ADD">
      <w:pPr>
        <w:spacing w:line="480" w:lineRule="auto"/>
        <w:rPr>
          <w:rFonts w:ascii="Calibri" w:hAnsi="Calibri" w:cs="Calibri"/>
          <w:sz w:val="24"/>
          <w:szCs w:val="24"/>
        </w:rPr>
      </w:pPr>
      <w:proofErr w:type="spellStart"/>
      <w:r w:rsidRPr="00864ADD">
        <w:rPr>
          <w:rFonts w:ascii="Calibri" w:hAnsi="Calibri" w:cs="Calibri"/>
          <w:sz w:val="24"/>
          <w:szCs w:val="24"/>
        </w:rPr>
        <w:t>Wildridge</w:t>
      </w:r>
      <w:proofErr w:type="spellEnd"/>
      <w:r w:rsidRPr="00864ADD">
        <w:rPr>
          <w:rFonts w:ascii="Calibri" w:hAnsi="Calibri" w:cs="Calibri"/>
          <w:sz w:val="24"/>
          <w:szCs w:val="24"/>
        </w:rPr>
        <w:t>, V. and Bell, L. (2002) How CLIP became ECLIPSE: A mnemonic to assist in searching for health policy/management information. Health Information and Libraries Journal, 19(2), pp. 113-115.</w:t>
      </w:r>
    </w:p>
    <w:p w14:paraId="1E39FD2F" w14:textId="77777777" w:rsidR="00864ADD" w:rsidRPr="00864ADD" w:rsidRDefault="00864ADD" w:rsidP="00864ADD">
      <w:pPr>
        <w:spacing w:line="480" w:lineRule="auto"/>
        <w:rPr>
          <w:rFonts w:ascii="Calibri" w:hAnsi="Calibri" w:cs="Calibri"/>
          <w:sz w:val="24"/>
          <w:szCs w:val="24"/>
        </w:rPr>
      </w:pPr>
    </w:p>
    <w:p w14:paraId="31B2B0C4"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Young, J., Lee, M., Sands, L. P., &amp; </w:t>
      </w:r>
      <w:proofErr w:type="spellStart"/>
      <w:r w:rsidRPr="00864ADD">
        <w:rPr>
          <w:rFonts w:ascii="Calibri" w:hAnsi="Calibri" w:cs="Calibri"/>
          <w:sz w:val="24"/>
          <w:szCs w:val="24"/>
        </w:rPr>
        <w:t>McComb</w:t>
      </w:r>
      <w:proofErr w:type="spellEnd"/>
      <w:r w:rsidRPr="00864ADD">
        <w:rPr>
          <w:rFonts w:ascii="Calibri" w:hAnsi="Calibri" w:cs="Calibri"/>
          <w:sz w:val="24"/>
          <w:szCs w:val="24"/>
        </w:rPr>
        <w:t>, S. (2015). Nursing activities and factors influential to nurse staffing decision-making. Journal of Hospital Administration, 4(4),</w:t>
      </w:r>
    </w:p>
    <w:p w14:paraId="2F342DFD" w14:textId="77777777" w:rsidR="00864ADD" w:rsidRPr="00864ADD" w:rsidRDefault="00864ADD" w:rsidP="00864ADD">
      <w:pPr>
        <w:spacing w:line="480" w:lineRule="auto"/>
        <w:rPr>
          <w:rFonts w:ascii="Calibri" w:hAnsi="Calibri" w:cs="Calibri"/>
          <w:sz w:val="24"/>
          <w:szCs w:val="24"/>
        </w:rPr>
      </w:pPr>
      <w:r w:rsidRPr="00864ADD">
        <w:rPr>
          <w:rFonts w:ascii="Calibri" w:hAnsi="Calibri" w:cs="Calibri"/>
          <w:sz w:val="24"/>
          <w:szCs w:val="24"/>
        </w:rPr>
        <w:t xml:space="preserve">24-31. [Accessed: 12th February 2023].  </w:t>
      </w:r>
    </w:p>
    <w:p w14:paraId="7FD51421" w14:textId="77777777" w:rsidR="00864ADD" w:rsidRPr="00864ADD" w:rsidRDefault="00864ADD" w:rsidP="00864ADD">
      <w:pPr>
        <w:spacing w:line="480" w:lineRule="auto"/>
        <w:rPr>
          <w:rFonts w:ascii="Calibri" w:hAnsi="Calibri" w:cs="Calibri"/>
          <w:sz w:val="24"/>
          <w:szCs w:val="24"/>
        </w:rPr>
      </w:pPr>
    </w:p>
    <w:p w14:paraId="5D4C60F9" w14:textId="77777777" w:rsidR="00B95F5D" w:rsidRPr="00B95F5D" w:rsidRDefault="00B95F5D" w:rsidP="00B95F5D">
      <w:pPr>
        <w:spacing w:line="480" w:lineRule="auto"/>
        <w:rPr>
          <w:rFonts w:ascii="Calibri" w:hAnsi="Calibri" w:cs="Calibri"/>
          <w:sz w:val="24"/>
          <w:szCs w:val="24"/>
        </w:rPr>
      </w:pPr>
    </w:p>
    <w:p w14:paraId="406C772F" w14:textId="77777777" w:rsidR="00B95F5D" w:rsidRPr="00B95F5D" w:rsidRDefault="00B95F5D" w:rsidP="00B95F5D">
      <w:pPr>
        <w:spacing w:line="480" w:lineRule="auto"/>
        <w:rPr>
          <w:rFonts w:ascii="Calibri" w:hAnsi="Calibri" w:cs="Calibri"/>
          <w:sz w:val="24"/>
          <w:szCs w:val="24"/>
        </w:rPr>
      </w:pPr>
    </w:p>
    <w:p w14:paraId="1C251EDE" w14:textId="77777777" w:rsidR="00B95F5D" w:rsidRPr="00B95F5D" w:rsidRDefault="00B95F5D" w:rsidP="00B95F5D">
      <w:pPr>
        <w:spacing w:line="480" w:lineRule="auto"/>
        <w:rPr>
          <w:rFonts w:ascii="Calibri" w:hAnsi="Calibri" w:cs="Calibri"/>
          <w:sz w:val="24"/>
          <w:szCs w:val="24"/>
        </w:rPr>
      </w:pPr>
      <w:r w:rsidRPr="00B95F5D">
        <w:rPr>
          <w:rFonts w:ascii="Calibri" w:hAnsi="Calibri" w:cs="Calibri"/>
          <w:sz w:val="24"/>
          <w:szCs w:val="24"/>
        </w:rPr>
        <w:br/>
      </w:r>
    </w:p>
    <w:p w14:paraId="571DE77D" w14:textId="77777777" w:rsidR="00B95F5D" w:rsidRPr="00B95F5D" w:rsidRDefault="00B95F5D" w:rsidP="00B95F5D">
      <w:pPr>
        <w:spacing w:line="480" w:lineRule="auto"/>
        <w:rPr>
          <w:rFonts w:ascii="Calibri" w:hAnsi="Calibri" w:cs="Calibri"/>
          <w:b/>
          <w:bCs/>
          <w:sz w:val="24"/>
          <w:szCs w:val="24"/>
        </w:rPr>
      </w:pPr>
    </w:p>
    <w:p w14:paraId="366C808C" w14:textId="77777777" w:rsidR="000F631C" w:rsidRPr="003273BC" w:rsidRDefault="000F631C" w:rsidP="003273BC">
      <w:pPr>
        <w:spacing w:line="480" w:lineRule="auto"/>
        <w:rPr>
          <w:rFonts w:ascii="Calibri" w:hAnsi="Calibri" w:cs="Calibri"/>
          <w:sz w:val="24"/>
          <w:szCs w:val="24"/>
        </w:rPr>
      </w:pPr>
    </w:p>
    <w:sectPr w:rsidR="000F631C" w:rsidRPr="003273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BDACD" w14:textId="77777777" w:rsidR="003273BC" w:rsidRDefault="003273BC" w:rsidP="003273BC">
      <w:pPr>
        <w:spacing w:after="0" w:line="240" w:lineRule="auto"/>
      </w:pPr>
      <w:r>
        <w:separator/>
      </w:r>
    </w:p>
  </w:endnote>
  <w:endnote w:type="continuationSeparator" w:id="0">
    <w:p w14:paraId="0E6C3254" w14:textId="77777777" w:rsidR="003273BC" w:rsidRDefault="003273BC" w:rsidP="00327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288869"/>
      <w:docPartObj>
        <w:docPartGallery w:val="Page Numbers (Bottom of Page)"/>
        <w:docPartUnique/>
      </w:docPartObj>
    </w:sdtPr>
    <w:sdtEndPr>
      <w:rPr>
        <w:noProof/>
      </w:rPr>
    </w:sdtEndPr>
    <w:sdtContent>
      <w:p w14:paraId="0D291DD3" w14:textId="636F76FC" w:rsidR="003273BC" w:rsidRDefault="003273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AE6F2B" w14:textId="77777777" w:rsidR="003273BC" w:rsidRDefault="00327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4B25A" w14:textId="77777777" w:rsidR="003273BC" w:rsidRDefault="003273BC" w:rsidP="003273BC">
      <w:pPr>
        <w:spacing w:after="0" w:line="240" w:lineRule="auto"/>
      </w:pPr>
      <w:r>
        <w:separator/>
      </w:r>
    </w:p>
  </w:footnote>
  <w:footnote w:type="continuationSeparator" w:id="0">
    <w:p w14:paraId="5C5E9DCC" w14:textId="77777777" w:rsidR="003273BC" w:rsidRDefault="003273BC" w:rsidP="003273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8EEBC" w14:textId="1E7E5F2E" w:rsidR="003273BC" w:rsidRDefault="003273BC">
    <w:pPr>
      <w:pStyle w:val="Header"/>
    </w:pPr>
    <w:r>
      <w:t>2112535</w:t>
    </w:r>
    <w:r>
      <w:tab/>
    </w:r>
    <w:r>
      <w:tab/>
      <w:t>BMDS7003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F715DD"/>
    <w:multiLevelType w:val="hybridMultilevel"/>
    <w:tmpl w:val="F642C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106379"/>
    <w:multiLevelType w:val="hybridMultilevel"/>
    <w:tmpl w:val="E61E8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17A1EAA"/>
    <w:multiLevelType w:val="hybridMultilevel"/>
    <w:tmpl w:val="2EB2DA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A85545"/>
    <w:multiLevelType w:val="hybridMultilevel"/>
    <w:tmpl w:val="ED64DDCA"/>
    <w:lvl w:ilvl="0" w:tplc="1758D0A2">
      <w:start w:val="1"/>
      <w:numFmt w:val="bullet"/>
      <w:lvlText w:val=""/>
      <w:lvlJc w:val="left"/>
      <w:pPr>
        <w:ind w:left="720" w:hanging="360"/>
      </w:pPr>
      <w:rPr>
        <w:rFonts w:ascii="Symbol" w:hAnsi="Symbol" w:hint="default"/>
      </w:rPr>
    </w:lvl>
    <w:lvl w:ilvl="1" w:tplc="61DA5964">
      <w:start w:val="1"/>
      <w:numFmt w:val="bullet"/>
      <w:lvlText w:val="o"/>
      <w:lvlJc w:val="left"/>
      <w:pPr>
        <w:ind w:left="1440" w:hanging="360"/>
      </w:pPr>
      <w:rPr>
        <w:rFonts w:ascii="Courier New" w:hAnsi="Courier New" w:hint="default"/>
      </w:rPr>
    </w:lvl>
    <w:lvl w:ilvl="2" w:tplc="C24C55B0">
      <w:start w:val="1"/>
      <w:numFmt w:val="bullet"/>
      <w:lvlText w:val=""/>
      <w:lvlJc w:val="left"/>
      <w:pPr>
        <w:ind w:left="2160" w:hanging="360"/>
      </w:pPr>
      <w:rPr>
        <w:rFonts w:ascii="Wingdings" w:hAnsi="Wingdings" w:hint="default"/>
      </w:rPr>
    </w:lvl>
    <w:lvl w:ilvl="3" w:tplc="941C6052">
      <w:start w:val="1"/>
      <w:numFmt w:val="bullet"/>
      <w:lvlText w:val=""/>
      <w:lvlJc w:val="left"/>
      <w:pPr>
        <w:ind w:left="2880" w:hanging="360"/>
      </w:pPr>
      <w:rPr>
        <w:rFonts w:ascii="Symbol" w:hAnsi="Symbol" w:hint="default"/>
      </w:rPr>
    </w:lvl>
    <w:lvl w:ilvl="4" w:tplc="7DB04126">
      <w:start w:val="1"/>
      <w:numFmt w:val="bullet"/>
      <w:lvlText w:val="o"/>
      <w:lvlJc w:val="left"/>
      <w:pPr>
        <w:ind w:left="3600" w:hanging="360"/>
      </w:pPr>
      <w:rPr>
        <w:rFonts w:ascii="Courier New" w:hAnsi="Courier New" w:hint="default"/>
      </w:rPr>
    </w:lvl>
    <w:lvl w:ilvl="5" w:tplc="9C445CD4">
      <w:start w:val="1"/>
      <w:numFmt w:val="bullet"/>
      <w:lvlText w:val=""/>
      <w:lvlJc w:val="left"/>
      <w:pPr>
        <w:ind w:left="4320" w:hanging="360"/>
      </w:pPr>
      <w:rPr>
        <w:rFonts w:ascii="Wingdings" w:hAnsi="Wingdings" w:hint="default"/>
      </w:rPr>
    </w:lvl>
    <w:lvl w:ilvl="6" w:tplc="BB3EB5CC">
      <w:start w:val="1"/>
      <w:numFmt w:val="bullet"/>
      <w:lvlText w:val=""/>
      <w:lvlJc w:val="left"/>
      <w:pPr>
        <w:ind w:left="5040" w:hanging="360"/>
      </w:pPr>
      <w:rPr>
        <w:rFonts w:ascii="Symbol" w:hAnsi="Symbol" w:hint="default"/>
      </w:rPr>
    </w:lvl>
    <w:lvl w:ilvl="7" w:tplc="E0CA4EC4">
      <w:start w:val="1"/>
      <w:numFmt w:val="bullet"/>
      <w:lvlText w:val="o"/>
      <w:lvlJc w:val="left"/>
      <w:pPr>
        <w:ind w:left="5760" w:hanging="360"/>
      </w:pPr>
      <w:rPr>
        <w:rFonts w:ascii="Courier New" w:hAnsi="Courier New" w:hint="default"/>
      </w:rPr>
    </w:lvl>
    <w:lvl w:ilvl="8" w:tplc="37064710">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DD4603"/>
    <w:multiLevelType w:val="hybridMultilevel"/>
    <w:tmpl w:val="030E9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34825987">
    <w:abstractNumId w:val="2"/>
  </w:num>
  <w:num w:numId="2" w16cid:durableId="276911169">
    <w:abstractNumId w:val="12"/>
  </w:num>
  <w:num w:numId="3" w16cid:durableId="52822164">
    <w:abstractNumId w:val="22"/>
  </w:num>
  <w:num w:numId="4" w16cid:durableId="1263298842">
    <w:abstractNumId w:val="16"/>
  </w:num>
  <w:num w:numId="5" w16cid:durableId="1749568873">
    <w:abstractNumId w:val="9"/>
  </w:num>
  <w:num w:numId="6" w16cid:durableId="209651120">
    <w:abstractNumId w:val="21"/>
  </w:num>
  <w:num w:numId="7" w16cid:durableId="1680697987">
    <w:abstractNumId w:val="3"/>
  </w:num>
  <w:num w:numId="8" w16cid:durableId="29840568">
    <w:abstractNumId w:val="20"/>
  </w:num>
  <w:num w:numId="9" w16cid:durableId="1779523967">
    <w:abstractNumId w:val="13"/>
  </w:num>
  <w:num w:numId="10" w16cid:durableId="179589818">
    <w:abstractNumId w:val="5"/>
  </w:num>
  <w:num w:numId="11" w16cid:durableId="1944220207">
    <w:abstractNumId w:val="6"/>
  </w:num>
  <w:num w:numId="12" w16cid:durableId="862284356">
    <w:abstractNumId w:val="10"/>
  </w:num>
  <w:num w:numId="13" w16cid:durableId="1892113334">
    <w:abstractNumId w:val="18"/>
  </w:num>
  <w:num w:numId="14" w16cid:durableId="801267126">
    <w:abstractNumId w:val="4"/>
  </w:num>
  <w:num w:numId="15" w16cid:durableId="1719087769">
    <w:abstractNumId w:val="0"/>
  </w:num>
  <w:num w:numId="16" w16cid:durableId="1683046993">
    <w:abstractNumId w:val="7"/>
  </w:num>
  <w:num w:numId="17" w16cid:durableId="1446921595">
    <w:abstractNumId w:val="23"/>
  </w:num>
  <w:num w:numId="18" w16cid:durableId="1094011540">
    <w:abstractNumId w:val="11"/>
  </w:num>
  <w:num w:numId="19" w16cid:durableId="1708023032">
    <w:abstractNumId w:val="8"/>
  </w:num>
  <w:num w:numId="20" w16cid:durableId="1856915962">
    <w:abstractNumId w:val="15"/>
  </w:num>
  <w:num w:numId="21" w16cid:durableId="1388725030">
    <w:abstractNumId w:val="14"/>
  </w:num>
  <w:num w:numId="22" w16cid:durableId="1385060827">
    <w:abstractNumId w:val="17"/>
  </w:num>
  <w:num w:numId="23" w16cid:durableId="1779251178">
    <w:abstractNumId w:val="1"/>
  </w:num>
  <w:num w:numId="24" w16cid:durableId="134856288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3BC"/>
    <w:rsid w:val="000F631C"/>
    <w:rsid w:val="003273BC"/>
    <w:rsid w:val="00864ADD"/>
    <w:rsid w:val="00872296"/>
    <w:rsid w:val="00896392"/>
    <w:rsid w:val="00B95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07059B"/>
  <w15:chartTrackingRefBased/>
  <w15:docId w15:val="{157C83EB-71A0-4FD1-845F-41D1E833E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iPriority="0"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F631C"/>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rsid w:val="000F631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0F631C"/>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F631C"/>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qFormat/>
    <w:rsid w:val="000F631C"/>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273BC"/>
    <w:pPr>
      <w:tabs>
        <w:tab w:val="center" w:pos="4513"/>
        <w:tab w:val="right" w:pos="9026"/>
      </w:tabs>
      <w:spacing w:after="0" w:line="240" w:lineRule="auto"/>
    </w:pPr>
  </w:style>
  <w:style w:type="character" w:customStyle="1" w:styleId="HeaderChar">
    <w:name w:val="Header Char"/>
    <w:basedOn w:val="DefaultParagraphFont"/>
    <w:link w:val="Header"/>
    <w:rsid w:val="003273BC"/>
  </w:style>
  <w:style w:type="paragraph" w:styleId="Footer">
    <w:name w:val="footer"/>
    <w:basedOn w:val="Normal"/>
    <w:link w:val="FooterChar"/>
    <w:uiPriority w:val="99"/>
    <w:unhideWhenUsed/>
    <w:rsid w:val="00327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3BC"/>
  </w:style>
  <w:style w:type="character" w:customStyle="1" w:styleId="Heading1Char">
    <w:name w:val="Heading 1 Char"/>
    <w:basedOn w:val="DefaultParagraphFont"/>
    <w:link w:val="Heading1"/>
    <w:rsid w:val="000F631C"/>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0F631C"/>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0F631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F631C"/>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0F631C"/>
    <w:rPr>
      <w:rFonts w:ascii="Arial" w:eastAsia="Times New Roman" w:hAnsi="Arial" w:cs="Arial"/>
      <w:b/>
      <w:bCs/>
      <w:sz w:val="24"/>
      <w:szCs w:val="20"/>
    </w:rPr>
  </w:style>
  <w:style w:type="paragraph" w:styleId="NormalWeb">
    <w:name w:val="Normal (Web)"/>
    <w:basedOn w:val="Normal"/>
    <w:uiPriority w:val="99"/>
    <w:rsid w:val="000F631C"/>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0F631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0F631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0F631C"/>
    <w:rPr>
      <w:rFonts w:ascii="Times New Roman" w:eastAsia="Times New Roman" w:hAnsi="Times New Roman" w:cs="Times New Roman"/>
      <w:sz w:val="16"/>
      <w:szCs w:val="20"/>
    </w:rPr>
  </w:style>
  <w:style w:type="paragraph" w:customStyle="1" w:styleId="BodyText1">
    <w:name w:val="Body Text1"/>
    <w:basedOn w:val="Normal"/>
    <w:rsid w:val="000F631C"/>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rsid w:val="000F631C"/>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0F631C"/>
    <w:rPr>
      <w:rFonts w:ascii="Tahoma" w:eastAsia="Times New Roman" w:hAnsi="Tahoma" w:cs="Tahoma"/>
      <w:sz w:val="16"/>
      <w:szCs w:val="16"/>
      <w:lang w:eastAsia="en-GB"/>
    </w:rPr>
  </w:style>
  <w:style w:type="paragraph" w:customStyle="1" w:styleId="BulletedList">
    <w:name w:val="Bulleted List"/>
    <w:basedOn w:val="Normal"/>
    <w:rsid w:val="000F631C"/>
    <w:pPr>
      <w:numPr>
        <w:numId w:val="5"/>
      </w:numPr>
      <w:spacing w:before="120" w:after="240" w:line="240" w:lineRule="auto"/>
    </w:pPr>
    <w:rPr>
      <w:rFonts w:ascii="Verdana" w:eastAsia="Times New Roman" w:hAnsi="Verdana" w:cs="Times New Roman"/>
      <w:sz w:val="16"/>
      <w:szCs w:val="24"/>
      <w:lang w:val="en-US"/>
    </w:rPr>
  </w:style>
  <w:style w:type="character" w:styleId="Hyperlink">
    <w:name w:val="Hyperlink"/>
    <w:uiPriority w:val="99"/>
    <w:unhideWhenUsed/>
    <w:rsid w:val="000F631C"/>
    <w:rPr>
      <w:color w:val="0000FF"/>
      <w:u w:val="single"/>
    </w:rPr>
  </w:style>
  <w:style w:type="paragraph" w:styleId="ListParagraph">
    <w:name w:val="List Paragraph"/>
    <w:basedOn w:val="Normal"/>
    <w:uiPriority w:val="34"/>
    <w:qFormat/>
    <w:rsid w:val="000F631C"/>
    <w:pPr>
      <w:spacing w:after="0" w:line="240" w:lineRule="auto"/>
      <w:ind w:left="720"/>
      <w:contextualSpacing/>
    </w:pPr>
    <w:rPr>
      <w:rFonts w:ascii="Times New Roman" w:eastAsia="Times New Roman" w:hAnsi="Times New Roman" w:cs="Times New Roman"/>
      <w:sz w:val="20"/>
      <w:szCs w:val="20"/>
      <w:lang w:eastAsia="en-GB"/>
    </w:rPr>
  </w:style>
  <w:style w:type="character" w:styleId="Emphasis">
    <w:name w:val="Emphasis"/>
    <w:uiPriority w:val="20"/>
    <w:qFormat/>
    <w:rsid w:val="000F631C"/>
    <w:rPr>
      <w:i/>
      <w:iCs/>
    </w:rPr>
  </w:style>
  <w:style w:type="character" w:styleId="UnresolvedMention">
    <w:name w:val="Unresolved Mention"/>
    <w:basedOn w:val="DefaultParagraphFont"/>
    <w:uiPriority w:val="99"/>
    <w:semiHidden/>
    <w:unhideWhenUsed/>
    <w:rsid w:val="000F631C"/>
    <w:rPr>
      <w:color w:val="605E5C"/>
      <w:shd w:val="clear" w:color="auto" w:fill="E1DFDD"/>
    </w:rPr>
  </w:style>
  <w:style w:type="paragraph" w:styleId="Revision">
    <w:name w:val="Revision"/>
    <w:hidden/>
    <w:uiPriority w:val="71"/>
    <w:semiHidden/>
    <w:rsid w:val="000F631C"/>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semiHidden/>
    <w:unhideWhenUsed/>
    <w:rsid w:val="000F631C"/>
    <w:rPr>
      <w:sz w:val="16"/>
      <w:szCs w:val="16"/>
    </w:rPr>
  </w:style>
  <w:style w:type="paragraph" w:styleId="CommentText">
    <w:name w:val="annotation text"/>
    <w:basedOn w:val="Normal"/>
    <w:link w:val="CommentTextChar"/>
    <w:unhideWhenUsed/>
    <w:rsid w:val="000F631C"/>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rsid w:val="000F631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semiHidden/>
    <w:unhideWhenUsed/>
    <w:rsid w:val="000F631C"/>
    <w:rPr>
      <w:b/>
      <w:bCs/>
    </w:rPr>
  </w:style>
  <w:style w:type="character" w:customStyle="1" w:styleId="CommentSubjectChar">
    <w:name w:val="Comment Subject Char"/>
    <w:basedOn w:val="CommentTextChar"/>
    <w:link w:val="CommentSubject"/>
    <w:semiHidden/>
    <w:rsid w:val="000F631C"/>
    <w:rPr>
      <w:rFonts w:ascii="Times New Roman" w:eastAsia="Times New Roman" w:hAnsi="Times New Roman" w:cs="Times New Roman"/>
      <w:b/>
      <w:bCs/>
      <w:sz w:val="20"/>
      <w:szCs w:val="20"/>
      <w:lang w:eastAsia="en-GB"/>
    </w:rPr>
  </w:style>
  <w:style w:type="character" w:customStyle="1" w:styleId="markedcontent">
    <w:name w:val="markedcontent"/>
    <w:basedOn w:val="DefaultParagraphFont"/>
    <w:rsid w:val="000F631C"/>
  </w:style>
  <w:style w:type="character" w:styleId="FollowedHyperlink">
    <w:name w:val="FollowedHyperlink"/>
    <w:basedOn w:val="DefaultParagraphFont"/>
    <w:semiHidden/>
    <w:unhideWhenUsed/>
    <w:rsid w:val="000F631C"/>
    <w:rPr>
      <w:color w:val="954F72" w:themeColor="followedHyperlink"/>
      <w:u w:val="single"/>
    </w:rPr>
  </w:style>
  <w:style w:type="table" w:customStyle="1" w:styleId="TableGrid1">
    <w:name w:val="Table Grid1"/>
    <w:basedOn w:val="TableNormal"/>
    <w:next w:val="TableGrid"/>
    <w:uiPriority w:val="59"/>
    <w:rsid w:val="000F631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F631C"/>
    <w:pPr>
      <w:spacing w:after="0" w:line="240" w:lineRule="auto"/>
    </w:pPr>
    <w:rPr>
      <w:rFonts w:ascii="Calibri" w:eastAsia="Times New Roman"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11">
    <w:name w:val="Grid Table 1 Light - Accent 11"/>
    <w:basedOn w:val="TableNormal"/>
    <w:uiPriority w:val="46"/>
    <w:rsid w:val="000F631C"/>
    <w:pPr>
      <w:spacing w:after="0" w:line="240" w:lineRule="auto"/>
    </w:pPr>
    <w:rPr>
      <w:rFonts w:ascii="Calibri" w:eastAsia="Times New Roman" w:hAnsi="Calibri" w:cs="Times New Roman"/>
      <w:lang w:eastAsia="en-GB"/>
    </w:rPr>
    <w:tblPr>
      <w:tblStyleRowBandSize w:val="1"/>
      <w:tblStyleColBandSize w:val="1"/>
      <w:tblBorders>
        <w:top w:val="single" w:sz="4" w:space="0" w:color="B8CCE4"/>
        <w:left w:val="single" w:sz="4" w:space="0" w:color="B8CCE4"/>
        <w:bottom w:val="single" w:sz="4" w:space="0" w:color="B8CCE4"/>
        <w:right w:val="single" w:sz="4" w:space="0" w:color="B8CCE4"/>
        <w:insideH w:val="single" w:sz="4" w:space="0" w:color="B8CCE4"/>
        <w:insideV w:val="single" w:sz="4" w:space="0" w:color="B8CCE4"/>
      </w:tblBorders>
    </w:tblPr>
    <w:tblStylePr w:type="firstRow">
      <w:rPr>
        <w:b/>
        <w:bCs/>
      </w:rPr>
      <w:tblPr/>
      <w:tcPr>
        <w:tcBorders>
          <w:bottom w:val="single" w:sz="12" w:space="0" w:color="95B3D7"/>
        </w:tcBorders>
      </w:tcPr>
    </w:tblStylePr>
    <w:tblStylePr w:type="lastRow">
      <w:rPr>
        <w:b/>
        <w:bCs/>
      </w:rPr>
      <w:tblPr/>
      <w:tcPr>
        <w:tcBorders>
          <w:top w:val="double" w:sz="2" w:space="0" w:color="95B3D7"/>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32</Pages>
  <Words>5571</Words>
  <Characters>31757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Teear (2112535)</dc:creator>
  <cp:keywords/>
  <dc:description/>
  <cp:lastModifiedBy>Vicki Teear (2112535)</cp:lastModifiedBy>
  <cp:revision>1</cp:revision>
  <dcterms:created xsi:type="dcterms:W3CDTF">2023-02-24T21:31:00Z</dcterms:created>
  <dcterms:modified xsi:type="dcterms:W3CDTF">2023-02-24T22:38:00Z</dcterms:modified>
</cp:coreProperties>
</file>