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F23E8E"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67CDD9F" wp14:editId="6F4EE225">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9567B12"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2CF79B2F" w14:textId="77777777" w:rsidTr="00303A63">
        <w:tc>
          <w:tcPr>
            <w:tcW w:w="9922" w:type="dxa"/>
            <w:shd w:val="clear" w:color="auto" w:fill="C0C0C0"/>
          </w:tcPr>
          <w:p w14:paraId="55BC1ED4"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320930B1"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7BDF9FA8" w14:textId="77777777" w:rsidTr="00303A63">
        <w:tc>
          <w:tcPr>
            <w:tcW w:w="2093" w:type="dxa"/>
            <w:shd w:val="clear" w:color="auto" w:fill="auto"/>
          </w:tcPr>
          <w:p w14:paraId="259DCF3E"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Student name:</w:t>
            </w:r>
          </w:p>
        </w:tc>
        <w:tc>
          <w:tcPr>
            <w:tcW w:w="3293" w:type="dxa"/>
          </w:tcPr>
          <w:p w14:paraId="3224484E" w14:textId="2B60FCEC" w:rsidR="00F735D4" w:rsidRPr="00A406E5" w:rsidRDefault="00902730" w:rsidP="00303A63">
            <w:pPr>
              <w:spacing w:before="120" w:after="120"/>
              <w:rPr>
                <w:rFonts w:ascii="Arial" w:hAnsi="Arial" w:cs="Arial"/>
                <w:b/>
                <w:sz w:val="22"/>
                <w:szCs w:val="22"/>
              </w:rPr>
            </w:pPr>
            <w:r>
              <w:rPr>
                <w:rFonts w:ascii="Arial" w:hAnsi="Arial" w:cs="Arial"/>
                <w:b/>
                <w:sz w:val="22"/>
                <w:szCs w:val="22"/>
              </w:rPr>
              <w:fldChar w:fldCharType="begin">
                <w:ffData>
                  <w:name w:val="Text2"/>
                  <w:enabled/>
                  <w:calcOnExit w:val="0"/>
                  <w:textInput>
                    <w:default w:val="Neil Gregory Howe"/>
                  </w:textInput>
                </w:ffData>
              </w:fldChar>
            </w:r>
            <w:bookmarkStart w:id="0" w:name="Text2"/>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Neil Gregory Howe</w:t>
            </w:r>
            <w:r>
              <w:rPr>
                <w:rFonts w:ascii="Arial" w:hAnsi="Arial" w:cs="Arial"/>
                <w:b/>
                <w:sz w:val="22"/>
                <w:szCs w:val="22"/>
              </w:rPr>
              <w:fldChar w:fldCharType="end"/>
            </w:r>
            <w:bookmarkEnd w:id="0"/>
          </w:p>
        </w:tc>
        <w:tc>
          <w:tcPr>
            <w:tcW w:w="2268" w:type="dxa"/>
            <w:shd w:val="clear" w:color="auto" w:fill="D9D9D9" w:themeFill="background1" w:themeFillShade="D9"/>
          </w:tcPr>
          <w:p w14:paraId="34F69674"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Student ID number:</w:t>
            </w:r>
          </w:p>
        </w:tc>
        <w:tc>
          <w:tcPr>
            <w:tcW w:w="2268" w:type="dxa"/>
          </w:tcPr>
          <w:p w14:paraId="72F6A9DE" w14:textId="4F600B1D" w:rsidR="00F735D4" w:rsidRPr="00A406E5" w:rsidRDefault="00902730" w:rsidP="00303A63">
            <w:pPr>
              <w:spacing w:before="120" w:after="120"/>
              <w:rPr>
                <w:rFonts w:ascii="Arial" w:hAnsi="Arial" w:cs="Arial"/>
                <w:b/>
                <w:sz w:val="22"/>
                <w:szCs w:val="22"/>
              </w:rPr>
            </w:pPr>
            <w:r>
              <w:rPr>
                <w:rFonts w:ascii="Arial" w:hAnsi="Arial" w:cs="Arial"/>
                <w:b/>
                <w:sz w:val="22"/>
                <w:szCs w:val="22"/>
              </w:rPr>
              <w:t>1800194</w:t>
            </w:r>
          </w:p>
        </w:tc>
      </w:tr>
      <w:tr w:rsidR="00F735D4" w:rsidRPr="00A406E5" w14:paraId="62AA8B0B" w14:textId="77777777" w:rsidTr="00303A63">
        <w:tc>
          <w:tcPr>
            <w:tcW w:w="2093" w:type="dxa"/>
            <w:shd w:val="clear" w:color="auto" w:fill="auto"/>
          </w:tcPr>
          <w:p w14:paraId="4CFCF388"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F1779DB"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Secondary PGCE</w:t>
            </w:r>
          </w:p>
        </w:tc>
      </w:tr>
      <w:tr w:rsidR="00F735D4" w:rsidRPr="00A406E5" w14:paraId="60EEC3CD" w14:textId="77777777" w:rsidTr="00303A63">
        <w:tc>
          <w:tcPr>
            <w:tcW w:w="2093" w:type="dxa"/>
            <w:shd w:val="clear" w:color="auto" w:fill="auto"/>
          </w:tcPr>
          <w:p w14:paraId="43A4FF96"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2BEDE81F"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70B9E030" w14:textId="77777777" w:rsidTr="00303A63">
        <w:tc>
          <w:tcPr>
            <w:tcW w:w="2093" w:type="dxa"/>
            <w:shd w:val="clear" w:color="auto" w:fill="auto"/>
          </w:tcPr>
          <w:p w14:paraId="42DA87CF"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Module code:</w:t>
            </w:r>
          </w:p>
        </w:tc>
        <w:tc>
          <w:tcPr>
            <w:tcW w:w="3293" w:type="dxa"/>
          </w:tcPr>
          <w:p w14:paraId="5498DF19"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07B3A631"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1FB4CB1"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50%</w:t>
            </w:r>
          </w:p>
        </w:tc>
      </w:tr>
      <w:tr w:rsidR="00F735D4" w:rsidRPr="00A406E5" w14:paraId="5979A66F" w14:textId="77777777" w:rsidTr="00303A63">
        <w:tc>
          <w:tcPr>
            <w:tcW w:w="2093" w:type="dxa"/>
            <w:shd w:val="clear" w:color="auto" w:fill="auto"/>
          </w:tcPr>
          <w:p w14:paraId="25DA92FE"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Lecturer:</w:t>
            </w:r>
          </w:p>
        </w:tc>
        <w:tc>
          <w:tcPr>
            <w:tcW w:w="3293" w:type="dxa"/>
          </w:tcPr>
          <w:p w14:paraId="4D45CFFF"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0A494C8C"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Internal Verifier:</w:t>
            </w:r>
          </w:p>
        </w:tc>
        <w:tc>
          <w:tcPr>
            <w:tcW w:w="2268" w:type="dxa"/>
          </w:tcPr>
          <w:p w14:paraId="390A4158" w14:textId="77777777" w:rsidR="00F735D4" w:rsidRPr="00A406E5" w:rsidRDefault="00F735D4" w:rsidP="00303A63">
            <w:pPr>
              <w:spacing w:before="120" w:after="120"/>
              <w:rPr>
                <w:rFonts w:ascii="Arial" w:hAnsi="Arial" w:cs="Arial"/>
                <w:b/>
                <w:sz w:val="22"/>
                <w:szCs w:val="22"/>
              </w:rPr>
            </w:pPr>
          </w:p>
        </w:tc>
      </w:tr>
      <w:tr w:rsidR="00F735D4" w:rsidRPr="00A406E5" w14:paraId="765FC1AF" w14:textId="77777777" w:rsidTr="00303A63">
        <w:tc>
          <w:tcPr>
            <w:tcW w:w="2093" w:type="dxa"/>
            <w:shd w:val="clear" w:color="auto" w:fill="auto"/>
          </w:tcPr>
          <w:p w14:paraId="2AF2C585"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Assignment Title:</w:t>
            </w:r>
          </w:p>
        </w:tc>
        <w:tc>
          <w:tcPr>
            <w:tcW w:w="3293" w:type="dxa"/>
          </w:tcPr>
          <w:p w14:paraId="3E9046F3"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3FFEA4A1"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26FE91DA" w14:textId="77777777" w:rsidR="00F735D4" w:rsidRDefault="00F735D4" w:rsidP="00F735D4">
            <w:pPr>
              <w:pStyle w:val="ListParagraph"/>
              <w:numPr>
                <w:ilvl w:val="0"/>
                <w:numId w:val="1"/>
              </w:numPr>
              <w:spacing w:before="120" w:after="120"/>
              <w:rPr>
                <w:rFonts w:ascii="Arial" w:hAnsi="Arial" w:cs="Arial"/>
                <w:b/>
                <w:sz w:val="22"/>
                <w:szCs w:val="22"/>
              </w:rPr>
            </w:pPr>
            <w:r>
              <w:rPr>
                <w:rFonts w:ascii="Arial" w:hAnsi="Arial" w:cs="Arial"/>
                <w:b/>
                <w:sz w:val="22"/>
                <w:szCs w:val="22"/>
              </w:rPr>
              <w:t>= 1,500</w:t>
            </w:r>
          </w:p>
          <w:p w14:paraId="0F2E181D" w14:textId="77777777" w:rsidR="00F735D4" w:rsidRPr="006E02E8" w:rsidRDefault="00F735D4" w:rsidP="00F735D4">
            <w:pPr>
              <w:pStyle w:val="ListParagraph"/>
              <w:numPr>
                <w:ilvl w:val="0"/>
                <w:numId w:val="1"/>
              </w:numPr>
              <w:spacing w:before="120" w:after="120"/>
              <w:rPr>
                <w:rFonts w:ascii="Arial" w:hAnsi="Arial" w:cs="Arial"/>
                <w:b/>
                <w:sz w:val="22"/>
                <w:szCs w:val="22"/>
              </w:rPr>
            </w:pPr>
            <w:r>
              <w:rPr>
                <w:rFonts w:ascii="Arial" w:hAnsi="Arial" w:cs="Arial"/>
                <w:b/>
                <w:sz w:val="22"/>
                <w:szCs w:val="22"/>
              </w:rPr>
              <w:t>= 2,000</w:t>
            </w:r>
          </w:p>
        </w:tc>
      </w:tr>
      <w:tr w:rsidR="00F735D4" w:rsidRPr="00A406E5" w14:paraId="03F095A1" w14:textId="77777777" w:rsidTr="00303A63">
        <w:tc>
          <w:tcPr>
            <w:tcW w:w="2093" w:type="dxa"/>
            <w:shd w:val="clear" w:color="auto" w:fill="auto"/>
          </w:tcPr>
          <w:p w14:paraId="52965CC5"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6D71D7B1"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436C913E"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70CDFC0" w14:textId="77777777" w:rsidR="00F735D4" w:rsidRPr="00A406E5" w:rsidRDefault="00F735D4" w:rsidP="00303A63">
            <w:pPr>
              <w:spacing w:before="120" w:after="120"/>
              <w:rPr>
                <w:rFonts w:ascii="Arial" w:hAnsi="Arial" w:cs="Arial"/>
                <w:b/>
                <w:sz w:val="22"/>
                <w:szCs w:val="22"/>
              </w:rPr>
            </w:pPr>
            <w:r>
              <w:rPr>
                <w:rFonts w:ascii="Arial" w:hAnsi="Arial" w:cs="Arial"/>
                <w:b/>
                <w:sz w:val="22"/>
                <w:szCs w:val="22"/>
              </w:rPr>
              <w:t>17 December 2018</w:t>
            </w:r>
          </w:p>
        </w:tc>
      </w:tr>
      <w:tr w:rsidR="00F735D4" w:rsidRPr="00A406E5" w14:paraId="271027FC" w14:textId="77777777" w:rsidTr="00303A63">
        <w:tc>
          <w:tcPr>
            <w:tcW w:w="2093" w:type="dxa"/>
            <w:shd w:val="clear" w:color="auto" w:fill="auto"/>
          </w:tcPr>
          <w:p w14:paraId="3FA902E7"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51E12159"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C92D79"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 xml:space="preserve">Alternative submission method (if applicable): </w:t>
            </w:r>
          </w:p>
          <w:p w14:paraId="74E24223"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388E8C42" w14:textId="77777777" w:rsidTr="00303A63">
        <w:tc>
          <w:tcPr>
            <w:tcW w:w="2093" w:type="dxa"/>
            <w:shd w:val="clear" w:color="auto" w:fill="auto"/>
          </w:tcPr>
          <w:p w14:paraId="31DABE59"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lastRenderedPageBreak/>
              <w:t>Academic honesty / referencing:</w:t>
            </w:r>
          </w:p>
        </w:tc>
        <w:tc>
          <w:tcPr>
            <w:tcW w:w="7829" w:type="dxa"/>
            <w:gridSpan w:val="3"/>
            <w:shd w:val="clear" w:color="auto" w:fill="auto"/>
          </w:tcPr>
          <w:p w14:paraId="2FC520F8" w14:textId="77777777" w:rsidR="00F735D4" w:rsidRPr="00A406E5" w:rsidRDefault="00F735D4" w:rsidP="00303A63">
            <w:pPr>
              <w:spacing w:before="120" w:after="120"/>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FA7825D" w14:textId="77777777" w:rsidR="00F735D4" w:rsidRPr="00A406E5" w:rsidRDefault="00F735D4" w:rsidP="00F735D4">
      <w:pPr>
        <w:rPr>
          <w:rFonts w:ascii="Arial" w:hAnsi="Arial" w:cs="Arial"/>
          <w:sz w:val="32"/>
        </w:rPr>
      </w:pPr>
    </w:p>
    <w:p w14:paraId="68410113" w14:textId="77777777" w:rsidR="00F735D4" w:rsidRPr="00A406E5" w:rsidRDefault="00F735D4" w:rsidP="00F735D4">
      <w:pPr>
        <w:rPr>
          <w:rFonts w:ascii="Arial" w:hAnsi="Arial" w:cs="Arial"/>
          <w:sz w:val="32"/>
        </w:rPr>
      </w:pPr>
    </w:p>
    <w:p w14:paraId="20D32732" w14:textId="77777777" w:rsidR="00F735D4" w:rsidRPr="00A406E5" w:rsidRDefault="00F735D4" w:rsidP="00F735D4">
      <w:pPr>
        <w:rPr>
          <w:rFonts w:ascii="Arial" w:hAnsi="Arial" w:cs="Arial"/>
          <w:sz w:val="32"/>
        </w:rPr>
      </w:pPr>
    </w:p>
    <w:p w14:paraId="6E1A185D" w14:textId="77777777" w:rsidR="00902730" w:rsidRDefault="00902730" w:rsidP="00F735D4">
      <w:pPr>
        <w:rPr>
          <w:rFonts w:ascii="Arial" w:hAnsi="Arial" w:cs="Arial"/>
          <w:sz w:val="32"/>
        </w:rPr>
        <w:sectPr w:rsidR="00902730">
          <w:pgSz w:w="11906" w:h="16838"/>
          <w:pgMar w:top="1440" w:right="1440" w:bottom="1440" w:left="1440" w:header="708" w:footer="708" w:gutter="0"/>
          <w:cols w:space="708"/>
          <w:docGrid w:linePitch="360"/>
        </w:sectPr>
      </w:pPr>
    </w:p>
    <w:p w14:paraId="665B43D3" w14:textId="77777777" w:rsidR="00902730" w:rsidRDefault="00902730" w:rsidP="00902730">
      <w:pPr>
        <w:pStyle w:val="Title"/>
        <w:jc w:val="center"/>
      </w:pPr>
      <w:r>
        <w:lastRenderedPageBreak/>
        <w:t>Critical Reflection on Micro-Teach</w:t>
      </w:r>
    </w:p>
    <w:p w14:paraId="5645F27B" w14:textId="77777777" w:rsidR="00902730" w:rsidRDefault="00902730" w:rsidP="00902730"/>
    <w:p w14:paraId="54744A0D" w14:textId="77777777" w:rsidR="00902730" w:rsidRDefault="00902730" w:rsidP="00902730">
      <w:r>
        <w:t xml:space="preserve">When planning any scheme of </w:t>
      </w:r>
      <w:proofErr w:type="gramStart"/>
      <w:r>
        <w:t>work</w:t>
      </w:r>
      <w:proofErr w:type="gramEnd"/>
      <w:r>
        <w:t xml:space="preserve"> it is important to engage with the curriculum and its aims. This is particularly true for Wales, at the present time, with much consideration being given to Graham Donaldson’s 2015 report into education in Wales, S</w:t>
      </w:r>
      <w:r>
        <w:rPr>
          <w:i/>
        </w:rPr>
        <w:t>uccessful Futures</w:t>
      </w:r>
      <w:r>
        <w:t xml:space="preserve"> (commissioned by the Welsh Assembly Government). This report has led to the current development of a new curriculum for Wales, with </w:t>
      </w:r>
      <w:proofErr w:type="gramStart"/>
      <w:r>
        <w:t>a number of</w:t>
      </w:r>
      <w:proofErr w:type="gramEnd"/>
      <w:r>
        <w:t xml:space="preserve"> schools across the country, including Glan-y-</w:t>
      </w:r>
      <w:proofErr w:type="spellStart"/>
      <w:r>
        <w:t>Môr</w:t>
      </w:r>
      <w:proofErr w:type="spellEnd"/>
      <w:r>
        <w:t xml:space="preserve"> where I am presently on placement, pioneering aspects of this new curriculum </w:t>
      </w:r>
      <w:sdt>
        <w:sdtPr>
          <w:id w:val="475259747"/>
          <w:citation/>
        </w:sdtPr>
        <w:sdtContent>
          <w:r>
            <w:fldChar w:fldCharType="begin"/>
          </w:r>
          <w:r>
            <w:instrText xml:space="preserve"> CITATION Wil17 \l 2057 </w:instrText>
          </w:r>
          <w:r>
            <w:fldChar w:fldCharType="separate"/>
          </w:r>
          <w:r w:rsidRPr="00485D86">
            <w:rPr>
              <w:noProof/>
            </w:rPr>
            <w:t>(Williams, 2017)</w:t>
          </w:r>
          <w:r>
            <w:fldChar w:fldCharType="end"/>
          </w:r>
        </w:sdtContent>
      </w:sdt>
      <w:r>
        <w:t xml:space="preserve">.  One of the main recommendations is that, in a bid to drive up standards and equip young people of Wales for the modern world,  </w:t>
      </w:r>
      <w:r w:rsidRPr="00784AF2">
        <w:rPr>
          <w:b/>
        </w:rPr>
        <w:t xml:space="preserve">All </w:t>
      </w:r>
      <w:r>
        <w:t>teachers should be teachers of literacy, numeracy, and digital competency within their subject disciplines</w:t>
      </w:r>
      <w:r w:rsidRPr="00FF22DB">
        <w:t xml:space="preserve"> </w:t>
      </w:r>
      <w:sdt>
        <w:sdtPr>
          <w:id w:val="-1149906215"/>
          <w:citation/>
        </w:sdtPr>
        <w:sdtContent>
          <w:r>
            <w:fldChar w:fldCharType="begin"/>
          </w:r>
          <w:r>
            <w:instrText xml:space="preserve"> CITATION Gra15 \l 2057 </w:instrText>
          </w:r>
          <w:r>
            <w:fldChar w:fldCharType="separate"/>
          </w:r>
          <w:r w:rsidRPr="00784AF2">
            <w:rPr>
              <w:noProof/>
            </w:rPr>
            <w:t>(Donaldson, 2015)</w:t>
          </w:r>
          <w:r>
            <w:fldChar w:fldCharType="end"/>
          </w:r>
        </w:sdtContent>
      </w:sdt>
      <w:r>
        <w:t xml:space="preserve">. Accordingly, any scheme of work needs to engage with these three frameworks. </w:t>
      </w:r>
    </w:p>
    <w:p w14:paraId="0C49A7BF" w14:textId="77777777" w:rsidR="00902730" w:rsidRDefault="00902730" w:rsidP="00902730">
      <w:r>
        <w:t xml:space="preserve">For a subject like history, engagement with the literacy framework can easily be achieved using traditional teaching methods, such as comprehension-based learning activities, however, for the learning to be effective, it is crucial for the material provided to be pitched at an appropriate level. The key here is that ‘learning should be both be supported and yet challenging . . . In other </w:t>
      </w:r>
      <w:proofErr w:type="gramStart"/>
      <w:r>
        <w:t>words</w:t>
      </w:r>
      <w:proofErr w:type="gramEnd"/>
      <w:r>
        <w:t xml:space="preserve"> it is all a question of learner engagement.’ </w:t>
      </w:r>
      <w:sdt>
        <w:sdtPr>
          <w:id w:val="-676883821"/>
          <w:citation/>
        </w:sdtPr>
        <w:sdtContent>
          <w:r>
            <w:fldChar w:fldCharType="begin"/>
          </w:r>
          <w:r>
            <w:instrText xml:space="preserve">CITATION War10 \p 189 \l 2057 </w:instrText>
          </w:r>
          <w:r>
            <w:fldChar w:fldCharType="separate"/>
          </w:r>
          <w:r w:rsidRPr="00334DDD">
            <w:rPr>
              <w:noProof/>
            </w:rPr>
            <w:t>(Czerniawski, 2010, p. 189)</w:t>
          </w:r>
          <w:r>
            <w:fldChar w:fldCharType="end"/>
          </w:r>
        </w:sdtContent>
      </w:sdt>
      <w:r>
        <w:t xml:space="preserve">. Few would challenge the assertion that if a resource is pitched at the wrong level then learner engagement will suffer. Where there is debate, however, is how the teacher ensures that all learners within a </w:t>
      </w:r>
      <w:proofErr w:type="gramStart"/>
      <w:r>
        <w:t>particular lesson</w:t>
      </w:r>
      <w:proofErr w:type="gramEnd"/>
      <w:r>
        <w:t xml:space="preserve">, can access the learning. Whilst few would question the importance of differentiation, Kidd and Czerniawski assert that it is a </w:t>
      </w:r>
      <w:proofErr w:type="spellStart"/>
      <w:r>
        <w:t>‘cause</w:t>
      </w:r>
      <w:proofErr w:type="spellEnd"/>
      <w:r>
        <w:t xml:space="preserve"> of confusion and frustration for many teachers’ </w:t>
      </w:r>
      <w:sdt>
        <w:sdtPr>
          <w:id w:val="1158267053"/>
          <w:citation/>
        </w:sdtPr>
        <w:sdtContent>
          <w:r>
            <w:fldChar w:fldCharType="begin"/>
          </w:r>
          <w:r>
            <w:instrText xml:space="preserve">CITATION War10 \p 250 \l 2057 </w:instrText>
          </w:r>
          <w:r>
            <w:fldChar w:fldCharType="separate"/>
          </w:r>
          <w:r w:rsidRPr="00FF1B47">
            <w:rPr>
              <w:noProof/>
            </w:rPr>
            <w:t>(Czerniawski, 2010, p. 250)</w:t>
          </w:r>
          <w:r>
            <w:fldChar w:fldCharType="end"/>
          </w:r>
        </w:sdtContent>
      </w:sdt>
      <w:r>
        <w:t xml:space="preserve">. The question is essentially how one differentiates, either through the provision of varying degrees of scaffolding to ensure all can access the resource, or through the provision of </w:t>
      </w:r>
      <w:proofErr w:type="gramStart"/>
      <w:r>
        <w:t>a number of</w:t>
      </w:r>
      <w:proofErr w:type="gramEnd"/>
      <w:r>
        <w:t xml:space="preserve"> resources, pitched at different levels </w:t>
      </w:r>
      <w:sdt>
        <w:sdtPr>
          <w:id w:val="530780333"/>
          <w:citation/>
        </w:sdtPr>
        <w:sdtContent>
          <w:r>
            <w:fldChar w:fldCharType="begin"/>
          </w:r>
          <w:r>
            <w:instrText xml:space="preserve"> CITATION War10 \l 2057 </w:instrText>
          </w:r>
          <w:r>
            <w:fldChar w:fldCharType="separate"/>
          </w:r>
          <w:r w:rsidRPr="00FF1B47">
            <w:rPr>
              <w:noProof/>
            </w:rPr>
            <w:t>(Czerniawski, 2010)</w:t>
          </w:r>
          <w:r>
            <w:fldChar w:fldCharType="end"/>
          </w:r>
        </w:sdtContent>
      </w:sdt>
      <w:r>
        <w:t>. The latter approach is one that I have observed on Professional Teaching Experience 1 (PTE1) at Glan-y-</w:t>
      </w:r>
      <w:proofErr w:type="spellStart"/>
      <w:r>
        <w:t>Môr</w:t>
      </w:r>
      <w:proofErr w:type="spellEnd"/>
      <w:r>
        <w:t xml:space="preserve">, but for it to be effective it requires a detailed knowledge of the reading ability of the class. </w:t>
      </w:r>
    </w:p>
    <w:p w14:paraId="00B507C2" w14:textId="77777777" w:rsidR="00902730" w:rsidRDefault="00902730" w:rsidP="00902730">
      <w:r>
        <w:lastRenderedPageBreak/>
        <w:t xml:space="preserve">Another approach also observed at </w:t>
      </w:r>
      <w:proofErr w:type="spellStart"/>
      <w:r>
        <w:t>Bryngwyn</w:t>
      </w:r>
      <w:proofErr w:type="spellEnd"/>
      <w:r>
        <w:t>, the other school in the federation, was the use of a glossary to both help students with the spelling of key terms, but also to help them to understand more specialist vocabulary. These observations from PTE1 have provided me with two different approaches as to how I could have ensured that the text-book style resource from my microteach was accessible to all learners in the class, a criticism from both my peer and lecturer feedback.</w:t>
      </w:r>
    </w:p>
    <w:p w14:paraId="3BF747E3" w14:textId="77777777" w:rsidR="00902730" w:rsidRDefault="00902730" w:rsidP="00902730">
      <w:r>
        <w:t xml:space="preserve">Numeracy and digital competency did not at first present obvious entry points, however, professional discussion within history sessions at University of Wales, Trinity St. David (UWTSD), highlighted the fact that literacy is not just doing sums, but activities such as the use of chronology and sequencing, as well as ascribing numerical values as a means of evaluation which could fulfil this curriculum requirement. I therefore resolved to include this type of activity within my scheme of work.   In order to engage with the digital framework, I opted to make the end of unit task a newspaper front page, created using Microsoft Publisher, with the outcome of one lesson being a PowerPoint presentation.  Whilst on the face of it the use of two different Microsoft Office programmes was a good one, professional discussion at UWTSD highlighted a potential pitfall to the use of Publisher, as many students may not have this programme. Although the entire Microsoft Office 365 suite is available to students online via HWB, the new General Data Protection Rules mean that consent is required for learners to access this free resource and, therefore, it may not be available to all as previously intended </w:t>
      </w:r>
      <w:sdt>
        <w:sdtPr>
          <w:id w:val="1878652525"/>
          <w:citation/>
        </w:sdtPr>
        <w:sdtContent>
          <w:r>
            <w:fldChar w:fldCharType="begin"/>
          </w:r>
          <w:r>
            <w:instrText xml:space="preserve"> CITATION Hwb18 \l 2057 </w:instrText>
          </w:r>
          <w:r>
            <w:fldChar w:fldCharType="separate"/>
          </w:r>
          <w:r w:rsidRPr="00B02D60">
            <w:rPr>
              <w:noProof/>
            </w:rPr>
            <w:t>(Hwb News, 2018)</w:t>
          </w:r>
          <w:r>
            <w:fldChar w:fldCharType="end"/>
          </w:r>
        </w:sdtContent>
      </w:sdt>
      <w:r>
        <w:t xml:space="preserve">. </w:t>
      </w:r>
    </w:p>
    <w:p w14:paraId="188DA1F7" w14:textId="77777777" w:rsidR="00902730" w:rsidRDefault="00902730" w:rsidP="00902730">
      <w:r>
        <w:tab/>
        <w:t xml:space="preserve">Having decided how to meet the requirements of Donaldson’s key competencies, I then considered which aspects of the Cold War to include. Clearly, lesson one would need to introduce the concept of the Cold War, exploring the causes, ideologies, and who was involved, whilst the final lesson would need to act as a plenary, and set the students up for the final assignment. This left four lessons within which </w:t>
      </w:r>
      <w:proofErr w:type="spellStart"/>
      <w:r>
        <w:t>Détante</w:t>
      </w:r>
      <w:proofErr w:type="spellEnd"/>
      <w:r>
        <w:t xml:space="preserve"> ought to be covered to provide contrast to the tensions of the Cold War. With the three remaining lessons, I decided to consider case studies from the Cold War in Europe, Asia and the Americas, settling upon Germany, Cuba and Vietnam.</w:t>
      </w:r>
    </w:p>
    <w:p w14:paraId="0C8B3F26" w14:textId="77777777" w:rsidR="00902730" w:rsidRDefault="00902730" w:rsidP="00902730">
      <w:r w:rsidRPr="00CC3379">
        <w:rPr>
          <w:color w:val="0000FF"/>
        </w:rPr>
        <w:tab/>
      </w:r>
      <w:r w:rsidRPr="00902730">
        <w:t>The need to unpack the ideologies of Capitalism and Communism was re-enforced by T</w:t>
      </w:r>
      <w:r w:rsidRPr="00CC3379">
        <w:rPr>
          <w:color w:val="0000FF"/>
        </w:rPr>
        <w:t xml:space="preserve">. </w:t>
      </w:r>
      <w:r>
        <w:t xml:space="preserve">Haydn’s assertion that </w:t>
      </w:r>
      <w:r w:rsidRPr="00A33A0C">
        <w:t xml:space="preserve">‘pupils do actually need to understand concepts </w:t>
      </w:r>
      <w:r w:rsidRPr="00A33A0C">
        <w:lastRenderedPageBreak/>
        <w:t>(such as, for example, 'Empire', 'Appeasement', 'Fascism') and colligations ('Enlightenment', 'Reformation', 'Renaissance'), as well as knowing facts. They need to be able to construct, understand and interrogate historical narratives in order to both develop and question 'the big picture' of what happened in the past’</w:t>
      </w:r>
      <w:sdt>
        <w:sdtPr>
          <w:id w:val="1620635989"/>
          <w:citation/>
        </w:sdtPr>
        <w:sdtContent>
          <w:r>
            <w:fldChar w:fldCharType="begin"/>
          </w:r>
          <w:r>
            <w:instrText xml:space="preserve">CITATION Hay10 \p 20 \l 2057 </w:instrText>
          </w:r>
          <w:r>
            <w:fldChar w:fldCharType="separate"/>
          </w:r>
          <w:r>
            <w:rPr>
              <w:noProof/>
            </w:rPr>
            <w:t xml:space="preserve"> </w:t>
          </w:r>
          <w:r w:rsidRPr="00040087">
            <w:rPr>
              <w:noProof/>
            </w:rPr>
            <w:t>(Haydn, 2010, p. 20)</w:t>
          </w:r>
          <w:r>
            <w:fldChar w:fldCharType="end"/>
          </w:r>
        </w:sdtContent>
      </w:sdt>
      <w:r>
        <w:t xml:space="preserve">. Meanwhile, Kidd and Czerniawski point to the importance of Anderson and Krathwohl, who built upon and developed Bloom’s taxonomy. From this they devised a thinking skills activity matrix, which emphasises the importance of utilising a range of thinking skills to promote learning. These skills: remembering, understanding, applying, analysing, evaluating and creating, </w:t>
      </w:r>
      <w:sdt>
        <w:sdtPr>
          <w:id w:val="-1139644879"/>
          <w:citation/>
        </w:sdtPr>
        <w:sdtContent>
          <w:r>
            <w:fldChar w:fldCharType="begin"/>
          </w:r>
          <w:r>
            <w:instrText xml:space="preserve"> CITATION War10 \l 2057 </w:instrText>
          </w:r>
          <w:r>
            <w:fldChar w:fldCharType="separate"/>
          </w:r>
          <w:r w:rsidRPr="00FE585A">
            <w:rPr>
              <w:noProof/>
            </w:rPr>
            <w:t>(Czerniawski, 2010)</w:t>
          </w:r>
          <w:r>
            <w:fldChar w:fldCharType="end"/>
          </w:r>
        </w:sdtContent>
      </w:sdt>
      <w:r>
        <w:t xml:space="preserve"> provide an useful framework within which to ensure that students receive a balanced diet of facts and concepts in order to develop an understanding of the big picture of the past, rather than events in isolation.</w:t>
      </w:r>
    </w:p>
    <w:p w14:paraId="5502540B" w14:textId="77777777" w:rsidR="00902730" w:rsidRDefault="00902730" w:rsidP="00902730">
      <w:r>
        <w:t xml:space="preserve">How these types of thinking skills are developed, however, will be </w:t>
      </w:r>
      <w:proofErr w:type="spellStart"/>
      <w:r>
        <w:t>dependant</w:t>
      </w:r>
      <w:proofErr w:type="spellEnd"/>
      <w:r>
        <w:t xml:space="preserve"> upon the teaching style adopted. Haydn, has summarised this debate as being between the modern or progressive style teaching, characterised by group work and the more traditional didactic approach often dubbed “chalk and talk”, whilst highlighting the ongoing debate, he argued that whichever approach was chosen, or indeed a blend of the two, </w:t>
      </w:r>
      <w:r w:rsidRPr="00994B5E">
        <w:t>‘it is helpful if pupils are made to think about the past</w:t>
      </w:r>
      <w:r>
        <w:t xml:space="preserve">’ </w:t>
      </w:r>
      <w:sdt>
        <w:sdtPr>
          <w:id w:val="1593516420"/>
          <w:citation/>
        </w:sdtPr>
        <w:sdtContent>
          <w:r>
            <w:fldChar w:fldCharType="begin"/>
          </w:r>
          <w:r>
            <w:instrText xml:space="preserve">CITATION Hay10 \p 24 \l 2057 </w:instrText>
          </w:r>
          <w:r>
            <w:fldChar w:fldCharType="separate"/>
          </w:r>
          <w:r w:rsidRPr="00040087">
            <w:rPr>
              <w:noProof/>
            </w:rPr>
            <w:t>(Haydn, 2010, p. 24)</w:t>
          </w:r>
          <w:r>
            <w:fldChar w:fldCharType="end"/>
          </w:r>
        </w:sdtContent>
      </w:sdt>
      <w:r>
        <w:t xml:space="preserve">. For me, there is much to be said for a combination of the two, with “chalk and talk” being </w:t>
      </w:r>
      <w:proofErr w:type="gramStart"/>
      <w:r>
        <w:t>an</w:t>
      </w:r>
      <w:proofErr w:type="gramEnd"/>
      <w:r>
        <w:t xml:space="preserve"> useful way of delivering key concepts, prior to group or pair discussion of them and how they can be applied. </w:t>
      </w:r>
    </w:p>
    <w:p w14:paraId="555F0F86" w14:textId="77777777" w:rsidR="00902730" w:rsidRDefault="00902730" w:rsidP="00902730">
      <w:r>
        <w:t xml:space="preserve">Having decided upon an approach, the next stage was to consider what students required to progress from their base knowledge and understanding to that detailed in the scheme of work’s objectives, through both content and skills. From Haydn’s championing of an understanding of concepts, which is particularly relevant for a topic such as the Cold War, it was crucial that students spent time developing some of their second order skills as part of the scheme of work, such as: source analysis; evaluation; assessing significance; continuity, change and effect; and chronology. This naturally led on to a consideration of the historical enquiry approach, as outlined by Dawson, as a method of using sources, concepts  and historian’s writings, as a means of moving students from little or no knowledge to more knowledge and greater </w:t>
      </w:r>
      <w:r>
        <w:lastRenderedPageBreak/>
        <w:t xml:space="preserve">understanding, whilst helping them to keep the big picture in mind </w:t>
      </w:r>
      <w:sdt>
        <w:sdtPr>
          <w:id w:val="259346869"/>
          <w:citation/>
        </w:sdtPr>
        <w:sdtContent>
          <w:r>
            <w:fldChar w:fldCharType="begin"/>
          </w:r>
          <w:r>
            <w:instrText xml:space="preserve"> CITATION IDa17 \l 2057 </w:instrText>
          </w:r>
          <w:r>
            <w:fldChar w:fldCharType="separate"/>
          </w:r>
          <w:r w:rsidRPr="00246093">
            <w:rPr>
              <w:noProof/>
            </w:rPr>
            <w:t>(Dawson, 2017)</w:t>
          </w:r>
          <w:r>
            <w:fldChar w:fldCharType="end"/>
          </w:r>
        </w:sdtContent>
      </w:sdt>
      <w:r>
        <w:t xml:space="preserve">. Meanwhile, there is a clear link between Dawson’s enquiry based learning and </w:t>
      </w:r>
      <w:proofErr w:type="spellStart"/>
      <w:r>
        <w:t>Hmelo</w:t>
      </w:r>
      <w:proofErr w:type="spellEnd"/>
      <w:r>
        <w:t xml:space="preserve">-Silver’s analysis of problem based learning with both calling for a complex problem or question, with no single correct answer </w:t>
      </w:r>
      <w:sdt>
        <w:sdtPr>
          <w:id w:val="-1132550944"/>
          <w:citation/>
        </w:sdtPr>
        <w:sdtContent>
          <w:r>
            <w:fldChar w:fldCharType="begin"/>
          </w:r>
          <w:r>
            <w:instrText xml:space="preserve"> CITATION IDa17 \l 2057 </w:instrText>
          </w:r>
          <w:r>
            <w:fldChar w:fldCharType="separate"/>
          </w:r>
          <w:r w:rsidRPr="00C97319">
            <w:rPr>
              <w:noProof/>
            </w:rPr>
            <w:t>(Dawson, 2017)</w:t>
          </w:r>
          <w:r>
            <w:fldChar w:fldCharType="end"/>
          </w:r>
        </w:sdtContent>
      </w:sdt>
      <w:sdt>
        <w:sdtPr>
          <w:id w:val="1583332481"/>
          <w:citation/>
        </w:sdtPr>
        <w:sdtContent>
          <w:r>
            <w:fldChar w:fldCharType="begin"/>
          </w:r>
          <w:r>
            <w:instrText xml:space="preserve"> CITATION Hme04 \l 2057 </w:instrText>
          </w:r>
          <w:r>
            <w:fldChar w:fldCharType="separate"/>
          </w:r>
          <w:r>
            <w:rPr>
              <w:noProof/>
            </w:rPr>
            <w:t xml:space="preserve"> </w:t>
          </w:r>
          <w:r w:rsidRPr="00C97319">
            <w:rPr>
              <w:noProof/>
            </w:rPr>
            <w:t>(Hmelo-Silver, 2004)</w:t>
          </w:r>
          <w:r>
            <w:fldChar w:fldCharType="end"/>
          </w:r>
        </w:sdtContent>
      </w:sdt>
      <w:r>
        <w:t xml:space="preserve">. In light of this I decided to set an overarching question of: Who Won the Cold War? for the scheme of work, with a survey of the students at the end of each lesson to see who they thought was ahead after each event (with the option of a draw available), with their answers contributing to a league table, which would be updated after each lesson, thus providing some continuity between the topics, and a constant focus on the question they would be answering in their final assignment. I was particularly struck by </w:t>
      </w:r>
      <w:proofErr w:type="spellStart"/>
      <w:r>
        <w:t>Hmelo</w:t>
      </w:r>
      <w:proofErr w:type="spellEnd"/>
      <w:r>
        <w:t xml:space="preserve">-Silver’s approach, based upon students working collaboratively, engaging in self-directed learning, with the teacher Acting as facilitator for the learning process, rather than as the sole provider of “facts” and information. For me </w:t>
      </w:r>
      <w:proofErr w:type="spellStart"/>
      <w:r>
        <w:t>Hmelo</w:t>
      </w:r>
      <w:proofErr w:type="spellEnd"/>
      <w:r>
        <w:t xml:space="preserve">-Silver’s goals for problem-based learning: ‘helping students develop 1) flexible knowledge; 2) effective problem-solving skills; 3) SDL skills; 4) Effective collaboration skills; 5) intrinsic motivation; appeared hugely relevant for the goals of the Key Stage 3 History Curriculum, which amongst other things, requires students to develop their thinking and communication skills, and Donaldson’s clarion call for schools to develop ambitious, capable learners, who are enterprising capable contributors and ethically informed citizens </w:t>
      </w:r>
      <w:sdt>
        <w:sdtPr>
          <w:id w:val="-1754505404"/>
          <w:citation/>
        </w:sdtPr>
        <w:sdtContent>
          <w:r>
            <w:fldChar w:fldCharType="begin"/>
          </w:r>
          <w:r>
            <w:instrText xml:space="preserve">CITATION Hme04 \p 235 \l 2057 </w:instrText>
          </w:r>
          <w:r>
            <w:fldChar w:fldCharType="separate"/>
          </w:r>
          <w:r w:rsidRPr="00577F85">
            <w:rPr>
              <w:noProof/>
            </w:rPr>
            <w:t>(Hmelo-Silver, 2004, p. 235)</w:t>
          </w:r>
          <w:r>
            <w:fldChar w:fldCharType="end"/>
          </w:r>
        </w:sdtContent>
      </w:sdt>
      <w:r>
        <w:t xml:space="preserve">, </w:t>
      </w:r>
      <w:sdt>
        <w:sdtPr>
          <w:id w:val="949289100"/>
          <w:citation/>
        </w:sdtPr>
        <w:sdtContent>
          <w:r>
            <w:fldChar w:fldCharType="begin"/>
          </w:r>
          <w:r>
            <w:instrText xml:space="preserve"> CITATION YrA08 \l 2057 </w:instrText>
          </w:r>
          <w:r>
            <w:fldChar w:fldCharType="separate"/>
          </w:r>
          <w:r w:rsidRPr="00AA0A9A">
            <w:rPr>
              <w:noProof/>
            </w:rPr>
            <w:t>(Yr Adran Plant, Addysg, Dysgu Gydol Oes a Sgiliau Department for Children, Education, Lifelong Learning and Skills, 2008)</w:t>
          </w:r>
          <w:r>
            <w:fldChar w:fldCharType="end"/>
          </w:r>
        </w:sdtContent>
      </w:sdt>
      <w:r>
        <w:t xml:space="preserve">; </w:t>
      </w:r>
      <w:sdt>
        <w:sdtPr>
          <w:id w:val="660817042"/>
          <w:citation/>
        </w:sdtPr>
        <w:sdtContent>
          <w:r>
            <w:fldChar w:fldCharType="begin"/>
          </w:r>
          <w:r>
            <w:instrText xml:space="preserve"> CITATION Gra15 \l 2057 </w:instrText>
          </w:r>
          <w:r>
            <w:fldChar w:fldCharType="separate"/>
          </w:r>
          <w:r w:rsidRPr="00AA0A9A">
            <w:rPr>
              <w:noProof/>
            </w:rPr>
            <w:t>(Donaldson, 2015)</w:t>
          </w:r>
          <w:r>
            <w:fldChar w:fldCharType="end"/>
          </w:r>
        </w:sdtContent>
      </w:sdt>
      <w:r>
        <w:t>.</w:t>
      </w:r>
    </w:p>
    <w:p w14:paraId="3AE3663D" w14:textId="77777777" w:rsidR="00902730" w:rsidRDefault="00902730" w:rsidP="00902730">
      <w:r>
        <w:tab/>
      </w:r>
      <w:proofErr w:type="gramStart"/>
      <w:r>
        <w:t>In light of</w:t>
      </w:r>
      <w:proofErr w:type="gramEnd"/>
      <w:r>
        <w:t xml:space="preserve"> my pedagogical reading, I sought to place collaborative and student-based learning at the heart of my scheme of work.</w:t>
      </w:r>
    </w:p>
    <w:p w14:paraId="40D614D7" w14:textId="77777777" w:rsidR="00902730" w:rsidRDefault="00902730" w:rsidP="00902730"/>
    <w:p w14:paraId="6FEA5E69" w14:textId="77777777" w:rsidR="00902730" w:rsidRDefault="00902730" w:rsidP="00902730">
      <w:pPr>
        <w:pStyle w:val="Heading1"/>
      </w:pPr>
      <w:bookmarkStart w:id="1" w:name="_GoBack"/>
      <w:r>
        <w:t>Evaluation:</w:t>
      </w:r>
    </w:p>
    <w:bookmarkEnd w:id="1"/>
    <w:p w14:paraId="0D34C7FA" w14:textId="77777777" w:rsidR="00902730" w:rsidRPr="00B02D60" w:rsidRDefault="00902730" w:rsidP="00902730"/>
    <w:p w14:paraId="3CE86F9A" w14:textId="77777777" w:rsidR="00902730" w:rsidRDefault="00902730" w:rsidP="00902730">
      <w:r>
        <w:t xml:space="preserve">My aim for the lesson was to work on my timing and task transitions. I felt that the transitions generally went </w:t>
      </w:r>
      <w:proofErr w:type="gramStart"/>
      <w:r>
        <w:t>well</w:t>
      </w:r>
      <w:proofErr w:type="gramEnd"/>
      <w:r>
        <w:t xml:space="preserve"> and they provided a good opportunity for engagement in Curriculum </w:t>
      </w:r>
      <w:proofErr w:type="spellStart"/>
      <w:r>
        <w:t>Cymraeg</w:t>
      </w:r>
      <w:proofErr w:type="spellEnd"/>
      <w:r>
        <w:t xml:space="preserve">, through the use of incidental Welsh, counting down </w:t>
      </w:r>
      <w:r>
        <w:lastRenderedPageBreak/>
        <w:t xml:space="preserve">backwards from three to one to reclaim the class’s attention. Although the lesson broadly kept a time, the main task was overambitious for the time allowed. This was in part, </w:t>
      </w:r>
      <w:proofErr w:type="gramStart"/>
      <w:r>
        <w:t>due to the fact that</w:t>
      </w:r>
      <w:proofErr w:type="gramEnd"/>
      <w:r>
        <w:t xml:space="preserve"> the textbook-style resource was pitched closer to GCSE than Key Stage 3, and in part due to the fact that the second part of the task was overly long. This could have been improved in </w:t>
      </w:r>
      <w:proofErr w:type="gramStart"/>
      <w:r>
        <w:t>a number of</w:t>
      </w:r>
      <w:proofErr w:type="gramEnd"/>
      <w:r>
        <w:t xml:space="preserve"> ways. Firstly, as a form of differentiation the stronger students could have been given the GCSE text and the weaker one pitch to Key Stage 3. Secondly, as well as providing a numerical judgment, students could have been asked to cite a piece of evidence as well, which would have helped them to complete a modified second task, writing a short paragraph about their most and least successful presidents, something which came up in my one-to-one feedback. In turn, this would allow for an extension task </w:t>
      </w:r>
      <w:proofErr w:type="gramStart"/>
      <w:r>
        <w:t>of  preparing</w:t>
      </w:r>
      <w:proofErr w:type="gramEnd"/>
      <w:r>
        <w:t xml:space="preserve"> a paragraph about additional presidents, should students finish ahead of time. </w:t>
      </w:r>
    </w:p>
    <w:p w14:paraId="3C0E401C" w14:textId="77777777" w:rsidR="00902730" w:rsidRDefault="00902730" w:rsidP="00902730">
      <w:r>
        <w:t xml:space="preserve">Another point which came out of my feedback session with Dave Stacey, was that I had not entirely understood the relationship between the lesson objectives which are placed upon the lesson plan, intended as a guide to teacher; mentors; and ESTYN, and those provided for class consumption. I had mistakenly thought that they directly mirrored one another, however, I was assured that this was not necessarily the case and that the objectives presented to the class should be presented in language accessible to them. Additionally, he suggested that whilst my third learning objective had a place on the plan, it did not necessarily need to be on the learning objective slide. I have taken this feedback on </w:t>
      </w:r>
      <w:proofErr w:type="gramStart"/>
      <w:r>
        <w:t>board, and</w:t>
      </w:r>
      <w:proofErr w:type="gramEnd"/>
      <w:r>
        <w:t xml:space="preserve"> am now clearer as to the correlation between learning objectives presented for professional consumption and those for class consumption. Furthermore, it was felt that whilst my lesson flowed well, my lesson plan did not contain </w:t>
      </w:r>
      <w:proofErr w:type="gramStart"/>
      <w:r>
        <w:t>sufficient</w:t>
      </w:r>
      <w:proofErr w:type="gramEnd"/>
      <w:r>
        <w:t xml:space="preserve"> detail for the observer to be clear in advance exactly how the lesson would take shape. Clearly this is something which I need to address in future lesson plans.</w:t>
      </w:r>
    </w:p>
    <w:p w14:paraId="09BE51DC" w14:textId="77777777" w:rsidR="00902730" w:rsidRDefault="00902730" w:rsidP="00902730">
      <w:r>
        <w:t xml:space="preserve">I been greatly encouraged by the feedback which I received from my peers. What Went Well comments included: the use of varied activities and interactive tasks; good resources; enthusiastic attitude; moved around and made sure he engaged with learners; well thought out with the tasks working well together; that I was loud, commanding and authoritative, with a good classroom presence; lesson was well </w:t>
      </w:r>
      <w:r>
        <w:lastRenderedPageBreak/>
        <w:t>coordinated; effective use of praise; good use of Welsh; very good plenary; extremely informative; success criteria is a really good theme; awesome confidence; good use of individual interpretations throughout; clear presentation style and good knowledge. All these points appear to validate my initial feeling of how the lesson went. Observations for improvement consistently centred around the textbook-style resource which I had produced and that it was a little too hard for the intended year eight audience. Whilst</w:t>
      </w:r>
      <w:r w:rsidRPr="00197709">
        <w:t xml:space="preserve"> I </w:t>
      </w:r>
      <w:r>
        <w:t>acknowledge</w:t>
      </w:r>
      <w:r w:rsidRPr="00197709">
        <w:t xml:space="preserve"> that the resource was probably pitched at a higher level than the </w:t>
      </w:r>
      <w:r>
        <w:t>average to lower ability year 8,</w:t>
      </w:r>
      <w:r w:rsidRPr="00197709">
        <w:t xml:space="preserve"> </w:t>
      </w:r>
      <w:r>
        <w:t xml:space="preserve">I learned during bridging that </w:t>
      </w:r>
      <w:r w:rsidRPr="00197709">
        <w:t>some schools</w:t>
      </w:r>
      <w:r>
        <w:t xml:space="preserve"> do introduce</w:t>
      </w:r>
      <w:r w:rsidRPr="00197709">
        <w:t xml:space="preserve"> GCSE material </w:t>
      </w:r>
      <w:r>
        <w:t>during Key Stage 3</w:t>
      </w:r>
      <w:r w:rsidRPr="00197709">
        <w:t xml:space="preserve"> with the aim of stretching the students. Whilst rewriting the resource, using simpler language, would make it more accessible to a year eight audience, additional scaffolding </w:t>
      </w:r>
      <w:r>
        <w:t>could also</w:t>
      </w:r>
      <w:r w:rsidRPr="00197709">
        <w:t xml:space="preserve"> </w:t>
      </w:r>
      <w:r>
        <w:t xml:space="preserve">have </w:t>
      </w:r>
      <w:r w:rsidRPr="00197709">
        <w:t>made the resource more accessible.</w:t>
      </w:r>
    </w:p>
    <w:p w14:paraId="655716AC" w14:textId="77777777" w:rsidR="00902730" w:rsidRDefault="00902730" w:rsidP="00902730">
      <w:r>
        <w:t xml:space="preserve">Another observation was that there wasn’t much scaffolding or differentiation, however, I felt I did this in a rather subtle way, by going around the groups and, for the groups was struggling, pointing to where information can be found within the resources. Additionally, I had intended to scaffold the task through pairing RE students with historians. Prior to the lesson I had set out blank paper and whiteboard pens in pairs around the classroom and at the start of the lesson asked the class to move to where these resources were with historians and non-historians pairing up. There was some confusion around these instructions and a reluctance to comply. I repeated the instruction </w:t>
      </w:r>
      <w:proofErr w:type="gramStart"/>
      <w:r>
        <w:t>a number of</w:t>
      </w:r>
      <w:proofErr w:type="gramEnd"/>
      <w:r>
        <w:t xml:space="preserve"> times and tried to encourage the class to follow them, however, I took the view that it was not worthwhile spending overlong mixing the group up. </w:t>
      </w:r>
      <w:proofErr w:type="spellStart"/>
      <w:r>
        <w:t>Were</w:t>
      </w:r>
      <w:proofErr w:type="spellEnd"/>
      <w:r>
        <w:t xml:space="preserve"> I to deliver this within a school setting, I would direct the class to seats as they entered the classroom. Some peer feedback suggested the need for clear instructions for some of the tasks, which contradicted my feedback from Dave Stacey was that my instructions were </w:t>
      </w:r>
      <w:proofErr w:type="gramStart"/>
      <w:r>
        <w:t>clear</w:t>
      </w:r>
      <w:proofErr w:type="gramEnd"/>
      <w:r>
        <w:t xml:space="preserve"> and he was surprised by the way in which some of the class appeared to struggle with the grid-based task. He went on to suggest, that I may find that a year eight class, being more used to that style of task, would have found it less confusing. Indeed, I was somewhat perplexed by how confused the class was, given that consistent instructions were given verbally, on my PowerPoint task slide and on the bottom of the grid sheet. I suspect that part of the problem, was that </w:t>
      </w:r>
      <w:r>
        <w:lastRenderedPageBreak/>
        <w:t>the class, being student teachers, over thought the task and assume that the way in which it was fitting into the numeracy framework was by requiring them to do complex sums rather than differentiating between large and small integers.</w:t>
      </w:r>
    </w:p>
    <w:p w14:paraId="590DB5B3" w14:textId="77777777" w:rsidR="00902730" w:rsidRPr="00CF2174" w:rsidRDefault="00902730" w:rsidP="00902730">
      <w:pPr>
        <w:rPr>
          <w:rFonts w:ascii="Calibri" w:hAnsi="Calibri" w:cs="Calibri"/>
          <w:sz w:val="22"/>
        </w:rPr>
      </w:pPr>
      <w:r>
        <w:rPr>
          <w:rStyle w:val="normaltextrun"/>
          <w:rFonts w:ascii="Calibri" w:hAnsi="Calibri" w:cs="Calibri"/>
          <w:sz w:val="22"/>
        </w:rPr>
        <w:tab/>
      </w:r>
      <w:r w:rsidRPr="00665D5E">
        <w:t xml:space="preserve">The class </w:t>
      </w:r>
      <w:r>
        <w:t>appeared</w:t>
      </w:r>
      <w:r w:rsidRPr="00665D5E">
        <w:t xml:space="preserve"> to </w:t>
      </w:r>
      <w:r>
        <w:t>understand</w:t>
      </w:r>
      <w:r w:rsidRPr="00665D5E">
        <w:t xml:space="preserve"> the focus of the lesson around judgements and assessing significance. The lesson flowed </w:t>
      </w:r>
      <w:r>
        <w:t>naturally</w:t>
      </w:r>
      <w:r w:rsidRPr="00665D5E">
        <w:t xml:space="preserve"> from the starter about how we measure success to the plane re-takeaway point at the end about how everyone uses different criteria to form their interpretations, with all being equally valid</w:t>
      </w:r>
      <w:r>
        <w:t>, something I will certainly reuse on PTE1.</w:t>
      </w:r>
      <w:r w:rsidRPr="00665D5E">
        <w:t xml:space="preserve"> The distribution of resources</w:t>
      </w:r>
      <w:r>
        <w:t>,</w:t>
      </w:r>
      <w:r w:rsidRPr="00665D5E">
        <w:t xml:space="preserve"> whilst live marking</w:t>
      </w:r>
      <w:r>
        <w:t>,</w:t>
      </w:r>
      <w:r w:rsidRPr="00665D5E">
        <w:t xml:space="preserve"> went well and I feel the students appreciated the comments</w:t>
      </w:r>
      <w:r>
        <w:t>, something which was backed up by my peer feedback. I was also happy with my use of questioning throughout the lesson, choosing to focus on groups to feedback rather than solicit answers through hands up. I deliberately sought answers from the RE dominated group first, as they represented my less able students, and this would validate their knowledge and understanding, without them feeling that all their answers had already been provided. Additionally, I did not follow around the room and a logical fashion, so that students could not easily predict which group would be selected next. I deliberately made sure that all groups were asked and so had an opportunity to contribute orally to the class.</w:t>
      </w:r>
    </w:p>
    <w:p w14:paraId="7E007F79" w14:textId="77777777" w:rsidR="00902730" w:rsidRDefault="00902730" w:rsidP="00902730">
      <w:r>
        <w:t xml:space="preserve">I was relieved that I had attempted to test my Kahoot survey ahead of the lesson, as I found that I was unable to use it owing to having made it a private survey. Fortunately, I had prepared a low-tech alternative, which on reflection, worked better. I discussed this with Dave Stacey, at my feedback session, and how I had been hoping to use this to demonstrate my digital competency. He reassured and reminded me of his view that, ‘a part of digital competency is knowing when to put the technology down’. He agreed with me, that the getting the class moving around worked better. Additionally, it allowed me to provide them with all five presidents rather than just four. This approach was validated by the fact that two of the class opted for President Ford, who I’d omitted from the online survey. By getting the class to move around I was also able to directly question students why they had made their choice, something which would have been more difficult if I had used Kahoot. Certainly, if I were to teach this again, I would stick with the low-tech solution, and I will </w:t>
      </w:r>
      <w:proofErr w:type="gramStart"/>
      <w:r>
        <w:t>definitely adapt</w:t>
      </w:r>
      <w:proofErr w:type="gramEnd"/>
      <w:r>
        <w:t xml:space="preserve"> it </w:t>
      </w:r>
      <w:r>
        <w:lastRenderedPageBreak/>
        <w:t>to other topics. Whilst on the topic of my plenary I was pleased that Dave felt my classified results and league table worked well, providing a clear link across the topics within the scheme of work, something which I would take forward if I were to teach the topic again.</w:t>
      </w:r>
    </w:p>
    <w:p w14:paraId="742730ED" w14:textId="77777777" w:rsidR="00902730" w:rsidRDefault="00902730" w:rsidP="00902730">
      <w:r>
        <w:tab/>
        <w:t>Overall my lesson went well, and the result of my plenary question, who all was ahead in the Cold War at the end of the Vietnam War was not surprising with the USSR the clear winner, with some deciding upon a draw and none arguing for the West. Additionally, from live marking, it was apparent that the class had a good understanding of the measures which might be used to measure success in relation to war. Regarding my plenary question, Dave Stacey questioned the extent to which it was a valid to use USSR as opposed to Communism as an answer. When planning my lesson scheme of work this was something I had struggled with, not being entirely happy with using USSR but struggling to find an alternative and his suggestion of communism is certainly one I would take forward. Having reviewed the video of my teaching, I discovered that this was something I had touched upon in my verbalisation of the question.</w:t>
      </w:r>
    </w:p>
    <w:p w14:paraId="1E8CEA90" w14:textId="77777777" w:rsidR="00902730" w:rsidRDefault="00902730" w:rsidP="00902730">
      <w:r>
        <w:t xml:space="preserve">Having now received some written feedback from Dave Stacey and spent more time observing in school, it has become apparent to me that the text-book style resource needs to be simplified, and a version produced for lower ability students which does not require them to make inferences, in order to answer the question. I was shocked by how low some of the reading abilities are in Year 8, which is probably in part a result from having attended a grammar school myself. Observation, within a school which uses sets: higher ability, lower ability and several mixed ability classes, has made me realise the need to consider utilising a number of different approaches and formats when creating resources, and the fact that one cannot rely on </w:t>
      </w:r>
      <w:proofErr w:type="gramStart"/>
      <w:r>
        <w:t>an</w:t>
      </w:r>
      <w:proofErr w:type="gramEnd"/>
      <w:r>
        <w:t xml:space="preserve"> one size fits all set of resources. Whilst tailoring resources to meet the individual needs can be time consuming, requiring the creation of a number of resources for each topic, with the budgetary </w:t>
      </w:r>
      <w:proofErr w:type="gramStart"/>
      <w:r>
        <w:t>constraints</w:t>
      </w:r>
      <w:proofErr w:type="gramEnd"/>
      <w:r>
        <w:t xml:space="preserve"> schools are facing, having two or three sets of textbooks on a single topic to cater for the different abilities is not a real option. Clear modelling or answers, rather than leaving students to sink or swim, is </w:t>
      </w:r>
      <w:proofErr w:type="gramStart"/>
      <w:r>
        <w:t>an</w:t>
      </w:r>
      <w:proofErr w:type="gramEnd"/>
      <w:r>
        <w:t xml:space="preserve"> useful tool used by teachers to encourage students and give them confidence. With knowledge of a class </w:t>
      </w:r>
      <w:r>
        <w:lastRenderedPageBreak/>
        <w:t xml:space="preserve">it is easier to place students into groups, rather than relying on them to choose their pairings. This is again something which came up, both in my feedback, and my lesson observation in </w:t>
      </w:r>
      <w:proofErr w:type="spellStart"/>
      <w:r>
        <w:t>Bryngwynn</w:t>
      </w:r>
      <w:proofErr w:type="spellEnd"/>
      <w:r>
        <w:t xml:space="preserve"> and Glan-y-</w:t>
      </w:r>
      <w:proofErr w:type="spellStart"/>
      <w:r>
        <w:t>Môr</w:t>
      </w:r>
      <w:proofErr w:type="spellEnd"/>
      <w:r>
        <w:t>, where I observed that it can take time for students to choose, or they can end up sitting with friends who are a distraction. From my feedback it was apparent that, although the lesson itself went well, and I knew where I was going, my plan was insufficiently detailed to ensure that the observer knew where I was going next. Clearly, this will be an area to work on as I start taking over classes on PTE1. In terms of planning, my observations during the first two weeks of PTE1 has highlighted the need to differentiate planning, depending on the timing of the lesson. In the context of my placement school, Mondays have shorter lessons to allow for an extended form time. Additionally, the last lesson of the day can be a little chaotic, with students still buzzing from lunch and counting down to home time. Another thing I have picked up from the induction weeks of PTE1 is the fact that an extension task does not have to directly relate to the topic being taught, but can link in to the literacy framework, through silent reading. If students finish early, then it can also afford an opportunity for revision, or checking their books, two things which I hadn’t considered when planning my microteach lesson.</w:t>
      </w:r>
    </w:p>
    <w:p w14:paraId="1F0F5089" w14:textId="77777777" w:rsidR="00902730" w:rsidRDefault="00902730" w:rsidP="00902730">
      <w:r>
        <w:tab/>
        <w:t>Having been on placement, getting to observe teachers across a range of disciplines, and getting to know some of the students at Glan-y-</w:t>
      </w:r>
      <w:proofErr w:type="spellStart"/>
      <w:r>
        <w:t>Môr</w:t>
      </w:r>
      <w:proofErr w:type="spellEnd"/>
      <w:r>
        <w:t>, I am confident that some of the teaching and learning activities I employed in my micro-teach, and some used by others, would work effectively in my first placement school. Indeed, my success criteria activities, can be easily adapted to a lesson on Mametz Wood, which I have been asked to teach after half term. Meanwhile, I successfully “</w:t>
      </w:r>
      <w:proofErr w:type="spellStart"/>
      <w:r>
        <w:t>magpied</w:t>
      </w:r>
      <w:proofErr w:type="spellEnd"/>
      <w:r>
        <w:t>” an activity from one of the other students for my first starter on placement, getting a student to sit with their back to the board, asking the class questions to see which claimant to the throne in 1066, was on the board behind them. Another take-away from the process has been that learning does not just happen when students are writing, but that thinking and discussing can be powerful tools in the teacher’s armoury.</w:t>
      </w:r>
    </w:p>
    <w:p w14:paraId="2991506B" w14:textId="77777777" w:rsidR="00902730" w:rsidRPr="00665D5E" w:rsidRDefault="00902730" w:rsidP="00902730">
      <w:r>
        <w:tab/>
        <w:t xml:space="preserve">To conclude, I found the microteach extremely useful for </w:t>
      </w:r>
      <w:proofErr w:type="gramStart"/>
      <w:r>
        <w:t>a number of</w:t>
      </w:r>
      <w:proofErr w:type="gramEnd"/>
      <w:r>
        <w:t xml:space="preserve"> reasons: developing confidence in standing up in front of people and delivering a lesson; the </w:t>
      </w:r>
      <w:r>
        <w:lastRenderedPageBreak/>
        <w:t xml:space="preserve">opportunity to test out some new techniques, and dust off some old ones; the opportunity to gain feedback on my strengths and weaknesses. Whilst the feedback on my plan was not entirely unexpected, as I have never found putting plans formed in my head down in writing a particularly easy task, I was pleasantly surprised about the feedback I received around classroom presence and confidence, as this does not always mirror how I am feeling when teaching. This form of validation is clearly useful for developing confidence ahead of teaching actual young people out on placement. The microteach experience also has a formative element, throwing up areas where further reading would be useful. Additionally, the fact that we were given topics outside of our comfort zone, helped demonstrate that we can </w:t>
      </w:r>
      <w:proofErr w:type="spellStart"/>
      <w:proofErr w:type="gramStart"/>
      <w:r>
        <w:t>gen</w:t>
      </w:r>
      <w:proofErr w:type="spellEnd"/>
      <w:r>
        <w:t xml:space="preserve">  up</w:t>
      </w:r>
      <w:proofErr w:type="gramEnd"/>
      <w:r>
        <w:t xml:space="preserve"> relatively quickly.</w:t>
      </w:r>
    </w:p>
    <w:p w14:paraId="46C6D8A3" w14:textId="77777777" w:rsidR="00902730" w:rsidRDefault="00902730" w:rsidP="00902730"/>
    <w:p w14:paraId="5571AECB" w14:textId="77777777" w:rsidR="00902730" w:rsidRDefault="00902730" w:rsidP="00902730"/>
    <w:sdt>
      <w:sdtPr>
        <w:rPr>
          <w:rFonts w:ascii="Book Antiqua" w:eastAsiaTheme="minorHAnsi" w:hAnsi="Book Antiqua" w:cstheme="minorBidi"/>
          <w:color w:val="auto"/>
          <w:sz w:val="24"/>
          <w:szCs w:val="22"/>
        </w:rPr>
        <w:id w:val="1368640346"/>
        <w:docPartObj>
          <w:docPartGallery w:val="Bibliographies"/>
          <w:docPartUnique/>
        </w:docPartObj>
      </w:sdtPr>
      <w:sdtEndPr>
        <w:rPr>
          <w:rFonts w:eastAsia="Times New Roman" w:cs="Times New Roman"/>
          <w:szCs w:val="20"/>
          <w:lang w:eastAsia="en-GB"/>
        </w:rPr>
      </w:sdtEndPr>
      <w:sdtContent>
        <w:p w14:paraId="054B89D3" w14:textId="77777777" w:rsidR="00902730" w:rsidRDefault="00902730" w:rsidP="00902730">
          <w:pPr>
            <w:pStyle w:val="Heading1"/>
          </w:pPr>
          <w:r>
            <w:t>References</w:t>
          </w:r>
        </w:p>
        <w:sdt>
          <w:sdtPr>
            <w:id w:val="-573587230"/>
            <w:bibliography/>
          </w:sdtPr>
          <w:sdtEndPr>
            <w:rPr>
              <w:rFonts w:eastAsia="Times New Roman" w:cs="Times New Roman"/>
              <w:szCs w:val="20"/>
              <w:lang w:eastAsia="en-GB"/>
            </w:rPr>
          </w:sdtEndPr>
          <w:sdtContent>
            <w:p w14:paraId="3DF32298" w14:textId="77777777" w:rsidR="00902730" w:rsidRDefault="00902730" w:rsidP="00902730">
              <w:pPr>
                <w:pStyle w:val="Bibliography"/>
                <w:rPr>
                  <w:noProof/>
                  <w:szCs w:val="24"/>
                </w:rPr>
              </w:pPr>
              <w:r>
                <w:fldChar w:fldCharType="begin"/>
              </w:r>
              <w:r>
                <w:instrText xml:space="preserve"> BIBLIOGRAPHY </w:instrText>
              </w:r>
              <w:r>
                <w:fldChar w:fldCharType="separate"/>
              </w:r>
              <w:r>
                <w:rPr>
                  <w:noProof/>
                </w:rPr>
                <w:t xml:space="preserve">Czerniawski, G. a. K. W., 2010. </w:t>
              </w:r>
              <w:r>
                <w:rPr>
                  <w:i/>
                  <w:iCs/>
                  <w:noProof/>
                </w:rPr>
                <w:t xml:space="preserve">Successful Teaching 14-19: Theory, Practiuce and Reflection. </w:t>
              </w:r>
              <w:r>
                <w:rPr>
                  <w:noProof/>
                </w:rPr>
                <w:t>London: SAGE Publications.</w:t>
              </w:r>
            </w:p>
            <w:p w14:paraId="3382EAE0" w14:textId="77777777" w:rsidR="00902730" w:rsidRDefault="00902730" w:rsidP="00902730">
              <w:pPr>
                <w:pStyle w:val="Bibliography"/>
                <w:rPr>
                  <w:noProof/>
                </w:rPr>
              </w:pPr>
              <w:r>
                <w:rPr>
                  <w:noProof/>
                </w:rPr>
                <w:t xml:space="preserve">Dawson, I., 2017. </w:t>
              </w:r>
              <w:r>
                <w:rPr>
                  <w:i/>
                  <w:iCs/>
                  <w:noProof/>
                </w:rPr>
                <w:t xml:space="preserve">Doing History. </w:t>
              </w:r>
              <w:r>
                <w:rPr>
                  <w:noProof/>
                </w:rPr>
                <w:t xml:space="preserve">[Online] </w:t>
              </w:r>
              <w:r>
                <w:rPr>
                  <w:noProof/>
                </w:rPr>
                <w:br/>
                <w:t xml:space="preserve">Available at: </w:t>
              </w:r>
              <w:r>
                <w:rPr>
                  <w:noProof/>
                  <w:u w:val="single"/>
                </w:rPr>
                <w:t>http://www.thinkinghistory.co.uk/Issues/DoingHistory.html</w:t>
              </w:r>
              <w:r>
                <w:rPr>
                  <w:noProof/>
                </w:rPr>
                <w:br/>
                <w:t>[Accessed 11 09 2018].</w:t>
              </w:r>
            </w:p>
            <w:p w14:paraId="40795C0E" w14:textId="77777777" w:rsidR="00902730" w:rsidRDefault="00902730" w:rsidP="00902730">
              <w:pPr>
                <w:pStyle w:val="Bibliography"/>
                <w:rPr>
                  <w:noProof/>
                </w:rPr>
              </w:pPr>
              <w:r>
                <w:rPr>
                  <w:noProof/>
                </w:rPr>
                <w:t xml:space="preserve">Donaldson, G., 2015. </w:t>
              </w:r>
              <w:r>
                <w:rPr>
                  <w:i/>
                  <w:iCs/>
                  <w:noProof/>
                </w:rPr>
                <w:t xml:space="preserve">Successful Futures, </w:t>
              </w:r>
              <w:r>
                <w:rPr>
                  <w:noProof/>
                </w:rPr>
                <w:t>s.l.: Welsh Assembly Government.</w:t>
              </w:r>
            </w:p>
            <w:p w14:paraId="0ACD6646" w14:textId="77777777" w:rsidR="00902730" w:rsidRDefault="00902730" w:rsidP="00902730">
              <w:pPr>
                <w:pStyle w:val="Bibliography"/>
                <w:rPr>
                  <w:noProof/>
                </w:rPr>
              </w:pPr>
              <w:r>
                <w:rPr>
                  <w:noProof/>
                </w:rPr>
                <w:t xml:space="preserve">Haydn, T., 2010. Secondary History: Current Themes. In: I. Davies, ed. </w:t>
              </w:r>
              <w:r>
                <w:rPr>
                  <w:i/>
                  <w:iCs/>
                  <w:noProof/>
                </w:rPr>
                <w:t xml:space="preserve">Debates in History Teaching. </w:t>
              </w:r>
              <w:r>
                <w:rPr>
                  <w:noProof/>
                </w:rPr>
                <w:t>London: Routledge, pp. 19-30.</w:t>
              </w:r>
            </w:p>
            <w:p w14:paraId="04D92F19" w14:textId="77777777" w:rsidR="00902730" w:rsidRDefault="00902730" w:rsidP="00902730">
              <w:pPr>
                <w:pStyle w:val="Bibliography"/>
                <w:rPr>
                  <w:noProof/>
                </w:rPr>
              </w:pPr>
              <w:r>
                <w:rPr>
                  <w:noProof/>
                </w:rPr>
                <w:t xml:space="preserve">Hmelo-Silver, C., 2004. Problem-Based Learning: What and How Do Students Learn?. </w:t>
              </w:r>
              <w:r>
                <w:rPr>
                  <w:i/>
                  <w:iCs/>
                  <w:noProof/>
                </w:rPr>
                <w:t xml:space="preserve">Educational Psychology Review, </w:t>
              </w:r>
              <w:r>
                <w:rPr>
                  <w:noProof/>
                </w:rPr>
                <w:t>16(3), pp. 235-266.</w:t>
              </w:r>
            </w:p>
            <w:p w14:paraId="1AF0973E" w14:textId="77777777" w:rsidR="00902730" w:rsidRDefault="00902730" w:rsidP="00902730">
              <w:pPr>
                <w:pStyle w:val="Bibliography"/>
                <w:rPr>
                  <w:noProof/>
                </w:rPr>
              </w:pPr>
              <w:r>
                <w:rPr>
                  <w:noProof/>
                </w:rPr>
                <w:t xml:space="preserve">Hwb News, 2018. </w:t>
              </w:r>
              <w:r>
                <w:rPr>
                  <w:i/>
                  <w:iCs/>
                  <w:noProof/>
                </w:rPr>
                <w:t xml:space="preserve">Hwb News Twitter. </w:t>
              </w:r>
              <w:r>
                <w:rPr>
                  <w:noProof/>
                </w:rPr>
                <w:t xml:space="preserve">[Online] </w:t>
              </w:r>
              <w:r>
                <w:rPr>
                  <w:noProof/>
                </w:rPr>
                <w:br/>
                <w:t xml:space="preserve">Available at: </w:t>
              </w:r>
              <w:r>
                <w:rPr>
                  <w:noProof/>
                  <w:u w:val="single"/>
                </w:rPr>
                <w:t>https://twitter.com/HwbNews</w:t>
              </w:r>
              <w:r>
                <w:rPr>
                  <w:noProof/>
                </w:rPr>
                <w:br/>
                <w:t>[Accessed 01 11 2018].</w:t>
              </w:r>
            </w:p>
            <w:p w14:paraId="1AE6F21A" w14:textId="77777777" w:rsidR="00902730" w:rsidRDefault="00902730" w:rsidP="00902730">
              <w:pPr>
                <w:pStyle w:val="Bibliography"/>
                <w:rPr>
                  <w:noProof/>
                </w:rPr>
              </w:pPr>
              <w:r>
                <w:rPr>
                  <w:noProof/>
                </w:rPr>
                <w:lastRenderedPageBreak/>
                <w:t xml:space="preserve">Williams, K., 2017. </w:t>
              </w:r>
              <w:r>
                <w:rPr>
                  <w:i/>
                  <w:iCs/>
                  <w:noProof/>
                </w:rPr>
                <w:t xml:space="preserve">Announcement of further Pioneer Schools focussing on curriculum design and development. </w:t>
              </w:r>
              <w:r>
                <w:rPr>
                  <w:noProof/>
                </w:rPr>
                <w:t>Cardiff: Welsh Assembly Government.</w:t>
              </w:r>
            </w:p>
            <w:p w14:paraId="28E29B59" w14:textId="77777777" w:rsidR="00902730" w:rsidRDefault="00902730" w:rsidP="00902730">
              <w:pPr>
                <w:pStyle w:val="Bibliography"/>
                <w:rPr>
                  <w:noProof/>
                </w:rPr>
              </w:pPr>
              <w:r>
                <w:rPr>
                  <w:noProof/>
                </w:rPr>
                <w:t xml:space="preserve">Yr Adran Plant, Addysg, Dysgu Gydol Oes a Sgiliau Department for Children, Education, Lifelong Learning and Skills, 2008. </w:t>
              </w:r>
              <w:r>
                <w:rPr>
                  <w:i/>
                  <w:iCs/>
                  <w:noProof/>
                </w:rPr>
                <w:t xml:space="preserve">History in the National Curriculum for Wales: Key Stages 2-3, </w:t>
              </w:r>
              <w:r>
                <w:rPr>
                  <w:noProof/>
                </w:rPr>
                <w:t>Cardiff: Welsh Assembly Government.</w:t>
              </w:r>
            </w:p>
            <w:p w14:paraId="186E7F40" w14:textId="77777777" w:rsidR="00902730" w:rsidRDefault="00902730" w:rsidP="00902730">
              <w:r>
                <w:rPr>
                  <w:b/>
                  <w:bCs/>
                  <w:noProof/>
                </w:rPr>
                <w:fldChar w:fldCharType="end"/>
              </w:r>
            </w:p>
          </w:sdtContent>
        </w:sdt>
      </w:sdtContent>
    </w:sdt>
    <w:p w14:paraId="62146C86" w14:textId="77777777" w:rsidR="00902730" w:rsidRDefault="00902730" w:rsidP="00902730"/>
    <w:p w14:paraId="44944C50" w14:textId="77777777" w:rsidR="00902730" w:rsidRDefault="00902730" w:rsidP="00902730"/>
    <w:p w14:paraId="5F937537" w14:textId="329736B2" w:rsidR="00F735D4" w:rsidRPr="00A406E5" w:rsidRDefault="00F735D4" w:rsidP="00F735D4">
      <w:pPr>
        <w:rPr>
          <w:rFonts w:ascii="Arial" w:hAnsi="Arial" w:cs="Arial"/>
          <w:sz w:val="32"/>
        </w:rPr>
      </w:pPr>
    </w:p>
    <w:p w14:paraId="3704A6D5" w14:textId="77777777" w:rsidR="00F735D4" w:rsidRPr="00A406E5" w:rsidRDefault="00F735D4" w:rsidP="00F735D4">
      <w:pPr>
        <w:rPr>
          <w:rFonts w:ascii="Arial" w:hAnsi="Arial" w:cs="Arial"/>
          <w:sz w:val="32"/>
        </w:rPr>
      </w:pPr>
    </w:p>
    <w:p w14:paraId="488109C7" w14:textId="77777777" w:rsidR="00F735D4" w:rsidRPr="00A406E5" w:rsidRDefault="00F735D4" w:rsidP="00F735D4">
      <w:pPr>
        <w:rPr>
          <w:rFonts w:ascii="Arial" w:hAnsi="Arial" w:cs="Arial"/>
          <w:sz w:val="32"/>
        </w:rPr>
      </w:pPr>
    </w:p>
    <w:p w14:paraId="1960ED50" w14:textId="77777777" w:rsidR="00D10389" w:rsidRPr="00F735D4" w:rsidRDefault="00902730">
      <w:pPr>
        <w:rPr>
          <w:rFonts w:ascii="Arial" w:hAnsi="Arial" w:cs="Arial"/>
          <w:sz w:val="32"/>
        </w:rPr>
      </w:pPr>
    </w:p>
    <w:sectPr w:rsidR="00D10389" w:rsidRPr="00F73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730"/>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F1B6"/>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2730"/>
    <w:pPr>
      <w:spacing w:after="0" w:line="360" w:lineRule="auto"/>
      <w:jc w:val="both"/>
    </w:pPr>
    <w:rPr>
      <w:rFonts w:ascii="Book Antiqua" w:eastAsia="Times New Roman" w:hAnsi="Book Antiqua" w:cs="Times New Roman"/>
      <w:sz w:val="24"/>
      <w:szCs w:val="20"/>
      <w:lang w:eastAsia="en-GB"/>
    </w:rPr>
  </w:style>
  <w:style w:type="paragraph" w:styleId="Heading1">
    <w:name w:val="heading 1"/>
    <w:basedOn w:val="Normal"/>
    <w:next w:val="Normal"/>
    <w:link w:val="Heading1Char"/>
    <w:uiPriority w:val="9"/>
    <w:qFormat/>
    <w:rsid w:val="00902730"/>
    <w:pPr>
      <w:keepNext/>
      <w:keepLines/>
      <w:spacing w:before="240"/>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qFormat/>
    <w:rsid w:val="00F735D4"/>
    <w:pPr>
      <w:keepNext/>
      <w:outlineLvl w:val="1"/>
    </w:pPr>
    <w:rPr>
      <w:b/>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character" w:customStyle="1" w:styleId="Heading1Char">
    <w:name w:val="Heading 1 Char"/>
    <w:basedOn w:val="DefaultParagraphFont"/>
    <w:link w:val="Heading1"/>
    <w:uiPriority w:val="9"/>
    <w:rsid w:val="00902730"/>
    <w:rPr>
      <w:rFonts w:asciiTheme="majorHAnsi" w:eastAsiaTheme="majorEastAsia" w:hAnsiTheme="majorHAnsi" w:cstheme="majorBidi"/>
      <w:color w:val="2E74B5" w:themeColor="accent1" w:themeShade="BF"/>
      <w:sz w:val="32"/>
      <w:szCs w:val="32"/>
    </w:rPr>
  </w:style>
  <w:style w:type="character" w:customStyle="1" w:styleId="normaltextrun">
    <w:name w:val="normaltextrun"/>
    <w:basedOn w:val="DefaultParagraphFont"/>
    <w:rsid w:val="00902730"/>
  </w:style>
  <w:style w:type="paragraph" w:styleId="Title">
    <w:name w:val="Title"/>
    <w:basedOn w:val="Normal"/>
    <w:next w:val="Normal"/>
    <w:link w:val="TitleChar"/>
    <w:uiPriority w:val="10"/>
    <w:qFormat/>
    <w:rsid w:val="00902730"/>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02730"/>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902730"/>
    <w:pPr>
      <w:spacing w:after="160"/>
    </w:pPr>
    <w:rPr>
      <w:rFonts w:eastAsiaTheme="minorHAnsi" w:cstheme="minorBidi"/>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Wil17</b:Tag>
    <b:SourceType>Misc</b:SourceType>
    <b:Guid>{4914286D-86A5-4FDA-8511-33A4C6827E66}</b:Guid>
    <b:Author>
      <b:Author>
        <b:NameList>
          <b:Person>
            <b:Last>Williams</b:Last>
            <b:First>Kirsty</b:First>
          </b:Person>
        </b:NameList>
      </b:Author>
    </b:Author>
    <b:Title>Announcement of further Pioneer Schools focussing on curriculum design and development</b:Title>
    <b:Year>2017</b:Year>
    <b:Publisher>Welsh Assembly Government</b:Publisher>
    <b:City>Cardiff</b:City>
    <b:Month>January</b:Month>
    <b:Day>9</b:Day>
    <b:RefOrder>1</b:RefOrder>
  </b:Source>
  <b:Source>
    <b:Tag>Gra15</b:Tag>
    <b:SourceType>Report</b:SourceType>
    <b:Guid>{662DDCEC-61FC-4CBB-8A6D-9508A809FFC9}</b:Guid>
    <b:Title>Successful Futures</b:Title>
    <b:Year>2015</b:Year>
    <b:Publisher>Welsh Assembly Government</b:Publisher>
    <b:Author>
      <b:Author>
        <b:NameList>
          <b:Person>
            <b:Last>Donaldson</b:Last>
            <b:First>Graham</b:First>
          </b:Person>
        </b:NameList>
      </b:Author>
    </b:Author>
    <b:RefOrder>2</b:RefOrder>
  </b:Source>
  <b:Source>
    <b:Tag>War10</b:Tag>
    <b:SourceType>Book</b:SourceType>
    <b:Guid>{6D521834-70BE-4643-9E06-747217653B0C}</b:Guid>
    <b:Title>Successful Teaching 14-19: Theory, Practiuce and Reflection</b:Title>
    <b:Year>2010</b:Year>
    <b:City>London</b:City>
    <b:Publisher>SAGE Publications</b:Publisher>
    <b:Author>
      <b:Author>
        <b:NameList>
          <b:Person>
            <b:Last>Czerniawski</b:Last>
            <b:First>Gerry</b:First>
            <b:Middle>and Kidd, Warren</b:Middle>
          </b:Person>
        </b:NameList>
      </b:Author>
    </b:Author>
    <b:RefOrder>3</b:RefOrder>
  </b:Source>
  <b:Source>
    <b:Tag>Hwb18</b:Tag>
    <b:SourceType>InternetSite</b:SourceType>
    <b:Guid>{5994110D-8A3B-4409-BEA1-55958D6276CE}</b:Guid>
    <b:Title>Hwb News Twitter</b:Title>
    <b:Year>2018</b:Year>
    <b:Author>
      <b:Author>
        <b:Corporate>Hwb News</b:Corporate>
      </b:Author>
    </b:Author>
    <b:YearAccessed>2018</b:YearAccessed>
    <b:MonthAccessed>11</b:MonthAccessed>
    <b:DayAccessed>01</b:DayAccessed>
    <b:URL>https://twitter.com/HwbNews</b:URL>
    <b:RefOrder>4</b:RefOrder>
  </b:Source>
  <b:Source>
    <b:Tag>Hay10</b:Tag>
    <b:SourceType>BookSection</b:SourceType>
    <b:Guid>{A49AC802-B728-40E8-9BD9-26832249F65C}</b:Guid>
    <b:Author>
      <b:Author>
        <b:NameList>
          <b:Person>
            <b:Last>Haydn</b:Last>
            <b:First>T.</b:First>
          </b:Person>
        </b:NameList>
      </b:Author>
      <b:Editor>
        <b:NameList>
          <b:Person>
            <b:Last>Davies</b:Last>
            <b:First>I.</b:First>
          </b:Person>
        </b:NameList>
      </b:Editor>
    </b:Author>
    <b:Title>Secondary History: Current Themes</b:Title>
    <b:Year>2010</b:Year>
    <b:City>London</b:City>
    <b:Publisher>Routledge</b:Publisher>
    <b:BookTitle>Debates in History Teaching</b:BookTitle>
    <b:Pages>19-30</b:Pages>
    <b:RefOrder>5</b:RefOrder>
  </b:Source>
  <b:Source>
    <b:Tag>IDa17</b:Tag>
    <b:SourceType>DocumentFromInternetSite</b:SourceType>
    <b:Guid>{687513B3-009F-4C6C-B284-ED94A39911BA}</b:Guid>
    <b:Title>Doing History</b:Title>
    <b:Year>2017</b:Year>
    <b:Author>
      <b:Author>
        <b:NameList>
          <b:Person>
            <b:Last>Dawson</b:Last>
            <b:First>I.</b:First>
          </b:Person>
        </b:NameList>
      </b:Author>
    </b:Author>
    <b:YearAccessed>2018</b:YearAccessed>
    <b:MonthAccessed>09</b:MonthAccessed>
    <b:DayAccessed>11</b:DayAccessed>
    <b:URL>http://www.thinkinghistory.co.uk/Issues/DoingHistory.html</b:URL>
    <b:RefOrder>6</b:RefOrder>
  </b:Source>
  <b:Source>
    <b:Tag>Hme04</b:Tag>
    <b:SourceType>JournalArticle</b:SourceType>
    <b:Guid>{76051DA7-BE55-4FC5-B5D9-194CB4B99D96}</b:Guid>
    <b:Title>Problem-Based Learning: What and How Do Students Learn? </b:Title>
    <b:Year>2004</b:Year>
    <b:Author>
      <b:Author>
        <b:NameList>
          <b:Person>
            <b:Last>Hmelo-Silver</b:Last>
            <b:First>C.E.</b:First>
          </b:Person>
        </b:NameList>
      </b:Author>
    </b:Author>
    <b:JournalName>Educational Psychology Review</b:JournalName>
    <b:Pages>235-266</b:Pages>
    <b:Volume>16</b:Volume>
    <b:Issue>3</b:Issue>
    <b:RefOrder>7</b:RefOrder>
  </b:Source>
  <b:Source>
    <b:Tag>YrA08</b:Tag>
    <b:SourceType>Report</b:SourceType>
    <b:Guid>{72BB5433-B78C-4DF1-9195-7DEA3105CDDE}</b:Guid>
    <b:Title>History in the National Curriculum for Wales: Key Stages 2-3</b:Title>
    <b:Year>2008</b:Year>
    <b:Author>
      <b:Author>
        <b:Corporate>Yr Adran Plant, Addysg, Dysgu Gydol Oes a Sgiliau Department for Children, Education, Lifelong Learning and Skills</b:Corporate>
      </b:Author>
    </b:Author>
    <b:Publisher>Welsh Assembly Government</b:Publisher>
    <b:City>Cardiff</b:City>
    <b:RefOrder>8</b:RefOrder>
  </b:Source>
</b:Sources>
</file>

<file path=customXml/itemProps1.xml><?xml version="1.0" encoding="utf-8"?>
<ds:datastoreItem xmlns:ds="http://schemas.openxmlformats.org/officeDocument/2006/customXml" ds:itemID="{06F218C3-94BA-4BD9-864D-BC14E079B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3864</Words>
  <Characters>22030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Neil Howe (1800194)</cp:lastModifiedBy>
  <cp:revision>2</cp:revision>
  <dcterms:created xsi:type="dcterms:W3CDTF">2018-11-19T17:03:00Z</dcterms:created>
  <dcterms:modified xsi:type="dcterms:W3CDTF">2018-11-19T17:03:00Z</dcterms:modified>
</cp:coreProperties>
</file>