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B44" w:rsidRPr="00985212" w:rsidRDefault="00657B44" w:rsidP="00985212">
      <w:pPr>
        <w:spacing w:before="100" w:beforeAutospacing="1" w:after="100" w:afterAutospacing="1" w:line="360" w:lineRule="auto"/>
        <w:outlineLvl w:val="1"/>
        <w:rPr>
          <w:rFonts w:ascii="Arial" w:hAnsi="Arial" w:cs="Arial"/>
          <w:b/>
        </w:rPr>
      </w:pPr>
      <w:r w:rsidRPr="00985212">
        <w:rPr>
          <w:rFonts w:ascii="Arial" w:hAnsi="Arial" w:cs="Arial"/>
          <w:b/>
        </w:rPr>
        <w:t xml:space="preserve">Stroke: </w:t>
      </w:r>
      <w:r w:rsidRPr="00985212">
        <w:rPr>
          <w:rFonts w:ascii="Arial" w:hAnsi="Arial" w:cs="Arial"/>
          <w:b/>
          <w:i/>
        </w:rPr>
        <w:t>A Public Health Perspective</w:t>
      </w:r>
    </w:p>
    <w:p w:rsidR="008C6B4C" w:rsidRPr="00985212" w:rsidRDefault="008C6B4C" w:rsidP="00985212">
      <w:pPr>
        <w:spacing w:before="100" w:beforeAutospacing="1" w:after="100" w:afterAutospacing="1" w:line="360" w:lineRule="auto"/>
        <w:outlineLvl w:val="1"/>
        <w:rPr>
          <w:rFonts w:ascii="Arial" w:eastAsia="Times New Roman" w:hAnsi="Arial" w:cs="Arial"/>
          <w:b/>
          <w:bCs/>
          <w:kern w:val="0"/>
          <w:u w:val="single"/>
          <w:lang w:eastAsia="en-GB"/>
          <w14:ligatures w14:val="none"/>
        </w:rPr>
      </w:pPr>
      <w:r w:rsidRPr="00985212">
        <w:rPr>
          <w:rFonts w:ascii="Arial" w:eastAsia="Times New Roman" w:hAnsi="Arial" w:cs="Arial"/>
          <w:b/>
          <w:bCs/>
          <w:kern w:val="0"/>
          <w:u w:val="single"/>
          <w:lang w:eastAsia="en-GB"/>
          <w14:ligatures w14:val="none"/>
        </w:rPr>
        <w:t>Introduction</w:t>
      </w:r>
    </w:p>
    <w:p w:rsidR="00016C15" w:rsidRPr="00985212" w:rsidRDefault="00016C15" w:rsidP="00985212">
      <w:pPr>
        <w:spacing w:before="100" w:beforeAutospacing="1" w:after="100" w:afterAutospacing="1" w:line="360" w:lineRule="auto"/>
        <w:outlineLvl w:val="1"/>
        <w:rPr>
          <w:rFonts w:ascii="Arial" w:hAnsi="Arial" w:cs="Arial"/>
        </w:rPr>
      </w:pPr>
      <w:r w:rsidRPr="00985212">
        <w:rPr>
          <w:rFonts w:ascii="Arial" w:hAnsi="Arial" w:cs="Arial"/>
        </w:rPr>
        <w:t>Stroke is a serious medical condition that occurs when blood supply to part of the brain is disrupted, leading to damage or death of brain cells. The condition can occur due to blockage of blood vessels supplying the brain, known as an ischaemic stroke, or bleeding in the brain, referred to as a haemorrhagic stroke. Ischaemic strokes account for approximately 85% of stroke cases, while haemorrhagic strokes occur less frequently but are associated with higher mortality. Common symptoms include sudden weakness on one side of the body, difficulty speaking, visual disturbances and loss of coordination. Because stroke can occur suddenly and progress rapidly, early recognition of symptoms and prompt treatment are essential for improving survival and reducing long-term disability. Stroke can result in disability or death and therefore represents a significant public health concern.</w:t>
      </w:r>
    </w:p>
    <w:p w:rsidR="000A3DF0" w:rsidRPr="00985212" w:rsidRDefault="00AD72A3" w:rsidP="00985212">
      <w:pPr>
        <w:spacing w:before="120" w:after="120" w:line="360" w:lineRule="auto"/>
        <w:outlineLvl w:val="1"/>
        <w:rPr>
          <w:rFonts w:ascii="Arial" w:eastAsia="Times New Roman" w:hAnsi="Arial" w:cs="Arial"/>
          <w:bCs/>
          <w:kern w:val="0"/>
          <w:lang w:eastAsia="en-GB"/>
          <w14:ligatures w14:val="none"/>
        </w:rPr>
      </w:pPr>
      <w:r>
        <w:rPr>
          <w:rFonts w:ascii="Arial" w:eastAsia="Times New Roman" w:hAnsi="Arial" w:cs="Arial"/>
          <w:bCs/>
          <w:kern w:val="0"/>
          <w:lang w:eastAsia="en-GB"/>
          <w14:ligatures w14:val="none"/>
        </w:rPr>
        <w:t>Stroke is recognis</w:t>
      </w:r>
      <w:r w:rsidR="000A3DF0" w:rsidRPr="00985212">
        <w:rPr>
          <w:rFonts w:ascii="Arial" w:eastAsia="Times New Roman" w:hAnsi="Arial" w:cs="Arial"/>
          <w:bCs/>
          <w:kern w:val="0"/>
          <w:lang w:eastAsia="en-GB"/>
          <w14:ligatures w14:val="none"/>
        </w:rPr>
        <w:t>ed as a leading cause of mortality and disability worldwide (</w:t>
      </w:r>
      <w:proofErr w:type="spellStart"/>
      <w:r w:rsidR="000A3DF0" w:rsidRPr="00985212">
        <w:rPr>
          <w:rFonts w:ascii="Arial" w:eastAsia="Times New Roman" w:hAnsi="Arial" w:cs="Arial"/>
          <w:bCs/>
          <w:kern w:val="0"/>
          <w:lang w:eastAsia="en-GB"/>
          <w14:ligatures w14:val="none"/>
        </w:rPr>
        <w:t>Donkor</w:t>
      </w:r>
      <w:proofErr w:type="spellEnd"/>
      <w:r w:rsidR="000A3DF0" w:rsidRPr="00985212">
        <w:rPr>
          <w:rFonts w:ascii="Arial" w:eastAsia="Times New Roman" w:hAnsi="Arial" w:cs="Arial"/>
          <w:bCs/>
          <w:kern w:val="0"/>
          <w:lang w:eastAsia="en-GB"/>
          <w14:ligatures w14:val="none"/>
        </w:rPr>
        <w:t xml:space="preserve">, 2018). </w:t>
      </w:r>
      <w:proofErr w:type="spellStart"/>
      <w:r w:rsidR="000A3DF0" w:rsidRPr="00985212">
        <w:rPr>
          <w:rFonts w:ascii="Arial" w:eastAsia="Times New Roman" w:hAnsi="Arial" w:cs="Arial"/>
          <w:bCs/>
          <w:kern w:val="0"/>
          <w:lang w:eastAsia="en-GB"/>
          <w14:ligatures w14:val="none"/>
        </w:rPr>
        <w:t>Feigin</w:t>
      </w:r>
      <w:proofErr w:type="spellEnd"/>
      <w:r w:rsidR="000A3DF0" w:rsidRPr="00985212">
        <w:rPr>
          <w:rFonts w:ascii="Arial" w:eastAsia="Times New Roman" w:hAnsi="Arial" w:cs="Arial"/>
          <w:bCs/>
          <w:kern w:val="0"/>
          <w:lang w:eastAsia="en-GB"/>
          <w14:ligatures w14:val="none"/>
        </w:rPr>
        <w:t xml:space="preserve"> et al. (2025) report that stroke constitutes a substantial global health burden, affecting millions of individuals annually and contributing significantly to both deaths and long-term disability. In the United Kingdom, stroke remains a major public health concern. Data indicate that approximately 80,000 to 90,000 individuals experience a stroke each year in England, with around 32,000 stroke-related deaths annually (Marshall et al., 2022). Additionally, nearly one million people in England live with the long-term effects of stroke, underscoring the persistent burden on individuals, families, and healthcare systems. These statistics illustrate the considerable strain stroke places on health and social care services, primarily due to the extensive rehabilitation and support required by survivors. Consequently, stroke prevention and management are key priorities in public health policy and NHS service planning.</w:t>
      </w:r>
    </w:p>
    <w:p w:rsidR="00F82C6F" w:rsidRPr="00985212" w:rsidRDefault="00F82C6F" w:rsidP="00985212">
      <w:pPr>
        <w:spacing w:before="100" w:beforeAutospacing="1" w:after="100" w:afterAutospacing="1" w:line="360" w:lineRule="auto"/>
        <w:outlineLvl w:val="1"/>
        <w:rPr>
          <w:rFonts w:ascii="Arial" w:hAnsi="Arial" w:cs="Arial"/>
        </w:rPr>
      </w:pPr>
      <w:r w:rsidRPr="00985212">
        <w:rPr>
          <w:rFonts w:ascii="Arial" w:hAnsi="Arial" w:cs="Arial"/>
        </w:rPr>
        <w:t xml:space="preserve">The consequences of stroke extend beyond mortality and disability, with the economic burden also substantial. It is estimated that stroke costs the </w:t>
      </w:r>
      <w:r w:rsidR="00016C15" w:rsidRPr="00985212">
        <w:rPr>
          <w:rFonts w:ascii="Arial" w:hAnsi="Arial" w:cs="Arial"/>
        </w:rPr>
        <w:t>UK</w:t>
      </w:r>
      <w:r w:rsidRPr="00985212">
        <w:rPr>
          <w:rFonts w:ascii="Arial" w:hAnsi="Arial" w:cs="Arial"/>
        </w:rPr>
        <w:t xml:space="preserve"> approximately £25.6 billion annually, reflecting healthcare costs, social care expenditure and productivity losses (Marshall et al., 2022). This financial impact places significant pressure on healthcare systems and highlights the importance of effective prevention and management strategies. Due to the significant health, social and economic impacts of stroke, it remains an important priority for public health policy and interventions aimed at reducing incidence and improving patient outcomes. This report examines approaches used to monitor stroke, strategies for prevention and control, the impact on individuals and communities, and health and social care services required to support those affected.</w:t>
      </w:r>
    </w:p>
    <w:p w:rsidR="008C6B4C" w:rsidRPr="00985212" w:rsidRDefault="00657B44" w:rsidP="00985212">
      <w:pPr>
        <w:spacing w:before="100" w:beforeAutospacing="1" w:after="100" w:afterAutospacing="1" w:line="360" w:lineRule="auto"/>
        <w:outlineLvl w:val="1"/>
        <w:rPr>
          <w:rFonts w:ascii="Arial" w:eastAsia="Times New Roman" w:hAnsi="Arial" w:cs="Arial"/>
          <w:b/>
          <w:bCs/>
          <w:kern w:val="0"/>
          <w:u w:val="single"/>
          <w:lang w:eastAsia="en-GB"/>
          <w14:ligatures w14:val="none"/>
        </w:rPr>
      </w:pPr>
      <w:r w:rsidRPr="00985212">
        <w:rPr>
          <w:rFonts w:ascii="Arial" w:hAnsi="Arial" w:cs="Arial"/>
          <w:b/>
          <w:u w:val="single"/>
        </w:rPr>
        <w:lastRenderedPageBreak/>
        <w:t>Disease Surveillance and Monitoring Systems</w:t>
      </w:r>
    </w:p>
    <w:p w:rsidR="00F82C6F" w:rsidRPr="00985212" w:rsidRDefault="00F82C6F" w:rsidP="00985212">
      <w:pPr>
        <w:spacing w:before="100" w:beforeAutospacing="1" w:after="100" w:afterAutospacing="1" w:line="360" w:lineRule="auto"/>
        <w:rPr>
          <w:rFonts w:ascii="Arial" w:hAnsi="Arial" w:cs="Arial"/>
        </w:rPr>
      </w:pPr>
      <w:r w:rsidRPr="00985212">
        <w:rPr>
          <w:rFonts w:ascii="Arial" w:hAnsi="Arial" w:cs="Arial"/>
        </w:rPr>
        <w:t>Monitoring stroke is an essential aspect of public health practice as it enables authorities to track disease patterns, identify high-risk populations and evaluate prevention strategies. Surveillance systems collect and analyse data on stroke incidence, mortality and treatment outcomes, providing information for healthcare planning and policy development. According to Goff et al. (2007), effective surveillance systems are essential for monitoring cardiovascular diseases and supporting targeted prevention and management strategies. These systems therefore play a key role in informing public health policies and guiding resource allocation within healthcare systems.</w:t>
      </w:r>
    </w:p>
    <w:p w:rsidR="000A3DF0" w:rsidRPr="00985212" w:rsidRDefault="000A3DF0" w:rsidP="00985212">
      <w:pPr>
        <w:spacing w:before="100" w:beforeAutospacing="1" w:after="100" w:afterAutospacing="1" w:line="360" w:lineRule="auto"/>
        <w:rPr>
          <w:rFonts w:ascii="Arial" w:eastAsia="Times New Roman" w:hAnsi="Arial" w:cs="Arial"/>
          <w:kern w:val="0"/>
          <w:lang w:eastAsia="en-GB"/>
          <w14:ligatures w14:val="none"/>
        </w:rPr>
      </w:pPr>
      <w:r w:rsidRPr="00985212">
        <w:rPr>
          <w:rFonts w:ascii="Arial" w:eastAsia="Times New Roman" w:hAnsi="Arial" w:cs="Arial"/>
          <w:kern w:val="0"/>
          <w:lang w:eastAsia="en-GB"/>
          <w14:ligatures w14:val="none"/>
        </w:rPr>
        <w:t>Globally, monitoring stroke trends enables researchers and policymakers to understand disease distribution and identify regional disparities in incidence and outcomes. Johnson et al. (2016) highlight the necessity of enhanced global surveillance and monitoring systems to strengthen international responses to stroke and other cardiovascular diseases.</w:t>
      </w:r>
    </w:p>
    <w:p w:rsidR="00A90E2F" w:rsidRPr="00985212" w:rsidRDefault="00A90E2F" w:rsidP="00985212">
      <w:pPr>
        <w:spacing w:before="100" w:beforeAutospacing="1" w:after="100" w:afterAutospacing="1" w:line="360" w:lineRule="auto"/>
        <w:rPr>
          <w:rFonts w:ascii="Arial" w:hAnsi="Arial" w:cs="Arial"/>
        </w:rPr>
      </w:pPr>
      <w:r w:rsidRPr="00985212">
        <w:rPr>
          <w:rFonts w:ascii="Arial" w:hAnsi="Arial" w:cs="Arial"/>
        </w:rPr>
        <w:t>In the United Kingdom, stroke monitoring is supported through national programmes such as the Sentinel Stroke National Audit Programme (SSNAP), which collects data on stroke treatment, patient outcomes and healthcare performance across hospitals. The data collected through SSNAP allows healthcare providers and policymakers to evaluate the quality and effectiveness of stroke services across different regions. This information can help identify variations in treatment outcomes and highlight areas where improvements to stroke care may be required. These monitoring systems therefore provide valuable evidence for improving clinical practice and supporting decision-making within the NHS (National Guideline Centre &amp; SSNAP, 2016).</w:t>
      </w:r>
    </w:p>
    <w:p w:rsidR="000A3DF0" w:rsidRPr="00985212" w:rsidRDefault="000A3DF0" w:rsidP="00985212">
      <w:pPr>
        <w:spacing w:before="100" w:beforeAutospacing="1" w:after="100" w:afterAutospacing="1" w:line="360" w:lineRule="auto"/>
        <w:rPr>
          <w:rFonts w:ascii="Arial" w:eastAsia="Times New Roman" w:hAnsi="Arial" w:cs="Arial"/>
          <w:kern w:val="0"/>
          <w:lang w:eastAsia="en-GB"/>
          <w14:ligatures w14:val="none"/>
        </w:rPr>
      </w:pPr>
      <w:r w:rsidRPr="00985212">
        <w:rPr>
          <w:rFonts w:ascii="Arial" w:eastAsia="Times New Roman" w:hAnsi="Arial" w:cs="Arial"/>
          <w:kern w:val="0"/>
          <w:lang w:eastAsia="en-GB"/>
          <w14:ligatures w14:val="none"/>
        </w:rPr>
        <w:t>Monitoring data also reveal the risk of stroke recurrence. Research shows that approximately 7% of stroke patients experience a recurrent event within one year, and 16% within five years, underscoring the importance of long-term monitoring and preventive care after an initial stroke (Marshall et al., 2022). Ongoing surveillance is therefore essential for supporting effective public health responses and improving long-term outcomes.</w:t>
      </w:r>
    </w:p>
    <w:p w:rsidR="002D7FD6" w:rsidRPr="00985212" w:rsidRDefault="002D7FD6" w:rsidP="00985212">
      <w:pPr>
        <w:spacing w:before="100" w:beforeAutospacing="1" w:after="100" w:afterAutospacing="1" w:line="360" w:lineRule="auto"/>
        <w:rPr>
          <w:rFonts w:ascii="Arial" w:eastAsia="Times New Roman" w:hAnsi="Arial" w:cs="Arial"/>
          <w:kern w:val="0"/>
          <w:lang w:eastAsia="en-GB"/>
          <w14:ligatures w14:val="none"/>
        </w:rPr>
      </w:pPr>
      <w:r w:rsidRPr="00985212">
        <w:rPr>
          <w:rFonts w:ascii="Arial" w:hAnsi="Arial" w:cs="Arial"/>
        </w:rPr>
        <w:t>However, surveillance systems may also face limitations. For example, variations in data reporting between healthcare providers or delays in data collection may affect the accuracy and timeliness of monitoring results. Despite these challenges, national audit programmes remain essential tools for guiding public health policy and improving stroke services.</w:t>
      </w:r>
    </w:p>
    <w:p w:rsidR="00657B44" w:rsidRPr="00985212" w:rsidRDefault="00657B44" w:rsidP="00985212">
      <w:pPr>
        <w:spacing w:before="100" w:beforeAutospacing="1" w:after="100" w:afterAutospacing="1" w:line="360" w:lineRule="auto"/>
        <w:rPr>
          <w:rFonts w:ascii="Arial" w:hAnsi="Arial" w:cs="Arial"/>
          <w:b/>
          <w:u w:val="single"/>
        </w:rPr>
      </w:pPr>
      <w:r w:rsidRPr="00985212">
        <w:rPr>
          <w:rFonts w:ascii="Arial" w:hAnsi="Arial" w:cs="Arial"/>
          <w:b/>
          <w:u w:val="single"/>
        </w:rPr>
        <w:t>Prevention and Control Strategies</w:t>
      </w:r>
    </w:p>
    <w:p w:rsidR="00985212" w:rsidRPr="00985212" w:rsidRDefault="00985212" w:rsidP="00985212">
      <w:pPr>
        <w:spacing w:before="100" w:beforeAutospacing="1" w:after="100" w:afterAutospacing="1" w:line="360" w:lineRule="auto"/>
        <w:rPr>
          <w:rFonts w:ascii="Arial" w:eastAsia="Times New Roman" w:hAnsi="Arial" w:cs="Arial"/>
          <w:kern w:val="0"/>
          <w:lang w:eastAsia="en-GB"/>
          <w14:ligatures w14:val="none"/>
        </w:rPr>
      </w:pPr>
      <w:r w:rsidRPr="00985212">
        <w:rPr>
          <w:rFonts w:ascii="Arial" w:eastAsia="Times New Roman" w:hAnsi="Arial" w:cs="Arial"/>
          <w:kern w:val="0"/>
          <w:lang w:eastAsia="en-GB"/>
          <w14:ligatures w14:val="none"/>
        </w:rPr>
        <w:lastRenderedPageBreak/>
        <w:t>Controlling stroke requires a combination of preventative strategies, early medical intervention and long-term risk management. Public health approaches primarily focus on addressing the modifiable risk factors associated with stroke. Evidence suggests that up to 90% of stroke cases are attributable to modifiable risk factors, including hypertension, smoking, poor diet, physical inactivity and excessive alcohol consumption (Marshall et al., 2022). Addressing these factors through targeted public health initiatives can significantly reduce the overall burden of stroke.</w:t>
      </w:r>
    </w:p>
    <w:p w:rsidR="00985212" w:rsidRPr="00985212" w:rsidRDefault="00985212" w:rsidP="00985212">
      <w:pPr>
        <w:spacing w:before="100" w:beforeAutospacing="1" w:after="100" w:afterAutospacing="1" w:line="360" w:lineRule="auto"/>
        <w:rPr>
          <w:rFonts w:ascii="Arial" w:eastAsia="Times New Roman" w:hAnsi="Arial" w:cs="Arial"/>
          <w:kern w:val="0"/>
          <w:lang w:eastAsia="en-GB"/>
          <w14:ligatures w14:val="none"/>
        </w:rPr>
      </w:pPr>
      <w:r w:rsidRPr="00985212">
        <w:rPr>
          <w:rFonts w:ascii="Arial" w:eastAsia="Times New Roman" w:hAnsi="Arial" w:cs="Arial"/>
          <w:kern w:val="0"/>
          <w:lang w:eastAsia="en-GB"/>
          <w14:ligatures w14:val="none"/>
        </w:rPr>
        <w:t>Public health campaigns aimed at promoting healthier lifestyles and increasing awareness of cardiovascular risk factors are therefore central to stroke prevention efforts. According to Johnson et al. (2016), strengthening prevention programmes and improving population awareness are essential components in reducing the global burden of stroke and other cardiovascular diseases.</w:t>
      </w:r>
    </w:p>
    <w:p w:rsidR="00985212" w:rsidRPr="00985212" w:rsidRDefault="00985212" w:rsidP="00985212">
      <w:pPr>
        <w:spacing w:before="100" w:beforeAutospacing="1" w:after="100" w:afterAutospacing="1" w:line="360" w:lineRule="auto"/>
        <w:rPr>
          <w:rFonts w:ascii="Arial" w:eastAsia="Times New Roman" w:hAnsi="Arial" w:cs="Arial"/>
          <w:kern w:val="0"/>
          <w:lang w:eastAsia="en-GB"/>
          <w14:ligatures w14:val="none"/>
        </w:rPr>
      </w:pPr>
      <w:r w:rsidRPr="00985212">
        <w:rPr>
          <w:rFonts w:ascii="Arial" w:eastAsia="Times New Roman" w:hAnsi="Arial" w:cs="Arial"/>
          <w:kern w:val="0"/>
          <w:lang w:eastAsia="en-GB"/>
          <w14:ligatures w14:val="none"/>
        </w:rPr>
        <w:t>Early medical intervention also plays a critical role in stroke control. Rapid diagnosis and timely access to specialised stroke care can significantly improve survival rates and reduce long-term disability. Advances in medical treatment, including thrombolysis and mechanical thrombectomy, have improved outcomes for many stroke patients when treatment is delivered quickly following symptom onset (Marshall et al., 2022).</w:t>
      </w:r>
    </w:p>
    <w:p w:rsidR="00985212" w:rsidRPr="00985212" w:rsidRDefault="00985212" w:rsidP="00985212">
      <w:pPr>
        <w:spacing w:before="100" w:beforeAutospacing="1" w:after="100" w:afterAutospacing="1" w:line="360" w:lineRule="auto"/>
        <w:rPr>
          <w:rFonts w:ascii="Arial" w:eastAsia="Times New Roman" w:hAnsi="Arial" w:cs="Arial"/>
          <w:kern w:val="0"/>
          <w:lang w:eastAsia="en-GB"/>
          <w14:ligatures w14:val="none"/>
        </w:rPr>
      </w:pPr>
      <w:r w:rsidRPr="00985212">
        <w:rPr>
          <w:rFonts w:ascii="Arial" w:eastAsia="Times New Roman" w:hAnsi="Arial" w:cs="Arial"/>
          <w:kern w:val="0"/>
          <w:lang w:eastAsia="en-GB"/>
          <w14:ligatures w14:val="none"/>
        </w:rPr>
        <w:t xml:space="preserve">However, the effectiveness of stroke prevention and treatment strategies may be influenced by wider social determinants of health. Individuals living in deprived communities often face greater exposure to risk factors such as smoking, unhealthy diets and limited access to healthcare services. Addressing these inequalities is therefore an important component of effective stroke control and prevention. </w:t>
      </w:r>
      <w:r w:rsidRPr="00985212">
        <w:rPr>
          <w:rFonts w:ascii="Arial" w:eastAsia="Times New Roman" w:hAnsi="Arial" w:cs="Arial"/>
          <w:bCs/>
          <w:kern w:val="0"/>
          <w:lang w:eastAsia="en-GB"/>
          <w14:ligatures w14:val="none"/>
        </w:rPr>
        <w:t>Furthermore, improving early recognition of stroke symptoms is essential for reducing mortality and disability. Public awareness campaigns such as the FAST (Face, Arms, Speech, Time) initiative encourage individuals to recognise symptoms quickly and seek immediate medical attention.</w:t>
      </w:r>
    </w:p>
    <w:p w:rsidR="00657B44" w:rsidRPr="00985212" w:rsidRDefault="00657B44" w:rsidP="00985212">
      <w:pPr>
        <w:spacing w:before="100" w:beforeAutospacing="1" w:after="100" w:afterAutospacing="1" w:line="360" w:lineRule="auto"/>
        <w:rPr>
          <w:rFonts w:ascii="Arial" w:hAnsi="Arial" w:cs="Arial"/>
          <w:b/>
          <w:u w:val="single"/>
        </w:rPr>
      </w:pPr>
      <w:r w:rsidRPr="00985212">
        <w:rPr>
          <w:rFonts w:ascii="Arial" w:hAnsi="Arial" w:cs="Arial"/>
          <w:b/>
          <w:u w:val="single"/>
        </w:rPr>
        <w:t>Social and Community Impact of Stroke</w:t>
      </w:r>
    </w:p>
    <w:p w:rsidR="008C6B4C" w:rsidRPr="00985212" w:rsidRDefault="008C6B4C" w:rsidP="00985212">
      <w:pPr>
        <w:spacing w:before="100" w:beforeAutospacing="1" w:after="100" w:afterAutospacing="1" w:line="360" w:lineRule="auto"/>
        <w:rPr>
          <w:rFonts w:ascii="Arial" w:eastAsia="Times New Roman" w:hAnsi="Arial" w:cs="Arial"/>
          <w:kern w:val="0"/>
          <w:lang w:eastAsia="en-GB"/>
          <w14:ligatures w14:val="none"/>
        </w:rPr>
      </w:pPr>
      <w:r w:rsidRPr="00985212">
        <w:rPr>
          <w:rFonts w:ascii="Arial" w:eastAsia="Times New Roman" w:hAnsi="Arial" w:cs="Arial"/>
          <w:kern w:val="0"/>
          <w:lang w:eastAsia="en-GB"/>
          <w14:ligatures w14:val="none"/>
        </w:rPr>
        <w:t>Stroke has significant consequences for individuals, families and wider communities. From a health</w:t>
      </w:r>
      <w:r w:rsidR="000A621E" w:rsidRPr="00985212">
        <w:rPr>
          <w:rFonts w:ascii="Arial" w:eastAsia="Times New Roman" w:hAnsi="Arial" w:cs="Arial"/>
          <w:kern w:val="0"/>
          <w:lang w:eastAsia="en-GB"/>
          <w14:ligatures w14:val="none"/>
        </w:rPr>
        <w:t>care</w:t>
      </w:r>
      <w:r w:rsidRPr="00985212">
        <w:rPr>
          <w:rFonts w:ascii="Arial" w:eastAsia="Times New Roman" w:hAnsi="Arial" w:cs="Arial"/>
          <w:kern w:val="0"/>
          <w:lang w:eastAsia="en-GB"/>
          <w14:ligatures w14:val="none"/>
        </w:rPr>
        <w:t xml:space="preserve"> perspective, stroke is one of the leading causes of long-term disability worldwide. Many stroke survivors experience persistent physical impairments such as paralysis, mobility difficulties and speech problems, which can significantly affect their ability to perform everyday activities.</w:t>
      </w:r>
    </w:p>
    <w:p w:rsidR="008C6B4C" w:rsidRPr="00985212" w:rsidRDefault="008C6B4C" w:rsidP="00985212">
      <w:pPr>
        <w:spacing w:before="100" w:beforeAutospacing="1" w:after="100" w:afterAutospacing="1" w:line="360" w:lineRule="auto"/>
        <w:rPr>
          <w:rFonts w:ascii="Arial" w:eastAsia="Times New Roman" w:hAnsi="Arial" w:cs="Arial"/>
          <w:kern w:val="0"/>
          <w:lang w:eastAsia="en-GB"/>
          <w14:ligatures w14:val="none"/>
        </w:rPr>
      </w:pPr>
      <w:r w:rsidRPr="00985212">
        <w:rPr>
          <w:rFonts w:ascii="Arial" w:eastAsia="Times New Roman" w:hAnsi="Arial" w:cs="Arial"/>
          <w:kern w:val="0"/>
          <w:lang w:eastAsia="en-GB"/>
          <w14:ligatures w14:val="none"/>
        </w:rPr>
        <w:lastRenderedPageBreak/>
        <w:t>In addition to physical disability, stroke may also lead to cognitive and psychological difficulties. Graber et al. (2019) highlight that stroke survivors frequently experience psychological challenges including depression, anxiety and reduced social participation. These psychological effects can negatively impact an individual’s quality of life and may hinder recovery and rehabilitation.</w:t>
      </w:r>
    </w:p>
    <w:p w:rsidR="000B152B" w:rsidRPr="00985212" w:rsidRDefault="000B152B" w:rsidP="00985212">
      <w:pPr>
        <w:spacing w:before="100" w:beforeAutospacing="1" w:after="100" w:afterAutospacing="1" w:line="360" w:lineRule="auto"/>
        <w:rPr>
          <w:rFonts w:ascii="Arial" w:hAnsi="Arial" w:cs="Arial"/>
        </w:rPr>
      </w:pPr>
      <w:r w:rsidRPr="00985212">
        <w:rPr>
          <w:rFonts w:ascii="Arial" w:hAnsi="Arial" w:cs="Arial"/>
        </w:rPr>
        <w:t xml:space="preserve">The effects of stroke extend to families and caregivers, who often assume caregiving responsibilities that result in emotional strain and financial pressures. At the societal level, stroke contributes to significant healthcare and social care costs due to the demand for long-term treatment and rehabilitation. With an ageing population, the incidence and prevalence of stroke are </w:t>
      </w:r>
      <w:r w:rsidRPr="00985212">
        <w:rPr>
          <w:rFonts w:ascii="Arial" w:hAnsi="Arial" w:cs="Arial"/>
          <w:bCs/>
        </w:rPr>
        <w:t xml:space="preserve">projected to </w:t>
      </w:r>
      <w:proofErr w:type="gramStart"/>
      <w:r w:rsidRPr="00985212">
        <w:rPr>
          <w:rFonts w:ascii="Arial" w:hAnsi="Arial" w:cs="Arial"/>
          <w:bCs/>
        </w:rPr>
        <w:t>rise,</w:t>
      </w:r>
      <w:proofErr w:type="gramEnd"/>
      <w:r w:rsidRPr="00985212">
        <w:rPr>
          <w:rFonts w:ascii="Arial" w:hAnsi="Arial" w:cs="Arial"/>
          <w:bCs/>
        </w:rPr>
        <w:t xml:space="preserve"> further increasing</w:t>
      </w:r>
      <w:r w:rsidRPr="00985212">
        <w:rPr>
          <w:rFonts w:ascii="Arial" w:hAnsi="Arial" w:cs="Arial"/>
        </w:rPr>
        <w:t xml:space="preserve"> pressure on healthcare systems and social support services (King et al., 2020).</w:t>
      </w:r>
    </w:p>
    <w:p w:rsidR="00657B44" w:rsidRPr="00985212" w:rsidRDefault="00657B44" w:rsidP="00985212">
      <w:pPr>
        <w:spacing w:before="100" w:beforeAutospacing="1" w:after="100" w:afterAutospacing="1" w:line="360" w:lineRule="auto"/>
        <w:rPr>
          <w:rFonts w:ascii="Arial" w:hAnsi="Arial" w:cs="Arial"/>
          <w:b/>
          <w:u w:val="single"/>
        </w:rPr>
      </w:pPr>
      <w:r w:rsidRPr="00985212">
        <w:rPr>
          <w:rFonts w:ascii="Arial" w:hAnsi="Arial" w:cs="Arial"/>
          <w:b/>
          <w:u w:val="single"/>
        </w:rPr>
        <w:t>Health and Social Care Provision for Stroke Survivors</w:t>
      </w:r>
    </w:p>
    <w:p w:rsidR="00F82C6F" w:rsidRPr="00985212" w:rsidRDefault="00F82C6F" w:rsidP="00985212">
      <w:pPr>
        <w:spacing w:before="100" w:beforeAutospacing="1" w:after="100" w:afterAutospacing="1" w:line="360" w:lineRule="auto"/>
        <w:rPr>
          <w:rFonts w:ascii="Arial" w:hAnsi="Arial" w:cs="Arial"/>
        </w:rPr>
      </w:pPr>
      <w:r w:rsidRPr="00985212">
        <w:rPr>
          <w:rFonts w:ascii="Arial" w:hAnsi="Arial" w:cs="Arial"/>
        </w:rPr>
        <w:t>Individuals affected by stroke often require ongoing support from healthcare and social care services to achieve optimal recovery and maintain quality of life. Following emergency treatment, many stroke survivors require rehabilitation to regain physical abilities and improve independence. Rehabilitation services include physiotherapy, occupational therapy and speech and language therapy</w:t>
      </w:r>
      <w:r w:rsidR="000B152B" w:rsidRPr="00985212">
        <w:rPr>
          <w:rFonts w:ascii="Arial" w:hAnsi="Arial" w:cs="Arial"/>
        </w:rPr>
        <w:t>.</w:t>
      </w:r>
    </w:p>
    <w:p w:rsidR="00CC3EF5" w:rsidRPr="00985212" w:rsidRDefault="00F82C6F" w:rsidP="00985212">
      <w:pPr>
        <w:spacing w:before="100" w:beforeAutospacing="1" w:after="100" w:afterAutospacing="1" w:line="360" w:lineRule="auto"/>
        <w:rPr>
          <w:rFonts w:ascii="Arial" w:eastAsia="Times New Roman" w:hAnsi="Arial" w:cs="Arial"/>
          <w:kern w:val="0"/>
          <w:lang w:eastAsia="en-GB"/>
          <w14:ligatures w14:val="none"/>
        </w:rPr>
      </w:pPr>
      <w:r w:rsidRPr="00985212">
        <w:rPr>
          <w:rFonts w:ascii="Arial" w:eastAsia="Times New Roman" w:hAnsi="Arial" w:cs="Arial"/>
          <w:kern w:val="0"/>
          <w:lang w:eastAsia="en-GB"/>
          <w14:ligatures w14:val="none"/>
        </w:rPr>
        <w:t xml:space="preserve">Specialist stroke units play an important role in delivering coordinated stroke care. Evidence </w:t>
      </w:r>
      <w:r w:rsidR="00CC3EF5" w:rsidRPr="00985212">
        <w:rPr>
          <w:rFonts w:ascii="Arial" w:eastAsia="Times New Roman" w:hAnsi="Arial" w:cs="Arial"/>
          <w:kern w:val="0"/>
          <w:lang w:eastAsia="en-GB"/>
          <w14:ligatures w14:val="none"/>
        </w:rPr>
        <w:t>shows</w:t>
      </w:r>
      <w:r w:rsidRPr="00985212">
        <w:rPr>
          <w:rFonts w:ascii="Arial" w:eastAsia="Times New Roman" w:hAnsi="Arial" w:cs="Arial"/>
          <w:kern w:val="0"/>
          <w:lang w:eastAsia="en-GB"/>
          <w14:ligatures w14:val="none"/>
        </w:rPr>
        <w:t xml:space="preserve"> that treatment within specialist stroke units improves patient outcomes and reduces mortality by providing multidisciplinary care and early rehabilitation (Marshall et al., 2022). </w:t>
      </w:r>
      <w:r w:rsidR="00CC3EF5" w:rsidRPr="00985212">
        <w:rPr>
          <w:rFonts w:ascii="Arial" w:eastAsia="Times New Roman" w:hAnsi="Arial" w:cs="Arial"/>
          <w:kern w:val="0"/>
          <w:lang w:eastAsia="en-GB"/>
          <w14:ligatures w14:val="none"/>
        </w:rPr>
        <w:t>Multidisciplinary teams typically comprise doctors, nurses, physiotherapists, occupational therapists, and other healthcare professionals who collaborate to support recovery.</w:t>
      </w:r>
    </w:p>
    <w:p w:rsidR="00CC3EF5" w:rsidRPr="00985212" w:rsidRDefault="00CC3EF5" w:rsidP="00985212">
      <w:pPr>
        <w:spacing w:before="100" w:beforeAutospacing="1" w:after="100" w:afterAutospacing="1" w:line="360" w:lineRule="auto"/>
        <w:rPr>
          <w:rFonts w:ascii="Arial" w:eastAsia="Times New Roman" w:hAnsi="Arial" w:cs="Arial"/>
          <w:kern w:val="0"/>
          <w:lang w:eastAsia="en-GB"/>
          <w14:ligatures w14:val="none"/>
        </w:rPr>
      </w:pPr>
      <w:r w:rsidRPr="00985212">
        <w:rPr>
          <w:rFonts w:ascii="Arial" w:eastAsia="Times New Roman" w:hAnsi="Arial" w:cs="Arial"/>
          <w:kern w:val="0"/>
          <w:lang w:eastAsia="en-GB"/>
          <w14:ligatures w14:val="none"/>
        </w:rPr>
        <w:t>Community-based services are also essential for supporting stroke survivors after hospital discharge. These services may involve home-based rehabilitation, community support programs, and social care assistance. Effective coordination between healthcare providers and social care services is crucial to ensure survivors receive appropriate support and successfully reintegrate into their communities.</w:t>
      </w:r>
    </w:p>
    <w:p w:rsidR="00A90E2F" w:rsidRPr="00985212" w:rsidRDefault="006E4DA4" w:rsidP="00985212">
      <w:pPr>
        <w:spacing w:before="100" w:beforeAutospacing="1" w:after="100" w:afterAutospacing="1" w:line="360" w:lineRule="auto"/>
        <w:rPr>
          <w:rFonts w:ascii="Arial" w:eastAsia="Times New Roman" w:hAnsi="Arial" w:cs="Arial"/>
          <w:kern w:val="0"/>
          <w:lang w:eastAsia="en-GB"/>
          <w14:ligatures w14:val="none"/>
        </w:rPr>
      </w:pPr>
      <w:r w:rsidRPr="00985212">
        <w:rPr>
          <w:rFonts w:ascii="Arial" w:eastAsia="Times New Roman" w:hAnsi="Arial" w:cs="Arial"/>
          <w:b/>
          <w:kern w:val="0"/>
          <w:u w:val="single"/>
          <w:lang w:eastAsia="en-GB"/>
          <w14:ligatures w14:val="none"/>
        </w:rPr>
        <w:t>Conclusion</w:t>
      </w:r>
    </w:p>
    <w:p w:rsidR="000A3DF0" w:rsidRPr="00985212" w:rsidRDefault="000A3DF0" w:rsidP="00985212">
      <w:pPr>
        <w:spacing w:before="100" w:beforeAutospacing="1" w:after="100" w:afterAutospacing="1" w:line="360" w:lineRule="auto"/>
        <w:rPr>
          <w:rFonts w:ascii="Arial" w:eastAsia="Times New Roman" w:hAnsi="Arial" w:cs="Arial"/>
          <w:kern w:val="0"/>
          <w:lang w:eastAsia="en-GB"/>
          <w14:ligatures w14:val="none"/>
        </w:rPr>
      </w:pPr>
      <w:r w:rsidRPr="00985212">
        <w:rPr>
          <w:rFonts w:ascii="Arial" w:eastAsia="Times New Roman" w:hAnsi="Arial" w:cs="Arial"/>
          <w:kern w:val="0"/>
          <w:lang w:eastAsia="en-GB"/>
          <w14:ligatures w14:val="none"/>
        </w:rPr>
        <w:t xml:space="preserve">Stroke continues to pose a major public health challenge both globally and in the United Kingdom, given its significant impact on mortality, disability, and healthcare costs. Despite advances in treatment and prevention, stroke imposes a substantial burden on individuals, </w:t>
      </w:r>
      <w:r w:rsidRPr="00985212">
        <w:rPr>
          <w:rFonts w:ascii="Arial" w:eastAsia="Times New Roman" w:hAnsi="Arial" w:cs="Arial"/>
          <w:kern w:val="0"/>
          <w:lang w:eastAsia="en-GB"/>
          <w14:ligatures w14:val="none"/>
        </w:rPr>
        <w:lastRenderedPageBreak/>
        <w:t>families, and healthcare systems, exacerbated by persistent health inequalities and an ageing population. Monitoring systems and national audit programmes are essential for tracking stroke incidence and evaluating the effectiveness of healthcare services and prevention strategies.</w:t>
      </w:r>
    </w:p>
    <w:p w:rsidR="00F82C6F" w:rsidRPr="00985212" w:rsidRDefault="00F82C6F" w:rsidP="00985212">
      <w:pPr>
        <w:spacing w:before="100" w:beforeAutospacing="1" w:after="100" w:afterAutospacing="1" w:line="360" w:lineRule="auto"/>
        <w:rPr>
          <w:rFonts w:ascii="Arial" w:eastAsia="Times New Roman" w:hAnsi="Arial" w:cs="Arial"/>
          <w:kern w:val="0"/>
          <w:lang w:eastAsia="en-GB"/>
          <w14:ligatures w14:val="none"/>
        </w:rPr>
      </w:pPr>
      <w:r w:rsidRPr="00985212">
        <w:rPr>
          <w:rFonts w:ascii="Arial" w:eastAsia="Times New Roman" w:hAnsi="Arial" w:cs="Arial"/>
          <w:kern w:val="0"/>
          <w:lang w:eastAsia="en-GB"/>
          <w14:ligatures w14:val="none"/>
        </w:rPr>
        <w:t>Reducing the burden of stroke</w:t>
      </w:r>
      <w:r w:rsidR="000A3DF0" w:rsidRPr="00985212">
        <w:rPr>
          <w:rFonts w:ascii="Arial" w:eastAsia="Times New Roman" w:hAnsi="Arial" w:cs="Arial"/>
          <w:kern w:val="0"/>
          <w:lang w:eastAsia="en-GB"/>
          <w14:ligatures w14:val="none"/>
        </w:rPr>
        <w:t xml:space="preserve"> necessitates</w:t>
      </w:r>
      <w:r w:rsidRPr="00985212">
        <w:rPr>
          <w:rFonts w:ascii="Arial" w:eastAsia="Times New Roman" w:hAnsi="Arial" w:cs="Arial"/>
          <w:kern w:val="0"/>
          <w:lang w:eastAsia="en-GB"/>
          <w14:ligatures w14:val="none"/>
        </w:rPr>
        <w:t xml:space="preserve"> preventative public health interventions, timely medical treatment and long-term rehabilitation services. Addressing modifiable risk factors such as hypertension, smoking and unhealthy lifestyles is essential for </w:t>
      </w:r>
      <w:r w:rsidR="000A3DF0" w:rsidRPr="00985212">
        <w:rPr>
          <w:rFonts w:ascii="Arial" w:eastAsia="Times New Roman" w:hAnsi="Arial" w:cs="Arial"/>
          <w:kern w:val="0"/>
          <w:lang w:eastAsia="en-GB"/>
          <w14:ligatures w14:val="none"/>
        </w:rPr>
        <w:t>lowering</w:t>
      </w:r>
      <w:r w:rsidRPr="00985212">
        <w:rPr>
          <w:rFonts w:ascii="Arial" w:eastAsia="Times New Roman" w:hAnsi="Arial" w:cs="Arial"/>
          <w:kern w:val="0"/>
          <w:lang w:eastAsia="en-GB"/>
          <w14:ligatures w14:val="none"/>
        </w:rPr>
        <w:t xml:space="preserve"> stroke incidence and improving population health outcomes.</w:t>
      </w:r>
    </w:p>
    <w:p w:rsidR="000A3DF0" w:rsidRPr="00985212" w:rsidRDefault="00F82C6F" w:rsidP="00985212">
      <w:pPr>
        <w:spacing w:before="100" w:beforeAutospacing="1" w:after="100" w:afterAutospacing="1" w:line="360" w:lineRule="auto"/>
        <w:rPr>
          <w:rFonts w:ascii="Arial" w:eastAsia="Times New Roman" w:hAnsi="Arial" w:cs="Arial"/>
          <w:kern w:val="0"/>
          <w:lang w:eastAsia="en-GB"/>
          <w14:ligatures w14:val="none"/>
        </w:rPr>
      </w:pPr>
      <w:r w:rsidRPr="00985212">
        <w:rPr>
          <w:rFonts w:ascii="Arial" w:eastAsia="Times New Roman" w:hAnsi="Arial" w:cs="Arial"/>
          <w:kern w:val="0"/>
          <w:lang w:eastAsia="en-GB"/>
          <w14:ligatures w14:val="none"/>
        </w:rPr>
        <w:t xml:space="preserve">In addition, addressing </w:t>
      </w:r>
      <w:r w:rsidR="000A3DF0" w:rsidRPr="00985212">
        <w:rPr>
          <w:rFonts w:ascii="Arial" w:eastAsia="Times New Roman" w:hAnsi="Arial" w:cs="Arial"/>
          <w:kern w:val="0"/>
          <w:lang w:eastAsia="en-GB"/>
          <w14:ligatures w14:val="none"/>
        </w:rPr>
        <w:t>broader</w:t>
      </w:r>
      <w:r w:rsidRPr="00985212">
        <w:rPr>
          <w:rFonts w:ascii="Arial" w:eastAsia="Times New Roman" w:hAnsi="Arial" w:cs="Arial"/>
          <w:kern w:val="0"/>
          <w:lang w:eastAsia="en-GB"/>
          <w14:ligatures w14:val="none"/>
        </w:rPr>
        <w:t xml:space="preserve"> soc</w:t>
      </w:r>
      <w:r w:rsidR="000A3DF0" w:rsidRPr="00985212">
        <w:rPr>
          <w:rFonts w:ascii="Arial" w:eastAsia="Times New Roman" w:hAnsi="Arial" w:cs="Arial"/>
          <w:kern w:val="0"/>
          <w:lang w:eastAsia="en-GB"/>
          <w14:ligatures w14:val="none"/>
        </w:rPr>
        <w:t>ial determinants of health and enhancing</w:t>
      </w:r>
      <w:r w:rsidRPr="00985212">
        <w:rPr>
          <w:rFonts w:ascii="Arial" w:eastAsia="Times New Roman" w:hAnsi="Arial" w:cs="Arial"/>
          <w:kern w:val="0"/>
          <w:lang w:eastAsia="en-GB"/>
          <w14:ligatures w14:val="none"/>
        </w:rPr>
        <w:t xml:space="preserve"> access to healthcare services will be important in reducing inequalities associated with stroke risk and outcomes. Continued investment in prevention, monitoring and rehabilitation services will therefore be essential in reducing the long-term impact of stroke on individuals, com</w:t>
      </w:r>
      <w:r w:rsidR="00FD5F13" w:rsidRPr="00985212">
        <w:rPr>
          <w:rFonts w:ascii="Arial" w:eastAsia="Times New Roman" w:hAnsi="Arial" w:cs="Arial"/>
          <w:kern w:val="0"/>
          <w:lang w:eastAsia="en-GB"/>
          <w14:ligatures w14:val="none"/>
        </w:rPr>
        <w:t>munities and healthcare systems.</w:t>
      </w:r>
    </w:p>
    <w:p w:rsidR="006E4DA4" w:rsidRPr="00985212" w:rsidRDefault="006E4DA4" w:rsidP="00985212">
      <w:pPr>
        <w:spacing w:line="360" w:lineRule="auto"/>
        <w:rPr>
          <w:rFonts w:ascii="Arial" w:hAnsi="Arial" w:cs="Arial"/>
        </w:rPr>
      </w:pPr>
    </w:p>
    <w:p w:rsidR="002E42EA" w:rsidRPr="00985212" w:rsidRDefault="002E42EA" w:rsidP="00985212">
      <w:pPr>
        <w:spacing w:after="0" w:line="360" w:lineRule="auto"/>
        <w:rPr>
          <w:rFonts w:ascii="Arial" w:eastAsia="Times New Roman" w:hAnsi="Arial" w:cs="Arial"/>
          <w:b/>
          <w:kern w:val="0"/>
          <w:lang w:eastAsia="en-GB"/>
          <w14:ligatures w14:val="none"/>
        </w:rPr>
      </w:pPr>
    </w:p>
    <w:p w:rsidR="002E42EA" w:rsidRPr="00985212" w:rsidRDefault="002E42EA" w:rsidP="00985212">
      <w:pPr>
        <w:spacing w:after="0" w:line="360" w:lineRule="auto"/>
        <w:rPr>
          <w:rFonts w:ascii="Arial" w:eastAsia="Times New Roman" w:hAnsi="Arial" w:cs="Arial"/>
          <w:b/>
          <w:kern w:val="0"/>
          <w:lang w:eastAsia="en-GB"/>
          <w14:ligatures w14:val="none"/>
        </w:rPr>
      </w:pPr>
    </w:p>
    <w:p w:rsidR="00FD5F13" w:rsidRPr="00985212" w:rsidRDefault="00FD5F13" w:rsidP="00985212">
      <w:pPr>
        <w:spacing w:after="0" w:line="360" w:lineRule="auto"/>
        <w:rPr>
          <w:rFonts w:ascii="Arial" w:eastAsia="Times New Roman" w:hAnsi="Arial" w:cs="Arial"/>
          <w:b/>
          <w:kern w:val="0"/>
          <w:lang w:eastAsia="en-GB"/>
          <w14:ligatures w14:val="none"/>
        </w:rPr>
      </w:pPr>
    </w:p>
    <w:p w:rsidR="00FD5F13" w:rsidRPr="00985212" w:rsidRDefault="00FD5F13" w:rsidP="00985212">
      <w:pPr>
        <w:spacing w:after="0" w:line="360" w:lineRule="auto"/>
        <w:rPr>
          <w:rFonts w:ascii="Arial" w:eastAsia="Times New Roman" w:hAnsi="Arial" w:cs="Arial"/>
          <w:b/>
          <w:kern w:val="0"/>
          <w:lang w:eastAsia="en-GB"/>
          <w14:ligatures w14:val="none"/>
        </w:rPr>
      </w:pPr>
    </w:p>
    <w:p w:rsidR="00FD5F13" w:rsidRPr="00985212" w:rsidRDefault="00FD5F13" w:rsidP="00985212">
      <w:pPr>
        <w:spacing w:after="0" w:line="360" w:lineRule="auto"/>
        <w:rPr>
          <w:rFonts w:ascii="Arial" w:eastAsia="Times New Roman" w:hAnsi="Arial" w:cs="Arial"/>
          <w:b/>
          <w:kern w:val="0"/>
          <w:lang w:eastAsia="en-GB"/>
          <w14:ligatures w14:val="none"/>
        </w:rPr>
      </w:pPr>
    </w:p>
    <w:p w:rsidR="00FD5F13" w:rsidRPr="00985212" w:rsidRDefault="00FD5F13" w:rsidP="00985212">
      <w:pPr>
        <w:spacing w:after="0" w:line="360" w:lineRule="auto"/>
        <w:rPr>
          <w:rFonts w:ascii="Arial" w:eastAsia="Times New Roman" w:hAnsi="Arial" w:cs="Arial"/>
          <w:b/>
          <w:kern w:val="0"/>
          <w:lang w:eastAsia="en-GB"/>
          <w14:ligatures w14:val="none"/>
        </w:rPr>
      </w:pPr>
    </w:p>
    <w:p w:rsidR="00FD5F13" w:rsidRPr="00985212" w:rsidRDefault="00FD5F13" w:rsidP="00985212">
      <w:pPr>
        <w:spacing w:after="0" w:line="360" w:lineRule="auto"/>
        <w:rPr>
          <w:rFonts w:ascii="Arial" w:eastAsia="Times New Roman" w:hAnsi="Arial" w:cs="Arial"/>
          <w:b/>
          <w:kern w:val="0"/>
          <w:lang w:eastAsia="en-GB"/>
          <w14:ligatures w14:val="none"/>
        </w:rPr>
      </w:pPr>
    </w:p>
    <w:p w:rsidR="00FD5F13" w:rsidRPr="00985212" w:rsidRDefault="00FD5F13" w:rsidP="00985212">
      <w:pPr>
        <w:spacing w:after="0" w:line="360" w:lineRule="auto"/>
        <w:rPr>
          <w:rFonts w:ascii="Arial" w:eastAsia="Times New Roman" w:hAnsi="Arial" w:cs="Arial"/>
          <w:b/>
          <w:kern w:val="0"/>
          <w:lang w:eastAsia="en-GB"/>
          <w14:ligatures w14:val="none"/>
        </w:rPr>
      </w:pPr>
    </w:p>
    <w:p w:rsidR="00FD5F13" w:rsidRPr="00985212" w:rsidRDefault="00FD5F13" w:rsidP="00985212">
      <w:pPr>
        <w:spacing w:after="0" w:line="360" w:lineRule="auto"/>
        <w:rPr>
          <w:rFonts w:ascii="Arial" w:eastAsia="Times New Roman" w:hAnsi="Arial" w:cs="Arial"/>
          <w:b/>
          <w:kern w:val="0"/>
          <w:lang w:eastAsia="en-GB"/>
          <w14:ligatures w14:val="none"/>
        </w:rPr>
      </w:pPr>
    </w:p>
    <w:p w:rsidR="00FD5F13" w:rsidRPr="00985212" w:rsidRDefault="00FD5F13" w:rsidP="00985212">
      <w:pPr>
        <w:spacing w:after="0" w:line="360" w:lineRule="auto"/>
        <w:rPr>
          <w:rFonts w:ascii="Arial" w:eastAsia="Times New Roman" w:hAnsi="Arial" w:cs="Arial"/>
          <w:b/>
          <w:kern w:val="0"/>
          <w:lang w:eastAsia="en-GB"/>
          <w14:ligatures w14:val="none"/>
        </w:rPr>
      </w:pPr>
    </w:p>
    <w:p w:rsidR="00FD5F13" w:rsidRPr="00985212" w:rsidRDefault="00FD5F13" w:rsidP="00985212">
      <w:pPr>
        <w:spacing w:after="0" w:line="360" w:lineRule="auto"/>
        <w:rPr>
          <w:rFonts w:ascii="Arial" w:eastAsia="Times New Roman" w:hAnsi="Arial" w:cs="Arial"/>
          <w:b/>
          <w:kern w:val="0"/>
          <w:lang w:eastAsia="en-GB"/>
          <w14:ligatures w14:val="none"/>
        </w:rPr>
      </w:pPr>
    </w:p>
    <w:p w:rsidR="00FD5F13" w:rsidRPr="00985212" w:rsidRDefault="00FD5F13" w:rsidP="00985212">
      <w:pPr>
        <w:spacing w:after="0" w:line="360" w:lineRule="auto"/>
        <w:rPr>
          <w:rFonts w:ascii="Arial" w:eastAsia="Times New Roman" w:hAnsi="Arial" w:cs="Arial"/>
          <w:b/>
          <w:kern w:val="0"/>
          <w:lang w:eastAsia="en-GB"/>
          <w14:ligatures w14:val="none"/>
        </w:rPr>
      </w:pPr>
    </w:p>
    <w:p w:rsidR="00FD5F13" w:rsidRPr="00985212" w:rsidRDefault="00FD5F13" w:rsidP="00985212">
      <w:pPr>
        <w:spacing w:after="0" w:line="360" w:lineRule="auto"/>
        <w:rPr>
          <w:rFonts w:ascii="Arial" w:eastAsia="Times New Roman" w:hAnsi="Arial" w:cs="Arial"/>
          <w:b/>
          <w:kern w:val="0"/>
          <w:lang w:eastAsia="en-GB"/>
          <w14:ligatures w14:val="none"/>
        </w:rPr>
      </w:pPr>
    </w:p>
    <w:p w:rsidR="00FD5F13" w:rsidRPr="00985212" w:rsidRDefault="00FD5F13" w:rsidP="00985212">
      <w:pPr>
        <w:spacing w:after="0" w:line="360" w:lineRule="auto"/>
        <w:rPr>
          <w:rFonts w:ascii="Arial" w:eastAsia="Times New Roman" w:hAnsi="Arial" w:cs="Arial"/>
          <w:b/>
          <w:kern w:val="0"/>
          <w:lang w:eastAsia="en-GB"/>
          <w14:ligatures w14:val="none"/>
        </w:rPr>
      </w:pPr>
    </w:p>
    <w:p w:rsidR="00FD5F13" w:rsidRPr="00985212" w:rsidRDefault="00FD5F13" w:rsidP="00985212">
      <w:pPr>
        <w:spacing w:after="0" w:line="360" w:lineRule="auto"/>
        <w:rPr>
          <w:rFonts w:ascii="Arial" w:eastAsia="Times New Roman" w:hAnsi="Arial" w:cs="Arial"/>
          <w:b/>
          <w:kern w:val="0"/>
          <w:lang w:eastAsia="en-GB"/>
          <w14:ligatures w14:val="none"/>
        </w:rPr>
      </w:pPr>
    </w:p>
    <w:p w:rsidR="00FD5F13" w:rsidRPr="00985212" w:rsidRDefault="00FD5F13" w:rsidP="00985212">
      <w:pPr>
        <w:spacing w:after="0" w:line="360" w:lineRule="auto"/>
        <w:rPr>
          <w:rFonts w:ascii="Arial" w:eastAsia="Times New Roman" w:hAnsi="Arial" w:cs="Arial"/>
          <w:b/>
          <w:kern w:val="0"/>
          <w:lang w:eastAsia="en-GB"/>
          <w14:ligatures w14:val="none"/>
        </w:rPr>
      </w:pPr>
    </w:p>
    <w:p w:rsidR="00FD5F13" w:rsidRPr="00985212" w:rsidRDefault="00FD5F13" w:rsidP="00985212">
      <w:pPr>
        <w:spacing w:after="0" w:line="360" w:lineRule="auto"/>
        <w:rPr>
          <w:rFonts w:ascii="Arial" w:eastAsia="Times New Roman" w:hAnsi="Arial" w:cs="Arial"/>
          <w:b/>
          <w:kern w:val="0"/>
          <w:lang w:eastAsia="en-GB"/>
          <w14:ligatures w14:val="none"/>
        </w:rPr>
      </w:pPr>
    </w:p>
    <w:p w:rsidR="00FD5F13" w:rsidRPr="00985212" w:rsidRDefault="00FD5F13" w:rsidP="00985212">
      <w:pPr>
        <w:spacing w:after="0" w:line="360" w:lineRule="auto"/>
        <w:rPr>
          <w:rFonts w:ascii="Arial" w:eastAsia="Times New Roman" w:hAnsi="Arial" w:cs="Arial"/>
          <w:b/>
          <w:kern w:val="0"/>
          <w:lang w:eastAsia="en-GB"/>
          <w14:ligatures w14:val="none"/>
        </w:rPr>
      </w:pPr>
    </w:p>
    <w:p w:rsidR="00FD5F13" w:rsidRDefault="00FD5F13" w:rsidP="00985212">
      <w:pPr>
        <w:spacing w:after="0" w:line="360" w:lineRule="auto"/>
        <w:rPr>
          <w:rFonts w:ascii="Arial" w:eastAsia="Times New Roman" w:hAnsi="Arial" w:cs="Arial"/>
          <w:b/>
          <w:kern w:val="0"/>
          <w:lang w:eastAsia="en-GB"/>
          <w14:ligatures w14:val="none"/>
        </w:rPr>
      </w:pPr>
    </w:p>
    <w:p w:rsidR="00985212" w:rsidRPr="00985212" w:rsidRDefault="00985212" w:rsidP="00985212">
      <w:pPr>
        <w:spacing w:after="0" w:line="360" w:lineRule="auto"/>
        <w:rPr>
          <w:rFonts w:ascii="Arial" w:eastAsia="Times New Roman" w:hAnsi="Arial" w:cs="Arial"/>
          <w:b/>
          <w:kern w:val="0"/>
          <w:lang w:eastAsia="en-GB"/>
          <w14:ligatures w14:val="none"/>
        </w:rPr>
      </w:pPr>
    </w:p>
    <w:p w:rsidR="00985212" w:rsidRPr="00985212" w:rsidRDefault="00985212" w:rsidP="00985212">
      <w:pPr>
        <w:spacing w:after="0" w:line="360" w:lineRule="auto"/>
        <w:rPr>
          <w:rFonts w:ascii="Arial" w:eastAsia="Times New Roman" w:hAnsi="Arial" w:cs="Arial"/>
          <w:b/>
          <w:kern w:val="0"/>
          <w:lang w:eastAsia="en-GB"/>
          <w14:ligatures w14:val="none"/>
        </w:rPr>
      </w:pPr>
      <w:r w:rsidRPr="00985212">
        <w:rPr>
          <w:rFonts w:ascii="Arial" w:eastAsia="Times New Roman" w:hAnsi="Arial" w:cs="Arial"/>
          <w:b/>
          <w:kern w:val="0"/>
          <w:lang w:eastAsia="en-GB"/>
          <w14:ligatures w14:val="none"/>
        </w:rPr>
        <w:lastRenderedPageBreak/>
        <w:t>REFERENCES</w:t>
      </w:r>
    </w:p>
    <w:p w:rsidR="00985212" w:rsidRPr="00985212" w:rsidRDefault="00985212" w:rsidP="00985212">
      <w:pPr>
        <w:spacing w:after="0" w:line="360" w:lineRule="auto"/>
        <w:rPr>
          <w:rFonts w:ascii="Arial" w:eastAsia="Times New Roman" w:hAnsi="Arial" w:cs="Arial"/>
          <w:b/>
          <w:kern w:val="0"/>
          <w:lang w:eastAsia="en-GB"/>
          <w14:ligatures w14:val="none"/>
        </w:rPr>
      </w:pPr>
    </w:p>
    <w:p w:rsidR="00985212" w:rsidRPr="00985212" w:rsidRDefault="00985212" w:rsidP="00985212">
      <w:pPr>
        <w:pStyle w:val="ListParagraph"/>
        <w:numPr>
          <w:ilvl w:val="0"/>
          <w:numId w:val="2"/>
        </w:numPr>
        <w:spacing w:line="360" w:lineRule="auto"/>
        <w:rPr>
          <w:rFonts w:ascii="Arial" w:hAnsi="Arial" w:cs="Arial"/>
          <w:color w:val="222222"/>
          <w:shd w:val="clear" w:color="auto" w:fill="FFFFFF"/>
        </w:rPr>
      </w:pPr>
      <w:proofErr w:type="spellStart"/>
      <w:r w:rsidRPr="00985212">
        <w:rPr>
          <w:rFonts w:ascii="Arial" w:hAnsi="Arial" w:cs="Arial"/>
          <w:color w:val="222222"/>
          <w:shd w:val="clear" w:color="auto" w:fill="FFFFFF"/>
        </w:rPr>
        <w:t>Donkor</w:t>
      </w:r>
      <w:proofErr w:type="spellEnd"/>
      <w:r w:rsidRPr="00985212">
        <w:rPr>
          <w:rFonts w:ascii="Arial" w:hAnsi="Arial" w:cs="Arial"/>
          <w:color w:val="222222"/>
          <w:shd w:val="clear" w:color="auto" w:fill="FFFFFF"/>
        </w:rPr>
        <w:t>, E.S., 2018. Stroke in the 21st century: a snapshot of the burden, epidemiology, and quality of life. </w:t>
      </w:r>
      <w:r w:rsidRPr="00985212">
        <w:rPr>
          <w:rFonts w:ascii="Arial" w:hAnsi="Arial" w:cs="Arial"/>
          <w:i/>
          <w:iCs/>
          <w:color w:val="222222"/>
          <w:shd w:val="clear" w:color="auto" w:fill="FFFFFF"/>
        </w:rPr>
        <w:t>Stroke research and treatment</w:t>
      </w:r>
      <w:r w:rsidRPr="00985212">
        <w:rPr>
          <w:rFonts w:ascii="Arial" w:hAnsi="Arial" w:cs="Arial"/>
          <w:color w:val="222222"/>
          <w:shd w:val="clear" w:color="auto" w:fill="FFFFFF"/>
        </w:rPr>
        <w:t>, </w:t>
      </w:r>
      <w:r w:rsidRPr="00985212">
        <w:rPr>
          <w:rFonts w:ascii="Arial" w:hAnsi="Arial" w:cs="Arial"/>
          <w:i/>
          <w:iCs/>
          <w:color w:val="222222"/>
          <w:shd w:val="clear" w:color="auto" w:fill="FFFFFF"/>
        </w:rPr>
        <w:t>2018</w:t>
      </w:r>
      <w:r w:rsidRPr="00985212">
        <w:rPr>
          <w:rFonts w:ascii="Arial" w:hAnsi="Arial" w:cs="Arial"/>
          <w:color w:val="222222"/>
          <w:shd w:val="clear" w:color="auto" w:fill="FFFFFF"/>
        </w:rPr>
        <w:t>(1), p.3238165.</w:t>
      </w:r>
    </w:p>
    <w:p w:rsidR="00985212" w:rsidRPr="00985212" w:rsidRDefault="00985212" w:rsidP="00985212">
      <w:pPr>
        <w:pStyle w:val="ListParagraph"/>
        <w:numPr>
          <w:ilvl w:val="0"/>
          <w:numId w:val="2"/>
        </w:numPr>
        <w:spacing w:line="360" w:lineRule="auto"/>
        <w:rPr>
          <w:rFonts w:ascii="Arial" w:hAnsi="Arial" w:cs="Arial"/>
        </w:rPr>
      </w:pPr>
      <w:proofErr w:type="spellStart"/>
      <w:r w:rsidRPr="00985212">
        <w:rPr>
          <w:rFonts w:ascii="Arial" w:hAnsi="Arial" w:cs="Arial"/>
        </w:rPr>
        <w:t>Feigin</w:t>
      </w:r>
      <w:proofErr w:type="spellEnd"/>
      <w:r w:rsidRPr="00985212">
        <w:rPr>
          <w:rFonts w:ascii="Arial" w:hAnsi="Arial" w:cs="Arial"/>
        </w:rPr>
        <w:t xml:space="preserve">, V.L., </w:t>
      </w:r>
      <w:proofErr w:type="spellStart"/>
      <w:r w:rsidRPr="00985212">
        <w:rPr>
          <w:rFonts w:ascii="Arial" w:hAnsi="Arial" w:cs="Arial"/>
        </w:rPr>
        <w:t>Brainin</w:t>
      </w:r>
      <w:proofErr w:type="spellEnd"/>
      <w:r w:rsidRPr="00985212">
        <w:rPr>
          <w:rFonts w:ascii="Arial" w:hAnsi="Arial" w:cs="Arial"/>
        </w:rPr>
        <w:t xml:space="preserve">, M., </w:t>
      </w:r>
      <w:proofErr w:type="spellStart"/>
      <w:r w:rsidRPr="00985212">
        <w:rPr>
          <w:rFonts w:ascii="Arial" w:hAnsi="Arial" w:cs="Arial"/>
        </w:rPr>
        <w:t>Norrving</w:t>
      </w:r>
      <w:proofErr w:type="spellEnd"/>
      <w:r w:rsidRPr="00985212">
        <w:rPr>
          <w:rFonts w:ascii="Arial" w:hAnsi="Arial" w:cs="Arial"/>
        </w:rPr>
        <w:t xml:space="preserve">, B., Martins, S.O., </w:t>
      </w:r>
      <w:proofErr w:type="spellStart"/>
      <w:r w:rsidRPr="00985212">
        <w:rPr>
          <w:rFonts w:ascii="Arial" w:hAnsi="Arial" w:cs="Arial"/>
        </w:rPr>
        <w:t>Pandian</w:t>
      </w:r>
      <w:proofErr w:type="spellEnd"/>
      <w:r w:rsidRPr="00985212">
        <w:rPr>
          <w:rFonts w:ascii="Arial" w:hAnsi="Arial" w:cs="Arial"/>
        </w:rPr>
        <w:t xml:space="preserve">, J., Lindsay, P., F </w:t>
      </w:r>
      <w:proofErr w:type="spellStart"/>
      <w:r w:rsidRPr="00985212">
        <w:rPr>
          <w:rFonts w:ascii="Arial" w:hAnsi="Arial" w:cs="Arial"/>
        </w:rPr>
        <w:t>Grupper</w:t>
      </w:r>
      <w:proofErr w:type="spellEnd"/>
      <w:r w:rsidRPr="00985212">
        <w:rPr>
          <w:rFonts w:ascii="Arial" w:hAnsi="Arial" w:cs="Arial"/>
        </w:rPr>
        <w:t xml:space="preserve">, M. and </w:t>
      </w:r>
      <w:proofErr w:type="spellStart"/>
      <w:r w:rsidRPr="00985212">
        <w:rPr>
          <w:rFonts w:ascii="Arial" w:hAnsi="Arial" w:cs="Arial"/>
        </w:rPr>
        <w:t>Rautalin</w:t>
      </w:r>
      <w:proofErr w:type="spellEnd"/>
      <w:r w:rsidRPr="00985212">
        <w:rPr>
          <w:rFonts w:ascii="Arial" w:hAnsi="Arial" w:cs="Arial"/>
        </w:rPr>
        <w:t>, I., 2025. World stroke organization: global stroke fact sheet 2025. International Journal of Stroke, 20(2), pp.132-144.</w:t>
      </w:r>
    </w:p>
    <w:p w:rsidR="00985212" w:rsidRPr="00985212" w:rsidRDefault="00985212" w:rsidP="00985212">
      <w:pPr>
        <w:pStyle w:val="ListParagraph"/>
        <w:numPr>
          <w:ilvl w:val="0"/>
          <w:numId w:val="2"/>
        </w:numPr>
        <w:spacing w:line="360" w:lineRule="auto"/>
        <w:rPr>
          <w:rFonts w:ascii="Arial" w:hAnsi="Arial" w:cs="Arial"/>
          <w:color w:val="222222"/>
          <w:shd w:val="clear" w:color="auto" w:fill="FFFFFF"/>
        </w:rPr>
      </w:pPr>
      <w:r w:rsidRPr="00985212">
        <w:rPr>
          <w:rFonts w:ascii="Arial" w:hAnsi="Arial" w:cs="Arial"/>
          <w:color w:val="222222"/>
          <w:shd w:val="clear" w:color="auto" w:fill="FFFFFF"/>
        </w:rPr>
        <w:t xml:space="preserve">Goff </w:t>
      </w:r>
      <w:proofErr w:type="spellStart"/>
      <w:r w:rsidRPr="00985212">
        <w:rPr>
          <w:rFonts w:ascii="Arial" w:hAnsi="Arial" w:cs="Arial"/>
          <w:color w:val="222222"/>
          <w:shd w:val="clear" w:color="auto" w:fill="FFFFFF"/>
        </w:rPr>
        <w:t>Jr</w:t>
      </w:r>
      <w:proofErr w:type="spellEnd"/>
      <w:r w:rsidRPr="00985212">
        <w:rPr>
          <w:rFonts w:ascii="Arial" w:hAnsi="Arial" w:cs="Arial"/>
          <w:color w:val="222222"/>
          <w:shd w:val="clear" w:color="auto" w:fill="FFFFFF"/>
        </w:rPr>
        <w:t xml:space="preserve">, David C., Lawrence Brass, Lynne T. Braun, Janet B. Croft, Judd D. </w:t>
      </w:r>
      <w:proofErr w:type="spellStart"/>
      <w:r w:rsidRPr="00985212">
        <w:rPr>
          <w:rFonts w:ascii="Arial" w:hAnsi="Arial" w:cs="Arial"/>
          <w:color w:val="222222"/>
          <w:shd w:val="clear" w:color="auto" w:fill="FFFFFF"/>
        </w:rPr>
        <w:t>Flesch</w:t>
      </w:r>
      <w:proofErr w:type="spellEnd"/>
      <w:r w:rsidRPr="00985212">
        <w:rPr>
          <w:rFonts w:ascii="Arial" w:hAnsi="Arial" w:cs="Arial"/>
          <w:color w:val="222222"/>
          <w:shd w:val="clear" w:color="auto" w:fill="FFFFFF"/>
        </w:rPr>
        <w:t xml:space="preserve">, Francis GR </w:t>
      </w:r>
      <w:proofErr w:type="spellStart"/>
      <w:r w:rsidRPr="00985212">
        <w:rPr>
          <w:rFonts w:ascii="Arial" w:hAnsi="Arial" w:cs="Arial"/>
          <w:color w:val="222222"/>
          <w:shd w:val="clear" w:color="auto" w:fill="FFFFFF"/>
        </w:rPr>
        <w:t>Fowkes</w:t>
      </w:r>
      <w:proofErr w:type="spellEnd"/>
      <w:r w:rsidRPr="00985212">
        <w:rPr>
          <w:rFonts w:ascii="Arial" w:hAnsi="Arial" w:cs="Arial"/>
          <w:color w:val="222222"/>
          <w:shd w:val="clear" w:color="auto" w:fill="FFFFFF"/>
        </w:rPr>
        <w:t xml:space="preserve">, </w:t>
      </w:r>
      <w:proofErr w:type="spellStart"/>
      <w:r w:rsidRPr="00985212">
        <w:rPr>
          <w:rFonts w:ascii="Arial" w:hAnsi="Arial" w:cs="Arial"/>
          <w:color w:val="222222"/>
          <w:shd w:val="clear" w:color="auto" w:fill="FFFFFF"/>
        </w:rPr>
        <w:t>Yuling</w:t>
      </w:r>
      <w:proofErr w:type="spellEnd"/>
      <w:r w:rsidRPr="00985212">
        <w:rPr>
          <w:rFonts w:ascii="Arial" w:hAnsi="Arial" w:cs="Arial"/>
          <w:color w:val="222222"/>
          <w:shd w:val="clear" w:color="auto" w:fill="FFFFFF"/>
        </w:rPr>
        <w:t xml:space="preserve"> Hong et al. "Essential features of a surveillance system to support the prevention and management of heart disease and stroke: a scientific statement from the American Heart Association Councils on Epidemiology and Prevention, Stroke, and Cardiovascular Nursing and the Interdisciplinary Working Groups on Quality of Care and Outcomes Research and Atherosclerotic Peripheral Vascular Disease." </w:t>
      </w:r>
      <w:r w:rsidRPr="00985212">
        <w:rPr>
          <w:rFonts w:ascii="Arial" w:hAnsi="Arial" w:cs="Arial"/>
          <w:i/>
          <w:iCs/>
          <w:color w:val="222222"/>
          <w:shd w:val="clear" w:color="auto" w:fill="FFFFFF"/>
        </w:rPr>
        <w:t>Circulation</w:t>
      </w:r>
      <w:r w:rsidRPr="00985212">
        <w:rPr>
          <w:rFonts w:ascii="Arial" w:hAnsi="Arial" w:cs="Arial"/>
          <w:color w:val="222222"/>
          <w:shd w:val="clear" w:color="auto" w:fill="FFFFFF"/>
        </w:rPr>
        <w:t> 115, no. 1 (2007): 127-155.</w:t>
      </w:r>
    </w:p>
    <w:p w:rsidR="00985212" w:rsidRPr="00985212" w:rsidRDefault="00985212" w:rsidP="00985212">
      <w:pPr>
        <w:pStyle w:val="ListParagraph"/>
        <w:numPr>
          <w:ilvl w:val="0"/>
          <w:numId w:val="2"/>
        </w:numPr>
        <w:spacing w:line="360" w:lineRule="auto"/>
        <w:rPr>
          <w:rFonts w:ascii="Arial" w:hAnsi="Arial" w:cs="Arial"/>
          <w:color w:val="222222"/>
          <w:shd w:val="clear" w:color="auto" w:fill="FFFFFF"/>
        </w:rPr>
      </w:pPr>
      <w:r w:rsidRPr="00985212">
        <w:rPr>
          <w:rFonts w:ascii="Arial" w:hAnsi="Arial" w:cs="Arial"/>
          <w:color w:val="222222"/>
          <w:shd w:val="clear" w:color="auto" w:fill="FFFFFF"/>
        </w:rPr>
        <w:t>Graber, M., Baptiste, L., Mohr, S., Blanc-</w:t>
      </w:r>
      <w:proofErr w:type="spellStart"/>
      <w:r w:rsidRPr="00985212">
        <w:rPr>
          <w:rFonts w:ascii="Arial" w:hAnsi="Arial" w:cs="Arial"/>
          <w:color w:val="222222"/>
          <w:shd w:val="clear" w:color="auto" w:fill="FFFFFF"/>
        </w:rPr>
        <w:t>Labarre</w:t>
      </w:r>
      <w:proofErr w:type="spellEnd"/>
      <w:r w:rsidRPr="00985212">
        <w:rPr>
          <w:rFonts w:ascii="Arial" w:hAnsi="Arial" w:cs="Arial"/>
          <w:color w:val="222222"/>
          <w:shd w:val="clear" w:color="auto" w:fill="FFFFFF"/>
        </w:rPr>
        <w:t xml:space="preserve">, C., </w:t>
      </w:r>
      <w:proofErr w:type="spellStart"/>
      <w:r w:rsidRPr="00985212">
        <w:rPr>
          <w:rFonts w:ascii="Arial" w:hAnsi="Arial" w:cs="Arial"/>
          <w:color w:val="222222"/>
          <w:shd w:val="clear" w:color="auto" w:fill="FFFFFF"/>
        </w:rPr>
        <w:t>Dupont</w:t>
      </w:r>
      <w:proofErr w:type="spellEnd"/>
      <w:r w:rsidRPr="00985212">
        <w:rPr>
          <w:rFonts w:ascii="Arial" w:hAnsi="Arial" w:cs="Arial"/>
          <w:color w:val="222222"/>
          <w:shd w:val="clear" w:color="auto" w:fill="FFFFFF"/>
        </w:rPr>
        <w:t xml:space="preserve">, G., </w:t>
      </w:r>
      <w:proofErr w:type="spellStart"/>
      <w:r w:rsidRPr="00985212">
        <w:rPr>
          <w:rFonts w:ascii="Arial" w:hAnsi="Arial" w:cs="Arial"/>
          <w:color w:val="222222"/>
          <w:shd w:val="clear" w:color="auto" w:fill="FFFFFF"/>
        </w:rPr>
        <w:t>Giroud</w:t>
      </w:r>
      <w:proofErr w:type="spellEnd"/>
      <w:r w:rsidRPr="00985212">
        <w:rPr>
          <w:rFonts w:ascii="Arial" w:hAnsi="Arial" w:cs="Arial"/>
          <w:color w:val="222222"/>
          <w:shd w:val="clear" w:color="auto" w:fill="FFFFFF"/>
        </w:rPr>
        <w:t xml:space="preserve">, M. and </w:t>
      </w:r>
      <w:proofErr w:type="spellStart"/>
      <w:r w:rsidRPr="00985212">
        <w:rPr>
          <w:rFonts w:ascii="Arial" w:hAnsi="Arial" w:cs="Arial"/>
          <w:color w:val="222222"/>
          <w:shd w:val="clear" w:color="auto" w:fill="FFFFFF"/>
        </w:rPr>
        <w:t>Béjot</w:t>
      </w:r>
      <w:proofErr w:type="spellEnd"/>
      <w:r w:rsidRPr="00985212">
        <w:rPr>
          <w:rFonts w:ascii="Arial" w:hAnsi="Arial" w:cs="Arial"/>
          <w:color w:val="222222"/>
          <w:shd w:val="clear" w:color="auto" w:fill="FFFFFF"/>
        </w:rPr>
        <w:t>, Y., 2019. A review of psychosocial factors and stroke: A new public health problem. </w:t>
      </w:r>
      <w:r w:rsidRPr="00985212">
        <w:rPr>
          <w:rFonts w:ascii="Arial" w:hAnsi="Arial" w:cs="Arial"/>
          <w:i/>
          <w:iCs/>
          <w:color w:val="222222"/>
          <w:shd w:val="clear" w:color="auto" w:fill="FFFFFF"/>
        </w:rPr>
        <w:t xml:space="preserve">Revue </w:t>
      </w:r>
      <w:proofErr w:type="spellStart"/>
      <w:r w:rsidRPr="00985212">
        <w:rPr>
          <w:rFonts w:ascii="Arial" w:hAnsi="Arial" w:cs="Arial"/>
          <w:i/>
          <w:iCs/>
          <w:color w:val="222222"/>
          <w:shd w:val="clear" w:color="auto" w:fill="FFFFFF"/>
        </w:rPr>
        <w:t>neurologique</w:t>
      </w:r>
      <w:proofErr w:type="spellEnd"/>
      <w:r w:rsidRPr="00985212">
        <w:rPr>
          <w:rFonts w:ascii="Arial" w:hAnsi="Arial" w:cs="Arial"/>
          <w:color w:val="222222"/>
          <w:shd w:val="clear" w:color="auto" w:fill="FFFFFF"/>
        </w:rPr>
        <w:t>, </w:t>
      </w:r>
      <w:r w:rsidRPr="00985212">
        <w:rPr>
          <w:rFonts w:ascii="Arial" w:hAnsi="Arial" w:cs="Arial"/>
          <w:i/>
          <w:iCs/>
          <w:color w:val="222222"/>
          <w:shd w:val="clear" w:color="auto" w:fill="FFFFFF"/>
        </w:rPr>
        <w:t>175</w:t>
      </w:r>
      <w:r w:rsidRPr="00985212">
        <w:rPr>
          <w:rFonts w:ascii="Arial" w:hAnsi="Arial" w:cs="Arial"/>
          <w:color w:val="222222"/>
          <w:shd w:val="clear" w:color="auto" w:fill="FFFFFF"/>
        </w:rPr>
        <w:t>(10), pp.686-692.</w:t>
      </w:r>
    </w:p>
    <w:p w:rsidR="00B91063" w:rsidRPr="00B91063" w:rsidRDefault="00B91063" w:rsidP="00985212">
      <w:pPr>
        <w:pStyle w:val="ListParagraph"/>
        <w:numPr>
          <w:ilvl w:val="0"/>
          <w:numId w:val="2"/>
        </w:numPr>
        <w:spacing w:line="360" w:lineRule="auto"/>
        <w:rPr>
          <w:rFonts w:ascii="Arial" w:hAnsi="Arial" w:cs="Arial"/>
          <w:color w:val="222222"/>
          <w:shd w:val="clear" w:color="auto" w:fill="FFFFFF"/>
        </w:rPr>
      </w:pPr>
      <w:r w:rsidRPr="00B91063">
        <w:rPr>
          <w:rFonts w:ascii="Arial" w:hAnsi="Arial" w:cs="Arial"/>
          <w:color w:val="333333"/>
          <w:shd w:val="clear" w:color="auto" w:fill="FFFFFF"/>
        </w:rPr>
        <w:t xml:space="preserve">Johnson, W., </w:t>
      </w:r>
      <w:proofErr w:type="spellStart"/>
      <w:r w:rsidRPr="00B91063">
        <w:rPr>
          <w:rFonts w:ascii="Arial" w:hAnsi="Arial" w:cs="Arial"/>
          <w:color w:val="333333"/>
          <w:shd w:val="clear" w:color="auto" w:fill="FFFFFF"/>
        </w:rPr>
        <w:t>Onuma</w:t>
      </w:r>
      <w:proofErr w:type="spellEnd"/>
      <w:r w:rsidRPr="00B91063">
        <w:rPr>
          <w:rFonts w:ascii="Arial" w:hAnsi="Arial" w:cs="Arial"/>
          <w:color w:val="333333"/>
          <w:shd w:val="clear" w:color="auto" w:fill="FFFFFF"/>
        </w:rPr>
        <w:t xml:space="preserve">, O., </w:t>
      </w:r>
      <w:proofErr w:type="spellStart"/>
      <w:r w:rsidRPr="00B91063">
        <w:rPr>
          <w:rFonts w:ascii="Arial" w:hAnsi="Arial" w:cs="Arial"/>
          <w:color w:val="333333"/>
          <w:shd w:val="clear" w:color="auto" w:fill="FFFFFF"/>
        </w:rPr>
        <w:t>Owolabi</w:t>
      </w:r>
      <w:proofErr w:type="spellEnd"/>
      <w:r w:rsidRPr="00B91063">
        <w:rPr>
          <w:rFonts w:ascii="Arial" w:hAnsi="Arial" w:cs="Arial"/>
          <w:color w:val="333333"/>
          <w:shd w:val="clear" w:color="auto" w:fill="FFFFFF"/>
        </w:rPr>
        <w:t xml:space="preserve">, M. and </w:t>
      </w:r>
      <w:proofErr w:type="spellStart"/>
      <w:r w:rsidRPr="00B91063">
        <w:rPr>
          <w:rFonts w:ascii="Arial" w:hAnsi="Arial" w:cs="Arial"/>
          <w:color w:val="333333"/>
          <w:shd w:val="clear" w:color="auto" w:fill="FFFFFF"/>
        </w:rPr>
        <w:t>Sachdev</w:t>
      </w:r>
      <w:proofErr w:type="spellEnd"/>
      <w:r w:rsidRPr="00B91063">
        <w:rPr>
          <w:rFonts w:ascii="Arial" w:hAnsi="Arial" w:cs="Arial"/>
          <w:color w:val="333333"/>
          <w:shd w:val="clear" w:color="auto" w:fill="FFFFFF"/>
        </w:rPr>
        <w:t>, S., 2016. Stroke: a global response is needed. </w:t>
      </w:r>
      <w:r w:rsidRPr="00B91063">
        <w:rPr>
          <w:rFonts w:ascii="Arial" w:hAnsi="Arial" w:cs="Arial"/>
          <w:i/>
          <w:iCs/>
          <w:color w:val="333333"/>
          <w:shd w:val="clear" w:color="auto" w:fill="FFFFFF"/>
        </w:rPr>
        <w:t>Bulletin of the World Health Organization</w:t>
      </w:r>
      <w:r w:rsidRPr="00B91063">
        <w:rPr>
          <w:rFonts w:ascii="Arial" w:hAnsi="Arial" w:cs="Arial"/>
          <w:color w:val="333333"/>
          <w:shd w:val="clear" w:color="auto" w:fill="FFFFFF"/>
        </w:rPr>
        <w:t>, </w:t>
      </w:r>
      <w:r w:rsidRPr="00B91063">
        <w:rPr>
          <w:rFonts w:ascii="Arial" w:hAnsi="Arial" w:cs="Arial"/>
          <w:i/>
          <w:iCs/>
          <w:color w:val="333333"/>
          <w:shd w:val="clear" w:color="auto" w:fill="FFFFFF"/>
        </w:rPr>
        <w:t>94</w:t>
      </w:r>
      <w:r w:rsidRPr="00B91063">
        <w:rPr>
          <w:rFonts w:ascii="Arial" w:hAnsi="Arial" w:cs="Arial"/>
          <w:color w:val="333333"/>
          <w:shd w:val="clear" w:color="auto" w:fill="FFFFFF"/>
        </w:rPr>
        <w:t>(9), p.634.</w:t>
      </w:r>
    </w:p>
    <w:p w:rsidR="00985212" w:rsidRPr="00985212" w:rsidRDefault="00985212" w:rsidP="00985212">
      <w:pPr>
        <w:pStyle w:val="ListParagraph"/>
        <w:numPr>
          <w:ilvl w:val="0"/>
          <w:numId w:val="2"/>
        </w:numPr>
        <w:spacing w:line="360" w:lineRule="auto"/>
        <w:rPr>
          <w:rFonts w:ascii="Arial" w:hAnsi="Arial" w:cs="Arial"/>
          <w:color w:val="222222"/>
          <w:shd w:val="clear" w:color="auto" w:fill="FFFFFF"/>
        </w:rPr>
      </w:pPr>
      <w:bookmarkStart w:id="0" w:name="_GoBack"/>
      <w:bookmarkEnd w:id="0"/>
      <w:r w:rsidRPr="00985212">
        <w:rPr>
          <w:rFonts w:ascii="Arial" w:hAnsi="Arial" w:cs="Arial"/>
          <w:color w:val="222222"/>
          <w:shd w:val="clear" w:color="auto" w:fill="FFFFFF"/>
        </w:rPr>
        <w:t xml:space="preserve">King, D., Wittenberg, R., Patel, A., </w:t>
      </w:r>
      <w:proofErr w:type="spellStart"/>
      <w:r w:rsidRPr="00985212">
        <w:rPr>
          <w:rFonts w:ascii="Arial" w:hAnsi="Arial" w:cs="Arial"/>
          <w:color w:val="222222"/>
          <w:shd w:val="clear" w:color="auto" w:fill="FFFFFF"/>
        </w:rPr>
        <w:t>Quayyum</w:t>
      </w:r>
      <w:proofErr w:type="spellEnd"/>
      <w:r w:rsidRPr="00985212">
        <w:rPr>
          <w:rFonts w:ascii="Arial" w:hAnsi="Arial" w:cs="Arial"/>
          <w:color w:val="222222"/>
          <w:shd w:val="clear" w:color="auto" w:fill="FFFFFF"/>
        </w:rPr>
        <w:t xml:space="preserve">, Z., </w:t>
      </w:r>
      <w:proofErr w:type="spellStart"/>
      <w:r w:rsidRPr="00985212">
        <w:rPr>
          <w:rFonts w:ascii="Arial" w:hAnsi="Arial" w:cs="Arial"/>
          <w:color w:val="222222"/>
          <w:shd w:val="clear" w:color="auto" w:fill="FFFFFF"/>
        </w:rPr>
        <w:t>Berdunov</w:t>
      </w:r>
      <w:proofErr w:type="spellEnd"/>
      <w:r w:rsidRPr="00985212">
        <w:rPr>
          <w:rFonts w:ascii="Arial" w:hAnsi="Arial" w:cs="Arial"/>
          <w:color w:val="222222"/>
          <w:shd w:val="clear" w:color="auto" w:fill="FFFFFF"/>
        </w:rPr>
        <w:t>, V. and Knapp, M., 2020. The future incidence, prevalence and costs of stroke in the UK. </w:t>
      </w:r>
      <w:r w:rsidRPr="00985212">
        <w:rPr>
          <w:rFonts w:ascii="Arial" w:hAnsi="Arial" w:cs="Arial"/>
          <w:i/>
          <w:iCs/>
          <w:color w:val="222222"/>
          <w:shd w:val="clear" w:color="auto" w:fill="FFFFFF"/>
        </w:rPr>
        <w:t>Age and ageing</w:t>
      </w:r>
      <w:r w:rsidRPr="00985212">
        <w:rPr>
          <w:rFonts w:ascii="Arial" w:hAnsi="Arial" w:cs="Arial"/>
          <w:color w:val="222222"/>
          <w:shd w:val="clear" w:color="auto" w:fill="FFFFFF"/>
        </w:rPr>
        <w:t>, </w:t>
      </w:r>
      <w:r w:rsidRPr="00985212">
        <w:rPr>
          <w:rFonts w:ascii="Arial" w:hAnsi="Arial" w:cs="Arial"/>
          <w:i/>
          <w:iCs/>
          <w:color w:val="222222"/>
          <w:shd w:val="clear" w:color="auto" w:fill="FFFFFF"/>
        </w:rPr>
        <w:t>49</w:t>
      </w:r>
      <w:r w:rsidRPr="00985212">
        <w:rPr>
          <w:rFonts w:ascii="Arial" w:hAnsi="Arial" w:cs="Arial"/>
          <w:color w:val="222222"/>
          <w:shd w:val="clear" w:color="auto" w:fill="FFFFFF"/>
        </w:rPr>
        <w:t>(2), pp.277-282.</w:t>
      </w:r>
    </w:p>
    <w:p w:rsidR="00985212" w:rsidRPr="00985212" w:rsidRDefault="00985212" w:rsidP="00985212">
      <w:pPr>
        <w:pStyle w:val="ListParagraph"/>
        <w:numPr>
          <w:ilvl w:val="0"/>
          <w:numId w:val="2"/>
        </w:numPr>
        <w:spacing w:line="360" w:lineRule="auto"/>
        <w:rPr>
          <w:rFonts w:ascii="Arial" w:hAnsi="Arial" w:cs="Arial"/>
        </w:rPr>
      </w:pPr>
      <w:r w:rsidRPr="00985212">
        <w:rPr>
          <w:rFonts w:ascii="Arial" w:hAnsi="Arial" w:cs="Arial"/>
          <w:color w:val="222222"/>
          <w:shd w:val="clear" w:color="auto" w:fill="FFFFFF"/>
        </w:rPr>
        <w:t xml:space="preserve">Marshall, I., </w:t>
      </w:r>
      <w:proofErr w:type="spellStart"/>
      <w:r w:rsidRPr="00985212">
        <w:rPr>
          <w:rFonts w:ascii="Arial" w:hAnsi="Arial" w:cs="Arial"/>
          <w:color w:val="222222"/>
          <w:shd w:val="clear" w:color="auto" w:fill="FFFFFF"/>
        </w:rPr>
        <w:t>McKevitt</w:t>
      </w:r>
      <w:proofErr w:type="spellEnd"/>
      <w:r w:rsidRPr="00985212">
        <w:rPr>
          <w:rFonts w:ascii="Arial" w:hAnsi="Arial" w:cs="Arial"/>
          <w:color w:val="222222"/>
          <w:shd w:val="clear" w:color="auto" w:fill="FFFFFF"/>
        </w:rPr>
        <w:t xml:space="preserve">, C., Wang, Y., </w:t>
      </w:r>
      <w:proofErr w:type="spellStart"/>
      <w:r w:rsidRPr="00985212">
        <w:rPr>
          <w:rFonts w:ascii="Arial" w:hAnsi="Arial" w:cs="Arial"/>
          <w:color w:val="222222"/>
          <w:shd w:val="clear" w:color="auto" w:fill="FFFFFF"/>
        </w:rPr>
        <w:t>Wafa</w:t>
      </w:r>
      <w:proofErr w:type="spellEnd"/>
      <w:r w:rsidRPr="00985212">
        <w:rPr>
          <w:rFonts w:ascii="Arial" w:hAnsi="Arial" w:cs="Arial"/>
          <w:color w:val="222222"/>
          <w:shd w:val="clear" w:color="auto" w:fill="FFFFFF"/>
        </w:rPr>
        <w:t xml:space="preserve">, H., </w:t>
      </w:r>
      <w:proofErr w:type="spellStart"/>
      <w:r w:rsidRPr="00985212">
        <w:rPr>
          <w:rFonts w:ascii="Arial" w:hAnsi="Arial" w:cs="Arial"/>
          <w:color w:val="222222"/>
          <w:shd w:val="clear" w:color="auto" w:fill="FFFFFF"/>
        </w:rPr>
        <w:t>Skolarus</w:t>
      </w:r>
      <w:proofErr w:type="spellEnd"/>
      <w:r w:rsidRPr="00985212">
        <w:rPr>
          <w:rFonts w:ascii="Arial" w:hAnsi="Arial" w:cs="Arial"/>
          <w:color w:val="222222"/>
          <w:shd w:val="clear" w:color="auto" w:fill="FFFFFF"/>
        </w:rPr>
        <w:t xml:space="preserve">, L., </w:t>
      </w:r>
      <w:proofErr w:type="spellStart"/>
      <w:r w:rsidRPr="00985212">
        <w:rPr>
          <w:rFonts w:ascii="Arial" w:hAnsi="Arial" w:cs="Arial"/>
          <w:color w:val="222222"/>
          <w:shd w:val="clear" w:color="auto" w:fill="FFFFFF"/>
        </w:rPr>
        <w:t>Bhalla</w:t>
      </w:r>
      <w:proofErr w:type="spellEnd"/>
      <w:r w:rsidRPr="00985212">
        <w:rPr>
          <w:rFonts w:ascii="Arial" w:hAnsi="Arial" w:cs="Arial"/>
          <w:color w:val="222222"/>
          <w:shd w:val="clear" w:color="auto" w:fill="FFFFFF"/>
        </w:rPr>
        <w:t xml:space="preserve">, A., </w:t>
      </w:r>
      <w:proofErr w:type="spellStart"/>
      <w:r w:rsidRPr="00985212">
        <w:rPr>
          <w:rFonts w:ascii="Arial" w:hAnsi="Arial" w:cs="Arial"/>
          <w:color w:val="222222"/>
          <w:shd w:val="clear" w:color="auto" w:fill="FFFFFF"/>
        </w:rPr>
        <w:t>Muruet</w:t>
      </w:r>
      <w:proofErr w:type="spellEnd"/>
      <w:r w:rsidRPr="00985212">
        <w:rPr>
          <w:rFonts w:ascii="Arial" w:hAnsi="Arial" w:cs="Arial"/>
          <w:color w:val="222222"/>
          <w:shd w:val="clear" w:color="auto" w:fill="FFFFFF"/>
        </w:rPr>
        <w:t xml:space="preserve">-Gutierrez, W., Emmett, E., </w:t>
      </w:r>
      <w:proofErr w:type="spellStart"/>
      <w:r w:rsidRPr="00985212">
        <w:rPr>
          <w:rFonts w:ascii="Arial" w:hAnsi="Arial" w:cs="Arial"/>
          <w:color w:val="222222"/>
          <w:shd w:val="clear" w:color="auto" w:fill="FFFFFF"/>
        </w:rPr>
        <w:t>Sommerville</w:t>
      </w:r>
      <w:proofErr w:type="spellEnd"/>
      <w:r w:rsidRPr="00985212">
        <w:rPr>
          <w:rFonts w:ascii="Arial" w:hAnsi="Arial" w:cs="Arial"/>
          <w:color w:val="222222"/>
          <w:shd w:val="clear" w:color="auto" w:fill="FFFFFF"/>
        </w:rPr>
        <w:t xml:space="preserve">, P., </w:t>
      </w:r>
      <w:proofErr w:type="spellStart"/>
      <w:r w:rsidRPr="00985212">
        <w:rPr>
          <w:rFonts w:ascii="Arial" w:hAnsi="Arial" w:cs="Arial"/>
          <w:color w:val="222222"/>
          <w:shd w:val="clear" w:color="auto" w:fill="FFFFFF"/>
        </w:rPr>
        <w:t>Birns</w:t>
      </w:r>
      <w:proofErr w:type="spellEnd"/>
      <w:r w:rsidRPr="00985212">
        <w:rPr>
          <w:rFonts w:ascii="Arial" w:hAnsi="Arial" w:cs="Arial"/>
          <w:color w:val="222222"/>
          <w:shd w:val="clear" w:color="auto" w:fill="FFFFFF"/>
        </w:rPr>
        <w:t xml:space="preserve">, J. and </w:t>
      </w:r>
      <w:proofErr w:type="spellStart"/>
      <w:r w:rsidRPr="00985212">
        <w:rPr>
          <w:rFonts w:ascii="Arial" w:hAnsi="Arial" w:cs="Arial"/>
          <w:color w:val="222222"/>
          <w:shd w:val="clear" w:color="auto" w:fill="FFFFFF"/>
        </w:rPr>
        <w:t>Sackley</w:t>
      </w:r>
      <w:proofErr w:type="spellEnd"/>
      <w:r w:rsidRPr="00985212">
        <w:rPr>
          <w:rFonts w:ascii="Arial" w:hAnsi="Arial" w:cs="Arial"/>
          <w:color w:val="222222"/>
          <w:shd w:val="clear" w:color="auto" w:fill="FFFFFF"/>
        </w:rPr>
        <w:t>, C., 2022. Stroke pathway-An evidence base for commissioning: An evidence review for NHS England and NHS Improvement. </w:t>
      </w:r>
      <w:r w:rsidRPr="00985212">
        <w:rPr>
          <w:rFonts w:ascii="Arial" w:hAnsi="Arial" w:cs="Arial"/>
          <w:i/>
          <w:iCs/>
          <w:color w:val="222222"/>
          <w:shd w:val="clear" w:color="auto" w:fill="FFFFFF"/>
        </w:rPr>
        <w:t>NIHR Open Research</w:t>
      </w:r>
      <w:r w:rsidRPr="00985212">
        <w:rPr>
          <w:rFonts w:ascii="Arial" w:hAnsi="Arial" w:cs="Arial"/>
          <w:color w:val="222222"/>
          <w:shd w:val="clear" w:color="auto" w:fill="FFFFFF"/>
        </w:rPr>
        <w:t>, </w:t>
      </w:r>
      <w:r w:rsidRPr="00985212">
        <w:rPr>
          <w:rFonts w:ascii="Arial" w:hAnsi="Arial" w:cs="Arial"/>
          <w:i/>
          <w:iCs/>
          <w:color w:val="222222"/>
          <w:shd w:val="clear" w:color="auto" w:fill="FFFFFF"/>
        </w:rPr>
        <w:t>2</w:t>
      </w:r>
      <w:r w:rsidRPr="00985212">
        <w:rPr>
          <w:rFonts w:ascii="Arial" w:hAnsi="Arial" w:cs="Arial"/>
          <w:color w:val="222222"/>
          <w:shd w:val="clear" w:color="auto" w:fill="FFFFFF"/>
        </w:rPr>
        <w:t>(43), pp.1-35.</w:t>
      </w:r>
    </w:p>
    <w:p w:rsidR="00985212" w:rsidRPr="00985212" w:rsidRDefault="00985212" w:rsidP="00985212">
      <w:pPr>
        <w:pStyle w:val="ListParagraph"/>
        <w:numPr>
          <w:ilvl w:val="0"/>
          <w:numId w:val="2"/>
        </w:numPr>
        <w:spacing w:line="360" w:lineRule="auto"/>
        <w:rPr>
          <w:rFonts w:ascii="Arial" w:hAnsi="Arial" w:cs="Arial"/>
          <w:color w:val="222222"/>
          <w:shd w:val="clear" w:color="auto" w:fill="FFFFFF"/>
        </w:rPr>
      </w:pPr>
      <w:r w:rsidRPr="00985212">
        <w:rPr>
          <w:rFonts w:ascii="Arial" w:hAnsi="Arial" w:cs="Arial"/>
          <w:color w:val="222222"/>
          <w:shd w:val="clear" w:color="auto" w:fill="FFFFFF"/>
        </w:rPr>
        <w:t>National Guideline Centre &amp; SSNAP, 2016. Sentinel Stroke National Audit Programme: cost and cost-effectiveness analysis.</w:t>
      </w:r>
    </w:p>
    <w:p w:rsidR="00985212" w:rsidRPr="00985212" w:rsidRDefault="00985212" w:rsidP="00985212">
      <w:pPr>
        <w:pStyle w:val="ListParagraph"/>
        <w:numPr>
          <w:ilvl w:val="0"/>
          <w:numId w:val="2"/>
        </w:numPr>
        <w:spacing w:line="360" w:lineRule="auto"/>
        <w:rPr>
          <w:rFonts w:ascii="Arial" w:hAnsi="Arial" w:cs="Arial"/>
          <w:color w:val="222222"/>
          <w:shd w:val="clear" w:color="auto" w:fill="FFFFFF"/>
        </w:rPr>
      </w:pPr>
      <w:r w:rsidRPr="00985212">
        <w:rPr>
          <w:rFonts w:ascii="Arial" w:hAnsi="Arial" w:cs="Arial"/>
          <w:color w:val="222222"/>
          <w:shd w:val="clear" w:color="auto" w:fill="FFFFFF"/>
        </w:rPr>
        <w:t>Takashima, N., 2022. Importance of continuous monitoring of stroke recurrence in the general population. </w:t>
      </w:r>
      <w:r w:rsidRPr="00985212">
        <w:rPr>
          <w:rFonts w:ascii="Arial" w:hAnsi="Arial" w:cs="Arial"/>
          <w:i/>
          <w:iCs/>
          <w:color w:val="222222"/>
          <w:shd w:val="clear" w:color="auto" w:fill="FFFFFF"/>
        </w:rPr>
        <w:t>Journal of Atherosclerosis and Thrombosis</w:t>
      </w:r>
      <w:r w:rsidRPr="00985212">
        <w:rPr>
          <w:rFonts w:ascii="Arial" w:hAnsi="Arial" w:cs="Arial"/>
          <w:color w:val="222222"/>
          <w:shd w:val="clear" w:color="auto" w:fill="FFFFFF"/>
        </w:rPr>
        <w:t>, </w:t>
      </w:r>
      <w:r w:rsidRPr="00985212">
        <w:rPr>
          <w:rFonts w:ascii="Arial" w:hAnsi="Arial" w:cs="Arial"/>
          <w:i/>
          <w:iCs/>
          <w:color w:val="222222"/>
          <w:shd w:val="clear" w:color="auto" w:fill="FFFFFF"/>
        </w:rPr>
        <w:t>29</w:t>
      </w:r>
      <w:r w:rsidRPr="00985212">
        <w:rPr>
          <w:rFonts w:ascii="Arial" w:hAnsi="Arial" w:cs="Arial"/>
          <w:color w:val="222222"/>
          <w:shd w:val="clear" w:color="auto" w:fill="FFFFFF"/>
        </w:rPr>
        <w:t>(12), pp.1699-1700.</w:t>
      </w:r>
    </w:p>
    <w:p w:rsidR="00985212" w:rsidRPr="00985212" w:rsidRDefault="00985212" w:rsidP="00985212">
      <w:pPr>
        <w:spacing w:after="0" w:line="360" w:lineRule="auto"/>
        <w:rPr>
          <w:rFonts w:ascii="Arial" w:eastAsia="Times New Roman" w:hAnsi="Arial" w:cs="Arial"/>
          <w:b/>
          <w:kern w:val="0"/>
          <w:lang w:eastAsia="en-GB"/>
          <w14:ligatures w14:val="none"/>
        </w:rPr>
      </w:pPr>
    </w:p>
    <w:p w:rsidR="00FD5F13" w:rsidRPr="00985212" w:rsidRDefault="00FD5F13" w:rsidP="00985212">
      <w:pPr>
        <w:spacing w:after="0" w:line="360" w:lineRule="auto"/>
        <w:rPr>
          <w:rFonts w:ascii="Arial" w:eastAsia="Times New Roman" w:hAnsi="Arial" w:cs="Arial"/>
          <w:b/>
          <w:kern w:val="0"/>
          <w:lang w:eastAsia="en-GB"/>
          <w14:ligatures w14:val="none"/>
        </w:rPr>
      </w:pPr>
    </w:p>
    <w:sectPr w:rsidR="00FD5F13" w:rsidRPr="00985212" w:rsidSect="00F161A7">
      <w:footerReference w:type="default" r:id="rId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473D" w:rsidRDefault="00A7473D" w:rsidP="00F161A7">
      <w:pPr>
        <w:spacing w:after="0" w:line="240" w:lineRule="auto"/>
      </w:pPr>
      <w:r>
        <w:separator/>
      </w:r>
    </w:p>
  </w:endnote>
  <w:endnote w:type="continuationSeparator" w:id="0">
    <w:p w:rsidR="00A7473D" w:rsidRDefault="00A7473D" w:rsidP="00F16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1A7" w:rsidRDefault="00A7473D">
    <w:pPr>
      <w:pStyle w:val="Footer"/>
      <w:jc w:val="right"/>
    </w:pPr>
    <w:sdt>
      <w:sdtPr>
        <w:id w:val="1448731834"/>
        <w:docPartObj>
          <w:docPartGallery w:val="Page Numbers (Bottom of Page)"/>
          <w:docPartUnique/>
        </w:docPartObj>
      </w:sdtPr>
      <w:sdtEndPr>
        <w:rPr>
          <w:noProof/>
        </w:rPr>
      </w:sdtEndPr>
      <w:sdtContent>
        <w:r w:rsidR="00F161A7">
          <w:fldChar w:fldCharType="begin"/>
        </w:r>
        <w:r w:rsidR="00F161A7">
          <w:instrText xml:space="preserve"> PAGE   \* MERGEFORMAT </w:instrText>
        </w:r>
        <w:r w:rsidR="00F161A7">
          <w:fldChar w:fldCharType="separate"/>
        </w:r>
        <w:r w:rsidR="00B91063">
          <w:rPr>
            <w:noProof/>
          </w:rPr>
          <w:t>6</w:t>
        </w:r>
        <w:r w:rsidR="00F161A7">
          <w:rPr>
            <w:noProof/>
          </w:rPr>
          <w:fldChar w:fldCharType="end"/>
        </w:r>
      </w:sdtContent>
    </w:sdt>
  </w:p>
  <w:p w:rsidR="00F161A7" w:rsidRDefault="00F161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473D" w:rsidRDefault="00A7473D" w:rsidP="00F161A7">
      <w:pPr>
        <w:spacing w:after="0" w:line="240" w:lineRule="auto"/>
      </w:pPr>
      <w:r>
        <w:separator/>
      </w:r>
    </w:p>
  </w:footnote>
  <w:footnote w:type="continuationSeparator" w:id="0">
    <w:p w:rsidR="00A7473D" w:rsidRDefault="00A7473D" w:rsidP="00F161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FB35EE"/>
    <w:multiLevelType w:val="multilevel"/>
    <w:tmpl w:val="42541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6B67A8D"/>
    <w:multiLevelType w:val="hybridMultilevel"/>
    <w:tmpl w:val="9DD450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B4C"/>
    <w:rsid w:val="00016C15"/>
    <w:rsid w:val="00025724"/>
    <w:rsid w:val="00037D37"/>
    <w:rsid w:val="000A3DF0"/>
    <w:rsid w:val="000A621E"/>
    <w:rsid w:val="000B152B"/>
    <w:rsid w:val="002D7FD6"/>
    <w:rsid w:val="002E42EA"/>
    <w:rsid w:val="002E609B"/>
    <w:rsid w:val="00352A94"/>
    <w:rsid w:val="00467273"/>
    <w:rsid w:val="004B0F1F"/>
    <w:rsid w:val="00614076"/>
    <w:rsid w:val="00630600"/>
    <w:rsid w:val="0065200A"/>
    <w:rsid w:val="00657B44"/>
    <w:rsid w:val="006E4DA4"/>
    <w:rsid w:val="008C6B4C"/>
    <w:rsid w:val="00985212"/>
    <w:rsid w:val="00A7473D"/>
    <w:rsid w:val="00A90E2F"/>
    <w:rsid w:val="00AC6231"/>
    <w:rsid w:val="00AD72A3"/>
    <w:rsid w:val="00B46A27"/>
    <w:rsid w:val="00B91063"/>
    <w:rsid w:val="00CC3EF5"/>
    <w:rsid w:val="00CE420D"/>
    <w:rsid w:val="00DE3044"/>
    <w:rsid w:val="00F161A7"/>
    <w:rsid w:val="00F82C6F"/>
    <w:rsid w:val="00FD5F13"/>
    <w:rsid w:val="00FE6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C6B4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8C6B4C"/>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6B4C"/>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8C6B4C"/>
    <w:rPr>
      <w:rFonts w:ascii="Times New Roman" w:eastAsia="Times New Roman" w:hAnsi="Times New Roman" w:cs="Times New Roman"/>
      <w:b/>
      <w:bCs/>
      <w:kern w:val="0"/>
      <w:sz w:val="36"/>
      <w:szCs w:val="36"/>
      <w:lang w:eastAsia="en-GB"/>
    </w:rPr>
  </w:style>
  <w:style w:type="paragraph" w:styleId="NormalWeb">
    <w:name w:val="Normal (Web)"/>
    <w:basedOn w:val="Normal"/>
    <w:uiPriority w:val="99"/>
    <w:semiHidden/>
    <w:unhideWhenUsed/>
    <w:rsid w:val="008C6B4C"/>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8C6B4C"/>
    <w:rPr>
      <w:b/>
      <w:bCs/>
    </w:rPr>
  </w:style>
  <w:style w:type="character" w:styleId="Emphasis">
    <w:name w:val="Emphasis"/>
    <w:basedOn w:val="DefaultParagraphFont"/>
    <w:uiPriority w:val="20"/>
    <w:qFormat/>
    <w:rsid w:val="002E609B"/>
    <w:rPr>
      <w:i/>
      <w:iCs/>
    </w:rPr>
  </w:style>
  <w:style w:type="paragraph" w:styleId="ListParagraph">
    <w:name w:val="List Paragraph"/>
    <w:basedOn w:val="Normal"/>
    <w:uiPriority w:val="34"/>
    <w:qFormat/>
    <w:rsid w:val="002E609B"/>
    <w:pPr>
      <w:ind w:left="720"/>
      <w:contextualSpacing/>
    </w:pPr>
  </w:style>
  <w:style w:type="paragraph" w:styleId="Header">
    <w:name w:val="header"/>
    <w:basedOn w:val="Normal"/>
    <w:link w:val="HeaderChar"/>
    <w:uiPriority w:val="99"/>
    <w:unhideWhenUsed/>
    <w:rsid w:val="00F16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61A7"/>
  </w:style>
  <w:style w:type="paragraph" w:styleId="Footer">
    <w:name w:val="footer"/>
    <w:basedOn w:val="Normal"/>
    <w:link w:val="FooterChar"/>
    <w:uiPriority w:val="99"/>
    <w:unhideWhenUsed/>
    <w:rsid w:val="00F16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61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C6B4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8C6B4C"/>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6B4C"/>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8C6B4C"/>
    <w:rPr>
      <w:rFonts w:ascii="Times New Roman" w:eastAsia="Times New Roman" w:hAnsi="Times New Roman" w:cs="Times New Roman"/>
      <w:b/>
      <w:bCs/>
      <w:kern w:val="0"/>
      <w:sz w:val="36"/>
      <w:szCs w:val="36"/>
      <w:lang w:eastAsia="en-GB"/>
    </w:rPr>
  </w:style>
  <w:style w:type="paragraph" w:styleId="NormalWeb">
    <w:name w:val="Normal (Web)"/>
    <w:basedOn w:val="Normal"/>
    <w:uiPriority w:val="99"/>
    <w:semiHidden/>
    <w:unhideWhenUsed/>
    <w:rsid w:val="008C6B4C"/>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8C6B4C"/>
    <w:rPr>
      <w:b/>
      <w:bCs/>
    </w:rPr>
  </w:style>
  <w:style w:type="character" w:styleId="Emphasis">
    <w:name w:val="Emphasis"/>
    <w:basedOn w:val="DefaultParagraphFont"/>
    <w:uiPriority w:val="20"/>
    <w:qFormat/>
    <w:rsid w:val="002E609B"/>
    <w:rPr>
      <w:i/>
      <w:iCs/>
    </w:rPr>
  </w:style>
  <w:style w:type="paragraph" w:styleId="ListParagraph">
    <w:name w:val="List Paragraph"/>
    <w:basedOn w:val="Normal"/>
    <w:uiPriority w:val="34"/>
    <w:qFormat/>
    <w:rsid w:val="002E609B"/>
    <w:pPr>
      <w:ind w:left="720"/>
      <w:contextualSpacing/>
    </w:pPr>
  </w:style>
  <w:style w:type="paragraph" w:styleId="Header">
    <w:name w:val="header"/>
    <w:basedOn w:val="Normal"/>
    <w:link w:val="HeaderChar"/>
    <w:uiPriority w:val="99"/>
    <w:unhideWhenUsed/>
    <w:rsid w:val="00F16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61A7"/>
  </w:style>
  <w:style w:type="paragraph" w:styleId="Footer">
    <w:name w:val="footer"/>
    <w:basedOn w:val="Normal"/>
    <w:link w:val="FooterChar"/>
    <w:uiPriority w:val="99"/>
    <w:unhideWhenUsed/>
    <w:rsid w:val="00F16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61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567790">
      <w:bodyDiv w:val="1"/>
      <w:marLeft w:val="0"/>
      <w:marRight w:val="0"/>
      <w:marTop w:val="0"/>
      <w:marBottom w:val="0"/>
      <w:divBdr>
        <w:top w:val="none" w:sz="0" w:space="0" w:color="auto"/>
        <w:left w:val="none" w:sz="0" w:space="0" w:color="auto"/>
        <w:bottom w:val="none" w:sz="0" w:space="0" w:color="auto"/>
        <w:right w:val="none" w:sz="0" w:space="0" w:color="auto"/>
      </w:divBdr>
      <w:divsChild>
        <w:div w:id="1477991000">
          <w:marLeft w:val="0"/>
          <w:marRight w:val="0"/>
          <w:marTop w:val="120"/>
          <w:marBottom w:val="120"/>
          <w:divBdr>
            <w:top w:val="none" w:sz="0" w:space="0" w:color="auto"/>
            <w:left w:val="none" w:sz="0" w:space="0" w:color="auto"/>
            <w:bottom w:val="none" w:sz="0" w:space="0" w:color="auto"/>
            <w:right w:val="none" w:sz="0" w:space="0" w:color="auto"/>
          </w:divBdr>
        </w:div>
        <w:div w:id="163328680">
          <w:marLeft w:val="0"/>
          <w:marRight w:val="0"/>
          <w:marTop w:val="120"/>
          <w:marBottom w:val="120"/>
          <w:divBdr>
            <w:top w:val="none" w:sz="0" w:space="0" w:color="auto"/>
            <w:left w:val="none" w:sz="0" w:space="0" w:color="auto"/>
            <w:bottom w:val="none" w:sz="0" w:space="0" w:color="auto"/>
            <w:right w:val="none" w:sz="0" w:space="0" w:color="auto"/>
          </w:divBdr>
        </w:div>
        <w:div w:id="1527525983">
          <w:marLeft w:val="0"/>
          <w:marRight w:val="0"/>
          <w:marTop w:val="120"/>
          <w:marBottom w:val="120"/>
          <w:divBdr>
            <w:top w:val="none" w:sz="0" w:space="0" w:color="auto"/>
            <w:left w:val="none" w:sz="0" w:space="0" w:color="auto"/>
            <w:bottom w:val="none" w:sz="0" w:space="0" w:color="auto"/>
            <w:right w:val="none" w:sz="0" w:space="0" w:color="auto"/>
          </w:divBdr>
        </w:div>
        <w:div w:id="1841962703">
          <w:marLeft w:val="0"/>
          <w:marRight w:val="0"/>
          <w:marTop w:val="120"/>
          <w:marBottom w:val="120"/>
          <w:divBdr>
            <w:top w:val="none" w:sz="0" w:space="0" w:color="auto"/>
            <w:left w:val="none" w:sz="0" w:space="0" w:color="auto"/>
            <w:bottom w:val="none" w:sz="0" w:space="0" w:color="auto"/>
            <w:right w:val="none" w:sz="0" w:space="0" w:color="auto"/>
          </w:divBdr>
        </w:div>
      </w:divsChild>
    </w:div>
    <w:div w:id="348533691">
      <w:bodyDiv w:val="1"/>
      <w:marLeft w:val="0"/>
      <w:marRight w:val="0"/>
      <w:marTop w:val="0"/>
      <w:marBottom w:val="0"/>
      <w:divBdr>
        <w:top w:val="none" w:sz="0" w:space="0" w:color="auto"/>
        <w:left w:val="none" w:sz="0" w:space="0" w:color="auto"/>
        <w:bottom w:val="none" w:sz="0" w:space="0" w:color="auto"/>
        <w:right w:val="none" w:sz="0" w:space="0" w:color="auto"/>
      </w:divBdr>
      <w:divsChild>
        <w:div w:id="543295079">
          <w:marLeft w:val="0"/>
          <w:marRight w:val="0"/>
          <w:marTop w:val="120"/>
          <w:marBottom w:val="120"/>
          <w:divBdr>
            <w:top w:val="none" w:sz="0" w:space="0" w:color="auto"/>
            <w:left w:val="none" w:sz="0" w:space="0" w:color="auto"/>
            <w:bottom w:val="none" w:sz="0" w:space="0" w:color="auto"/>
            <w:right w:val="none" w:sz="0" w:space="0" w:color="auto"/>
          </w:divBdr>
        </w:div>
        <w:div w:id="628588016">
          <w:marLeft w:val="0"/>
          <w:marRight w:val="0"/>
          <w:marTop w:val="120"/>
          <w:marBottom w:val="120"/>
          <w:divBdr>
            <w:top w:val="none" w:sz="0" w:space="0" w:color="auto"/>
            <w:left w:val="none" w:sz="0" w:space="0" w:color="auto"/>
            <w:bottom w:val="none" w:sz="0" w:space="0" w:color="auto"/>
            <w:right w:val="none" w:sz="0" w:space="0" w:color="auto"/>
          </w:divBdr>
        </w:div>
      </w:divsChild>
    </w:div>
    <w:div w:id="365183335">
      <w:bodyDiv w:val="1"/>
      <w:marLeft w:val="0"/>
      <w:marRight w:val="0"/>
      <w:marTop w:val="0"/>
      <w:marBottom w:val="0"/>
      <w:divBdr>
        <w:top w:val="none" w:sz="0" w:space="0" w:color="auto"/>
        <w:left w:val="none" w:sz="0" w:space="0" w:color="auto"/>
        <w:bottom w:val="none" w:sz="0" w:space="0" w:color="auto"/>
        <w:right w:val="none" w:sz="0" w:space="0" w:color="auto"/>
      </w:divBdr>
      <w:divsChild>
        <w:div w:id="1316451677">
          <w:marLeft w:val="0"/>
          <w:marRight w:val="0"/>
          <w:marTop w:val="120"/>
          <w:marBottom w:val="120"/>
          <w:divBdr>
            <w:top w:val="none" w:sz="0" w:space="0" w:color="auto"/>
            <w:left w:val="none" w:sz="0" w:space="0" w:color="auto"/>
            <w:bottom w:val="none" w:sz="0" w:space="0" w:color="auto"/>
            <w:right w:val="none" w:sz="0" w:space="0" w:color="auto"/>
          </w:divBdr>
        </w:div>
      </w:divsChild>
    </w:div>
    <w:div w:id="417017309">
      <w:bodyDiv w:val="1"/>
      <w:marLeft w:val="0"/>
      <w:marRight w:val="0"/>
      <w:marTop w:val="0"/>
      <w:marBottom w:val="0"/>
      <w:divBdr>
        <w:top w:val="none" w:sz="0" w:space="0" w:color="auto"/>
        <w:left w:val="none" w:sz="0" w:space="0" w:color="auto"/>
        <w:bottom w:val="none" w:sz="0" w:space="0" w:color="auto"/>
        <w:right w:val="none" w:sz="0" w:space="0" w:color="auto"/>
      </w:divBdr>
    </w:div>
    <w:div w:id="529535487">
      <w:bodyDiv w:val="1"/>
      <w:marLeft w:val="0"/>
      <w:marRight w:val="0"/>
      <w:marTop w:val="0"/>
      <w:marBottom w:val="0"/>
      <w:divBdr>
        <w:top w:val="none" w:sz="0" w:space="0" w:color="auto"/>
        <w:left w:val="none" w:sz="0" w:space="0" w:color="auto"/>
        <w:bottom w:val="none" w:sz="0" w:space="0" w:color="auto"/>
        <w:right w:val="none" w:sz="0" w:space="0" w:color="auto"/>
      </w:divBdr>
      <w:divsChild>
        <w:div w:id="822430866">
          <w:marLeft w:val="0"/>
          <w:marRight w:val="0"/>
          <w:marTop w:val="120"/>
          <w:marBottom w:val="120"/>
          <w:divBdr>
            <w:top w:val="none" w:sz="0" w:space="0" w:color="auto"/>
            <w:left w:val="none" w:sz="0" w:space="0" w:color="auto"/>
            <w:bottom w:val="none" w:sz="0" w:space="0" w:color="auto"/>
            <w:right w:val="none" w:sz="0" w:space="0" w:color="auto"/>
          </w:divBdr>
        </w:div>
      </w:divsChild>
    </w:div>
    <w:div w:id="538930431">
      <w:bodyDiv w:val="1"/>
      <w:marLeft w:val="0"/>
      <w:marRight w:val="0"/>
      <w:marTop w:val="0"/>
      <w:marBottom w:val="0"/>
      <w:divBdr>
        <w:top w:val="none" w:sz="0" w:space="0" w:color="auto"/>
        <w:left w:val="none" w:sz="0" w:space="0" w:color="auto"/>
        <w:bottom w:val="none" w:sz="0" w:space="0" w:color="auto"/>
        <w:right w:val="none" w:sz="0" w:space="0" w:color="auto"/>
      </w:divBdr>
    </w:div>
    <w:div w:id="556204778">
      <w:bodyDiv w:val="1"/>
      <w:marLeft w:val="0"/>
      <w:marRight w:val="0"/>
      <w:marTop w:val="0"/>
      <w:marBottom w:val="0"/>
      <w:divBdr>
        <w:top w:val="none" w:sz="0" w:space="0" w:color="auto"/>
        <w:left w:val="none" w:sz="0" w:space="0" w:color="auto"/>
        <w:bottom w:val="none" w:sz="0" w:space="0" w:color="auto"/>
        <w:right w:val="none" w:sz="0" w:space="0" w:color="auto"/>
      </w:divBdr>
      <w:divsChild>
        <w:div w:id="1931351257">
          <w:marLeft w:val="0"/>
          <w:marRight w:val="0"/>
          <w:marTop w:val="120"/>
          <w:marBottom w:val="120"/>
          <w:divBdr>
            <w:top w:val="none" w:sz="0" w:space="0" w:color="auto"/>
            <w:left w:val="none" w:sz="0" w:space="0" w:color="auto"/>
            <w:bottom w:val="none" w:sz="0" w:space="0" w:color="auto"/>
            <w:right w:val="none" w:sz="0" w:space="0" w:color="auto"/>
          </w:divBdr>
        </w:div>
        <w:div w:id="1780106749">
          <w:marLeft w:val="0"/>
          <w:marRight w:val="0"/>
          <w:marTop w:val="120"/>
          <w:marBottom w:val="120"/>
          <w:divBdr>
            <w:top w:val="none" w:sz="0" w:space="0" w:color="auto"/>
            <w:left w:val="none" w:sz="0" w:space="0" w:color="auto"/>
            <w:bottom w:val="none" w:sz="0" w:space="0" w:color="auto"/>
            <w:right w:val="none" w:sz="0" w:space="0" w:color="auto"/>
          </w:divBdr>
        </w:div>
      </w:divsChild>
    </w:div>
    <w:div w:id="583345095">
      <w:bodyDiv w:val="1"/>
      <w:marLeft w:val="0"/>
      <w:marRight w:val="0"/>
      <w:marTop w:val="0"/>
      <w:marBottom w:val="0"/>
      <w:divBdr>
        <w:top w:val="none" w:sz="0" w:space="0" w:color="auto"/>
        <w:left w:val="none" w:sz="0" w:space="0" w:color="auto"/>
        <w:bottom w:val="none" w:sz="0" w:space="0" w:color="auto"/>
        <w:right w:val="none" w:sz="0" w:space="0" w:color="auto"/>
      </w:divBdr>
      <w:divsChild>
        <w:div w:id="1575509909">
          <w:marLeft w:val="0"/>
          <w:marRight w:val="0"/>
          <w:marTop w:val="120"/>
          <w:marBottom w:val="120"/>
          <w:divBdr>
            <w:top w:val="none" w:sz="0" w:space="0" w:color="auto"/>
            <w:left w:val="none" w:sz="0" w:space="0" w:color="auto"/>
            <w:bottom w:val="none" w:sz="0" w:space="0" w:color="auto"/>
            <w:right w:val="none" w:sz="0" w:space="0" w:color="auto"/>
          </w:divBdr>
        </w:div>
        <w:div w:id="1983774740">
          <w:marLeft w:val="0"/>
          <w:marRight w:val="0"/>
          <w:marTop w:val="120"/>
          <w:marBottom w:val="120"/>
          <w:divBdr>
            <w:top w:val="none" w:sz="0" w:space="0" w:color="auto"/>
            <w:left w:val="none" w:sz="0" w:space="0" w:color="auto"/>
            <w:bottom w:val="none" w:sz="0" w:space="0" w:color="auto"/>
            <w:right w:val="none" w:sz="0" w:space="0" w:color="auto"/>
          </w:divBdr>
        </w:div>
        <w:div w:id="187721568">
          <w:marLeft w:val="0"/>
          <w:marRight w:val="0"/>
          <w:marTop w:val="120"/>
          <w:marBottom w:val="120"/>
          <w:divBdr>
            <w:top w:val="none" w:sz="0" w:space="0" w:color="auto"/>
            <w:left w:val="none" w:sz="0" w:space="0" w:color="auto"/>
            <w:bottom w:val="none" w:sz="0" w:space="0" w:color="auto"/>
            <w:right w:val="none" w:sz="0" w:space="0" w:color="auto"/>
          </w:divBdr>
        </w:div>
        <w:div w:id="23486505">
          <w:marLeft w:val="0"/>
          <w:marRight w:val="0"/>
          <w:marTop w:val="120"/>
          <w:marBottom w:val="120"/>
          <w:divBdr>
            <w:top w:val="none" w:sz="0" w:space="0" w:color="auto"/>
            <w:left w:val="none" w:sz="0" w:space="0" w:color="auto"/>
            <w:bottom w:val="none" w:sz="0" w:space="0" w:color="auto"/>
            <w:right w:val="none" w:sz="0" w:space="0" w:color="auto"/>
          </w:divBdr>
        </w:div>
      </w:divsChild>
    </w:div>
    <w:div w:id="662855284">
      <w:bodyDiv w:val="1"/>
      <w:marLeft w:val="0"/>
      <w:marRight w:val="0"/>
      <w:marTop w:val="0"/>
      <w:marBottom w:val="0"/>
      <w:divBdr>
        <w:top w:val="none" w:sz="0" w:space="0" w:color="auto"/>
        <w:left w:val="none" w:sz="0" w:space="0" w:color="auto"/>
        <w:bottom w:val="none" w:sz="0" w:space="0" w:color="auto"/>
        <w:right w:val="none" w:sz="0" w:space="0" w:color="auto"/>
      </w:divBdr>
      <w:divsChild>
        <w:div w:id="376439449">
          <w:marLeft w:val="0"/>
          <w:marRight w:val="0"/>
          <w:marTop w:val="120"/>
          <w:marBottom w:val="120"/>
          <w:divBdr>
            <w:top w:val="none" w:sz="0" w:space="0" w:color="auto"/>
            <w:left w:val="none" w:sz="0" w:space="0" w:color="auto"/>
            <w:bottom w:val="none" w:sz="0" w:space="0" w:color="auto"/>
            <w:right w:val="none" w:sz="0" w:space="0" w:color="auto"/>
          </w:divBdr>
        </w:div>
      </w:divsChild>
    </w:div>
    <w:div w:id="791705436">
      <w:bodyDiv w:val="1"/>
      <w:marLeft w:val="0"/>
      <w:marRight w:val="0"/>
      <w:marTop w:val="0"/>
      <w:marBottom w:val="0"/>
      <w:divBdr>
        <w:top w:val="none" w:sz="0" w:space="0" w:color="auto"/>
        <w:left w:val="none" w:sz="0" w:space="0" w:color="auto"/>
        <w:bottom w:val="none" w:sz="0" w:space="0" w:color="auto"/>
        <w:right w:val="none" w:sz="0" w:space="0" w:color="auto"/>
      </w:divBdr>
    </w:div>
    <w:div w:id="909265871">
      <w:bodyDiv w:val="1"/>
      <w:marLeft w:val="0"/>
      <w:marRight w:val="0"/>
      <w:marTop w:val="0"/>
      <w:marBottom w:val="0"/>
      <w:divBdr>
        <w:top w:val="none" w:sz="0" w:space="0" w:color="auto"/>
        <w:left w:val="none" w:sz="0" w:space="0" w:color="auto"/>
        <w:bottom w:val="none" w:sz="0" w:space="0" w:color="auto"/>
        <w:right w:val="none" w:sz="0" w:space="0" w:color="auto"/>
      </w:divBdr>
      <w:divsChild>
        <w:div w:id="1989673809">
          <w:marLeft w:val="0"/>
          <w:marRight w:val="0"/>
          <w:marTop w:val="120"/>
          <w:marBottom w:val="120"/>
          <w:divBdr>
            <w:top w:val="none" w:sz="0" w:space="0" w:color="auto"/>
            <w:left w:val="none" w:sz="0" w:space="0" w:color="auto"/>
            <w:bottom w:val="none" w:sz="0" w:space="0" w:color="auto"/>
            <w:right w:val="none" w:sz="0" w:space="0" w:color="auto"/>
          </w:divBdr>
        </w:div>
      </w:divsChild>
    </w:div>
    <w:div w:id="931661933">
      <w:bodyDiv w:val="1"/>
      <w:marLeft w:val="0"/>
      <w:marRight w:val="0"/>
      <w:marTop w:val="0"/>
      <w:marBottom w:val="0"/>
      <w:divBdr>
        <w:top w:val="none" w:sz="0" w:space="0" w:color="auto"/>
        <w:left w:val="none" w:sz="0" w:space="0" w:color="auto"/>
        <w:bottom w:val="none" w:sz="0" w:space="0" w:color="auto"/>
        <w:right w:val="none" w:sz="0" w:space="0" w:color="auto"/>
      </w:divBdr>
    </w:div>
    <w:div w:id="956136771">
      <w:bodyDiv w:val="1"/>
      <w:marLeft w:val="0"/>
      <w:marRight w:val="0"/>
      <w:marTop w:val="0"/>
      <w:marBottom w:val="0"/>
      <w:divBdr>
        <w:top w:val="none" w:sz="0" w:space="0" w:color="auto"/>
        <w:left w:val="none" w:sz="0" w:space="0" w:color="auto"/>
        <w:bottom w:val="none" w:sz="0" w:space="0" w:color="auto"/>
        <w:right w:val="none" w:sz="0" w:space="0" w:color="auto"/>
      </w:divBdr>
      <w:divsChild>
        <w:div w:id="87045595">
          <w:marLeft w:val="0"/>
          <w:marRight w:val="0"/>
          <w:marTop w:val="120"/>
          <w:marBottom w:val="120"/>
          <w:divBdr>
            <w:top w:val="none" w:sz="0" w:space="0" w:color="auto"/>
            <w:left w:val="none" w:sz="0" w:space="0" w:color="auto"/>
            <w:bottom w:val="none" w:sz="0" w:space="0" w:color="auto"/>
            <w:right w:val="none" w:sz="0" w:space="0" w:color="auto"/>
          </w:divBdr>
        </w:div>
      </w:divsChild>
    </w:div>
    <w:div w:id="1250654258">
      <w:bodyDiv w:val="1"/>
      <w:marLeft w:val="0"/>
      <w:marRight w:val="0"/>
      <w:marTop w:val="0"/>
      <w:marBottom w:val="0"/>
      <w:divBdr>
        <w:top w:val="none" w:sz="0" w:space="0" w:color="auto"/>
        <w:left w:val="none" w:sz="0" w:space="0" w:color="auto"/>
        <w:bottom w:val="none" w:sz="0" w:space="0" w:color="auto"/>
        <w:right w:val="none" w:sz="0" w:space="0" w:color="auto"/>
      </w:divBdr>
      <w:divsChild>
        <w:div w:id="1537238142">
          <w:marLeft w:val="0"/>
          <w:marRight w:val="0"/>
          <w:marTop w:val="120"/>
          <w:marBottom w:val="120"/>
          <w:divBdr>
            <w:top w:val="none" w:sz="0" w:space="0" w:color="auto"/>
            <w:left w:val="none" w:sz="0" w:space="0" w:color="auto"/>
            <w:bottom w:val="none" w:sz="0" w:space="0" w:color="auto"/>
            <w:right w:val="none" w:sz="0" w:space="0" w:color="auto"/>
          </w:divBdr>
        </w:div>
      </w:divsChild>
    </w:div>
    <w:div w:id="1296525284">
      <w:bodyDiv w:val="1"/>
      <w:marLeft w:val="0"/>
      <w:marRight w:val="0"/>
      <w:marTop w:val="0"/>
      <w:marBottom w:val="0"/>
      <w:divBdr>
        <w:top w:val="none" w:sz="0" w:space="0" w:color="auto"/>
        <w:left w:val="none" w:sz="0" w:space="0" w:color="auto"/>
        <w:bottom w:val="none" w:sz="0" w:space="0" w:color="auto"/>
        <w:right w:val="none" w:sz="0" w:space="0" w:color="auto"/>
      </w:divBdr>
    </w:div>
    <w:div w:id="1423791845">
      <w:bodyDiv w:val="1"/>
      <w:marLeft w:val="0"/>
      <w:marRight w:val="0"/>
      <w:marTop w:val="0"/>
      <w:marBottom w:val="0"/>
      <w:divBdr>
        <w:top w:val="none" w:sz="0" w:space="0" w:color="auto"/>
        <w:left w:val="none" w:sz="0" w:space="0" w:color="auto"/>
        <w:bottom w:val="none" w:sz="0" w:space="0" w:color="auto"/>
        <w:right w:val="none" w:sz="0" w:space="0" w:color="auto"/>
      </w:divBdr>
      <w:divsChild>
        <w:div w:id="316111656">
          <w:marLeft w:val="0"/>
          <w:marRight w:val="0"/>
          <w:marTop w:val="120"/>
          <w:marBottom w:val="120"/>
          <w:divBdr>
            <w:top w:val="none" w:sz="0" w:space="0" w:color="auto"/>
            <w:left w:val="none" w:sz="0" w:space="0" w:color="auto"/>
            <w:bottom w:val="none" w:sz="0" w:space="0" w:color="auto"/>
            <w:right w:val="none" w:sz="0" w:space="0" w:color="auto"/>
          </w:divBdr>
        </w:div>
      </w:divsChild>
    </w:div>
    <w:div w:id="1759717227">
      <w:bodyDiv w:val="1"/>
      <w:marLeft w:val="0"/>
      <w:marRight w:val="0"/>
      <w:marTop w:val="0"/>
      <w:marBottom w:val="0"/>
      <w:divBdr>
        <w:top w:val="none" w:sz="0" w:space="0" w:color="auto"/>
        <w:left w:val="none" w:sz="0" w:space="0" w:color="auto"/>
        <w:bottom w:val="none" w:sz="0" w:space="0" w:color="auto"/>
        <w:right w:val="none" w:sz="0" w:space="0" w:color="auto"/>
      </w:divBdr>
      <w:divsChild>
        <w:div w:id="1504853793">
          <w:marLeft w:val="0"/>
          <w:marRight w:val="0"/>
          <w:marTop w:val="120"/>
          <w:marBottom w:val="120"/>
          <w:divBdr>
            <w:top w:val="none" w:sz="0" w:space="0" w:color="auto"/>
            <w:left w:val="none" w:sz="0" w:space="0" w:color="auto"/>
            <w:bottom w:val="none" w:sz="0" w:space="0" w:color="auto"/>
            <w:right w:val="none" w:sz="0" w:space="0" w:color="auto"/>
          </w:divBdr>
        </w:div>
      </w:divsChild>
    </w:div>
    <w:div w:id="1816600098">
      <w:bodyDiv w:val="1"/>
      <w:marLeft w:val="0"/>
      <w:marRight w:val="0"/>
      <w:marTop w:val="0"/>
      <w:marBottom w:val="0"/>
      <w:divBdr>
        <w:top w:val="none" w:sz="0" w:space="0" w:color="auto"/>
        <w:left w:val="none" w:sz="0" w:space="0" w:color="auto"/>
        <w:bottom w:val="none" w:sz="0" w:space="0" w:color="auto"/>
        <w:right w:val="none" w:sz="0" w:space="0" w:color="auto"/>
      </w:divBdr>
      <w:divsChild>
        <w:div w:id="2128379769">
          <w:marLeft w:val="0"/>
          <w:marRight w:val="0"/>
          <w:marTop w:val="120"/>
          <w:marBottom w:val="120"/>
          <w:divBdr>
            <w:top w:val="none" w:sz="0" w:space="0" w:color="auto"/>
            <w:left w:val="none" w:sz="0" w:space="0" w:color="auto"/>
            <w:bottom w:val="none" w:sz="0" w:space="0" w:color="auto"/>
            <w:right w:val="none" w:sz="0" w:space="0" w:color="auto"/>
          </w:divBdr>
        </w:div>
        <w:div w:id="1980956771">
          <w:marLeft w:val="0"/>
          <w:marRight w:val="0"/>
          <w:marTop w:val="120"/>
          <w:marBottom w:val="120"/>
          <w:divBdr>
            <w:top w:val="none" w:sz="0" w:space="0" w:color="auto"/>
            <w:left w:val="none" w:sz="0" w:space="0" w:color="auto"/>
            <w:bottom w:val="none" w:sz="0" w:space="0" w:color="auto"/>
            <w:right w:val="none" w:sz="0" w:space="0" w:color="auto"/>
          </w:divBdr>
        </w:div>
      </w:divsChild>
    </w:div>
    <w:div w:id="1912733908">
      <w:bodyDiv w:val="1"/>
      <w:marLeft w:val="0"/>
      <w:marRight w:val="0"/>
      <w:marTop w:val="0"/>
      <w:marBottom w:val="0"/>
      <w:divBdr>
        <w:top w:val="none" w:sz="0" w:space="0" w:color="auto"/>
        <w:left w:val="none" w:sz="0" w:space="0" w:color="auto"/>
        <w:bottom w:val="none" w:sz="0" w:space="0" w:color="auto"/>
        <w:right w:val="none" w:sz="0" w:space="0" w:color="auto"/>
      </w:divBdr>
      <w:divsChild>
        <w:div w:id="854806093">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9A297A-7FA0-4E81-AE4B-A855CB382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6</Pages>
  <Words>2018</Words>
  <Characters>11509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ADEOLA ADEKANMI</dc:creator>
  <cp:lastModifiedBy>ADEOLA ADEKANMI</cp:lastModifiedBy>
  <cp:revision>12</cp:revision>
  <dcterms:created xsi:type="dcterms:W3CDTF">2026-03-08T10:18:00Z</dcterms:created>
  <dcterms:modified xsi:type="dcterms:W3CDTF">2026-03-08T13:20:00Z</dcterms:modified>
</cp:coreProperties>
</file>