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92E" w:rsidRPr="003C492E" w:rsidRDefault="003C492E" w:rsidP="003C492E">
      <w:pPr>
        <w:rPr>
          <w:rFonts w:ascii="Arial" w:hAnsi="Arial" w:cs="Arial"/>
          <w:sz w:val="24"/>
          <w:szCs w:val="24"/>
        </w:rPr>
      </w:pPr>
      <w:r w:rsidRPr="003C492E">
        <w:rPr>
          <w:rFonts w:ascii="Arial" w:hAnsi="Arial" w:cs="Arial"/>
          <w:sz w:val="24"/>
          <w:szCs w:val="24"/>
        </w:rPr>
        <w:t>Review the</w:t>
      </w:r>
      <w:r w:rsidR="003B164A">
        <w:rPr>
          <w:rFonts w:ascii="Arial" w:hAnsi="Arial" w:cs="Arial"/>
          <w:sz w:val="24"/>
          <w:szCs w:val="24"/>
        </w:rPr>
        <w:t xml:space="preserve"> analyze the</w:t>
      </w:r>
      <w:r w:rsidRPr="003C492E">
        <w:rPr>
          <w:rFonts w:ascii="Arial" w:hAnsi="Arial" w:cs="Arial"/>
          <w:sz w:val="24"/>
          <w:szCs w:val="24"/>
        </w:rPr>
        <w:t xml:space="preserve"> current challenges facing hotels in managing their employee turnover in the UK.</w:t>
      </w:r>
    </w:p>
    <w:p w:rsidR="003C492E" w:rsidRPr="003C492E" w:rsidRDefault="003C492E" w:rsidP="003C492E">
      <w:pPr>
        <w:rPr>
          <w:rFonts w:ascii="Arial" w:hAnsi="Arial" w:cs="Arial"/>
          <w:sz w:val="24"/>
          <w:szCs w:val="24"/>
        </w:rPr>
      </w:pPr>
      <w:r w:rsidRPr="003C492E">
        <w:rPr>
          <w:rFonts w:ascii="Arial" w:hAnsi="Arial" w:cs="Arial"/>
          <w:sz w:val="24"/>
          <w:szCs w:val="24"/>
        </w:rPr>
        <w:t>•</w:t>
      </w:r>
      <w:r w:rsidRPr="003C492E">
        <w:rPr>
          <w:rFonts w:ascii="Arial" w:hAnsi="Arial" w:cs="Arial"/>
          <w:sz w:val="24"/>
          <w:szCs w:val="24"/>
        </w:rPr>
        <w:tab/>
      </w:r>
      <w:r w:rsidR="005E4334" w:rsidRPr="003C492E">
        <w:rPr>
          <w:rFonts w:ascii="Arial" w:hAnsi="Arial" w:cs="Arial"/>
          <w:sz w:val="24"/>
          <w:szCs w:val="24"/>
        </w:rPr>
        <w:t>Name:</w:t>
      </w:r>
      <w:r w:rsidR="005E4334">
        <w:rPr>
          <w:rFonts w:ascii="Arial" w:hAnsi="Arial" w:cs="Arial"/>
          <w:sz w:val="24"/>
          <w:szCs w:val="24"/>
        </w:rPr>
        <w:t xml:space="preserve"> </w:t>
      </w:r>
      <w:proofErr w:type="spellStart"/>
      <w:r w:rsidR="005E4334">
        <w:rPr>
          <w:rFonts w:ascii="Arial" w:hAnsi="Arial" w:cs="Arial"/>
          <w:sz w:val="24"/>
          <w:szCs w:val="24"/>
        </w:rPr>
        <w:t>Md</w:t>
      </w:r>
      <w:proofErr w:type="spellEnd"/>
      <w:r w:rsidR="005E4334">
        <w:rPr>
          <w:rFonts w:ascii="Arial" w:hAnsi="Arial" w:cs="Arial"/>
          <w:sz w:val="24"/>
          <w:szCs w:val="24"/>
        </w:rPr>
        <w:t xml:space="preserve"> </w:t>
      </w:r>
      <w:r w:rsidR="005E4334" w:rsidRPr="005E4334">
        <w:rPr>
          <w:rFonts w:ascii="Arial" w:hAnsi="Arial" w:cs="Arial"/>
          <w:sz w:val="24"/>
          <w:szCs w:val="24"/>
        </w:rPr>
        <w:t>Forhad Hossain</w:t>
      </w:r>
    </w:p>
    <w:p w:rsidR="005E4334" w:rsidRPr="003C492E" w:rsidRDefault="003C492E" w:rsidP="003C492E">
      <w:pPr>
        <w:rPr>
          <w:rFonts w:ascii="Arial" w:hAnsi="Arial" w:cs="Arial"/>
          <w:sz w:val="24"/>
          <w:szCs w:val="24"/>
        </w:rPr>
      </w:pPr>
      <w:r w:rsidRPr="003C492E">
        <w:rPr>
          <w:rFonts w:ascii="Arial" w:hAnsi="Arial" w:cs="Arial"/>
          <w:sz w:val="24"/>
          <w:szCs w:val="24"/>
        </w:rPr>
        <w:t>•</w:t>
      </w:r>
      <w:r w:rsidRPr="003C492E">
        <w:rPr>
          <w:rFonts w:ascii="Arial" w:hAnsi="Arial" w:cs="Arial"/>
          <w:sz w:val="24"/>
          <w:szCs w:val="24"/>
        </w:rPr>
        <w:tab/>
        <w:t xml:space="preserve">Module name &amp; </w:t>
      </w:r>
      <w:bookmarkStart w:id="0" w:name="_GoBack"/>
      <w:bookmarkEnd w:id="0"/>
      <w:r w:rsidR="005E4334" w:rsidRPr="003C492E">
        <w:rPr>
          <w:rFonts w:ascii="Arial" w:hAnsi="Arial" w:cs="Arial"/>
          <w:sz w:val="24"/>
          <w:szCs w:val="24"/>
        </w:rPr>
        <w:t>code:</w:t>
      </w:r>
      <w:r w:rsidR="005E4334">
        <w:rPr>
          <w:rFonts w:ascii="Arial" w:hAnsi="Arial" w:cs="Arial"/>
          <w:sz w:val="24"/>
          <w:szCs w:val="24"/>
        </w:rPr>
        <w:t xml:space="preserve"> BMIH5005</w:t>
      </w:r>
    </w:p>
    <w:p w:rsidR="003C492E" w:rsidRPr="003C492E" w:rsidRDefault="003C492E" w:rsidP="003C492E">
      <w:pPr>
        <w:rPr>
          <w:rFonts w:ascii="Arial" w:hAnsi="Arial" w:cs="Arial"/>
          <w:sz w:val="24"/>
          <w:szCs w:val="24"/>
        </w:rPr>
      </w:pPr>
      <w:r w:rsidRPr="003C492E">
        <w:rPr>
          <w:rFonts w:ascii="Arial" w:hAnsi="Arial" w:cs="Arial"/>
          <w:sz w:val="24"/>
          <w:szCs w:val="24"/>
        </w:rPr>
        <w:t>•</w:t>
      </w:r>
      <w:r w:rsidRPr="003C492E">
        <w:rPr>
          <w:rFonts w:ascii="Arial" w:hAnsi="Arial" w:cs="Arial"/>
          <w:sz w:val="24"/>
          <w:szCs w:val="24"/>
        </w:rPr>
        <w:tab/>
        <w:t xml:space="preserve">Lecturer </w:t>
      </w:r>
      <w:r w:rsidR="005E4334" w:rsidRPr="003C492E">
        <w:rPr>
          <w:rFonts w:ascii="Arial" w:hAnsi="Arial" w:cs="Arial"/>
          <w:sz w:val="24"/>
          <w:szCs w:val="24"/>
        </w:rPr>
        <w:t>name</w:t>
      </w:r>
      <w:r w:rsidR="005E4334">
        <w:rPr>
          <w:rFonts w:ascii="Arial" w:hAnsi="Arial" w:cs="Arial"/>
          <w:sz w:val="24"/>
          <w:szCs w:val="24"/>
        </w:rPr>
        <w:t>: Emma Roberts</w:t>
      </w:r>
    </w:p>
    <w:p w:rsidR="003C492E" w:rsidRPr="003C492E" w:rsidRDefault="003C492E" w:rsidP="003C492E">
      <w:pPr>
        <w:rPr>
          <w:rFonts w:ascii="Arial" w:hAnsi="Arial" w:cs="Arial"/>
          <w:sz w:val="24"/>
          <w:szCs w:val="24"/>
        </w:rPr>
      </w:pPr>
      <w:r w:rsidRPr="003C492E">
        <w:rPr>
          <w:rFonts w:ascii="Arial" w:hAnsi="Arial" w:cs="Arial"/>
          <w:sz w:val="24"/>
          <w:szCs w:val="24"/>
        </w:rPr>
        <w:t>Content</w:t>
      </w:r>
    </w:p>
    <w:p w:rsidR="003C492E" w:rsidRPr="003C492E" w:rsidRDefault="003C492E" w:rsidP="003C492E">
      <w:pPr>
        <w:rPr>
          <w:rFonts w:ascii="Arial" w:hAnsi="Arial" w:cs="Arial"/>
          <w:sz w:val="24"/>
          <w:szCs w:val="24"/>
        </w:rPr>
      </w:pPr>
      <w:r w:rsidRPr="003C492E">
        <w:rPr>
          <w:rFonts w:ascii="Arial" w:hAnsi="Arial" w:cs="Arial"/>
          <w:sz w:val="24"/>
          <w:szCs w:val="24"/>
        </w:rPr>
        <w:t>Executive Summary</w:t>
      </w:r>
    </w:p>
    <w:p w:rsidR="003C492E" w:rsidRPr="003C492E" w:rsidRDefault="003C492E" w:rsidP="003C492E">
      <w:pPr>
        <w:rPr>
          <w:rFonts w:ascii="Arial" w:hAnsi="Arial" w:cs="Arial"/>
          <w:sz w:val="24"/>
          <w:szCs w:val="24"/>
        </w:rPr>
      </w:pPr>
      <w:r w:rsidRPr="003C492E">
        <w:rPr>
          <w:rFonts w:ascii="Arial" w:hAnsi="Arial" w:cs="Arial"/>
          <w:sz w:val="24"/>
          <w:szCs w:val="24"/>
        </w:rPr>
        <w:t xml:space="preserve">Introduction </w:t>
      </w:r>
    </w:p>
    <w:p w:rsidR="003C492E" w:rsidRPr="003C492E" w:rsidRDefault="003C492E" w:rsidP="003C492E">
      <w:pPr>
        <w:rPr>
          <w:rFonts w:ascii="Arial" w:hAnsi="Arial" w:cs="Arial"/>
          <w:sz w:val="24"/>
          <w:szCs w:val="24"/>
        </w:rPr>
      </w:pPr>
      <w:r w:rsidRPr="003C492E">
        <w:rPr>
          <w:rFonts w:ascii="Arial" w:hAnsi="Arial" w:cs="Arial"/>
          <w:sz w:val="24"/>
          <w:szCs w:val="24"/>
        </w:rPr>
        <w:t>Overcome Methods</w:t>
      </w:r>
    </w:p>
    <w:p w:rsidR="003C492E" w:rsidRPr="003C492E" w:rsidRDefault="003C492E" w:rsidP="003C492E">
      <w:pPr>
        <w:rPr>
          <w:rFonts w:ascii="Arial" w:hAnsi="Arial" w:cs="Arial"/>
          <w:sz w:val="24"/>
          <w:szCs w:val="24"/>
        </w:rPr>
      </w:pPr>
      <w:r w:rsidRPr="003C492E">
        <w:rPr>
          <w:rFonts w:ascii="Arial" w:hAnsi="Arial" w:cs="Arial"/>
          <w:sz w:val="24"/>
          <w:szCs w:val="24"/>
        </w:rPr>
        <w:t xml:space="preserve">Conclusion </w:t>
      </w:r>
    </w:p>
    <w:p w:rsidR="003C492E" w:rsidRPr="003C492E" w:rsidRDefault="003C492E" w:rsidP="003C492E">
      <w:pPr>
        <w:rPr>
          <w:rFonts w:ascii="Arial" w:hAnsi="Arial" w:cs="Arial"/>
          <w:sz w:val="24"/>
          <w:szCs w:val="24"/>
        </w:rPr>
      </w:pPr>
      <w:r w:rsidRPr="003C492E">
        <w:rPr>
          <w:rFonts w:ascii="Arial" w:hAnsi="Arial" w:cs="Arial"/>
          <w:sz w:val="24"/>
          <w:szCs w:val="24"/>
        </w:rPr>
        <w:t>References</w:t>
      </w:r>
    </w:p>
    <w:p w:rsidR="003C492E" w:rsidRPr="003C492E" w:rsidRDefault="003C492E" w:rsidP="00715F8C">
      <w:pPr>
        <w:shd w:val="clear" w:color="auto" w:fill="FFF2CC" w:themeFill="accent4" w:themeFillTint="33"/>
        <w:rPr>
          <w:rFonts w:ascii="Arial" w:hAnsi="Arial" w:cs="Arial"/>
          <w:sz w:val="24"/>
          <w:szCs w:val="24"/>
        </w:rPr>
      </w:pPr>
      <w:r w:rsidRPr="003C492E">
        <w:rPr>
          <w:rFonts w:ascii="Arial" w:hAnsi="Arial" w:cs="Arial"/>
          <w:sz w:val="24"/>
          <w:szCs w:val="24"/>
        </w:rPr>
        <w:t>Executive Summary</w:t>
      </w:r>
    </w:p>
    <w:p w:rsidR="003C492E" w:rsidRPr="003C492E" w:rsidRDefault="00435BA3" w:rsidP="003C492E">
      <w:pPr>
        <w:rPr>
          <w:rFonts w:ascii="Arial" w:hAnsi="Arial" w:cs="Arial"/>
          <w:sz w:val="24"/>
          <w:szCs w:val="24"/>
        </w:rPr>
      </w:pPr>
      <w:r w:rsidRPr="00435BA3">
        <w:rPr>
          <w:rFonts w:ascii="Arial" w:hAnsi="Arial" w:cs="Arial"/>
          <w:sz w:val="24"/>
          <w:szCs w:val="24"/>
        </w:rPr>
        <w:t>The COVID-19 crisis has unfavorably affected the movement business. In a strong presence where a basic piece of the assistance region economy relies upon the movement business, the spread of the pandemic contains the main test not simply given the connected tidiness measures and travel constraints yet moreover because of its profoundly bad financial implications. In a portion of a month and following the weight of development and various guidelines, the motel business started falling, and various lodgings shut until extra warning. The public experts' work is basic as there is at present expansive weakness about social classes' future travel approaches to acting and the impact of the pandemic on organizations associated with air transport, cruising, lodgings, and various kinds of accommodation. A couple of examinations interface the improvement of COVID-19 with de-globalization since development is the connecting join among countries and the critical legitimization for the advancement and expansion of the movement business.</w:t>
      </w:r>
    </w:p>
    <w:p w:rsidR="003C492E" w:rsidRPr="003C492E" w:rsidRDefault="003C492E" w:rsidP="00715F8C">
      <w:pPr>
        <w:shd w:val="clear" w:color="auto" w:fill="FFF2CC" w:themeFill="accent4" w:themeFillTint="33"/>
        <w:rPr>
          <w:rFonts w:ascii="Arial" w:hAnsi="Arial" w:cs="Arial"/>
          <w:sz w:val="24"/>
          <w:szCs w:val="24"/>
        </w:rPr>
      </w:pPr>
      <w:r w:rsidRPr="003C492E">
        <w:rPr>
          <w:rFonts w:ascii="Arial" w:hAnsi="Arial" w:cs="Arial"/>
          <w:sz w:val="24"/>
          <w:szCs w:val="24"/>
        </w:rPr>
        <w:t>Introduction</w:t>
      </w:r>
    </w:p>
    <w:p w:rsidR="003C492E" w:rsidRDefault="00435BA3" w:rsidP="003C492E">
      <w:pPr>
        <w:rPr>
          <w:rFonts w:ascii="Arial" w:hAnsi="Arial" w:cs="Arial"/>
          <w:sz w:val="24"/>
          <w:szCs w:val="24"/>
        </w:rPr>
      </w:pPr>
      <w:r w:rsidRPr="00435BA3">
        <w:rPr>
          <w:rFonts w:ascii="Arial" w:hAnsi="Arial" w:cs="Arial"/>
          <w:sz w:val="24"/>
          <w:szCs w:val="24"/>
        </w:rPr>
        <w:t xml:space="preserve">Around the completion of March, regardless, most countries overall went with a similar example. The bet the chief's model, including the conspicuous verification and the appraisal of the risks; the examination of the approaches to watching out for them; and the powerful cycle basically, were incited by state-run organizations, which urged people to stay at home, keeping away from capable and social correspondences. Obviously, the world economy entered a sharp and surprising slump, with associations went to part 11 and expanding joblessness rates. The main trial of laborer motivation is that delegates every now and again convince themselves, giving their impression of what they need to achieve and how they can accomplish it. Bosses who know what their delegates need from work can design a work environment that can oblige laborers' necessities and needs. All the while, especially taught chiefs could have the choice to </w:t>
      </w:r>
      <w:r w:rsidRPr="00435BA3">
        <w:rPr>
          <w:rFonts w:ascii="Arial" w:hAnsi="Arial" w:cs="Arial"/>
          <w:sz w:val="24"/>
          <w:szCs w:val="24"/>
        </w:rPr>
        <w:lastRenderedPageBreak/>
        <w:t>avoid ordinary entrapments that will for the most part diminish specialist motivation.</w:t>
      </w:r>
      <w:r w:rsidR="003B164A">
        <w:rPr>
          <w:rFonts w:ascii="Arial" w:hAnsi="Arial" w:cs="Arial"/>
          <w:sz w:val="24"/>
          <w:szCs w:val="24"/>
        </w:rPr>
        <w:t xml:space="preserve"> </w:t>
      </w:r>
      <w:r w:rsidRPr="00435BA3">
        <w:rPr>
          <w:rFonts w:ascii="Arial" w:hAnsi="Arial" w:cs="Arial"/>
          <w:sz w:val="24"/>
          <w:szCs w:val="24"/>
        </w:rPr>
        <w:t>To Taylor and Davies (2004), according to the World Tourism Organization, the world's most critical modern region is the movement and amicability industry. No matter what the stress over estimating the importance of the movement business as an industry, to measure work, it is seen as one and a half times more critical than the accompanying industry. The comfort region has kept creating all through ongoing years, despite the fact that at various rates, and is expected to continue with this improvement both being planned and business numbers. Weaver (1988) fought that housing bosses had investigated different roads in regards to enticing speculations and strategies to determine the issue of declining productivity among their hourly subject matter experts. A large portion of these tests have had immaterial accomplishments since they rely upon compensation systems with negligible importance for hourly trained professionals. By then, at may have the choice to ensure that all of its delegates behaving that way".</w:t>
      </w:r>
      <w:r w:rsidR="003C492E" w:rsidRPr="003C492E">
        <w:rPr>
          <w:rFonts w:ascii="Arial" w:hAnsi="Arial" w:cs="Arial"/>
          <w:sz w:val="24"/>
          <w:szCs w:val="24"/>
        </w:rPr>
        <w:t xml:space="preserve"> </w:t>
      </w:r>
      <w:r w:rsidRPr="00435BA3">
        <w:rPr>
          <w:rFonts w:ascii="Arial" w:hAnsi="Arial" w:cs="Arial"/>
          <w:sz w:val="24"/>
          <w:szCs w:val="24"/>
        </w:rPr>
        <w:t>Such an association would partake in a ferocious advantage over competitors that may be encountering high delinquency and turnover, costly re-planning tasks, and creation highlighted that by virtue of a shortfall of limit, reasonable arrangement could be used. Changing the environment to propel better execution is basic in the event of regular issues. In any case, expecting motivation is the issue, the course of action is more tangled and testing. For dispassionate issues, the best wellspring of information would be the specialist. Responses by agents in regards to what lights and backing their yearning to work could lead the business to refresh occupations, increase pay, change the work area, or give more credit for work done. The key is that managers avoid the assumption that what pushes them rouses their laborers too. In case dwelling chiefs can satisfy their laborers by understanding their fundamental motivations better, it will affect holding and animating motel delegates and, thus, further creating purchaser faithfulness for a really long time. motivation can be described as "The cycles that record for a particular's power, heading and determination of effort towards achieving a goal.</w:t>
      </w:r>
      <w:r w:rsidR="003C492E" w:rsidRPr="003C492E">
        <w:rPr>
          <w:rFonts w:ascii="Arial" w:hAnsi="Arial" w:cs="Arial"/>
          <w:sz w:val="24"/>
          <w:szCs w:val="24"/>
        </w:rPr>
        <w:t xml:space="preserve">" </w:t>
      </w:r>
      <w:r w:rsidRPr="00435BA3">
        <w:rPr>
          <w:rFonts w:ascii="Arial" w:hAnsi="Arial" w:cs="Arial"/>
          <w:sz w:val="24"/>
          <w:szCs w:val="24"/>
        </w:rPr>
        <w:t>Force is stressed over how eagerly individual endeavors promotion is by and critical the point of convergence of motivation. Regardless, engaged energy not extraordinary work execution results with the exception of in the event that the work is redirected toward a way that helps the affiliation. Effort should pick ordinated towards and is solid with the affiliation's targets. Finally, the energy part of motivation is an extent of how long an individual can stay aware of effort. Roused individuals stay with a task adequately lengthy to achieve their goal. Lee-Ross (2005, 255) explains the basic association between motivation in the work space and practical authoritative-based, for instance, effectiveness, obligation, work satisfaction, plan to remain, and burnout. On a major level, Hackman and Oldham's (1976) speculation of motivation is stressed over "inside work motivation," by which a relentless example of motivation happens inside the delegate. All things considered, the more effort consumed on an undertaking, the more excited they would turn into.</w:t>
      </w:r>
    </w:p>
    <w:p w:rsidR="006B2070" w:rsidRDefault="006B2070" w:rsidP="003C492E">
      <w:pPr>
        <w:rPr>
          <w:rFonts w:ascii="Arial" w:hAnsi="Arial" w:cs="Arial"/>
          <w:sz w:val="24"/>
          <w:szCs w:val="24"/>
        </w:rPr>
      </w:pPr>
    </w:p>
    <w:p w:rsidR="00435BA3" w:rsidRPr="003C492E" w:rsidRDefault="00435BA3" w:rsidP="003C492E">
      <w:pPr>
        <w:rPr>
          <w:rFonts w:ascii="Arial" w:hAnsi="Arial" w:cs="Arial"/>
          <w:sz w:val="24"/>
          <w:szCs w:val="24"/>
        </w:rPr>
      </w:pPr>
    </w:p>
    <w:p w:rsidR="003C492E" w:rsidRPr="003C492E" w:rsidRDefault="003C492E" w:rsidP="00715F8C">
      <w:pPr>
        <w:shd w:val="clear" w:color="auto" w:fill="FFF2CC" w:themeFill="accent4" w:themeFillTint="33"/>
        <w:rPr>
          <w:rFonts w:ascii="Arial" w:hAnsi="Arial" w:cs="Arial"/>
          <w:sz w:val="24"/>
          <w:szCs w:val="24"/>
        </w:rPr>
      </w:pPr>
      <w:r w:rsidRPr="003C492E">
        <w:rPr>
          <w:rFonts w:ascii="Arial" w:hAnsi="Arial" w:cs="Arial"/>
          <w:sz w:val="24"/>
          <w:szCs w:val="24"/>
        </w:rPr>
        <w:lastRenderedPageBreak/>
        <w:t xml:space="preserve">Overcome Methods </w:t>
      </w:r>
    </w:p>
    <w:p w:rsidR="006B2070" w:rsidRPr="003C492E" w:rsidRDefault="006B2070" w:rsidP="003C492E">
      <w:pPr>
        <w:rPr>
          <w:rFonts w:ascii="Arial" w:hAnsi="Arial" w:cs="Arial"/>
          <w:sz w:val="24"/>
          <w:szCs w:val="24"/>
        </w:rPr>
      </w:pPr>
      <w:r w:rsidRPr="006B2070">
        <w:rPr>
          <w:rFonts w:ascii="Arial" w:hAnsi="Arial" w:cs="Arial"/>
          <w:sz w:val="24"/>
          <w:szCs w:val="24"/>
        </w:rPr>
        <w:t>There is no doubt that the food or diner industry is quite possibly the most significant and most valuable association around the world. After the Coronavirus, endemic the bistro business is impacted by this. The leaders can use the PESTLE and SWOT examination to overcome the impacted conditions since people investigate various roads in regards to food and their reliably developing tendencies. It is one of the main roles of the culinary assortment. The organization of an association uses PESTEL assessment to check the components that can block or propel the business' turn of events. Bistro Industry PESTEL examination can recognize how political, money related, socio-social, imaginative, ecological, and legal issues can influence the conditions of the restaurant business. A steadily expanding number of people will have a go at making a fortune in the diner business. Monetary benefactors are restless to assess what is happening prior to placing assets into this business, owing to the creating competition around here. PESTEL is one such business gadget that empowers monetary patrons to survey the external components that directly impact the business climate.</w:t>
      </w:r>
      <w:r>
        <w:rPr>
          <w:rFonts w:ascii="Arial" w:hAnsi="Arial" w:cs="Arial"/>
          <w:sz w:val="24"/>
          <w:szCs w:val="24"/>
        </w:rPr>
        <w:t xml:space="preserve"> </w:t>
      </w:r>
      <w:r w:rsidRPr="006B2070">
        <w:rPr>
          <w:rFonts w:ascii="Arial" w:hAnsi="Arial" w:cs="Arial"/>
          <w:sz w:val="24"/>
          <w:szCs w:val="24"/>
        </w:rPr>
        <w:t>PESTEL is a truncation for Political, Economic, Social, Technological, Environmental, and Legal factors. This business procedure enables associations to focus for these huge scope normal components to plan the association's supports better. Such writing computer programs is productive, chiefly for new organizations helping them with zeroing in on the securities exchange. PESTEL assessment restaurant industry predicts opportunities for growth and a normal risk for the business. These components review how much government approaches interfere in the business. It could be the guidelines associated with prosperity and security, charge assortment, trade systems, work guideline, biological guideline, limits on a trade, and that's just the beginning. Political robustness ensures how much a business will succeed. Government game plans could change after some time, inferable from the changing circumstances of the district where this industry works. Associations ought to be versatile to similarly conform to these movements and plan business methodology. The prosperity and related security courses of action impact the restaurant business the most. Associations ought to manage tidiness and neatness while finishing cooking, squeezing, and passing errands on to submit to the guidelines associated with prosperity and security. Charge evaluation that impacts the purchase and quality moreover influence the business. It changes starting with one country then onto the next. Associations ought to plan their assets well, recalling this component. These components help associations with orchestrating their current second and long stretch targets. Monetary subtleties wrap financial turn of events, credit cost, transformation scale, extension, and the purchasing power of the client. Likewise, that is only a touch of something bigger. Generally speaking, the creating inclination of people to eat out has ensured better pay for the bistro business. The rising optional income of people has given it a lift. Creating work costs can include stress for the restaurant business. It will incite less advantage for the owners. Also, fluctuating obligations on crude parts and trimmings can achieve significant expenses for things. Subsequently, it impacts the costs on the menu. A languid or unstable financial improvement is moreover a threat to the business.</w:t>
      </w:r>
      <w:r w:rsidR="006E4483">
        <w:rPr>
          <w:rFonts w:ascii="Arial" w:hAnsi="Arial" w:cs="Arial"/>
          <w:sz w:val="24"/>
          <w:szCs w:val="24"/>
        </w:rPr>
        <w:t xml:space="preserve"> </w:t>
      </w:r>
      <w:r w:rsidRPr="006B2070">
        <w:rPr>
          <w:rFonts w:ascii="Arial" w:hAnsi="Arial" w:cs="Arial"/>
          <w:sz w:val="24"/>
          <w:szCs w:val="24"/>
        </w:rPr>
        <w:t>Socio-</w:t>
      </w:r>
      <w:r w:rsidRPr="006B2070">
        <w:rPr>
          <w:rFonts w:ascii="Arial" w:hAnsi="Arial" w:cs="Arial"/>
          <w:sz w:val="24"/>
          <w:szCs w:val="24"/>
        </w:rPr>
        <w:lastRenderedPageBreak/>
        <w:t>social perspectives that help the associations with encouraging a reserve demand model go under this part. The breaking point incorporates customs, social characteristics and convictions, people advancement, age flow, proficient mindset, and the sky. By focusing on these factors, associations can moreover settle on a potential marketspace examination diner industry recommends that creating care about regular food is a social part. It could impact the improvement of the diner business sooner rather than later. The bust Individuals' clamoring lifestyle and people's dependence on moment food instead of home-arranged food. It has demonstrated to be a lift for the economy of the food business. The creating people and its rising interest and responsiveness towards transgender laborers are a couple of other social factors that straightforwardly influence the bistro business. Factors including improvement, computerization, specific care, and more effect t an organization's creation, dispersal, and correspondence errands go under the specialized limits. Mechanical movement, for instance, enduring portions through PDAs, mentioning food on the web, and working CCTV cameras from phones has opened up new earnings for the bistro business. Computerization is the inevitable destiny of the restaurant business. The colleague of the latest programming with manage records lines of associations can incite more minor mix-ups and helps Likewise; development has similarly given associations the expansion to attempt various things with their progression frameworks to contact more people quickly and make a reliable difference.</w:t>
      </w:r>
      <w:r>
        <w:rPr>
          <w:rFonts w:ascii="Arial" w:hAnsi="Arial" w:cs="Arial"/>
          <w:sz w:val="24"/>
          <w:szCs w:val="24"/>
        </w:rPr>
        <w:t xml:space="preserve"> </w:t>
      </w:r>
      <w:r w:rsidRPr="006B2070">
        <w:rPr>
          <w:rFonts w:ascii="Arial" w:hAnsi="Arial" w:cs="Arial"/>
          <w:sz w:val="24"/>
          <w:szCs w:val="24"/>
        </w:rPr>
        <w:t xml:space="preserve">The nonstop normal crisis has prompted care about environmental components. These consolidate a lack of, reusing, defilement, carbon impression, and so on. Associations ought with comply to the rules as legitimacy is the method for advancing. The fundamental premise in the bistro business is tidiness. Beside that, associations ought to in like manner encourage methods for reusing and wasting the leaders. The bistro business ought to fill in collectively with the public power. It will help with cutting down the risks of environmental damage which can occur as due tom. The food business ought to see and esteem the inclination of their purchasers to move to a plant-based diet inferable from the harm the meat business could add to the environment. They ought to focus in on seeming the long benefits of this shift. Factor cone </w:t>
      </w:r>
      <w:r w:rsidR="005E4334" w:rsidRPr="006B2070">
        <w:rPr>
          <w:rFonts w:ascii="Arial" w:hAnsi="Arial" w:cs="Arial"/>
          <w:sz w:val="24"/>
          <w:szCs w:val="24"/>
        </w:rPr>
        <w:t>referred</w:t>
      </w:r>
      <w:r w:rsidRPr="006B2070">
        <w:rPr>
          <w:rFonts w:ascii="Arial" w:hAnsi="Arial" w:cs="Arial"/>
          <w:sz w:val="24"/>
          <w:szCs w:val="24"/>
        </w:rPr>
        <w:t xml:space="preserve"> to with publicizing, client honors, prosperity concern, and thing </w:t>
      </w:r>
      <w:proofErr w:type="gramStart"/>
      <w:r w:rsidRPr="006B2070">
        <w:rPr>
          <w:rFonts w:ascii="Arial" w:hAnsi="Arial" w:cs="Arial"/>
          <w:sz w:val="24"/>
          <w:szCs w:val="24"/>
        </w:rPr>
        <w:t>security go</w:t>
      </w:r>
      <w:proofErr w:type="gramEnd"/>
      <w:r w:rsidRPr="006B2070">
        <w:rPr>
          <w:rFonts w:ascii="Arial" w:hAnsi="Arial" w:cs="Arial"/>
          <w:sz w:val="24"/>
          <w:szCs w:val="24"/>
        </w:rPr>
        <w:t xml:space="preserve"> under this genuine part of PESTEL assessment. The break of government procedures transforms into a legitimate matter.</w:t>
      </w:r>
      <w:r>
        <w:rPr>
          <w:rFonts w:ascii="Arial" w:hAnsi="Arial" w:cs="Arial"/>
          <w:sz w:val="24"/>
          <w:szCs w:val="24"/>
        </w:rPr>
        <w:t xml:space="preserve"> </w:t>
      </w:r>
      <w:r w:rsidRPr="006B2070">
        <w:rPr>
          <w:rFonts w:ascii="Arial" w:hAnsi="Arial" w:cs="Arial"/>
          <w:sz w:val="24"/>
          <w:szCs w:val="24"/>
        </w:rPr>
        <w:t>Genuine Honest nearly a crucial piece of bistro venture, especially those working globally. Or on the other hand Likewise, the association ought to change its systems to create and extend with the advancing guideline. Food quality and tidiness rules are two basic factors that go under the thing security of the authentic components. Experts present a SWOT evaluation as a square separated into four quadrants, each given a piece of SWOT. This visual plan gives a quick diagram of the association'</w:t>
      </w:r>
      <w:r w:rsidR="005E4334">
        <w:rPr>
          <w:rFonts w:ascii="Arial" w:hAnsi="Arial" w:cs="Arial"/>
          <w:sz w:val="24"/>
          <w:szCs w:val="24"/>
        </w:rPr>
        <w:t xml:space="preserve"> </w:t>
      </w:r>
      <w:r w:rsidR="005E4334" w:rsidRPr="006B2070">
        <w:rPr>
          <w:rFonts w:ascii="Arial" w:hAnsi="Arial" w:cs="Arial"/>
          <w:sz w:val="24"/>
          <w:szCs w:val="24"/>
        </w:rPr>
        <w:t>circumstances</w:t>
      </w:r>
      <w:r w:rsidRPr="006B2070">
        <w:rPr>
          <w:rFonts w:ascii="Arial" w:hAnsi="Arial" w:cs="Arial"/>
          <w:sz w:val="24"/>
          <w:szCs w:val="24"/>
        </w:rPr>
        <w:t xml:space="preserve">. However every one of the fixations under a specific heading may not be of equivalent import; they all ought to address basic snippets of data into the congruity between open doorways and dangers, benefits and loads, etc. Qualities portray what a connection wins at and which isolates it from the obstruction: a solid brand, unfaltering client base, strong regions for a sheet, exceptional turn of events, etc. For instance, a hypothetical corporate offers might have developed a restrictive exchanging technique that advantages market-beating results.  It </w:t>
      </w:r>
      <w:r w:rsidRPr="006B2070">
        <w:rPr>
          <w:rFonts w:ascii="Arial" w:hAnsi="Arial" w:cs="Arial"/>
          <w:sz w:val="24"/>
          <w:szCs w:val="24"/>
        </w:rPr>
        <w:lastRenderedPageBreak/>
        <w:t>should then pick how to utilize those outcomes to draw in new money related advocate. Inadequacies hold a relationship back from performing at its ideal level. They are regions where the business needs to improve to stay horrible: a fragile brand, higher-than-run of the mill turnover, raised degrees of co-responsibility an insufficient creation association, or nonappearance of capital. Open doorways imply unprecedented outer parts that could give a connection a strategic position. For instance, on the off chance that a country prerequisite assistants, a vehicle designer can convey its vehicles into another market, broadening plans and part of the overall business. Chances infer factors that could possibly hurt a connection. For example, a dry season is a threat to a wheat-conveying association, as it could destroy or reduce the reap yield. Other each include expanding costs for materials, extending challenge, tight challenges utilize. And so forth.</w:t>
      </w:r>
    </w:p>
    <w:p w:rsidR="003C492E" w:rsidRPr="003C492E" w:rsidRDefault="003C492E" w:rsidP="00715F8C">
      <w:pPr>
        <w:shd w:val="clear" w:color="auto" w:fill="FFF2CC" w:themeFill="accent4" w:themeFillTint="33"/>
        <w:rPr>
          <w:rFonts w:ascii="Arial" w:hAnsi="Arial" w:cs="Arial"/>
          <w:sz w:val="24"/>
          <w:szCs w:val="24"/>
        </w:rPr>
      </w:pPr>
      <w:r w:rsidRPr="003C492E">
        <w:rPr>
          <w:rFonts w:ascii="Arial" w:hAnsi="Arial" w:cs="Arial"/>
          <w:sz w:val="24"/>
          <w:szCs w:val="24"/>
        </w:rPr>
        <w:t xml:space="preserve">Conclusion </w:t>
      </w:r>
    </w:p>
    <w:p w:rsidR="006B2070" w:rsidRDefault="006B2070" w:rsidP="003C492E">
      <w:pPr>
        <w:rPr>
          <w:rFonts w:ascii="Arial" w:hAnsi="Arial" w:cs="Arial"/>
          <w:sz w:val="24"/>
          <w:szCs w:val="24"/>
        </w:rPr>
      </w:pPr>
      <w:r w:rsidRPr="006B2070">
        <w:rPr>
          <w:rFonts w:ascii="Arial" w:hAnsi="Arial" w:cs="Arial"/>
          <w:sz w:val="24"/>
          <w:szCs w:val="24"/>
        </w:rPr>
        <w:t>In any case, for the hotel business in the North East of England, financial reasonableness in the flitting depends petalomania business make an excursion associated with monstrous endeavors in the works rather than unwinding bundle visits basically. Lin longer-term frameworks, considering complex pay, the chief's methodologies to help pay and inhabitance rates are fairly unimportant. On the other hand, zeroing in on the acknowledgment of prosperity and security rules from staff as well as from guests is principal in this new travel environment to develop a culture that would allow travel to return to normality when the long awaited and confided in clinical progression in the treatment or possibly balance of the sickness is accomplished. The executives should use the Analyzation to vanquish the pandemic effects.</w:t>
      </w:r>
    </w:p>
    <w:p w:rsidR="00C71BA6" w:rsidRPr="00C71BA6" w:rsidRDefault="00C71BA6" w:rsidP="00715F8C">
      <w:pPr>
        <w:shd w:val="clear" w:color="auto" w:fill="FFF2CC" w:themeFill="accent4" w:themeFillTint="33"/>
        <w:rPr>
          <w:rFonts w:ascii="Arial" w:hAnsi="Arial" w:cs="Arial"/>
          <w:sz w:val="24"/>
          <w:szCs w:val="24"/>
        </w:rPr>
      </w:pPr>
      <w:r w:rsidRPr="00C71BA6">
        <w:rPr>
          <w:rFonts w:ascii="Arial" w:hAnsi="Arial" w:cs="Arial"/>
          <w:sz w:val="24"/>
          <w:szCs w:val="24"/>
        </w:rPr>
        <w:t>References</w:t>
      </w:r>
    </w:p>
    <w:p w:rsidR="00C71BA6" w:rsidRPr="00C71BA6" w:rsidRDefault="00C71BA6" w:rsidP="00C71BA6">
      <w:pPr>
        <w:rPr>
          <w:rFonts w:ascii="Arial" w:hAnsi="Arial" w:cs="Arial"/>
          <w:sz w:val="24"/>
          <w:szCs w:val="24"/>
        </w:rPr>
      </w:pPr>
      <w:r w:rsidRPr="00C71BA6">
        <w:rPr>
          <w:rFonts w:ascii="Arial" w:hAnsi="Arial" w:cs="Arial"/>
          <w:sz w:val="24"/>
          <w:szCs w:val="24"/>
        </w:rPr>
        <w:t xml:space="preserve">Lee, H., Bonn, M., Reid, E. and Kim, W. (2017), "Differences in tourist ethical judgment and responsible tourism intention: an ethical scenario </w:t>
      </w:r>
      <w:r w:rsidR="006E4483">
        <w:rPr>
          <w:rFonts w:ascii="Arial" w:hAnsi="Arial" w:cs="Arial"/>
          <w:sz w:val="24"/>
          <w:szCs w:val="24"/>
        </w:rPr>
        <w:t>approach,”</w:t>
      </w:r>
      <w:r w:rsidRPr="00C71BA6">
        <w:rPr>
          <w:rFonts w:ascii="Arial" w:hAnsi="Arial" w:cs="Arial"/>
          <w:sz w:val="24"/>
          <w:szCs w:val="24"/>
        </w:rPr>
        <w:t xml:space="preserve"> Tourism Management, Vol. 60, pp. 298-307.</w:t>
      </w:r>
    </w:p>
    <w:p w:rsidR="00C71BA6" w:rsidRPr="00C71BA6" w:rsidRDefault="00C71BA6" w:rsidP="00C71BA6">
      <w:pPr>
        <w:rPr>
          <w:rFonts w:ascii="Arial" w:hAnsi="Arial" w:cs="Arial"/>
          <w:sz w:val="24"/>
          <w:szCs w:val="24"/>
        </w:rPr>
      </w:pPr>
      <w:r w:rsidRPr="00C71BA6">
        <w:rPr>
          <w:rFonts w:ascii="Arial" w:hAnsi="Arial" w:cs="Arial"/>
          <w:sz w:val="24"/>
          <w:szCs w:val="24"/>
        </w:rPr>
        <w:t>Murray, K. (2020), "Latest covid-19 rates in the North East as Boris Johnson announces new lockdown measures", Chronicle Live, Published 23 September, available at: www.chroniclelive.co.uk/news/north-east-news/north-east-increase-coronavirus-cases-18980877 (accessed 3 October 2020).</w:t>
      </w:r>
    </w:p>
    <w:p w:rsidR="00C71BA6" w:rsidRPr="00C71BA6" w:rsidRDefault="00C71BA6" w:rsidP="00C71BA6">
      <w:pPr>
        <w:rPr>
          <w:rFonts w:ascii="Arial" w:hAnsi="Arial" w:cs="Arial"/>
          <w:sz w:val="24"/>
          <w:szCs w:val="24"/>
        </w:rPr>
      </w:pPr>
      <w:r w:rsidRPr="00C71BA6">
        <w:rPr>
          <w:rFonts w:ascii="Arial" w:hAnsi="Arial" w:cs="Arial"/>
          <w:sz w:val="24"/>
          <w:szCs w:val="24"/>
        </w:rPr>
        <w:t>Newcastle Gateshead Initiative (2020), "Coronavirus support hub", available at: www.ngi.org.uk/coronavirus/ (accessed 1 October 2020).</w:t>
      </w:r>
    </w:p>
    <w:p w:rsidR="00C71BA6" w:rsidRPr="00C71BA6" w:rsidRDefault="00C71BA6" w:rsidP="00C71BA6">
      <w:pPr>
        <w:rPr>
          <w:rFonts w:ascii="Arial" w:hAnsi="Arial" w:cs="Arial"/>
          <w:sz w:val="24"/>
          <w:szCs w:val="24"/>
        </w:rPr>
      </w:pPr>
      <w:proofErr w:type="spellStart"/>
      <w:r w:rsidRPr="00C71BA6">
        <w:rPr>
          <w:rFonts w:ascii="Arial" w:hAnsi="Arial" w:cs="Arial"/>
          <w:sz w:val="24"/>
          <w:szCs w:val="24"/>
        </w:rPr>
        <w:t>Nicolau</w:t>
      </w:r>
      <w:proofErr w:type="spellEnd"/>
      <w:r w:rsidRPr="00C71BA6">
        <w:rPr>
          <w:rFonts w:ascii="Arial" w:hAnsi="Arial" w:cs="Arial"/>
          <w:sz w:val="24"/>
          <w:szCs w:val="24"/>
        </w:rPr>
        <w:t>, J., Sharma, A.</w:t>
      </w:r>
      <w:r w:rsidR="006E4483">
        <w:rPr>
          <w:rFonts w:ascii="Arial" w:hAnsi="Arial" w:cs="Arial"/>
          <w:sz w:val="24"/>
          <w:szCs w:val="24"/>
        </w:rPr>
        <w:t>,</w:t>
      </w:r>
      <w:r w:rsidRPr="00C71BA6">
        <w:rPr>
          <w:rFonts w:ascii="Arial" w:hAnsi="Arial" w:cs="Arial"/>
          <w:sz w:val="24"/>
          <w:szCs w:val="24"/>
        </w:rPr>
        <w:t xml:space="preserve"> and Shin, S. (2020), "The tourism effect of president trump's participation on </w:t>
      </w:r>
      <w:r w:rsidR="006E4483">
        <w:rPr>
          <w:rFonts w:ascii="Arial" w:hAnsi="Arial" w:cs="Arial"/>
          <w:sz w:val="24"/>
          <w:szCs w:val="24"/>
        </w:rPr>
        <w:t>Twitter,”</w:t>
      </w:r>
      <w:r w:rsidRPr="00C71BA6">
        <w:rPr>
          <w:rFonts w:ascii="Arial" w:hAnsi="Arial" w:cs="Arial"/>
          <w:sz w:val="24"/>
          <w:szCs w:val="24"/>
        </w:rPr>
        <w:t xml:space="preserve"> Tourism Management, Vol. 81, p. 104133.</w:t>
      </w:r>
    </w:p>
    <w:p w:rsidR="00C71BA6" w:rsidRPr="00C71BA6" w:rsidRDefault="00C71BA6" w:rsidP="00C71BA6">
      <w:pPr>
        <w:rPr>
          <w:rFonts w:ascii="Arial" w:hAnsi="Arial" w:cs="Arial"/>
          <w:sz w:val="24"/>
          <w:szCs w:val="24"/>
        </w:rPr>
      </w:pPr>
      <w:proofErr w:type="spellStart"/>
      <w:r w:rsidRPr="00C71BA6">
        <w:rPr>
          <w:rFonts w:ascii="Arial" w:hAnsi="Arial" w:cs="Arial"/>
          <w:sz w:val="24"/>
          <w:szCs w:val="24"/>
        </w:rPr>
        <w:t>Niewiadomski</w:t>
      </w:r>
      <w:proofErr w:type="spellEnd"/>
      <w:r w:rsidRPr="00C71BA6">
        <w:rPr>
          <w:rFonts w:ascii="Arial" w:hAnsi="Arial" w:cs="Arial"/>
          <w:sz w:val="24"/>
          <w:szCs w:val="24"/>
        </w:rPr>
        <w:t xml:space="preserve">, P. (2020), "COVID-19: from temporary </w:t>
      </w:r>
      <w:r w:rsidR="006E4483">
        <w:rPr>
          <w:rFonts w:ascii="Arial" w:hAnsi="Arial" w:cs="Arial"/>
          <w:sz w:val="24"/>
          <w:szCs w:val="24"/>
        </w:rPr>
        <w:t>de-globalization</w:t>
      </w:r>
      <w:r w:rsidRPr="00C71BA6">
        <w:rPr>
          <w:rFonts w:ascii="Arial" w:hAnsi="Arial" w:cs="Arial"/>
          <w:sz w:val="24"/>
          <w:szCs w:val="24"/>
        </w:rPr>
        <w:t xml:space="preserve"> to a re-discovery of tourism?", Tourism Geographies, Vol. 22 No. 3, pp. 651-656.</w:t>
      </w:r>
    </w:p>
    <w:p w:rsidR="00C71BA6" w:rsidRPr="00C71BA6" w:rsidRDefault="00C71BA6" w:rsidP="00C71BA6">
      <w:pPr>
        <w:rPr>
          <w:rFonts w:ascii="Arial" w:hAnsi="Arial" w:cs="Arial"/>
          <w:sz w:val="24"/>
          <w:szCs w:val="24"/>
        </w:rPr>
      </w:pPr>
      <w:r w:rsidRPr="00C71BA6">
        <w:rPr>
          <w:rFonts w:ascii="Arial" w:hAnsi="Arial" w:cs="Arial"/>
          <w:sz w:val="24"/>
          <w:szCs w:val="24"/>
        </w:rPr>
        <w:t>North East Hotels Association (2020), "About the NEHA</w:t>
      </w:r>
      <w:r w:rsidR="006E4483">
        <w:rPr>
          <w:rFonts w:ascii="Arial" w:hAnsi="Arial" w:cs="Arial"/>
          <w:sz w:val="24"/>
          <w:szCs w:val="24"/>
        </w:rPr>
        <w:t>,”</w:t>
      </w:r>
      <w:r w:rsidRPr="00C71BA6">
        <w:rPr>
          <w:rFonts w:ascii="Arial" w:hAnsi="Arial" w:cs="Arial"/>
          <w:sz w:val="24"/>
          <w:szCs w:val="24"/>
        </w:rPr>
        <w:t xml:space="preserve"> available at: www.nehotels.co.uk/ (accessed 2 October 2020).</w:t>
      </w:r>
    </w:p>
    <w:p w:rsidR="00C71BA6" w:rsidRPr="00C71BA6" w:rsidRDefault="00C71BA6" w:rsidP="00C71BA6">
      <w:pPr>
        <w:rPr>
          <w:rFonts w:ascii="Arial" w:hAnsi="Arial" w:cs="Arial"/>
          <w:sz w:val="24"/>
          <w:szCs w:val="24"/>
        </w:rPr>
      </w:pPr>
      <w:proofErr w:type="spellStart"/>
      <w:r w:rsidRPr="00C71BA6">
        <w:rPr>
          <w:rFonts w:ascii="Arial" w:hAnsi="Arial" w:cs="Arial"/>
          <w:sz w:val="24"/>
          <w:szCs w:val="24"/>
        </w:rPr>
        <w:lastRenderedPageBreak/>
        <w:t>Nunkoo</w:t>
      </w:r>
      <w:proofErr w:type="spellEnd"/>
      <w:r w:rsidRPr="00C71BA6">
        <w:rPr>
          <w:rFonts w:ascii="Arial" w:hAnsi="Arial" w:cs="Arial"/>
          <w:sz w:val="24"/>
          <w:szCs w:val="24"/>
        </w:rPr>
        <w:t>, R. (2015), "Tourism development and trust in local government</w:t>
      </w:r>
      <w:r w:rsidR="006E4483">
        <w:rPr>
          <w:rFonts w:ascii="Arial" w:hAnsi="Arial" w:cs="Arial"/>
          <w:sz w:val="24"/>
          <w:szCs w:val="24"/>
        </w:rPr>
        <w:t>,”</w:t>
      </w:r>
      <w:r w:rsidRPr="00C71BA6">
        <w:rPr>
          <w:rFonts w:ascii="Arial" w:hAnsi="Arial" w:cs="Arial"/>
          <w:sz w:val="24"/>
          <w:szCs w:val="24"/>
        </w:rPr>
        <w:t xml:space="preserve"> Tourism Management, Vol. 46, pp. 623-634.</w:t>
      </w:r>
    </w:p>
    <w:p w:rsidR="00C71BA6" w:rsidRPr="00C71BA6" w:rsidRDefault="00C71BA6" w:rsidP="00C71BA6">
      <w:pPr>
        <w:rPr>
          <w:rFonts w:ascii="Arial" w:hAnsi="Arial" w:cs="Arial"/>
          <w:sz w:val="24"/>
          <w:szCs w:val="24"/>
        </w:rPr>
      </w:pPr>
      <w:proofErr w:type="spellStart"/>
      <w:r w:rsidRPr="00C71BA6">
        <w:rPr>
          <w:rFonts w:ascii="Arial" w:hAnsi="Arial" w:cs="Arial"/>
          <w:sz w:val="24"/>
          <w:szCs w:val="24"/>
        </w:rPr>
        <w:t>Papatheodorou</w:t>
      </w:r>
      <w:proofErr w:type="spellEnd"/>
      <w:r w:rsidRPr="00C71BA6">
        <w:rPr>
          <w:rFonts w:ascii="Arial" w:hAnsi="Arial" w:cs="Arial"/>
          <w:sz w:val="24"/>
          <w:szCs w:val="24"/>
        </w:rPr>
        <w:t>, A. and Pappas, N. (2017), "Economic recession, job vulnerability</w:t>
      </w:r>
      <w:r w:rsidR="006E4483">
        <w:rPr>
          <w:rFonts w:ascii="Arial" w:hAnsi="Arial" w:cs="Arial"/>
          <w:sz w:val="24"/>
          <w:szCs w:val="24"/>
        </w:rPr>
        <w:t>,</w:t>
      </w:r>
      <w:r w:rsidRPr="00C71BA6">
        <w:rPr>
          <w:rFonts w:ascii="Arial" w:hAnsi="Arial" w:cs="Arial"/>
          <w:sz w:val="24"/>
          <w:szCs w:val="24"/>
        </w:rPr>
        <w:t xml:space="preserve"> and tourism Decision-Making: a qualitative comparative analysis</w:t>
      </w:r>
      <w:r w:rsidR="006E4483">
        <w:rPr>
          <w:rFonts w:ascii="Arial" w:hAnsi="Arial" w:cs="Arial"/>
          <w:sz w:val="24"/>
          <w:szCs w:val="24"/>
        </w:rPr>
        <w:t>,”</w:t>
      </w:r>
      <w:r w:rsidRPr="00C71BA6">
        <w:rPr>
          <w:rFonts w:ascii="Arial" w:hAnsi="Arial" w:cs="Arial"/>
          <w:sz w:val="24"/>
          <w:szCs w:val="24"/>
        </w:rPr>
        <w:t xml:space="preserve"> Journal of Travel Research, Vol. 56 No. 5, pp. 663-677.</w:t>
      </w:r>
    </w:p>
    <w:p w:rsidR="00C71BA6" w:rsidRPr="00C71BA6" w:rsidRDefault="00C71BA6" w:rsidP="00C71BA6">
      <w:pPr>
        <w:rPr>
          <w:rFonts w:ascii="Arial" w:hAnsi="Arial" w:cs="Arial"/>
          <w:sz w:val="24"/>
          <w:szCs w:val="24"/>
        </w:rPr>
      </w:pPr>
      <w:proofErr w:type="spellStart"/>
      <w:r w:rsidRPr="00C71BA6">
        <w:rPr>
          <w:rFonts w:ascii="Arial" w:hAnsi="Arial" w:cs="Arial"/>
          <w:sz w:val="24"/>
          <w:szCs w:val="24"/>
        </w:rPr>
        <w:t>Papatheodorou</w:t>
      </w:r>
      <w:proofErr w:type="spellEnd"/>
      <w:r w:rsidRPr="00C71BA6">
        <w:rPr>
          <w:rFonts w:ascii="Arial" w:hAnsi="Arial" w:cs="Arial"/>
          <w:sz w:val="24"/>
          <w:szCs w:val="24"/>
        </w:rPr>
        <w:t xml:space="preserve">, A., </w:t>
      </w:r>
      <w:proofErr w:type="spellStart"/>
      <w:r w:rsidRPr="00C71BA6">
        <w:rPr>
          <w:rFonts w:ascii="Arial" w:hAnsi="Arial" w:cs="Arial"/>
          <w:sz w:val="24"/>
          <w:szCs w:val="24"/>
        </w:rPr>
        <w:t>Vlassi</w:t>
      </w:r>
      <w:proofErr w:type="spellEnd"/>
      <w:r w:rsidRPr="00C71BA6">
        <w:rPr>
          <w:rFonts w:ascii="Arial" w:hAnsi="Arial" w:cs="Arial"/>
          <w:sz w:val="24"/>
          <w:szCs w:val="24"/>
        </w:rPr>
        <w:t xml:space="preserve">, E., </w:t>
      </w:r>
      <w:proofErr w:type="spellStart"/>
      <w:r w:rsidRPr="00C71BA6">
        <w:rPr>
          <w:rFonts w:ascii="Arial" w:hAnsi="Arial" w:cs="Arial"/>
          <w:sz w:val="24"/>
          <w:szCs w:val="24"/>
        </w:rPr>
        <w:t>Gaki</w:t>
      </w:r>
      <w:proofErr w:type="spellEnd"/>
      <w:r w:rsidRPr="00C71BA6">
        <w:rPr>
          <w:rFonts w:ascii="Arial" w:hAnsi="Arial" w:cs="Arial"/>
          <w:sz w:val="24"/>
          <w:szCs w:val="24"/>
        </w:rPr>
        <w:t xml:space="preserve">, D., </w:t>
      </w:r>
      <w:proofErr w:type="spellStart"/>
      <w:r w:rsidRPr="00C71BA6">
        <w:rPr>
          <w:rFonts w:ascii="Arial" w:hAnsi="Arial" w:cs="Arial"/>
          <w:sz w:val="24"/>
          <w:szCs w:val="24"/>
        </w:rPr>
        <w:t>Papadopoulou-Kelidou</w:t>
      </w:r>
      <w:proofErr w:type="spellEnd"/>
      <w:r w:rsidRPr="00C71BA6">
        <w:rPr>
          <w:rFonts w:ascii="Arial" w:hAnsi="Arial" w:cs="Arial"/>
          <w:sz w:val="24"/>
          <w:szCs w:val="24"/>
        </w:rPr>
        <w:t xml:space="preserve">, L., </w:t>
      </w:r>
      <w:proofErr w:type="spellStart"/>
      <w:r w:rsidRPr="00C71BA6">
        <w:rPr>
          <w:rFonts w:ascii="Arial" w:hAnsi="Arial" w:cs="Arial"/>
          <w:sz w:val="24"/>
          <w:szCs w:val="24"/>
        </w:rPr>
        <w:t>Efthymiou</w:t>
      </w:r>
      <w:proofErr w:type="spellEnd"/>
      <w:r w:rsidRPr="00C71BA6">
        <w:rPr>
          <w:rFonts w:ascii="Arial" w:hAnsi="Arial" w:cs="Arial"/>
          <w:sz w:val="24"/>
          <w:szCs w:val="24"/>
        </w:rPr>
        <w:t xml:space="preserve">, M., Pappas, D. and </w:t>
      </w:r>
      <w:proofErr w:type="spellStart"/>
      <w:r w:rsidRPr="00C71BA6">
        <w:rPr>
          <w:rFonts w:ascii="Arial" w:hAnsi="Arial" w:cs="Arial"/>
          <w:sz w:val="24"/>
          <w:szCs w:val="24"/>
        </w:rPr>
        <w:t>Paraschi</w:t>
      </w:r>
      <w:proofErr w:type="spellEnd"/>
      <w:r w:rsidRPr="00C71BA6">
        <w:rPr>
          <w:rFonts w:ascii="Arial" w:hAnsi="Arial" w:cs="Arial"/>
          <w:sz w:val="24"/>
          <w:szCs w:val="24"/>
        </w:rPr>
        <w:t>, P. (2019), "The airline – airport – tourism destination authority relationship: the case of Greece</w:t>
      </w:r>
      <w:r w:rsidR="006E4483">
        <w:rPr>
          <w:rFonts w:ascii="Arial" w:hAnsi="Arial" w:cs="Arial"/>
          <w:sz w:val="24"/>
          <w:szCs w:val="24"/>
        </w:rPr>
        <w:t>,”</w:t>
      </w:r>
      <w:r w:rsidRPr="00C71BA6">
        <w:rPr>
          <w:rFonts w:ascii="Arial" w:hAnsi="Arial" w:cs="Arial"/>
          <w:sz w:val="24"/>
          <w:szCs w:val="24"/>
        </w:rPr>
        <w:t xml:space="preserve"> in Kozak, N.</w:t>
      </w:r>
      <w:r w:rsidR="006E4483">
        <w:rPr>
          <w:rFonts w:ascii="Arial" w:hAnsi="Arial" w:cs="Arial"/>
          <w:sz w:val="24"/>
          <w:szCs w:val="24"/>
        </w:rPr>
        <w:t>,</w:t>
      </w:r>
      <w:r w:rsidRPr="00C71BA6">
        <w:rPr>
          <w:rFonts w:ascii="Arial" w:hAnsi="Arial" w:cs="Arial"/>
          <w:sz w:val="24"/>
          <w:szCs w:val="24"/>
        </w:rPr>
        <w:t xml:space="preserve"> and Kozak, M. (Eds), Tourist Destination Management: Tourism, Hospitality</w:t>
      </w:r>
      <w:r w:rsidR="006E4483">
        <w:rPr>
          <w:rFonts w:ascii="Arial" w:hAnsi="Arial" w:cs="Arial"/>
          <w:sz w:val="24"/>
          <w:szCs w:val="24"/>
        </w:rPr>
        <w:t>,</w:t>
      </w:r>
      <w:r w:rsidRPr="00C71BA6">
        <w:rPr>
          <w:rFonts w:ascii="Arial" w:hAnsi="Arial" w:cs="Arial"/>
          <w:sz w:val="24"/>
          <w:szCs w:val="24"/>
        </w:rPr>
        <w:t xml:space="preserve"> and Event Management, Springer, Berlin, pp. 27-41, ISBN: 9783030169817.</w:t>
      </w:r>
    </w:p>
    <w:p w:rsidR="00C71BA6" w:rsidRPr="00C71BA6" w:rsidRDefault="00C71BA6" w:rsidP="00C71BA6">
      <w:pPr>
        <w:rPr>
          <w:rFonts w:ascii="Arial" w:hAnsi="Arial" w:cs="Arial"/>
          <w:sz w:val="24"/>
          <w:szCs w:val="24"/>
        </w:rPr>
      </w:pPr>
      <w:r w:rsidRPr="00C71BA6">
        <w:rPr>
          <w:rFonts w:ascii="Arial" w:hAnsi="Arial" w:cs="Arial"/>
          <w:sz w:val="24"/>
          <w:szCs w:val="24"/>
        </w:rPr>
        <w:t>Pappas, N. (2019), "Crisis management communications for popular culture events</w:t>
      </w:r>
      <w:r w:rsidR="006E4483">
        <w:rPr>
          <w:rFonts w:ascii="Arial" w:hAnsi="Arial" w:cs="Arial"/>
          <w:sz w:val="24"/>
          <w:szCs w:val="24"/>
        </w:rPr>
        <w:t>,”</w:t>
      </w:r>
      <w:r w:rsidRPr="00C71BA6">
        <w:rPr>
          <w:rFonts w:ascii="Arial" w:hAnsi="Arial" w:cs="Arial"/>
          <w:sz w:val="24"/>
          <w:szCs w:val="24"/>
        </w:rPr>
        <w:t xml:space="preserve"> Event Management, Vol. 23 Nos 4/5, pp. 655-667.</w:t>
      </w:r>
    </w:p>
    <w:p w:rsidR="00C71BA6" w:rsidRPr="00C71BA6" w:rsidRDefault="00C71BA6" w:rsidP="00C71BA6">
      <w:pPr>
        <w:rPr>
          <w:rFonts w:ascii="Arial" w:hAnsi="Arial" w:cs="Arial"/>
          <w:sz w:val="24"/>
          <w:szCs w:val="24"/>
        </w:rPr>
      </w:pPr>
    </w:p>
    <w:p w:rsidR="00C71BA6" w:rsidRPr="00C71BA6" w:rsidRDefault="00C71BA6" w:rsidP="00C71BA6">
      <w:pPr>
        <w:rPr>
          <w:rFonts w:ascii="Arial" w:hAnsi="Arial" w:cs="Arial"/>
          <w:sz w:val="24"/>
          <w:szCs w:val="24"/>
        </w:rPr>
      </w:pPr>
      <w:r w:rsidRPr="00C71BA6">
        <w:rPr>
          <w:rFonts w:ascii="Arial" w:hAnsi="Arial" w:cs="Arial"/>
          <w:sz w:val="24"/>
          <w:szCs w:val="24"/>
        </w:rPr>
        <w:t xml:space="preserve">Pappas, N. and Brown, A. (2020), "Entrepreneurial decisions in tourism and hospitality during </w:t>
      </w:r>
      <w:r w:rsidR="006E4483">
        <w:rPr>
          <w:rFonts w:ascii="Arial" w:hAnsi="Arial" w:cs="Arial"/>
          <w:sz w:val="24"/>
          <w:szCs w:val="24"/>
        </w:rPr>
        <w:t xml:space="preserve">the </w:t>
      </w:r>
      <w:r w:rsidRPr="00C71BA6">
        <w:rPr>
          <w:rFonts w:ascii="Arial" w:hAnsi="Arial" w:cs="Arial"/>
          <w:sz w:val="24"/>
          <w:szCs w:val="24"/>
        </w:rPr>
        <w:t>crisis</w:t>
      </w:r>
      <w:r w:rsidR="006E4483">
        <w:rPr>
          <w:rFonts w:ascii="Arial" w:hAnsi="Arial" w:cs="Arial"/>
          <w:sz w:val="24"/>
          <w:szCs w:val="24"/>
        </w:rPr>
        <w:t>,”</w:t>
      </w:r>
      <w:r w:rsidRPr="00C71BA6">
        <w:rPr>
          <w:rFonts w:ascii="Arial" w:hAnsi="Arial" w:cs="Arial"/>
          <w:sz w:val="24"/>
          <w:szCs w:val="24"/>
        </w:rPr>
        <w:t xml:space="preserve"> Management Decision, </w:t>
      </w:r>
      <w:r w:rsidR="006E4483">
        <w:rPr>
          <w:rFonts w:ascii="Arial" w:hAnsi="Arial" w:cs="Arial"/>
          <w:sz w:val="24"/>
          <w:szCs w:val="24"/>
        </w:rPr>
        <w:t>DOI</w:t>
      </w:r>
      <w:r w:rsidRPr="00C71BA6">
        <w:rPr>
          <w:rFonts w:ascii="Arial" w:hAnsi="Arial" w:cs="Arial"/>
          <w:sz w:val="24"/>
          <w:szCs w:val="24"/>
        </w:rPr>
        <w:t>: 10.1108/MD-10-2019-1412.</w:t>
      </w:r>
    </w:p>
    <w:p w:rsidR="00C71BA6" w:rsidRPr="00C71BA6" w:rsidRDefault="00C71BA6" w:rsidP="00C71BA6">
      <w:pPr>
        <w:rPr>
          <w:rFonts w:ascii="Arial" w:hAnsi="Arial" w:cs="Arial"/>
          <w:sz w:val="24"/>
          <w:szCs w:val="24"/>
        </w:rPr>
      </w:pPr>
      <w:r w:rsidRPr="00C71BA6">
        <w:rPr>
          <w:rFonts w:ascii="Arial" w:hAnsi="Arial" w:cs="Arial"/>
          <w:sz w:val="24"/>
          <w:szCs w:val="24"/>
        </w:rPr>
        <w:t xml:space="preserve">PwC (2019), "PwC hotels forecast 2019: uncertainty to stall growth across Yorkshire and North East", available at: </w:t>
      </w:r>
      <w:hyperlink r:id="rId5" w:history="1">
        <w:r w:rsidR="006E4483" w:rsidRPr="00E60487">
          <w:rPr>
            <w:rStyle w:val="Hyperlink"/>
            <w:rFonts w:ascii="Arial" w:hAnsi="Arial" w:cs="Arial"/>
            <w:sz w:val="24"/>
            <w:szCs w:val="24"/>
          </w:rPr>
          <w:t>www.pwc.co.uk/who-we-are/regional-sites/Yorkshire-northeast/press-releases/PWC-hotels-forecast-2019–-uncertainty-to-stall-growth-across-yo</w:t>
        </w:r>
      </w:hyperlink>
      <w:r w:rsidRPr="00C71BA6">
        <w:rPr>
          <w:rFonts w:ascii="Arial" w:hAnsi="Arial" w:cs="Arial"/>
          <w:sz w:val="24"/>
          <w:szCs w:val="24"/>
        </w:rPr>
        <w:t>.</w:t>
      </w:r>
      <w:r w:rsidR="006E4483">
        <w:rPr>
          <w:rFonts w:ascii="Arial" w:hAnsi="Arial" w:cs="Arial"/>
          <w:sz w:val="24"/>
          <w:szCs w:val="24"/>
        </w:rPr>
        <w:t xml:space="preserve"> </w:t>
      </w:r>
      <w:r w:rsidRPr="00C71BA6">
        <w:rPr>
          <w:rFonts w:ascii="Arial" w:hAnsi="Arial" w:cs="Arial"/>
          <w:sz w:val="24"/>
          <w:szCs w:val="24"/>
        </w:rPr>
        <w:t>html&gt; (accessed 2 October 2020).</w:t>
      </w:r>
    </w:p>
    <w:p w:rsidR="00C71BA6" w:rsidRPr="00C71BA6" w:rsidRDefault="00C71BA6" w:rsidP="00C71BA6">
      <w:pPr>
        <w:rPr>
          <w:rFonts w:ascii="Arial" w:hAnsi="Arial" w:cs="Arial"/>
          <w:sz w:val="24"/>
          <w:szCs w:val="24"/>
        </w:rPr>
      </w:pPr>
      <w:r w:rsidRPr="00C71BA6">
        <w:rPr>
          <w:rFonts w:ascii="Arial" w:hAnsi="Arial" w:cs="Arial"/>
          <w:sz w:val="24"/>
          <w:szCs w:val="24"/>
        </w:rPr>
        <w:t>Ross, D. (2020), "The economic impact of COVID-19 on the hotel industry", Hospitality Technology, available at: &lt;https://hospitalitytech.com/economic-impact-covid-19-hotel-industry&gt; (accessed 3 October 2020).</w:t>
      </w:r>
    </w:p>
    <w:p w:rsidR="00C71BA6" w:rsidRPr="00C71BA6" w:rsidRDefault="00C71BA6" w:rsidP="00C71BA6">
      <w:pPr>
        <w:rPr>
          <w:rFonts w:ascii="Arial" w:hAnsi="Arial" w:cs="Arial"/>
          <w:sz w:val="24"/>
          <w:szCs w:val="24"/>
        </w:rPr>
      </w:pPr>
      <w:r w:rsidRPr="00C71BA6">
        <w:rPr>
          <w:rFonts w:ascii="Arial" w:hAnsi="Arial" w:cs="Arial"/>
          <w:sz w:val="24"/>
          <w:szCs w:val="24"/>
        </w:rPr>
        <w:t xml:space="preserve">Sánchez, J., </w:t>
      </w:r>
      <w:proofErr w:type="spellStart"/>
      <w:r w:rsidRPr="00C71BA6">
        <w:rPr>
          <w:rFonts w:ascii="Arial" w:hAnsi="Arial" w:cs="Arial"/>
          <w:sz w:val="24"/>
          <w:szCs w:val="24"/>
        </w:rPr>
        <w:t>Callarisa</w:t>
      </w:r>
      <w:proofErr w:type="spellEnd"/>
      <w:r w:rsidRPr="00C71BA6">
        <w:rPr>
          <w:rFonts w:ascii="Arial" w:hAnsi="Arial" w:cs="Arial"/>
          <w:sz w:val="24"/>
          <w:szCs w:val="24"/>
        </w:rPr>
        <w:t xml:space="preserve">, L., Rodríguez, R. and </w:t>
      </w:r>
      <w:proofErr w:type="spellStart"/>
      <w:r w:rsidRPr="00C71BA6">
        <w:rPr>
          <w:rFonts w:ascii="Arial" w:hAnsi="Arial" w:cs="Arial"/>
          <w:sz w:val="24"/>
          <w:szCs w:val="24"/>
        </w:rPr>
        <w:t>Moliner</w:t>
      </w:r>
      <w:proofErr w:type="spellEnd"/>
      <w:r w:rsidRPr="00C71BA6">
        <w:rPr>
          <w:rFonts w:ascii="Arial" w:hAnsi="Arial" w:cs="Arial"/>
          <w:sz w:val="24"/>
          <w:szCs w:val="24"/>
        </w:rPr>
        <w:t>, M. (2006), "Perceived value of the purchase of a tourism product", Tourism Management, Vol. 27 No. 3, pp. 394-409.</w:t>
      </w:r>
    </w:p>
    <w:p w:rsidR="00C71BA6" w:rsidRPr="00C71BA6" w:rsidRDefault="00C71BA6" w:rsidP="00C71BA6">
      <w:pPr>
        <w:rPr>
          <w:rFonts w:ascii="Arial" w:hAnsi="Arial" w:cs="Arial"/>
          <w:sz w:val="24"/>
          <w:szCs w:val="24"/>
        </w:rPr>
      </w:pPr>
      <w:proofErr w:type="spellStart"/>
      <w:r w:rsidRPr="00C71BA6">
        <w:rPr>
          <w:rFonts w:ascii="Arial" w:hAnsi="Arial" w:cs="Arial"/>
          <w:sz w:val="24"/>
          <w:szCs w:val="24"/>
        </w:rPr>
        <w:t>Šerić</w:t>
      </w:r>
      <w:proofErr w:type="spellEnd"/>
      <w:r w:rsidRPr="00C71BA6">
        <w:rPr>
          <w:rFonts w:ascii="Arial" w:hAnsi="Arial" w:cs="Arial"/>
          <w:sz w:val="24"/>
          <w:szCs w:val="24"/>
        </w:rPr>
        <w:t>, M. and Gil-</w:t>
      </w:r>
      <w:proofErr w:type="spellStart"/>
      <w:r w:rsidRPr="00C71BA6">
        <w:rPr>
          <w:rFonts w:ascii="Arial" w:hAnsi="Arial" w:cs="Arial"/>
          <w:sz w:val="24"/>
          <w:szCs w:val="24"/>
        </w:rPr>
        <w:t>Saura</w:t>
      </w:r>
      <w:proofErr w:type="spellEnd"/>
      <w:r w:rsidRPr="00C71BA6">
        <w:rPr>
          <w:rFonts w:ascii="Arial" w:hAnsi="Arial" w:cs="Arial"/>
          <w:sz w:val="24"/>
          <w:szCs w:val="24"/>
        </w:rPr>
        <w:t>, I. (2019), "Understanding brand equity in hotel firms: what is the role of brand loyalty and satisfaction?", International Journal of Contemporary Hospitality Management, Vol. 31 No. 9, pp. 3526-3546.</w:t>
      </w:r>
    </w:p>
    <w:p w:rsidR="00C71BA6" w:rsidRPr="00C71BA6" w:rsidRDefault="00C71BA6" w:rsidP="00C71BA6">
      <w:pPr>
        <w:rPr>
          <w:rFonts w:ascii="Arial" w:hAnsi="Arial" w:cs="Arial"/>
          <w:sz w:val="24"/>
          <w:szCs w:val="24"/>
        </w:rPr>
      </w:pPr>
      <w:r w:rsidRPr="00C71BA6">
        <w:rPr>
          <w:rFonts w:ascii="Arial" w:hAnsi="Arial" w:cs="Arial"/>
          <w:sz w:val="24"/>
          <w:szCs w:val="24"/>
        </w:rPr>
        <w:t xml:space="preserve">Sharma, A. and </w:t>
      </w:r>
      <w:proofErr w:type="spellStart"/>
      <w:r w:rsidRPr="00C71BA6">
        <w:rPr>
          <w:rFonts w:ascii="Arial" w:hAnsi="Arial" w:cs="Arial"/>
          <w:sz w:val="24"/>
          <w:szCs w:val="24"/>
        </w:rPr>
        <w:t>Nicolau</w:t>
      </w:r>
      <w:proofErr w:type="spellEnd"/>
      <w:r w:rsidRPr="00C71BA6">
        <w:rPr>
          <w:rFonts w:ascii="Arial" w:hAnsi="Arial" w:cs="Arial"/>
          <w:sz w:val="24"/>
          <w:szCs w:val="24"/>
        </w:rPr>
        <w:t>, J.L. (2020), "An open market valuation of the effects of COVID-19 on the travel and tourism industry", Annals of Tourism Research, Vol. 83, Article 102990.</w:t>
      </w:r>
    </w:p>
    <w:p w:rsidR="00C71BA6" w:rsidRPr="00C71BA6" w:rsidRDefault="00C71BA6" w:rsidP="00C71BA6">
      <w:pPr>
        <w:rPr>
          <w:rFonts w:ascii="Arial" w:hAnsi="Arial" w:cs="Arial"/>
          <w:sz w:val="24"/>
          <w:szCs w:val="24"/>
        </w:rPr>
      </w:pPr>
      <w:proofErr w:type="spellStart"/>
      <w:r w:rsidRPr="00C71BA6">
        <w:rPr>
          <w:rFonts w:ascii="Arial" w:hAnsi="Arial" w:cs="Arial"/>
          <w:sz w:val="24"/>
          <w:szCs w:val="24"/>
        </w:rPr>
        <w:t>Bizfluent</w:t>
      </w:r>
      <w:proofErr w:type="spellEnd"/>
      <w:r w:rsidRPr="00C71BA6">
        <w:rPr>
          <w:rFonts w:ascii="Arial" w:hAnsi="Arial" w:cs="Arial"/>
          <w:sz w:val="24"/>
          <w:szCs w:val="24"/>
        </w:rPr>
        <w:t>. 2021. 'Restaurant PESTLE Analysis</w:t>
      </w:r>
      <w:r w:rsidR="006E4483">
        <w:rPr>
          <w:rFonts w:ascii="Arial" w:hAnsi="Arial" w:cs="Arial"/>
          <w:sz w:val="24"/>
          <w:szCs w:val="24"/>
        </w:rPr>
        <w:t>,’</w:t>
      </w:r>
      <w:r w:rsidRPr="00C71BA6">
        <w:rPr>
          <w:rFonts w:ascii="Arial" w:hAnsi="Arial" w:cs="Arial"/>
          <w:sz w:val="24"/>
          <w:szCs w:val="24"/>
        </w:rPr>
        <w:t xml:space="preserve"> PESTLE Analysis, [online]. Available at: https://bizfluent.com/info-7911098-restaurant-pest-analysis.html (Accessed 26 June 2021).</w:t>
      </w:r>
    </w:p>
    <w:p w:rsidR="00C71BA6" w:rsidRPr="00C71BA6" w:rsidRDefault="00C71BA6" w:rsidP="00C71BA6">
      <w:pPr>
        <w:rPr>
          <w:rFonts w:ascii="Arial" w:hAnsi="Arial" w:cs="Arial"/>
          <w:sz w:val="24"/>
          <w:szCs w:val="24"/>
        </w:rPr>
      </w:pPr>
      <w:r w:rsidRPr="00C71BA6">
        <w:rPr>
          <w:rFonts w:ascii="Arial" w:hAnsi="Arial" w:cs="Arial"/>
          <w:sz w:val="24"/>
          <w:szCs w:val="24"/>
        </w:rPr>
        <w:t>Bush, T., 2021. 'PESTLE Analysis of the Food Industry', PESTLE Analysis, [online]. Available at: https://pestleanalysis.com/pestle-analysis-of-the-food-industry/ (Accessed 26 June 2021).</w:t>
      </w:r>
    </w:p>
    <w:p w:rsidR="00C71BA6" w:rsidRPr="00C71BA6" w:rsidRDefault="00C71BA6" w:rsidP="00C71BA6">
      <w:pPr>
        <w:rPr>
          <w:rFonts w:ascii="Arial" w:hAnsi="Arial" w:cs="Arial"/>
          <w:sz w:val="24"/>
          <w:szCs w:val="24"/>
        </w:rPr>
      </w:pPr>
      <w:r w:rsidRPr="00C71BA6">
        <w:rPr>
          <w:rFonts w:ascii="Arial" w:hAnsi="Arial" w:cs="Arial"/>
          <w:sz w:val="24"/>
          <w:szCs w:val="24"/>
        </w:rPr>
        <w:lastRenderedPageBreak/>
        <w:t>Farooq, U., 2021. 'An Example of Pestle Analysis of a Restaurant | Marketing Tutor</w:t>
      </w:r>
      <w:r w:rsidR="006E4483">
        <w:rPr>
          <w:rFonts w:ascii="Arial" w:hAnsi="Arial" w:cs="Arial"/>
          <w:sz w:val="24"/>
          <w:szCs w:val="24"/>
        </w:rPr>
        <w:t>,’</w:t>
      </w:r>
      <w:r w:rsidRPr="00C71BA6">
        <w:rPr>
          <w:rFonts w:ascii="Arial" w:hAnsi="Arial" w:cs="Arial"/>
          <w:sz w:val="24"/>
          <w:szCs w:val="24"/>
        </w:rPr>
        <w:t xml:space="preserve"> Marketing Tutor, [online]. Available at: https://www.marketingtutor.net/pestle-analysis-of-a-restaurant/ (Accessed 26 June 2021).</w:t>
      </w:r>
    </w:p>
    <w:p w:rsidR="00E46590" w:rsidRPr="00C71BA6" w:rsidRDefault="00C71BA6" w:rsidP="00C71BA6">
      <w:proofErr w:type="spellStart"/>
      <w:r w:rsidRPr="00C71BA6">
        <w:rPr>
          <w:rFonts w:ascii="Arial" w:hAnsi="Arial" w:cs="Arial"/>
          <w:sz w:val="24"/>
          <w:szCs w:val="24"/>
        </w:rPr>
        <w:t>Adamkasi</w:t>
      </w:r>
      <w:proofErr w:type="spellEnd"/>
      <w:r w:rsidRPr="00C71BA6">
        <w:rPr>
          <w:rFonts w:ascii="Arial" w:hAnsi="Arial" w:cs="Arial"/>
          <w:sz w:val="24"/>
          <w:szCs w:val="24"/>
        </w:rPr>
        <w:t>. 2021. 'PESTEL-PESTLE Analysis of Restaurant Industry | Free PESTEL Analysis', PESTLE Analysis, [online]. Available at: https://freepestelanalysis.com/pestel-pestle-analysis-of-restaurant-industry/ (Accessed 26 June 2021).</w:t>
      </w:r>
    </w:p>
    <w:sectPr w:rsidR="00E46590" w:rsidRPr="00C71B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37C"/>
    <w:rsid w:val="00072C53"/>
    <w:rsid w:val="00150661"/>
    <w:rsid w:val="00355560"/>
    <w:rsid w:val="003B164A"/>
    <w:rsid w:val="003C492E"/>
    <w:rsid w:val="003D3F95"/>
    <w:rsid w:val="00435BA3"/>
    <w:rsid w:val="004D0DB2"/>
    <w:rsid w:val="005029C1"/>
    <w:rsid w:val="00523E3F"/>
    <w:rsid w:val="0057582B"/>
    <w:rsid w:val="005A557A"/>
    <w:rsid w:val="005E4334"/>
    <w:rsid w:val="006B2070"/>
    <w:rsid w:val="006E4483"/>
    <w:rsid w:val="00715F8C"/>
    <w:rsid w:val="007A2D86"/>
    <w:rsid w:val="008A637C"/>
    <w:rsid w:val="00906651"/>
    <w:rsid w:val="00A2463B"/>
    <w:rsid w:val="00A67995"/>
    <w:rsid w:val="00AF704B"/>
    <w:rsid w:val="00B47060"/>
    <w:rsid w:val="00C71BA6"/>
    <w:rsid w:val="00D17194"/>
    <w:rsid w:val="00D51B06"/>
    <w:rsid w:val="00D724D8"/>
    <w:rsid w:val="00E46590"/>
    <w:rsid w:val="00E5651E"/>
    <w:rsid w:val="00ED6E71"/>
    <w:rsid w:val="00FF0B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2D8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4483"/>
    <w:rPr>
      <w:color w:val="0563C1" w:themeColor="hyperlink"/>
      <w:u w:val="single"/>
    </w:rPr>
  </w:style>
  <w:style w:type="character" w:customStyle="1" w:styleId="UnresolvedMention">
    <w:name w:val="Unresolved Mention"/>
    <w:basedOn w:val="DefaultParagraphFont"/>
    <w:uiPriority w:val="99"/>
    <w:semiHidden/>
    <w:unhideWhenUsed/>
    <w:rsid w:val="006E4483"/>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2D8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4483"/>
    <w:rPr>
      <w:color w:val="0563C1" w:themeColor="hyperlink"/>
      <w:u w:val="single"/>
    </w:rPr>
  </w:style>
  <w:style w:type="character" w:customStyle="1" w:styleId="UnresolvedMention">
    <w:name w:val="Unresolved Mention"/>
    <w:basedOn w:val="DefaultParagraphFont"/>
    <w:uiPriority w:val="99"/>
    <w:semiHidden/>
    <w:unhideWhenUsed/>
    <w:rsid w:val="006E44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07397">
      <w:bodyDiv w:val="1"/>
      <w:marLeft w:val="0"/>
      <w:marRight w:val="0"/>
      <w:marTop w:val="0"/>
      <w:marBottom w:val="0"/>
      <w:divBdr>
        <w:top w:val="none" w:sz="0" w:space="0" w:color="auto"/>
        <w:left w:val="none" w:sz="0" w:space="0" w:color="auto"/>
        <w:bottom w:val="none" w:sz="0" w:space="0" w:color="auto"/>
        <w:right w:val="none" w:sz="0" w:space="0" w:color="auto"/>
      </w:divBdr>
    </w:div>
    <w:div w:id="102699769">
      <w:bodyDiv w:val="1"/>
      <w:marLeft w:val="0"/>
      <w:marRight w:val="0"/>
      <w:marTop w:val="0"/>
      <w:marBottom w:val="0"/>
      <w:divBdr>
        <w:top w:val="none" w:sz="0" w:space="0" w:color="auto"/>
        <w:left w:val="none" w:sz="0" w:space="0" w:color="auto"/>
        <w:bottom w:val="none" w:sz="0" w:space="0" w:color="auto"/>
        <w:right w:val="none" w:sz="0" w:space="0" w:color="auto"/>
      </w:divBdr>
    </w:div>
    <w:div w:id="462424420">
      <w:bodyDiv w:val="1"/>
      <w:marLeft w:val="0"/>
      <w:marRight w:val="0"/>
      <w:marTop w:val="0"/>
      <w:marBottom w:val="0"/>
      <w:divBdr>
        <w:top w:val="none" w:sz="0" w:space="0" w:color="auto"/>
        <w:left w:val="none" w:sz="0" w:space="0" w:color="auto"/>
        <w:bottom w:val="none" w:sz="0" w:space="0" w:color="auto"/>
        <w:right w:val="none" w:sz="0" w:space="0" w:color="auto"/>
      </w:divBdr>
    </w:div>
    <w:div w:id="775367160">
      <w:bodyDiv w:val="1"/>
      <w:marLeft w:val="0"/>
      <w:marRight w:val="0"/>
      <w:marTop w:val="0"/>
      <w:marBottom w:val="0"/>
      <w:divBdr>
        <w:top w:val="none" w:sz="0" w:space="0" w:color="auto"/>
        <w:left w:val="none" w:sz="0" w:space="0" w:color="auto"/>
        <w:bottom w:val="none" w:sz="0" w:space="0" w:color="auto"/>
        <w:right w:val="none" w:sz="0" w:space="0" w:color="auto"/>
      </w:divBdr>
    </w:div>
    <w:div w:id="1740323605">
      <w:bodyDiv w:val="1"/>
      <w:marLeft w:val="0"/>
      <w:marRight w:val="0"/>
      <w:marTop w:val="0"/>
      <w:marBottom w:val="0"/>
      <w:divBdr>
        <w:top w:val="none" w:sz="0" w:space="0" w:color="auto"/>
        <w:left w:val="none" w:sz="0" w:space="0" w:color="auto"/>
        <w:bottom w:val="none" w:sz="0" w:space="0" w:color="auto"/>
        <w:right w:val="none" w:sz="0" w:space="0" w:color="auto"/>
      </w:divBdr>
    </w:div>
    <w:div w:id="1821387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pwc.co.uk/who-we-are/regional-sites/Yorkshire-northeast/press-releases/PWC-hotels-forecast-2019&#8211;-uncertainty-to-stall-growth-across-yo"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2809</Words>
  <Characters>16014</Characters>
  <Application>Microsoft Macintosh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Romonee</dc:creator>
  <cp:keywords/>
  <dc:description/>
  <cp:lastModifiedBy>Forhad Hossain</cp:lastModifiedBy>
  <cp:revision>2</cp:revision>
  <dcterms:created xsi:type="dcterms:W3CDTF">2022-05-31T19:52:00Z</dcterms:created>
  <dcterms:modified xsi:type="dcterms:W3CDTF">2022-05-31T19:52:00Z</dcterms:modified>
</cp:coreProperties>
</file>