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DA4A24" w14:textId="77777777" w:rsidR="000F69E4" w:rsidRDefault="000F69E4" w:rsidP="00E50AC7">
      <w:pPr>
        <w:spacing w:before="240" w:line="360" w:lineRule="auto"/>
        <w:rPr>
          <w:rFonts w:eastAsia="Times New Roman"/>
          <w:b/>
          <w:bCs/>
          <w:sz w:val="32"/>
          <w:szCs w:val="32"/>
          <w:lang w:val="en-GB"/>
        </w:rPr>
      </w:pPr>
    </w:p>
    <w:p w14:paraId="48D5FD50" w14:textId="77777777" w:rsidR="000F69E4" w:rsidRDefault="000F69E4" w:rsidP="00E50AC7">
      <w:pPr>
        <w:spacing w:before="240" w:line="360" w:lineRule="auto"/>
        <w:rPr>
          <w:rFonts w:eastAsia="Times New Roman"/>
          <w:b/>
          <w:bCs/>
          <w:sz w:val="32"/>
          <w:szCs w:val="32"/>
          <w:lang w:val="en-GB"/>
        </w:rPr>
      </w:pPr>
    </w:p>
    <w:p w14:paraId="13A02BA4" w14:textId="77777777" w:rsidR="000F69E4" w:rsidRDefault="000F69E4" w:rsidP="00E50AC7">
      <w:pPr>
        <w:spacing w:before="240" w:line="360" w:lineRule="auto"/>
        <w:rPr>
          <w:rFonts w:eastAsia="Times New Roman"/>
          <w:b/>
          <w:bCs/>
          <w:sz w:val="32"/>
          <w:szCs w:val="32"/>
          <w:lang w:val="en-GB"/>
        </w:rPr>
      </w:pPr>
    </w:p>
    <w:p w14:paraId="3E708F93" w14:textId="77777777" w:rsidR="000F69E4" w:rsidRDefault="000F69E4" w:rsidP="00E50AC7">
      <w:pPr>
        <w:spacing w:before="240" w:line="360" w:lineRule="auto"/>
        <w:rPr>
          <w:rFonts w:eastAsia="Times New Roman"/>
          <w:b/>
          <w:bCs/>
          <w:sz w:val="32"/>
          <w:szCs w:val="32"/>
          <w:lang w:val="en-GB"/>
        </w:rPr>
      </w:pPr>
    </w:p>
    <w:p w14:paraId="0E965A30" w14:textId="3B4ABF09" w:rsidR="001D589C" w:rsidRDefault="004028B7" w:rsidP="00E50AC7">
      <w:pPr>
        <w:spacing w:before="240" w:line="360" w:lineRule="auto"/>
        <w:rPr>
          <w:rFonts w:eastAsia="Times New Roman"/>
          <w:b/>
          <w:bCs/>
          <w:sz w:val="32"/>
          <w:szCs w:val="32"/>
          <w:lang w:val="en-GB"/>
        </w:rPr>
      </w:pPr>
      <w:r w:rsidRPr="0006204C">
        <w:rPr>
          <w:rFonts w:ascii="Times New Roman" w:eastAsia="Times New Roman" w:hAnsi="Times New Roman" w:cs="Times New Roman"/>
          <w:b/>
          <w:bCs/>
          <w:noProof/>
          <w:sz w:val="32"/>
          <w:szCs w:val="32"/>
        </w:rPr>
        <w:drawing>
          <wp:inline distT="0" distB="0" distL="0" distR="0" wp14:anchorId="3D8F877F" wp14:editId="271578E0">
            <wp:extent cx="5943600" cy="1673225"/>
            <wp:effectExtent l="0" t="0" r="0" b="3175"/>
            <wp:docPr id="72358173" name="Content Placeholder 3">
              <a:extLst xmlns:a="http://schemas.openxmlformats.org/drawingml/2006/main">
                <a:ext uri="{FF2B5EF4-FFF2-40B4-BE49-F238E27FC236}">
                  <a16:creationId xmlns:a16="http://schemas.microsoft.com/office/drawing/2014/main" id="{BC8855B5-113F-DC34-B3A7-03A23CB2B8F2}"/>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Content Placeholder 3">
                      <a:extLst>
                        <a:ext uri="{FF2B5EF4-FFF2-40B4-BE49-F238E27FC236}">
                          <a16:creationId xmlns:a16="http://schemas.microsoft.com/office/drawing/2014/main" id="{BC8855B5-113F-DC34-B3A7-03A23CB2B8F2}"/>
                        </a:ext>
                      </a:extLst>
                    </pic:cNvPr>
                    <pic:cNvPicPr>
                      <a:picLocks/>
                    </pic:cNvPicPr>
                  </pic:nvPicPr>
                  <pic:blipFill>
                    <a:blip r:embed="rId7"/>
                    <a:stretch>
                      <a:fillRect/>
                    </a:stretch>
                  </pic:blipFill>
                  <pic:spPr>
                    <a:xfrm>
                      <a:off x="0" y="0"/>
                      <a:ext cx="5943600" cy="1673225"/>
                    </a:xfrm>
                    <a:prstGeom prst="rect">
                      <a:avLst/>
                    </a:prstGeom>
                  </pic:spPr>
                </pic:pic>
              </a:graphicData>
            </a:graphic>
          </wp:inline>
        </w:drawing>
      </w:r>
    </w:p>
    <w:p w14:paraId="76EEE820" w14:textId="76C22119" w:rsidR="00E50AC7" w:rsidRPr="001A64B1" w:rsidRDefault="00E50AC7" w:rsidP="00E50AC7">
      <w:pPr>
        <w:spacing w:before="240" w:line="360" w:lineRule="auto"/>
        <w:rPr>
          <w:rFonts w:eastAsia="Times New Roman"/>
          <w:b/>
          <w:bCs/>
          <w:sz w:val="28"/>
          <w:szCs w:val="28"/>
          <w:lang w:val="en-GB"/>
        </w:rPr>
      </w:pPr>
      <w:r w:rsidRPr="001A64B1">
        <w:rPr>
          <w:rFonts w:eastAsia="Times New Roman"/>
          <w:b/>
          <w:bCs/>
          <w:sz w:val="28"/>
          <w:szCs w:val="28"/>
          <w:lang w:val="en-GB"/>
        </w:rPr>
        <w:t xml:space="preserve">Student Name: </w:t>
      </w:r>
      <w:proofErr w:type="spellStart"/>
      <w:r w:rsidRPr="001A64B1">
        <w:rPr>
          <w:rFonts w:eastAsia="Times New Roman"/>
          <w:b/>
          <w:bCs/>
          <w:sz w:val="28"/>
          <w:szCs w:val="28"/>
          <w:lang w:val="en-GB"/>
        </w:rPr>
        <w:t>Bhumikaben</w:t>
      </w:r>
      <w:proofErr w:type="spellEnd"/>
      <w:r w:rsidRPr="001A64B1">
        <w:rPr>
          <w:rFonts w:eastAsia="Times New Roman"/>
          <w:b/>
          <w:bCs/>
          <w:sz w:val="28"/>
          <w:szCs w:val="28"/>
          <w:lang w:val="en-GB"/>
        </w:rPr>
        <w:t xml:space="preserve"> </w:t>
      </w:r>
      <w:proofErr w:type="spellStart"/>
      <w:r w:rsidRPr="001A64B1">
        <w:rPr>
          <w:rFonts w:eastAsia="Times New Roman"/>
          <w:b/>
          <w:bCs/>
          <w:sz w:val="28"/>
          <w:szCs w:val="28"/>
          <w:lang w:val="en-GB"/>
        </w:rPr>
        <w:t>Rajubhai</w:t>
      </w:r>
      <w:proofErr w:type="spellEnd"/>
      <w:r w:rsidRPr="001A64B1">
        <w:rPr>
          <w:rFonts w:eastAsia="Times New Roman"/>
          <w:b/>
          <w:bCs/>
          <w:sz w:val="28"/>
          <w:szCs w:val="28"/>
          <w:lang w:val="en-GB"/>
        </w:rPr>
        <w:t xml:space="preserve"> Patel</w:t>
      </w:r>
    </w:p>
    <w:p w14:paraId="464C0511" w14:textId="12B8861C" w:rsidR="00E50AC7" w:rsidRPr="001A64B1" w:rsidRDefault="00E50AC7" w:rsidP="00E50AC7">
      <w:pPr>
        <w:spacing w:before="240" w:line="360" w:lineRule="auto"/>
        <w:rPr>
          <w:rFonts w:eastAsia="Times New Roman"/>
          <w:b/>
          <w:bCs/>
          <w:sz w:val="28"/>
          <w:szCs w:val="28"/>
          <w:lang w:val="en-GB"/>
        </w:rPr>
      </w:pPr>
      <w:r w:rsidRPr="001A64B1">
        <w:rPr>
          <w:rFonts w:eastAsia="Times New Roman"/>
          <w:b/>
          <w:bCs/>
          <w:sz w:val="28"/>
          <w:szCs w:val="28"/>
          <w:lang w:val="en-GB"/>
        </w:rPr>
        <w:t>Student ID: 2520143</w:t>
      </w:r>
    </w:p>
    <w:p w14:paraId="6D6B3750" w14:textId="77777777" w:rsidR="00E50AC7" w:rsidRPr="001A64B1" w:rsidRDefault="00E50AC7" w:rsidP="00E50AC7">
      <w:pPr>
        <w:spacing w:before="240" w:line="360" w:lineRule="auto"/>
        <w:rPr>
          <w:rFonts w:eastAsia="Times New Roman"/>
          <w:b/>
          <w:bCs/>
          <w:sz w:val="28"/>
          <w:szCs w:val="28"/>
          <w:lang w:val="en-GB"/>
        </w:rPr>
      </w:pPr>
      <w:r w:rsidRPr="001A64B1">
        <w:rPr>
          <w:rFonts w:eastAsia="Times New Roman"/>
          <w:b/>
          <w:bCs/>
          <w:sz w:val="28"/>
          <w:szCs w:val="28"/>
          <w:lang w:val="en-GB"/>
        </w:rPr>
        <w:t>Programme: MSc Public Health and Social Care in Practice</w:t>
      </w:r>
    </w:p>
    <w:p w14:paraId="4535E59C" w14:textId="4BFD95F8" w:rsidR="00E50AC7" w:rsidRPr="001A64B1" w:rsidRDefault="00E50AC7" w:rsidP="00E50AC7">
      <w:pPr>
        <w:spacing w:before="240" w:line="360" w:lineRule="auto"/>
        <w:rPr>
          <w:rFonts w:eastAsia="Times New Roman"/>
          <w:b/>
          <w:bCs/>
          <w:sz w:val="28"/>
          <w:szCs w:val="28"/>
          <w:lang w:val="en-GB"/>
        </w:rPr>
      </w:pPr>
      <w:r w:rsidRPr="001A64B1">
        <w:rPr>
          <w:rFonts w:eastAsia="Times New Roman"/>
          <w:b/>
          <w:bCs/>
          <w:sz w:val="28"/>
          <w:szCs w:val="28"/>
          <w:lang w:val="en-GB"/>
        </w:rPr>
        <w:t>Module Code:</w:t>
      </w:r>
      <w:r w:rsidR="000F69E4" w:rsidRPr="001A64B1">
        <w:rPr>
          <w:rFonts w:eastAsia="Times New Roman"/>
          <w:b/>
          <w:bCs/>
          <w:sz w:val="28"/>
          <w:szCs w:val="28"/>
          <w:lang w:val="en-GB"/>
        </w:rPr>
        <w:t xml:space="preserve"> </w:t>
      </w:r>
      <w:r w:rsidRPr="001A64B1">
        <w:rPr>
          <w:rFonts w:eastAsia="Times New Roman"/>
          <w:b/>
          <w:bCs/>
          <w:sz w:val="28"/>
          <w:szCs w:val="28"/>
          <w:lang w:val="en-GB"/>
        </w:rPr>
        <w:t>LCHS7006</w:t>
      </w:r>
    </w:p>
    <w:p w14:paraId="3FB65ABA" w14:textId="77777777" w:rsidR="00E50AC7" w:rsidRPr="001A64B1" w:rsidRDefault="00E50AC7" w:rsidP="00E50AC7">
      <w:pPr>
        <w:spacing w:before="240" w:line="360" w:lineRule="auto"/>
        <w:rPr>
          <w:rFonts w:eastAsia="Times New Roman"/>
          <w:b/>
          <w:bCs/>
          <w:sz w:val="28"/>
          <w:szCs w:val="28"/>
          <w:lang w:val="en-GB"/>
        </w:rPr>
      </w:pPr>
      <w:r w:rsidRPr="001A64B1">
        <w:rPr>
          <w:rFonts w:eastAsia="Times New Roman"/>
          <w:b/>
          <w:bCs/>
          <w:sz w:val="28"/>
          <w:szCs w:val="28"/>
          <w:lang w:val="en-GB"/>
        </w:rPr>
        <w:t xml:space="preserve">Module Title: </w:t>
      </w:r>
      <w:r w:rsidRPr="001A64B1">
        <w:rPr>
          <w:rFonts w:eastAsia="Times New Roman"/>
          <w:b/>
          <w:bCs/>
          <w:sz w:val="28"/>
          <w:szCs w:val="28"/>
          <w:lang w:val="en-US"/>
        </w:rPr>
        <w:t xml:space="preserve">Quality Assurance </w:t>
      </w:r>
      <w:proofErr w:type="gramStart"/>
      <w:r w:rsidRPr="001A64B1">
        <w:rPr>
          <w:rFonts w:eastAsia="Times New Roman"/>
          <w:b/>
          <w:bCs/>
          <w:sz w:val="28"/>
          <w:szCs w:val="28"/>
          <w:lang w:val="en-US"/>
        </w:rPr>
        <w:t>And</w:t>
      </w:r>
      <w:proofErr w:type="gramEnd"/>
      <w:r w:rsidRPr="001A64B1">
        <w:rPr>
          <w:rFonts w:eastAsia="Times New Roman"/>
          <w:b/>
          <w:bCs/>
          <w:sz w:val="28"/>
          <w:szCs w:val="28"/>
          <w:lang w:val="en-US"/>
        </w:rPr>
        <w:t xml:space="preserve"> Service Improvements </w:t>
      </w:r>
    </w:p>
    <w:p w14:paraId="1127AD9C" w14:textId="674FFA09" w:rsidR="003973BE" w:rsidRPr="001A64B1" w:rsidRDefault="00E50AC7" w:rsidP="00E50AC7">
      <w:pPr>
        <w:spacing w:before="240" w:line="360" w:lineRule="auto"/>
        <w:rPr>
          <w:rFonts w:eastAsia="Times New Roman"/>
          <w:b/>
          <w:bCs/>
          <w:sz w:val="28"/>
          <w:szCs w:val="28"/>
          <w:lang w:val="en-GB"/>
        </w:rPr>
      </w:pPr>
      <w:r w:rsidRPr="001A64B1">
        <w:rPr>
          <w:rFonts w:eastAsia="Times New Roman"/>
          <w:b/>
          <w:bCs/>
          <w:sz w:val="28"/>
          <w:szCs w:val="28"/>
          <w:lang w:val="en-GB"/>
        </w:rPr>
        <w:t xml:space="preserve">Assessment Title: Component </w:t>
      </w:r>
      <w:r w:rsidR="004E1210" w:rsidRPr="001A64B1">
        <w:rPr>
          <w:rFonts w:eastAsia="Times New Roman"/>
          <w:b/>
          <w:bCs/>
          <w:sz w:val="28"/>
          <w:szCs w:val="28"/>
          <w:lang w:val="en-GB"/>
        </w:rPr>
        <w:t>2</w:t>
      </w:r>
      <w:r w:rsidRPr="001A64B1">
        <w:rPr>
          <w:rFonts w:eastAsia="Times New Roman"/>
          <w:b/>
          <w:bCs/>
          <w:sz w:val="28"/>
          <w:szCs w:val="28"/>
          <w:lang w:val="en-GB"/>
        </w:rPr>
        <w:t xml:space="preserve">: </w:t>
      </w:r>
      <w:r w:rsidR="003973BE" w:rsidRPr="001A64B1">
        <w:rPr>
          <w:rFonts w:eastAsia="Times New Roman"/>
          <w:b/>
          <w:bCs/>
          <w:sz w:val="28"/>
          <w:szCs w:val="28"/>
          <w:lang w:val="en-GB"/>
        </w:rPr>
        <w:t>Service im</w:t>
      </w:r>
      <w:r w:rsidR="001A64B1" w:rsidRPr="001A64B1">
        <w:rPr>
          <w:rFonts w:eastAsia="Times New Roman"/>
          <w:b/>
          <w:bCs/>
          <w:sz w:val="28"/>
          <w:szCs w:val="28"/>
          <w:lang w:val="en-GB"/>
        </w:rPr>
        <w:t xml:space="preserve">provement </w:t>
      </w:r>
      <w:proofErr w:type="spellStart"/>
      <w:r w:rsidR="001A64B1" w:rsidRPr="001A64B1">
        <w:rPr>
          <w:rFonts w:eastAsia="Times New Roman"/>
          <w:b/>
          <w:bCs/>
          <w:sz w:val="28"/>
          <w:szCs w:val="28"/>
          <w:lang w:val="en-GB"/>
        </w:rPr>
        <w:t>Reoprt</w:t>
      </w:r>
      <w:proofErr w:type="spellEnd"/>
    </w:p>
    <w:p w14:paraId="518F0638" w14:textId="04CBF143" w:rsidR="00E50AC7" w:rsidRPr="001A64B1" w:rsidRDefault="00E50AC7" w:rsidP="00E50AC7">
      <w:pPr>
        <w:spacing w:before="240" w:line="360" w:lineRule="auto"/>
        <w:rPr>
          <w:rFonts w:eastAsia="Times New Roman"/>
          <w:b/>
          <w:bCs/>
          <w:sz w:val="28"/>
          <w:szCs w:val="28"/>
          <w:lang w:val="en-GB"/>
        </w:rPr>
      </w:pPr>
      <w:r w:rsidRPr="001A64B1">
        <w:rPr>
          <w:rFonts w:eastAsia="Times New Roman"/>
          <w:b/>
          <w:bCs/>
          <w:sz w:val="28"/>
          <w:szCs w:val="28"/>
          <w:lang w:val="en-GB"/>
        </w:rPr>
        <w:t xml:space="preserve">Lecturer: </w:t>
      </w:r>
      <w:r w:rsidR="000F69E4" w:rsidRPr="001A64B1">
        <w:rPr>
          <w:rFonts w:eastAsia="Times New Roman"/>
          <w:b/>
          <w:bCs/>
          <w:sz w:val="28"/>
          <w:szCs w:val="28"/>
          <w:lang w:val="en-GB"/>
        </w:rPr>
        <w:t>DR Fahad Khan</w:t>
      </w:r>
    </w:p>
    <w:p w14:paraId="76EE7FBC" w14:textId="4508EE0C" w:rsidR="00E50AC7" w:rsidRPr="001A64B1" w:rsidRDefault="00E50AC7" w:rsidP="00E50AC7">
      <w:pPr>
        <w:spacing w:before="240" w:line="360" w:lineRule="auto"/>
        <w:rPr>
          <w:rFonts w:eastAsia="Times New Roman"/>
          <w:b/>
          <w:bCs/>
          <w:sz w:val="28"/>
          <w:szCs w:val="28"/>
          <w:lang w:val="en-GB"/>
        </w:rPr>
      </w:pPr>
      <w:r w:rsidRPr="001A64B1">
        <w:rPr>
          <w:rFonts w:eastAsia="Times New Roman"/>
          <w:b/>
          <w:bCs/>
          <w:sz w:val="28"/>
          <w:szCs w:val="28"/>
          <w:lang w:val="en-GB"/>
        </w:rPr>
        <w:t>Submission Date: 2</w:t>
      </w:r>
      <w:r w:rsidR="000F69E4" w:rsidRPr="001A64B1">
        <w:rPr>
          <w:rFonts w:eastAsia="Times New Roman"/>
          <w:b/>
          <w:bCs/>
          <w:sz w:val="28"/>
          <w:szCs w:val="28"/>
          <w:lang w:val="en-GB"/>
        </w:rPr>
        <w:t>9 July</w:t>
      </w:r>
      <w:r w:rsidRPr="001A64B1">
        <w:rPr>
          <w:rFonts w:eastAsia="Times New Roman"/>
          <w:b/>
          <w:bCs/>
          <w:sz w:val="28"/>
          <w:szCs w:val="28"/>
          <w:lang w:val="en-GB"/>
        </w:rPr>
        <w:t xml:space="preserve"> 2026</w:t>
      </w:r>
    </w:p>
    <w:p w14:paraId="248DF586" w14:textId="77777777" w:rsidR="00174576" w:rsidRPr="00FF427B" w:rsidRDefault="00174576" w:rsidP="00E50AC7">
      <w:pPr>
        <w:spacing w:before="240" w:line="360" w:lineRule="auto"/>
        <w:rPr>
          <w:rFonts w:eastAsia="Times New Roman"/>
          <w:b/>
          <w:bCs/>
          <w:sz w:val="32"/>
          <w:szCs w:val="32"/>
          <w:lang w:val="en-GB"/>
        </w:rPr>
      </w:pPr>
    </w:p>
    <w:p w14:paraId="0567D18D" w14:textId="5BED051C" w:rsidR="00DD5020" w:rsidRPr="00527FD2" w:rsidRDefault="00527FD2" w:rsidP="00527FD2">
      <w:pPr>
        <w:spacing w:before="240" w:line="360" w:lineRule="auto"/>
        <w:rPr>
          <w:rFonts w:eastAsia="Times New Roman"/>
          <w:b/>
          <w:bCs/>
          <w:lang w:val="en-GB"/>
        </w:rPr>
      </w:pPr>
      <w:r>
        <w:rPr>
          <w:rFonts w:eastAsia="Times New Roman"/>
          <w:b/>
          <w:bCs/>
          <w:lang w:val="en-GB"/>
        </w:rPr>
        <w:lastRenderedPageBreak/>
        <w:t xml:space="preserve">                                                 </w:t>
      </w:r>
      <w:r w:rsidR="00596C4A" w:rsidRPr="00FF427B">
        <w:rPr>
          <w:rFonts w:eastAsia="Times New Roman"/>
          <w:b/>
          <w:bCs/>
          <w:sz w:val="24"/>
          <w:szCs w:val="24"/>
          <w:lang w:val="en-GB"/>
        </w:rPr>
        <w:t>Executive Summary</w:t>
      </w:r>
    </w:p>
    <w:p w14:paraId="0567D18E" w14:textId="03134015" w:rsidR="00FF427B" w:rsidRPr="00FF427B" w:rsidRDefault="00596C4A" w:rsidP="00797792">
      <w:pPr>
        <w:spacing w:before="240" w:line="360" w:lineRule="auto"/>
        <w:jc w:val="both"/>
        <w:rPr>
          <w:rFonts w:eastAsia="Times New Roman"/>
          <w:lang w:val="en-GB"/>
        </w:rPr>
      </w:pPr>
      <w:r w:rsidRPr="00FF427B">
        <w:rPr>
          <w:rFonts w:eastAsia="Times New Roman"/>
          <w:lang w:val="en-GB"/>
        </w:rPr>
        <w:t xml:space="preserve">This report analyses the case of Gosport War Memorial Hospital opioid prescribing scandal as a failure of critical healthcare quality management and patient safety in the UK NHS. The issue in the case was improper prescription and dispensing of opioid drugs to patients of old age in 1987-2001, which caused severe preventable injuries. Gosport Independent Panel found evidence of at least 456 deaths due to unsafe prescribing practices and illustrates systemic governance failures, monitoring and accountability failures. The report examines the causal factors of the incident with the help of known quality improvement models, such as the Fishbone Diagram, 5 Whys method, Donabedian Model and SWOT analysis. Results show inadequacy in clinical governance, leadership, ineffective incident reporting and the existing culture that discouraged the staff from voicing concerns. The report also relies on published studies, as well as the UK examples of healthcare, to put these failures into perspective. Additionally, it suggests evidence-based changes that are applicable through the PDCA model to enhance prescribing safety, enhance governance mechanisms, improve monitoring of patients and the development of an open and continuous learning and improvement culture in healthcare organisations. </w:t>
      </w:r>
    </w:p>
    <w:p w14:paraId="148E08FF" w14:textId="77777777" w:rsidR="00FF427B" w:rsidRPr="00FF427B" w:rsidRDefault="00FF427B" w:rsidP="00797792">
      <w:pPr>
        <w:spacing w:line="360" w:lineRule="auto"/>
        <w:rPr>
          <w:rFonts w:eastAsia="Times New Roman"/>
          <w:lang w:val="en-GB"/>
        </w:rPr>
      </w:pPr>
      <w:r w:rsidRPr="00FF427B">
        <w:rPr>
          <w:rFonts w:eastAsia="Times New Roman"/>
          <w:lang w:val="en-GB"/>
        </w:rPr>
        <w:br w:type="page"/>
      </w:r>
    </w:p>
    <w:sdt>
      <w:sdtPr>
        <w:rPr>
          <w:rFonts w:ascii="Arial" w:eastAsia="Arial" w:hAnsi="Arial" w:cs="Arial"/>
          <w:color w:val="auto"/>
          <w:sz w:val="22"/>
          <w:szCs w:val="22"/>
          <w:lang w:val="en" w:eastAsia="en-IN"/>
        </w:rPr>
        <w:id w:val="206460334"/>
        <w:docPartObj>
          <w:docPartGallery w:val="Table of Contents"/>
          <w:docPartUnique/>
        </w:docPartObj>
      </w:sdtPr>
      <w:sdtEndPr>
        <w:rPr>
          <w:b/>
          <w:bCs/>
          <w:noProof/>
        </w:rPr>
      </w:sdtEndPr>
      <w:sdtContent>
        <w:p w14:paraId="7EB2A4A7" w14:textId="40C2A456" w:rsidR="00FF427B" w:rsidRPr="00FF427B" w:rsidRDefault="00FF427B" w:rsidP="00797792">
          <w:pPr>
            <w:pStyle w:val="TOCHeading"/>
            <w:spacing w:line="360" w:lineRule="auto"/>
            <w:jc w:val="center"/>
            <w:rPr>
              <w:rFonts w:ascii="Arial" w:hAnsi="Arial" w:cs="Arial"/>
              <w:b/>
              <w:bCs/>
              <w:color w:val="auto"/>
              <w:sz w:val="28"/>
              <w:szCs w:val="28"/>
            </w:rPr>
          </w:pPr>
          <w:r w:rsidRPr="00FF427B">
            <w:rPr>
              <w:rFonts w:ascii="Arial" w:hAnsi="Arial" w:cs="Arial"/>
              <w:b/>
              <w:bCs/>
              <w:color w:val="auto"/>
              <w:sz w:val="28"/>
              <w:szCs w:val="28"/>
            </w:rPr>
            <w:t>Table of Contents</w:t>
          </w:r>
        </w:p>
        <w:p w14:paraId="2FDBBEA0" w14:textId="37A0746F" w:rsidR="008A7D9F" w:rsidRDefault="00FF427B" w:rsidP="00797792">
          <w:pPr>
            <w:pStyle w:val="TOC1"/>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r w:rsidRPr="00FF427B">
            <w:fldChar w:fldCharType="begin"/>
          </w:r>
          <w:r w:rsidRPr="00FF427B">
            <w:instrText xml:space="preserve"> TOC \o "1-3" \h \z \u </w:instrText>
          </w:r>
          <w:r w:rsidRPr="00FF427B">
            <w:fldChar w:fldCharType="separate"/>
          </w:r>
          <w:hyperlink w:anchor="_Toc235884695" w:history="1">
            <w:r w:rsidR="008A7D9F" w:rsidRPr="003475AA">
              <w:rPr>
                <w:rStyle w:val="Hyperlink"/>
                <w:noProof/>
                <w:lang w:val="en-GB"/>
              </w:rPr>
              <w:t>1. Introduction</w:t>
            </w:r>
            <w:r w:rsidR="008A7D9F">
              <w:rPr>
                <w:noProof/>
                <w:webHidden/>
              </w:rPr>
              <w:tab/>
            </w:r>
            <w:r w:rsidR="008A7D9F">
              <w:rPr>
                <w:noProof/>
                <w:webHidden/>
              </w:rPr>
              <w:fldChar w:fldCharType="begin"/>
            </w:r>
            <w:r w:rsidR="008A7D9F">
              <w:rPr>
                <w:noProof/>
                <w:webHidden/>
              </w:rPr>
              <w:instrText xml:space="preserve"> PAGEREF _Toc235884695 \h </w:instrText>
            </w:r>
            <w:r w:rsidR="008A7D9F">
              <w:rPr>
                <w:noProof/>
                <w:webHidden/>
              </w:rPr>
            </w:r>
            <w:r w:rsidR="008A7D9F">
              <w:rPr>
                <w:noProof/>
                <w:webHidden/>
              </w:rPr>
              <w:fldChar w:fldCharType="separate"/>
            </w:r>
            <w:r w:rsidR="008A7D9F">
              <w:rPr>
                <w:noProof/>
                <w:webHidden/>
              </w:rPr>
              <w:t>4</w:t>
            </w:r>
            <w:r w:rsidR="008A7D9F">
              <w:rPr>
                <w:noProof/>
                <w:webHidden/>
              </w:rPr>
              <w:fldChar w:fldCharType="end"/>
            </w:r>
          </w:hyperlink>
        </w:p>
        <w:p w14:paraId="1C2CC476" w14:textId="01383ACF" w:rsidR="008A7D9F" w:rsidRDefault="008A7D9F" w:rsidP="00797792">
          <w:pPr>
            <w:pStyle w:val="TOC1"/>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5884696" w:history="1">
            <w:r w:rsidRPr="003475AA">
              <w:rPr>
                <w:rStyle w:val="Hyperlink"/>
                <w:noProof/>
                <w:lang w:val="en-GB"/>
              </w:rPr>
              <w:t>2. Case Study Evaluation</w:t>
            </w:r>
            <w:r>
              <w:rPr>
                <w:noProof/>
                <w:webHidden/>
              </w:rPr>
              <w:tab/>
            </w:r>
            <w:r>
              <w:rPr>
                <w:noProof/>
                <w:webHidden/>
              </w:rPr>
              <w:fldChar w:fldCharType="begin"/>
            </w:r>
            <w:r>
              <w:rPr>
                <w:noProof/>
                <w:webHidden/>
              </w:rPr>
              <w:instrText xml:space="preserve"> PAGEREF _Toc235884696 \h </w:instrText>
            </w:r>
            <w:r>
              <w:rPr>
                <w:noProof/>
                <w:webHidden/>
              </w:rPr>
            </w:r>
            <w:r>
              <w:rPr>
                <w:noProof/>
                <w:webHidden/>
              </w:rPr>
              <w:fldChar w:fldCharType="separate"/>
            </w:r>
            <w:r>
              <w:rPr>
                <w:noProof/>
                <w:webHidden/>
              </w:rPr>
              <w:t>4</w:t>
            </w:r>
            <w:r>
              <w:rPr>
                <w:noProof/>
                <w:webHidden/>
              </w:rPr>
              <w:fldChar w:fldCharType="end"/>
            </w:r>
          </w:hyperlink>
        </w:p>
        <w:p w14:paraId="7C79AF84" w14:textId="342DCD95" w:rsidR="008A7D9F" w:rsidRDefault="008A7D9F" w:rsidP="00797792">
          <w:pPr>
            <w:pStyle w:val="TOC1"/>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5884697" w:history="1">
            <w:r w:rsidRPr="003475AA">
              <w:rPr>
                <w:rStyle w:val="Hyperlink"/>
                <w:noProof/>
                <w:lang w:val="en-GB"/>
              </w:rPr>
              <w:t>3. Donabedian Model</w:t>
            </w:r>
            <w:r>
              <w:rPr>
                <w:noProof/>
                <w:webHidden/>
              </w:rPr>
              <w:tab/>
            </w:r>
            <w:r>
              <w:rPr>
                <w:noProof/>
                <w:webHidden/>
              </w:rPr>
              <w:fldChar w:fldCharType="begin"/>
            </w:r>
            <w:r>
              <w:rPr>
                <w:noProof/>
                <w:webHidden/>
              </w:rPr>
              <w:instrText xml:space="preserve"> PAGEREF _Toc235884697 \h </w:instrText>
            </w:r>
            <w:r>
              <w:rPr>
                <w:noProof/>
                <w:webHidden/>
              </w:rPr>
            </w:r>
            <w:r>
              <w:rPr>
                <w:noProof/>
                <w:webHidden/>
              </w:rPr>
              <w:fldChar w:fldCharType="separate"/>
            </w:r>
            <w:r>
              <w:rPr>
                <w:noProof/>
                <w:webHidden/>
              </w:rPr>
              <w:t>5</w:t>
            </w:r>
            <w:r>
              <w:rPr>
                <w:noProof/>
                <w:webHidden/>
              </w:rPr>
              <w:fldChar w:fldCharType="end"/>
            </w:r>
          </w:hyperlink>
        </w:p>
        <w:p w14:paraId="634F542F" w14:textId="6BBF80B6" w:rsidR="008A7D9F" w:rsidRDefault="008A7D9F" w:rsidP="00797792">
          <w:pPr>
            <w:pStyle w:val="TOC1"/>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5884698" w:history="1">
            <w:r w:rsidRPr="003475AA">
              <w:rPr>
                <w:rStyle w:val="Hyperlink"/>
                <w:noProof/>
                <w:lang w:val="en-GB"/>
              </w:rPr>
              <w:t>4. 5 Whys</w:t>
            </w:r>
            <w:r>
              <w:rPr>
                <w:noProof/>
                <w:webHidden/>
              </w:rPr>
              <w:tab/>
            </w:r>
            <w:r>
              <w:rPr>
                <w:noProof/>
                <w:webHidden/>
              </w:rPr>
              <w:fldChar w:fldCharType="begin"/>
            </w:r>
            <w:r>
              <w:rPr>
                <w:noProof/>
                <w:webHidden/>
              </w:rPr>
              <w:instrText xml:space="preserve"> PAGEREF _Toc235884698 \h </w:instrText>
            </w:r>
            <w:r>
              <w:rPr>
                <w:noProof/>
                <w:webHidden/>
              </w:rPr>
            </w:r>
            <w:r>
              <w:rPr>
                <w:noProof/>
                <w:webHidden/>
              </w:rPr>
              <w:fldChar w:fldCharType="separate"/>
            </w:r>
            <w:r>
              <w:rPr>
                <w:noProof/>
                <w:webHidden/>
              </w:rPr>
              <w:t>7</w:t>
            </w:r>
            <w:r>
              <w:rPr>
                <w:noProof/>
                <w:webHidden/>
              </w:rPr>
              <w:fldChar w:fldCharType="end"/>
            </w:r>
          </w:hyperlink>
        </w:p>
        <w:p w14:paraId="755D8B61" w14:textId="6AEC2CB6" w:rsidR="008A7D9F" w:rsidRDefault="008A7D9F" w:rsidP="00797792">
          <w:pPr>
            <w:pStyle w:val="TOC1"/>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5884699" w:history="1">
            <w:r w:rsidRPr="003475AA">
              <w:rPr>
                <w:rStyle w:val="Hyperlink"/>
                <w:noProof/>
                <w:lang w:val="en-GB"/>
              </w:rPr>
              <w:t>5. SWOT Framework</w:t>
            </w:r>
            <w:r>
              <w:rPr>
                <w:noProof/>
                <w:webHidden/>
              </w:rPr>
              <w:tab/>
            </w:r>
            <w:r>
              <w:rPr>
                <w:noProof/>
                <w:webHidden/>
              </w:rPr>
              <w:fldChar w:fldCharType="begin"/>
            </w:r>
            <w:r>
              <w:rPr>
                <w:noProof/>
                <w:webHidden/>
              </w:rPr>
              <w:instrText xml:space="preserve"> PAGEREF _Toc235884699 \h </w:instrText>
            </w:r>
            <w:r>
              <w:rPr>
                <w:noProof/>
                <w:webHidden/>
              </w:rPr>
            </w:r>
            <w:r>
              <w:rPr>
                <w:noProof/>
                <w:webHidden/>
              </w:rPr>
              <w:fldChar w:fldCharType="separate"/>
            </w:r>
            <w:r>
              <w:rPr>
                <w:noProof/>
                <w:webHidden/>
              </w:rPr>
              <w:t>8</w:t>
            </w:r>
            <w:r>
              <w:rPr>
                <w:noProof/>
                <w:webHidden/>
              </w:rPr>
              <w:fldChar w:fldCharType="end"/>
            </w:r>
          </w:hyperlink>
        </w:p>
        <w:p w14:paraId="20B8EF31" w14:textId="13855E18" w:rsidR="008A7D9F" w:rsidRDefault="008A7D9F" w:rsidP="00797792">
          <w:pPr>
            <w:pStyle w:val="TOC1"/>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5884700" w:history="1">
            <w:r w:rsidRPr="003475AA">
              <w:rPr>
                <w:rStyle w:val="Hyperlink"/>
                <w:noProof/>
                <w:lang w:val="en-IN"/>
              </w:rPr>
              <w:t>6. PDCA (Plan-Do-Check-Act) Cycle</w:t>
            </w:r>
            <w:r>
              <w:rPr>
                <w:noProof/>
                <w:webHidden/>
              </w:rPr>
              <w:tab/>
            </w:r>
            <w:r>
              <w:rPr>
                <w:noProof/>
                <w:webHidden/>
              </w:rPr>
              <w:fldChar w:fldCharType="begin"/>
            </w:r>
            <w:r>
              <w:rPr>
                <w:noProof/>
                <w:webHidden/>
              </w:rPr>
              <w:instrText xml:space="preserve"> PAGEREF _Toc235884700 \h </w:instrText>
            </w:r>
            <w:r>
              <w:rPr>
                <w:noProof/>
                <w:webHidden/>
              </w:rPr>
            </w:r>
            <w:r>
              <w:rPr>
                <w:noProof/>
                <w:webHidden/>
              </w:rPr>
              <w:fldChar w:fldCharType="separate"/>
            </w:r>
            <w:r>
              <w:rPr>
                <w:noProof/>
                <w:webHidden/>
              </w:rPr>
              <w:t>10</w:t>
            </w:r>
            <w:r>
              <w:rPr>
                <w:noProof/>
                <w:webHidden/>
              </w:rPr>
              <w:fldChar w:fldCharType="end"/>
            </w:r>
          </w:hyperlink>
        </w:p>
        <w:p w14:paraId="71BCF474" w14:textId="473F6705" w:rsidR="008A7D9F" w:rsidRDefault="008A7D9F" w:rsidP="00797792">
          <w:pPr>
            <w:pStyle w:val="TOC1"/>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5884701" w:history="1">
            <w:r w:rsidRPr="003475AA">
              <w:rPr>
                <w:rStyle w:val="Hyperlink"/>
                <w:noProof/>
                <w:lang w:val="en-GB"/>
              </w:rPr>
              <w:t>7. Kurt Lewin’s 3-Stage Model</w:t>
            </w:r>
            <w:r>
              <w:rPr>
                <w:noProof/>
                <w:webHidden/>
              </w:rPr>
              <w:tab/>
            </w:r>
            <w:r>
              <w:rPr>
                <w:noProof/>
                <w:webHidden/>
              </w:rPr>
              <w:fldChar w:fldCharType="begin"/>
            </w:r>
            <w:r>
              <w:rPr>
                <w:noProof/>
                <w:webHidden/>
              </w:rPr>
              <w:instrText xml:space="preserve"> PAGEREF _Toc235884701 \h </w:instrText>
            </w:r>
            <w:r>
              <w:rPr>
                <w:noProof/>
                <w:webHidden/>
              </w:rPr>
            </w:r>
            <w:r>
              <w:rPr>
                <w:noProof/>
                <w:webHidden/>
              </w:rPr>
              <w:fldChar w:fldCharType="separate"/>
            </w:r>
            <w:r>
              <w:rPr>
                <w:noProof/>
                <w:webHidden/>
              </w:rPr>
              <w:t>11</w:t>
            </w:r>
            <w:r>
              <w:rPr>
                <w:noProof/>
                <w:webHidden/>
              </w:rPr>
              <w:fldChar w:fldCharType="end"/>
            </w:r>
          </w:hyperlink>
        </w:p>
        <w:p w14:paraId="78FAF52E" w14:textId="0B4C41F8" w:rsidR="008A7D9F" w:rsidRDefault="008A7D9F" w:rsidP="00797792">
          <w:pPr>
            <w:pStyle w:val="TOC1"/>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5884702" w:history="1">
            <w:r w:rsidRPr="003475AA">
              <w:rPr>
                <w:rStyle w:val="Hyperlink"/>
                <w:noProof/>
                <w:lang w:val="en-GB"/>
              </w:rPr>
              <w:t>8. Recommendations</w:t>
            </w:r>
            <w:r>
              <w:rPr>
                <w:noProof/>
                <w:webHidden/>
              </w:rPr>
              <w:tab/>
            </w:r>
            <w:r>
              <w:rPr>
                <w:noProof/>
                <w:webHidden/>
              </w:rPr>
              <w:fldChar w:fldCharType="begin"/>
            </w:r>
            <w:r>
              <w:rPr>
                <w:noProof/>
                <w:webHidden/>
              </w:rPr>
              <w:instrText xml:space="preserve"> PAGEREF _Toc235884702 \h </w:instrText>
            </w:r>
            <w:r>
              <w:rPr>
                <w:noProof/>
                <w:webHidden/>
              </w:rPr>
            </w:r>
            <w:r>
              <w:rPr>
                <w:noProof/>
                <w:webHidden/>
              </w:rPr>
              <w:fldChar w:fldCharType="separate"/>
            </w:r>
            <w:r>
              <w:rPr>
                <w:noProof/>
                <w:webHidden/>
              </w:rPr>
              <w:t>11</w:t>
            </w:r>
            <w:r>
              <w:rPr>
                <w:noProof/>
                <w:webHidden/>
              </w:rPr>
              <w:fldChar w:fldCharType="end"/>
            </w:r>
          </w:hyperlink>
        </w:p>
        <w:p w14:paraId="4E9CED68" w14:textId="0AFB9AF5" w:rsidR="008A7D9F" w:rsidRDefault="008A7D9F" w:rsidP="00797792">
          <w:pPr>
            <w:pStyle w:val="TOC1"/>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5884703" w:history="1">
            <w:r w:rsidRPr="003475AA">
              <w:rPr>
                <w:rStyle w:val="Hyperlink"/>
                <w:noProof/>
                <w:lang w:val="en-GB"/>
              </w:rPr>
              <w:t>9. Benchmarking</w:t>
            </w:r>
            <w:r>
              <w:rPr>
                <w:noProof/>
                <w:webHidden/>
              </w:rPr>
              <w:tab/>
            </w:r>
            <w:r>
              <w:rPr>
                <w:noProof/>
                <w:webHidden/>
              </w:rPr>
              <w:fldChar w:fldCharType="begin"/>
            </w:r>
            <w:r>
              <w:rPr>
                <w:noProof/>
                <w:webHidden/>
              </w:rPr>
              <w:instrText xml:space="preserve"> PAGEREF _Toc235884703 \h </w:instrText>
            </w:r>
            <w:r>
              <w:rPr>
                <w:noProof/>
                <w:webHidden/>
              </w:rPr>
            </w:r>
            <w:r>
              <w:rPr>
                <w:noProof/>
                <w:webHidden/>
              </w:rPr>
              <w:fldChar w:fldCharType="separate"/>
            </w:r>
            <w:r>
              <w:rPr>
                <w:noProof/>
                <w:webHidden/>
              </w:rPr>
              <w:t>15</w:t>
            </w:r>
            <w:r>
              <w:rPr>
                <w:noProof/>
                <w:webHidden/>
              </w:rPr>
              <w:fldChar w:fldCharType="end"/>
            </w:r>
          </w:hyperlink>
        </w:p>
        <w:p w14:paraId="754C86D2" w14:textId="1AB8CD94" w:rsidR="008A7D9F" w:rsidRDefault="008A7D9F" w:rsidP="00797792">
          <w:pPr>
            <w:pStyle w:val="TOC1"/>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5884704" w:history="1">
            <w:r w:rsidRPr="003475AA">
              <w:rPr>
                <w:rStyle w:val="Hyperlink"/>
                <w:noProof/>
                <w:lang w:val="en-GB"/>
              </w:rPr>
              <w:t>10. Conclusion</w:t>
            </w:r>
            <w:r>
              <w:rPr>
                <w:noProof/>
                <w:webHidden/>
              </w:rPr>
              <w:tab/>
            </w:r>
            <w:r>
              <w:rPr>
                <w:noProof/>
                <w:webHidden/>
              </w:rPr>
              <w:fldChar w:fldCharType="begin"/>
            </w:r>
            <w:r>
              <w:rPr>
                <w:noProof/>
                <w:webHidden/>
              </w:rPr>
              <w:instrText xml:space="preserve"> PAGEREF _Toc235884704 \h </w:instrText>
            </w:r>
            <w:r>
              <w:rPr>
                <w:noProof/>
                <w:webHidden/>
              </w:rPr>
            </w:r>
            <w:r>
              <w:rPr>
                <w:noProof/>
                <w:webHidden/>
              </w:rPr>
              <w:fldChar w:fldCharType="separate"/>
            </w:r>
            <w:r>
              <w:rPr>
                <w:noProof/>
                <w:webHidden/>
              </w:rPr>
              <w:t>16</w:t>
            </w:r>
            <w:r>
              <w:rPr>
                <w:noProof/>
                <w:webHidden/>
              </w:rPr>
              <w:fldChar w:fldCharType="end"/>
            </w:r>
          </w:hyperlink>
        </w:p>
        <w:p w14:paraId="13DD108A" w14:textId="0406B244" w:rsidR="008A7D9F" w:rsidRDefault="008A7D9F" w:rsidP="00797792">
          <w:pPr>
            <w:pStyle w:val="TOC1"/>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5884705" w:history="1">
            <w:r w:rsidRPr="003475AA">
              <w:rPr>
                <w:rStyle w:val="Hyperlink"/>
                <w:noProof/>
                <w:lang w:val="en-GB"/>
              </w:rPr>
              <w:t>References</w:t>
            </w:r>
            <w:r>
              <w:rPr>
                <w:noProof/>
                <w:webHidden/>
              </w:rPr>
              <w:tab/>
            </w:r>
            <w:r>
              <w:rPr>
                <w:noProof/>
                <w:webHidden/>
              </w:rPr>
              <w:fldChar w:fldCharType="begin"/>
            </w:r>
            <w:r>
              <w:rPr>
                <w:noProof/>
                <w:webHidden/>
              </w:rPr>
              <w:instrText xml:space="preserve"> PAGEREF _Toc235884705 \h </w:instrText>
            </w:r>
            <w:r>
              <w:rPr>
                <w:noProof/>
                <w:webHidden/>
              </w:rPr>
            </w:r>
            <w:r>
              <w:rPr>
                <w:noProof/>
                <w:webHidden/>
              </w:rPr>
              <w:fldChar w:fldCharType="separate"/>
            </w:r>
            <w:r>
              <w:rPr>
                <w:noProof/>
                <w:webHidden/>
              </w:rPr>
              <w:t>17</w:t>
            </w:r>
            <w:r>
              <w:rPr>
                <w:noProof/>
                <w:webHidden/>
              </w:rPr>
              <w:fldChar w:fldCharType="end"/>
            </w:r>
          </w:hyperlink>
        </w:p>
        <w:p w14:paraId="26638DFC" w14:textId="22D0477D" w:rsidR="00FF427B" w:rsidRPr="00FF427B" w:rsidRDefault="00FF427B" w:rsidP="00797792">
          <w:pPr>
            <w:spacing w:line="360" w:lineRule="auto"/>
            <w:jc w:val="both"/>
          </w:pPr>
          <w:r w:rsidRPr="00FF427B">
            <w:rPr>
              <w:b/>
              <w:bCs/>
              <w:noProof/>
            </w:rPr>
            <w:fldChar w:fldCharType="end"/>
          </w:r>
        </w:p>
      </w:sdtContent>
    </w:sdt>
    <w:p w14:paraId="27A1BE6E" w14:textId="77777777" w:rsidR="00DD5020" w:rsidRPr="00FF427B" w:rsidRDefault="00DD5020" w:rsidP="00797792">
      <w:pPr>
        <w:spacing w:before="240" w:line="360" w:lineRule="auto"/>
        <w:jc w:val="both"/>
        <w:rPr>
          <w:rFonts w:eastAsia="Times New Roman"/>
          <w:lang w:val="en-GB"/>
        </w:rPr>
      </w:pPr>
    </w:p>
    <w:p w14:paraId="2483855C" w14:textId="6E49B704" w:rsidR="00174576" w:rsidRPr="00FF427B" w:rsidRDefault="00174576" w:rsidP="00797792">
      <w:pPr>
        <w:spacing w:line="360" w:lineRule="auto"/>
        <w:rPr>
          <w:rFonts w:eastAsia="Times New Roman"/>
          <w:b/>
          <w:bCs/>
          <w:lang w:val="en-GB"/>
        </w:rPr>
      </w:pPr>
      <w:r w:rsidRPr="00FF427B">
        <w:rPr>
          <w:rFonts w:eastAsia="Times New Roman"/>
          <w:b/>
          <w:bCs/>
          <w:lang w:val="en-GB"/>
        </w:rPr>
        <w:br w:type="page"/>
      </w:r>
    </w:p>
    <w:p w14:paraId="0567D18F" w14:textId="6E49B704" w:rsidR="00DD5020" w:rsidRPr="00797792" w:rsidRDefault="00596C4A" w:rsidP="00797792">
      <w:pPr>
        <w:pStyle w:val="Heading1"/>
        <w:rPr>
          <w:lang w:val="en-GB"/>
        </w:rPr>
      </w:pPr>
      <w:bookmarkStart w:id="0" w:name="_Toc235884695"/>
      <w:r w:rsidRPr="00797792">
        <w:rPr>
          <w:lang w:val="en-GB"/>
        </w:rPr>
        <w:lastRenderedPageBreak/>
        <w:t>1. Introduction</w:t>
      </w:r>
      <w:bookmarkEnd w:id="0"/>
    </w:p>
    <w:p w14:paraId="0567D190" w14:textId="77777777" w:rsidR="00DD5020" w:rsidRPr="00797792" w:rsidRDefault="00596C4A" w:rsidP="00797792">
      <w:pPr>
        <w:spacing w:before="240" w:line="360" w:lineRule="auto"/>
        <w:jc w:val="both"/>
        <w:rPr>
          <w:rFonts w:eastAsia="Times New Roman"/>
          <w:lang w:val="en-GB"/>
        </w:rPr>
      </w:pPr>
      <w:r w:rsidRPr="00797792">
        <w:rPr>
          <w:rFonts w:eastAsia="Times New Roman"/>
          <w:lang w:val="en-GB"/>
        </w:rPr>
        <w:t>Effective health and social care services entail quality management and patient safety as the key components. Strong governance systems and practices of continuous quality improvement are expected to enable healthcare organisations to provide safe, effective, patient-focused and evidence-based care. Nevertheless, any lapses in leadership, clinical governance and medication management may lead to severe patient injuries and a lack of trust in medical care by people. The Gosport War Memorial Hospital opioid prescribing scandal in the United Kingdom was one major instance where improper administration of opioids to elderly people led to unnecessary harm to patients and resulted in premature deaths. This report presents the quality risk factors in the Gosport case and then explores the cause of the quality risk factors and the utilisation of quality management models such as Fishbone Diagram, the 5 Whys method and the Donabedian Model. It also uses the strategic analysis methods and suggests evidence-based suggestions to improve the sustainability of the services and improve the patient outcomes in terms of safety.</w:t>
      </w:r>
    </w:p>
    <w:p w14:paraId="0567D191" w14:textId="0B977C5B" w:rsidR="00DD5020" w:rsidRPr="00797792" w:rsidRDefault="00596C4A" w:rsidP="00797792">
      <w:pPr>
        <w:pStyle w:val="Heading1"/>
        <w:rPr>
          <w:lang w:val="en-GB"/>
        </w:rPr>
      </w:pPr>
      <w:bookmarkStart w:id="1" w:name="_Toc235884696"/>
      <w:r w:rsidRPr="00797792">
        <w:rPr>
          <w:lang w:val="en-GB"/>
        </w:rPr>
        <w:t xml:space="preserve">2. </w:t>
      </w:r>
      <w:r w:rsidR="00F50BEE" w:rsidRPr="00797792">
        <w:rPr>
          <w:lang w:val="en-GB"/>
        </w:rPr>
        <w:t>Case Study Evaluation</w:t>
      </w:r>
      <w:bookmarkEnd w:id="1"/>
      <w:r w:rsidR="00F50BEE" w:rsidRPr="00797792">
        <w:rPr>
          <w:lang w:val="en-GB"/>
        </w:rPr>
        <w:t xml:space="preserve"> </w:t>
      </w:r>
    </w:p>
    <w:p w14:paraId="0567D192" w14:textId="1DD06410" w:rsidR="00DD5020" w:rsidRPr="00D2796C" w:rsidRDefault="00596C4A" w:rsidP="00797792">
      <w:pPr>
        <w:spacing w:before="240" w:line="360" w:lineRule="auto"/>
        <w:jc w:val="both"/>
        <w:rPr>
          <w:rFonts w:eastAsia="Times New Roman"/>
          <w:color w:val="000000" w:themeColor="text1"/>
          <w:lang w:val="en-GB"/>
        </w:rPr>
      </w:pPr>
      <w:r w:rsidRPr="00797792">
        <w:rPr>
          <w:rFonts w:eastAsia="Times New Roman"/>
          <w:lang w:val="en-GB"/>
        </w:rPr>
        <w:t>The opioid prescribing scandal in Gosport War Memorial Hospital is an important quality and patient safety failure in the UK healthcare system (</w:t>
      </w:r>
      <w:r w:rsidRPr="00797792">
        <w:rPr>
          <w:rFonts w:eastAsia="Times New Roman"/>
          <w:highlight w:val="white"/>
          <w:lang w:val="en-GB"/>
        </w:rPr>
        <w:t>Crofts, 2022; gov.uk, 2018)</w:t>
      </w:r>
      <w:r w:rsidRPr="00797792">
        <w:rPr>
          <w:rFonts w:eastAsia="Times New Roman"/>
          <w:lang w:val="en-GB"/>
        </w:rPr>
        <w:t xml:space="preserve">. Misuse of opioid drugs was common among the elderly patients between 1987 and 2001, as it was commonly prescribed and administered to the geriatric population without any apparent clinical reasoning. Unsafe opioid prescribing and improper use of medications were the quality issues upon which vulnerable patients at risk of unnecessary risks and avoidable harm. The Gosport Independent Panel had evidence which showed that at least 456 patients died </w:t>
      </w:r>
      <w:proofErr w:type="gramStart"/>
      <w:r w:rsidRPr="00797792">
        <w:rPr>
          <w:rFonts w:eastAsia="Times New Roman"/>
          <w:lang w:val="en-GB"/>
        </w:rPr>
        <w:t>as a result of</w:t>
      </w:r>
      <w:proofErr w:type="gramEnd"/>
      <w:r w:rsidRPr="00797792">
        <w:rPr>
          <w:rFonts w:eastAsia="Times New Roman"/>
          <w:lang w:val="en-GB"/>
        </w:rPr>
        <w:t xml:space="preserve"> the misuse of opioids, and at least 200 more patients were probably impacted (gov.uk, 2018). It was also revealed in the investigation that the complaints by both the family and the nursing profession and other health care professionals were often disregarded, so there was a lack of governance, accountability, and oversight. These results had put into focus systemic failures as opposed to isolated clinical mistakes. The problem can be considered a significant patient safety and overall health issue since medication safety is one of the main ingredients of high-quality healthcare (</w:t>
      </w:r>
      <w:r w:rsidRPr="00797792">
        <w:rPr>
          <w:rFonts w:eastAsia="Times New Roman"/>
          <w:highlight w:val="white"/>
          <w:lang w:val="en-GB"/>
        </w:rPr>
        <w:t xml:space="preserve">Ahmed </w:t>
      </w:r>
      <w:r w:rsidR="00781BEF" w:rsidRPr="00797792">
        <w:rPr>
          <w:rFonts w:eastAsia="Times New Roman"/>
          <w:i/>
          <w:iCs/>
          <w:highlight w:val="white"/>
          <w:lang w:val="en-GB"/>
        </w:rPr>
        <w:t>et al.</w:t>
      </w:r>
      <w:r w:rsidRPr="00797792">
        <w:rPr>
          <w:rFonts w:eastAsia="Times New Roman"/>
          <w:highlight w:val="white"/>
          <w:lang w:val="en-GB"/>
        </w:rPr>
        <w:t xml:space="preserve"> 2024)</w:t>
      </w:r>
      <w:r w:rsidRPr="00797792">
        <w:rPr>
          <w:rFonts w:eastAsia="Times New Roman"/>
          <w:lang w:val="en-GB"/>
        </w:rPr>
        <w:t xml:space="preserve">. None of the outcomes of the unsafe prescribing can be underestimated because they may be terrible, such as </w:t>
      </w:r>
      <w:proofErr w:type="gramStart"/>
      <w:r w:rsidRPr="00797792">
        <w:rPr>
          <w:rFonts w:eastAsia="Times New Roman"/>
          <w:lang w:val="en-GB"/>
        </w:rPr>
        <w:t>more or less overdose</w:t>
      </w:r>
      <w:proofErr w:type="gramEnd"/>
      <w:r w:rsidRPr="00797792">
        <w:rPr>
          <w:rFonts w:eastAsia="Times New Roman"/>
          <w:lang w:val="en-GB"/>
        </w:rPr>
        <w:t>, unneeded suffering, and even untimely death. The scandal greatly led to a decline in the quality of care provided to patients and jeopardised the concept of patient-centred care</w:t>
      </w:r>
      <w:r w:rsidRPr="00D2796C">
        <w:rPr>
          <w:rFonts w:eastAsia="Times New Roman"/>
          <w:b/>
          <w:bCs/>
          <w:lang w:val="en-GB"/>
        </w:rPr>
        <w:t xml:space="preserve">.  </w:t>
      </w:r>
      <w:r w:rsidR="00D8719B" w:rsidRPr="00D2796C">
        <w:rPr>
          <w:rFonts w:eastAsia="Times New Roman"/>
          <w:color w:val="000000" w:themeColor="text1"/>
          <w:lang w:val="en-GB"/>
        </w:rPr>
        <w:t xml:space="preserve">The Gosport case directly relates to the NHS strategic and national priorities on quality by pointing to the necessity to enhance patient safety, </w:t>
      </w:r>
      <w:r w:rsidR="00D8719B" w:rsidRPr="00D2796C">
        <w:rPr>
          <w:rFonts w:eastAsia="Times New Roman"/>
          <w:color w:val="000000" w:themeColor="text1"/>
          <w:lang w:val="en-GB"/>
        </w:rPr>
        <w:lastRenderedPageBreak/>
        <w:t xml:space="preserve">medication safety, clinical governance, and openness. The NHS Patient Safety Strategy facilitates the minimisation of preventable harm, enhances incident reporting, and the creation of a learning culture to deliver safe, effective, and patient-centred healthcare services (Quick, 2022; Sheikh </w:t>
      </w:r>
      <w:r w:rsidR="00781BEF" w:rsidRPr="00D2796C">
        <w:rPr>
          <w:rFonts w:eastAsia="Times New Roman"/>
          <w:i/>
          <w:iCs/>
          <w:color w:val="000000" w:themeColor="text1"/>
          <w:lang w:val="en-GB"/>
        </w:rPr>
        <w:t>et al.</w:t>
      </w:r>
      <w:r w:rsidR="00D8719B" w:rsidRPr="00D2796C">
        <w:rPr>
          <w:rFonts w:eastAsia="Times New Roman"/>
          <w:color w:val="000000" w:themeColor="text1"/>
          <w:lang w:val="en-GB"/>
        </w:rPr>
        <w:t xml:space="preserve"> 2022). </w:t>
      </w:r>
    </w:p>
    <w:p w14:paraId="2CC5A0EC" w14:textId="56F27401" w:rsidR="00F50BEE" w:rsidRPr="00797792" w:rsidRDefault="00F50BEE" w:rsidP="00797792">
      <w:pPr>
        <w:pStyle w:val="Heading1"/>
        <w:rPr>
          <w:lang w:val="en-GB"/>
        </w:rPr>
      </w:pPr>
      <w:bookmarkStart w:id="2" w:name="_Toc235884697"/>
      <w:r w:rsidRPr="00797792">
        <w:rPr>
          <w:lang w:val="en-GB"/>
        </w:rPr>
        <w:t>3. Donabedian Model</w:t>
      </w:r>
      <w:bookmarkEnd w:id="2"/>
      <w:r w:rsidRPr="00797792">
        <w:rPr>
          <w:lang w:val="en-GB"/>
        </w:rPr>
        <w:t xml:space="preserve"> </w:t>
      </w:r>
    </w:p>
    <w:p w14:paraId="6D2471B5" w14:textId="77777777" w:rsidR="00F50BEE" w:rsidRPr="00797792" w:rsidRDefault="00F50BEE" w:rsidP="00797792">
      <w:pPr>
        <w:spacing w:before="240" w:line="360" w:lineRule="auto"/>
        <w:jc w:val="both"/>
        <w:rPr>
          <w:rFonts w:eastAsia="Times New Roman"/>
          <w:b/>
          <w:bCs/>
          <w:lang w:val="en-GB"/>
        </w:rPr>
      </w:pPr>
      <w:r w:rsidRPr="00797792">
        <w:rPr>
          <w:rFonts w:eastAsia="Times New Roman"/>
          <w:b/>
          <w:bCs/>
          <w:lang w:val="en-GB"/>
        </w:rPr>
        <w:t>Introduction to the Donabedian Model</w:t>
      </w:r>
    </w:p>
    <w:p w14:paraId="2A2B28B0" w14:textId="0C68F9CC" w:rsidR="00F50BEE" w:rsidRPr="00797792" w:rsidRDefault="00F50BEE" w:rsidP="00797792">
      <w:pPr>
        <w:spacing w:before="240" w:line="360" w:lineRule="auto"/>
        <w:jc w:val="both"/>
        <w:rPr>
          <w:rFonts w:eastAsia="Times New Roman"/>
          <w:lang w:val="en-GB"/>
        </w:rPr>
      </w:pPr>
      <w:r w:rsidRPr="00797792">
        <w:rPr>
          <w:rFonts w:eastAsia="Times New Roman"/>
          <w:lang w:val="en-GB"/>
        </w:rPr>
        <w:t>One of the most popular frameworks, which is used to assess healthcare quality, is the Donabedian Model (</w:t>
      </w:r>
      <w:r w:rsidRPr="00797792">
        <w:rPr>
          <w:rFonts w:eastAsia="Times New Roman"/>
          <w:highlight w:val="white"/>
          <w:lang w:val="en-GB"/>
        </w:rPr>
        <w:t xml:space="preserve">McCullough </w:t>
      </w:r>
      <w:r w:rsidR="00781BEF" w:rsidRPr="00797792">
        <w:rPr>
          <w:rFonts w:eastAsia="Times New Roman"/>
          <w:i/>
          <w:iCs/>
          <w:highlight w:val="white"/>
          <w:lang w:val="en-GB"/>
        </w:rPr>
        <w:t>et al.</w:t>
      </w:r>
      <w:r w:rsidRPr="00797792">
        <w:rPr>
          <w:rFonts w:eastAsia="Times New Roman"/>
          <w:highlight w:val="white"/>
          <w:lang w:val="en-GB"/>
        </w:rPr>
        <w:t xml:space="preserve"> 2023)</w:t>
      </w:r>
      <w:r w:rsidRPr="00797792">
        <w:rPr>
          <w:rFonts w:eastAsia="Times New Roman"/>
          <w:lang w:val="en-GB"/>
        </w:rPr>
        <w:t xml:space="preserve">.  </w:t>
      </w:r>
    </w:p>
    <w:p w14:paraId="54C4AC32" w14:textId="77777777" w:rsidR="00F50BEE" w:rsidRPr="00797792" w:rsidRDefault="00F50BEE" w:rsidP="00797792">
      <w:pPr>
        <w:spacing w:before="240" w:line="360" w:lineRule="auto"/>
        <w:jc w:val="both"/>
        <w:rPr>
          <w:rFonts w:eastAsia="Times New Roman"/>
          <w:b/>
          <w:bCs/>
          <w:i/>
          <w:iCs/>
          <w:lang w:val="en-GB"/>
        </w:rPr>
      </w:pPr>
      <w:r w:rsidRPr="00797792">
        <w:rPr>
          <w:rFonts w:eastAsia="Times New Roman"/>
          <w:b/>
          <w:bCs/>
          <w:i/>
          <w:iCs/>
          <w:lang w:val="en-GB"/>
        </w:rPr>
        <w:t>Structure</w:t>
      </w:r>
    </w:p>
    <w:p w14:paraId="180EE637" w14:textId="77777777" w:rsidR="00F50BEE" w:rsidRPr="00797792" w:rsidRDefault="00F50BEE" w:rsidP="00797792">
      <w:pPr>
        <w:spacing w:before="240" w:line="360" w:lineRule="auto"/>
        <w:jc w:val="both"/>
        <w:rPr>
          <w:rFonts w:eastAsia="Times New Roman"/>
          <w:lang w:val="en-GB"/>
        </w:rPr>
      </w:pPr>
      <w:r w:rsidRPr="00797792">
        <w:rPr>
          <w:rFonts w:eastAsia="Times New Roman"/>
          <w:lang w:val="en-GB"/>
        </w:rPr>
        <w:t>Leadership, governance, staffing assistance, clinical policies, and training systems were key areas of weakness at the Gosport War Memorial Hospital in terms of structure (gov.uk, 2018). The Gosport Independent Panel discovered that the culture of clinical authority was one of hierarchy and silence, with unaddressed concerns by both nurses and families being disregarded. The initial warnings on the practice of opioid prescription and administration were raised by the nursing staff in 1991, but these warnings were sidelined instead of being pursued (gov.uk, 2018). This was one of the greatest shortcomings of clinical governance and leadership control. Moreover, the system of prescribing policies and medication went unmonitored. Good structures must guarantee transparency and responsibility, frequent audits, and professional responsibilities (</w:t>
      </w:r>
      <w:r w:rsidRPr="00797792">
        <w:rPr>
          <w:rFonts w:eastAsia="Times New Roman"/>
          <w:highlight w:val="white"/>
          <w:lang w:val="en-GB"/>
        </w:rPr>
        <w:t>Fukami and FUKAMI, 2024)</w:t>
      </w:r>
      <w:r w:rsidRPr="00797792">
        <w:rPr>
          <w:rFonts w:eastAsia="Times New Roman"/>
          <w:lang w:val="en-GB"/>
        </w:rPr>
        <w:t xml:space="preserve">. Within the span of many years, however, the governance arrangements did not notice what unsafe prescribing practices were. It also seemed that staff training systems lacked effectiveness, especially in terms of safe medication handling, patient-centred care, and the speaking-up process.  </w:t>
      </w:r>
    </w:p>
    <w:p w14:paraId="0EA27C9D" w14:textId="77777777" w:rsidR="00F50BEE" w:rsidRPr="00797792" w:rsidRDefault="00F50BEE" w:rsidP="00797792">
      <w:pPr>
        <w:spacing w:before="240" w:line="360" w:lineRule="auto"/>
        <w:jc w:val="both"/>
        <w:rPr>
          <w:rFonts w:eastAsia="Times New Roman"/>
          <w:b/>
          <w:bCs/>
          <w:i/>
          <w:iCs/>
          <w:lang w:val="en-GB"/>
        </w:rPr>
      </w:pPr>
      <w:r w:rsidRPr="00797792">
        <w:rPr>
          <w:rFonts w:eastAsia="Times New Roman"/>
          <w:b/>
          <w:bCs/>
          <w:i/>
          <w:iCs/>
          <w:lang w:val="en-GB"/>
        </w:rPr>
        <w:t>Process</w:t>
      </w:r>
    </w:p>
    <w:p w14:paraId="0A934218" w14:textId="6E78FA35" w:rsidR="00F50BEE" w:rsidRPr="00797792" w:rsidRDefault="00F50BEE" w:rsidP="00797792">
      <w:pPr>
        <w:spacing w:before="240" w:line="360" w:lineRule="auto"/>
        <w:jc w:val="both"/>
        <w:rPr>
          <w:rFonts w:eastAsia="Times New Roman"/>
          <w:lang w:val="en-GB"/>
        </w:rPr>
      </w:pPr>
      <w:r w:rsidRPr="00797792">
        <w:rPr>
          <w:rFonts w:eastAsia="Times New Roman"/>
          <w:lang w:val="en-GB"/>
        </w:rPr>
        <w:t xml:space="preserve">The process dimension is concerned with the care provision. The standard of prescribing at Gosport was very much in variance with that of normal clinical practice. The use of opioid drugs was very commonly prescribed without adequate clinical rationales and to younger patients who were at risk due to their age (gov.uk, 2018). There were unsatisfactory patient evaluations, and clinical reviews did not always underlie the decisions made regarding medications. The patient's safety was also not ensured due to the monitoring procedures. There was a lack of recurrent </w:t>
      </w:r>
      <w:r w:rsidRPr="00797792">
        <w:rPr>
          <w:rFonts w:eastAsia="Times New Roman"/>
          <w:lang w:val="en-GB"/>
        </w:rPr>
        <w:lastRenderedPageBreak/>
        <w:t>assessment of patients who had been prescribed strong opioid drugs, which could have presented a chance to detect any adverse effects or progression (</w:t>
      </w:r>
      <w:r w:rsidRPr="00797792">
        <w:rPr>
          <w:rFonts w:eastAsia="Times New Roman"/>
          <w:highlight w:val="white"/>
          <w:lang w:val="en-GB"/>
        </w:rPr>
        <w:t xml:space="preserve">Duncan </w:t>
      </w:r>
      <w:r w:rsidR="00781BEF" w:rsidRPr="00797792">
        <w:rPr>
          <w:rFonts w:eastAsia="Times New Roman"/>
          <w:i/>
          <w:iCs/>
          <w:highlight w:val="white"/>
          <w:lang w:val="en-GB"/>
        </w:rPr>
        <w:t>et al.</w:t>
      </w:r>
      <w:r w:rsidRPr="00797792">
        <w:rPr>
          <w:rFonts w:eastAsia="Times New Roman"/>
          <w:highlight w:val="white"/>
          <w:lang w:val="en-GB"/>
        </w:rPr>
        <w:t xml:space="preserve"> 2025)</w:t>
      </w:r>
      <w:r w:rsidRPr="00797792">
        <w:rPr>
          <w:rFonts w:eastAsia="Times New Roman"/>
          <w:lang w:val="en-GB"/>
        </w:rPr>
        <w:t xml:space="preserve">. Failure of incident reporting processes was also of great concern. The Independent Panel pointed out that issues that had been raised by patients, families, and healthcare professionals were constantly ignored. The organisation showed a defensive attitude as opposed to a learning culture. </w:t>
      </w:r>
    </w:p>
    <w:p w14:paraId="4E5B48E4" w14:textId="77777777" w:rsidR="00F50BEE" w:rsidRPr="00797792" w:rsidRDefault="00F50BEE" w:rsidP="00797792">
      <w:pPr>
        <w:spacing w:before="240" w:line="360" w:lineRule="auto"/>
        <w:jc w:val="both"/>
        <w:rPr>
          <w:rFonts w:eastAsia="Times New Roman"/>
          <w:b/>
          <w:bCs/>
          <w:i/>
          <w:iCs/>
          <w:lang w:val="en-GB"/>
        </w:rPr>
      </w:pPr>
      <w:r w:rsidRPr="00797792">
        <w:rPr>
          <w:rFonts w:eastAsia="Times New Roman"/>
          <w:b/>
          <w:bCs/>
          <w:i/>
          <w:iCs/>
          <w:lang w:val="en-GB"/>
        </w:rPr>
        <w:t>Outcomes</w:t>
      </w:r>
    </w:p>
    <w:p w14:paraId="1F08392F" w14:textId="21C628FA" w:rsidR="00F50BEE" w:rsidRPr="00797792" w:rsidRDefault="00F50BEE" w:rsidP="00797792">
      <w:pPr>
        <w:spacing w:before="240" w:line="360" w:lineRule="auto"/>
        <w:jc w:val="both"/>
        <w:rPr>
          <w:rFonts w:eastAsia="Times New Roman"/>
          <w:lang w:val="en-GB"/>
        </w:rPr>
      </w:pPr>
      <w:r w:rsidRPr="00797792">
        <w:rPr>
          <w:rFonts w:eastAsia="Times New Roman"/>
          <w:lang w:val="en-GB"/>
        </w:rPr>
        <w:t>The outcome dimension shows the effects of failures of structure and processes. Hundreds of patients were linked to the area of inappropriate opioid prescribing practices, which resulted in the premature death of hundreds of patients (gov.uk, 2018). In addition to the immediate effect on patients, the scandal destroyed the confidence of people in the services and regulatory processes in healthcare. Other important effects of the case are the enormous emotional anguish felt by the families who had tried to find answers to the loss of their family members over the years. Also, the health care resources were wasted during investigations, reviews of the law and reforms of policies. The crisis identified ineffective quality of outcomes in various aspects, among them being the safety, effectiveness, the patient experience and trustworthiness (</w:t>
      </w:r>
      <w:r w:rsidRPr="00797792">
        <w:rPr>
          <w:rFonts w:eastAsia="Times New Roman"/>
          <w:highlight w:val="white"/>
          <w:lang w:val="en-GB"/>
        </w:rPr>
        <w:t xml:space="preserve">Varga </w:t>
      </w:r>
      <w:r w:rsidR="00781BEF" w:rsidRPr="00797792">
        <w:rPr>
          <w:rFonts w:eastAsia="Times New Roman"/>
          <w:i/>
          <w:iCs/>
          <w:highlight w:val="white"/>
          <w:lang w:val="en-GB"/>
        </w:rPr>
        <w:t>et al.</w:t>
      </w:r>
      <w:r w:rsidRPr="00797792">
        <w:rPr>
          <w:rFonts w:eastAsia="Times New Roman"/>
          <w:highlight w:val="white"/>
          <w:lang w:val="en-GB"/>
        </w:rPr>
        <w:t xml:space="preserve"> 2023)</w:t>
      </w:r>
      <w:r w:rsidRPr="00797792">
        <w:rPr>
          <w:rFonts w:eastAsia="Times New Roman"/>
          <w:lang w:val="en-GB"/>
        </w:rPr>
        <w:t xml:space="preserve">. </w:t>
      </w:r>
    </w:p>
    <w:p w14:paraId="19867833" w14:textId="77777777" w:rsidR="00F50BEE" w:rsidRPr="00797792" w:rsidRDefault="00F50BEE" w:rsidP="00797792">
      <w:pPr>
        <w:spacing w:before="240" w:line="360" w:lineRule="auto"/>
        <w:jc w:val="both"/>
        <w:rPr>
          <w:rFonts w:eastAsia="Times New Roman"/>
          <w:lang w:val="en-GB"/>
        </w:rPr>
      </w:pPr>
      <w:r w:rsidRPr="00797792">
        <w:rPr>
          <w:rFonts w:eastAsia="Times New Roman"/>
          <w:noProof/>
          <w:lang w:val="en-GB"/>
        </w:rPr>
        <w:drawing>
          <wp:inline distT="114300" distB="114300" distL="114300" distR="114300" wp14:anchorId="05C611EE" wp14:editId="1AAA88B1">
            <wp:extent cx="5943600" cy="340042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t="14183"/>
                    <a:stretch>
                      <a:fillRect/>
                    </a:stretch>
                  </pic:blipFill>
                  <pic:spPr>
                    <a:xfrm>
                      <a:off x="0" y="0"/>
                      <a:ext cx="5943600" cy="3400425"/>
                    </a:xfrm>
                    <a:prstGeom prst="rect">
                      <a:avLst/>
                    </a:prstGeom>
                    <a:ln/>
                  </pic:spPr>
                </pic:pic>
              </a:graphicData>
            </a:graphic>
          </wp:inline>
        </w:drawing>
      </w:r>
    </w:p>
    <w:p w14:paraId="0CEB4BF5" w14:textId="3629B9A6" w:rsidR="00F50BEE" w:rsidRPr="00905D87" w:rsidRDefault="00F50BEE" w:rsidP="007208D2">
      <w:pPr>
        <w:spacing w:before="240" w:line="360" w:lineRule="auto"/>
        <w:jc w:val="center"/>
        <w:rPr>
          <w:rFonts w:eastAsia="Times New Roman"/>
          <w:b/>
          <w:bCs/>
          <w:lang w:val="en-GB"/>
        </w:rPr>
      </w:pPr>
      <w:r w:rsidRPr="00797792">
        <w:rPr>
          <w:rFonts w:eastAsia="Times New Roman"/>
          <w:b/>
          <w:bCs/>
          <w:lang w:val="en-GB"/>
        </w:rPr>
        <w:t xml:space="preserve">Figure </w:t>
      </w:r>
      <w:r w:rsidR="00781BEF" w:rsidRPr="00797792">
        <w:rPr>
          <w:rFonts w:eastAsia="Times New Roman"/>
          <w:b/>
          <w:bCs/>
          <w:lang w:val="en-GB"/>
        </w:rPr>
        <w:t>1</w:t>
      </w:r>
      <w:r w:rsidRPr="00797792">
        <w:rPr>
          <w:rFonts w:eastAsia="Times New Roman"/>
          <w:b/>
          <w:bCs/>
          <w:lang w:val="en-GB"/>
        </w:rPr>
        <w:t xml:space="preserve">: Donabedian Model </w:t>
      </w:r>
      <w:r w:rsidRPr="00797792">
        <w:rPr>
          <w:rFonts w:eastAsia="Times New Roman"/>
          <w:lang w:val="en-GB"/>
        </w:rPr>
        <w:t xml:space="preserve">(Source: Influenced by gov.uk, 2018) </w:t>
      </w:r>
    </w:p>
    <w:p w14:paraId="0567D193" w14:textId="4B9C8E4D" w:rsidR="00DD5020" w:rsidRPr="00797792" w:rsidRDefault="00F50BEE" w:rsidP="00797792">
      <w:pPr>
        <w:pStyle w:val="Heading1"/>
        <w:rPr>
          <w:lang w:val="en-GB"/>
        </w:rPr>
      </w:pPr>
      <w:bookmarkStart w:id="3" w:name="_Toc235884698"/>
      <w:r w:rsidRPr="00797792">
        <w:rPr>
          <w:lang w:val="en-GB"/>
        </w:rPr>
        <w:lastRenderedPageBreak/>
        <w:t>4. 5 Whys</w:t>
      </w:r>
      <w:bookmarkEnd w:id="3"/>
      <w:r w:rsidRPr="00797792">
        <w:rPr>
          <w:lang w:val="en-GB"/>
        </w:rPr>
        <w:t xml:space="preserve"> </w:t>
      </w:r>
    </w:p>
    <w:p w14:paraId="0567D19B" w14:textId="77777777" w:rsidR="00DD5020" w:rsidRPr="00797792" w:rsidRDefault="00596C4A" w:rsidP="00797792">
      <w:pPr>
        <w:spacing w:before="240" w:line="360" w:lineRule="auto"/>
        <w:jc w:val="both"/>
        <w:rPr>
          <w:rFonts w:eastAsia="Times New Roman"/>
          <w:lang w:val="en-GB"/>
        </w:rPr>
      </w:pPr>
      <w:r w:rsidRPr="00797792">
        <w:rPr>
          <w:rFonts w:eastAsia="Times New Roman"/>
          <w:lang w:val="en-GB"/>
        </w:rPr>
        <w:t xml:space="preserve">The 5 Whys method is commonly applied in healthcare to explore incidents of patient safety as it aids in going beyond the topical (investigative) explanations and finding organisational and system failures (Majka, 2024). The strategy is especially applicable to the Gosport War Memorial Hospital scandal, where several malfunctions resulted in insecure opioid prescription and patient injuries. </w:t>
      </w:r>
    </w:p>
    <w:p w14:paraId="0567D19C" w14:textId="77777777" w:rsidR="00DD5020" w:rsidRPr="00797792" w:rsidRDefault="00596C4A" w:rsidP="00797792">
      <w:pPr>
        <w:spacing w:before="240" w:line="360" w:lineRule="auto"/>
        <w:jc w:val="center"/>
        <w:rPr>
          <w:rFonts w:eastAsia="Times New Roman"/>
          <w:lang w:val="en-GB"/>
        </w:rPr>
      </w:pPr>
      <w:r w:rsidRPr="00797792">
        <w:rPr>
          <w:rFonts w:eastAsia="Times New Roman"/>
          <w:noProof/>
          <w:lang w:val="en-GB"/>
        </w:rPr>
        <w:drawing>
          <wp:inline distT="114300" distB="114300" distL="114300" distR="114300" wp14:anchorId="0567D1E4" wp14:editId="096562CA">
            <wp:extent cx="4846320" cy="33147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t="6250"/>
                    <a:stretch>
                      <a:fillRect/>
                    </a:stretch>
                  </pic:blipFill>
                  <pic:spPr>
                    <a:xfrm>
                      <a:off x="0" y="0"/>
                      <a:ext cx="4846320" cy="3314700"/>
                    </a:xfrm>
                    <a:prstGeom prst="rect">
                      <a:avLst/>
                    </a:prstGeom>
                    <a:ln/>
                  </pic:spPr>
                </pic:pic>
              </a:graphicData>
            </a:graphic>
          </wp:inline>
        </w:drawing>
      </w:r>
    </w:p>
    <w:p w14:paraId="0567D19D" w14:textId="77777777" w:rsidR="00DD5020" w:rsidRPr="00797792" w:rsidRDefault="00596C4A" w:rsidP="00797792">
      <w:pPr>
        <w:spacing w:before="240" w:line="360" w:lineRule="auto"/>
        <w:jc w:val="center"/>
        <w:rPr>
          <w:rFonts w:eastAsia="Times New Roman"/>
          <w:b/>
          <w:bCs/>
          <w:lang w:val="en-GB"/>
        </w:rPr>
      </w:pPr>
      <w:r w:rsidRPr="00797792">
        <w:rPr>
          <w:rFonts w:eastAsia="Times New Roman"/>
          <w:b/>
          <w:bCs/>
          <w:lang w:val="en-GB"/>
        </w:rPr>
        <w:t xml:space="preserve">Figure 2: 5 Whys </w:t>
      </w:r>
    </w:p>
    <w:p w14:paraId="0567D19E" w14:textId="77777777" w:rsidR="00DD5020" w:rsidRPr="00797792" w:rsidRDefault="00596C4A" w:rsidP="00797792">
      <w:pPr>
        <w:spacing w:before="240" w:line="360" w:lineRule="auto"/>
        <w:jc w:val="center"/>
        <w:rPr>
          <w:rFonts w:eastAsia="Times New Roman"/>
          <w:lang w:val="en-GB"/>
        </w:rPr>
      </w:pPr>
      <w:r w:rsidRPr="00797792">
        <w:rPr>
          <w:rFonts w:eastAsia="Times New Roman"/>
          <w:lang w:val="en-GB"/>
        </w:rPr>
        <w:t xml:space="preserve">(Source: Influenced by gov.uk, 2018) </w:t>
      </w:r>
    </w:p>
    <w:p w14:paraId="0567D19F" w14:textId="77777777" w:rsidR="00DD5020" w:rsidRPr="00797792" w:rsidRDefault="00596C4A" w:rsidP="00797792">
      <w:pPr>
        <w:spacing w:before="240" w:line="360" w:lineRule="auto"/>
        <w:jc w:val="both"/>
        <w:rPr>
          <w:rFonts w:eastAsia="Times New Roman"/>
          <w:b/>
          <w:bCs/>
          <w:i/>
          <w:iCs/>
          <w:lang w:val="en-GB"/>
        </w:rPr>
      </w:pPr>
      <w:r w:rsidRPr="00797792">
        <w:rPr>
          <w:rFonts w:eastAsia="Times New Roman"/>
          <w:b/>
          <w:bCs/>
          <w:i/>
          <w:iCs/>
          <w:lang w:val="en-GB"/>
        </w:rPr>
        <w:t>Problem: Patients Received Inappropriate Opioid Medications</w:t>
      </w:r>
    </w:p>
    <w:p w14:paraId="0567D1A0" w14:textId="77777777" w:rsidR="00DD5020" w:rsidRPr="00797792" w:rsidRDefault="00596C4A" w:rsidP="00797792">
      <w:pPr>
        <w:spacing w:before="240" w:line="360" w:lineRule="auto"/>
        <w:jc w:val="both"/>
        <w:rPr>
          <w:rFonts w:eastAsia="Times New Roman"/>
          <w:lang w:val="en-GB"/>
        </w:rPr>
      </w:pPr>
      <w:r w:rsidRPr="00797792">
        <w:rPr>
          <w:rFonts w:eastAsia="Times New Roman"/>
          <w:lang w:val="en-GB"/>
        </w:rPr>
        <w:t xml:space="preserve">The main quality issue at Gosport War Memorial Hospital was the inappropriate prescribing and dispensing of opioid medications to elderly patients, which were not supported by adequate clinical research (gov.uk, 2018). </w:t>
      </w:r>
    </w:p>
    <w:p w14:paraId="41FC856E" w14:textId="77777777" w:rsidR="00811848" w:rsidRDefault="00811848" w:rsidP="00797792">
      <w:pPr>
        <w:spacing w:before="240" w:line="360" w:lineRule="auto"/>
        <w:jc w:val="both"/>
        <w:rPr>
          <w:rFonts w:eastAsia="Times New Roman"/>
          <w:b/>
          <w:bCs/>
          <w:i/>
          <w:iCs/>
          <w:lang w:val="en-GB"/>
        </w:rPr>
      </w:pPr>
    </w:p>
    <w:p w14:paraId="45ECEEE8" w14:textId="77777777" w:rsidR="00811848" w:rsidRDefault="00811848" w:rsidP="00797792">
      <w:pPr>
        <w:spacing w:before="240" w:line="360" w:lineRule="auto"/>
        <w:jc w:val="both"/>
        <w:rPr>
          <w:rFonts w:eastAsia="Times New Roman"/>
          <w:b/>
          <w:bCs/>
          <w:i/>
          <w:iCs/>
          <w:lang w:val="en-GB"/>
        </w:rPr>
      </w:pPr>
    </w:p>
    <w:p w14:paraId="0567D1A1" w14:textId="0F97999E" w:rsidR="00DD5020" w:rsidRPr="00797792" w:rsidRDefault="00596C4A" w:rsidP="00797792">
      <w:pPr>
        <w:spacing w:before="240" w:line="360" w:lineRule="auto"/>
        <w:jc w:val="both"/>
        <w:rPr>
          <w:rFonts w:eastAsia="Times New Roman"/>
          <w:b/>
          <w:bCs/>
          <w:i/>
          <w:iCs/>
          <w:lang w:val="en-GB"/>
        </w:rPr>
      </w:pPr>
      <w:r w:rsidRPr="00797792">
        <w:rPr>
          <w:rFonts w:eastAsia="Times New Roman"/>
          <w:b/>
          <w:bCs/>
          <w:i/>
          <w:iCs/>
          <w:lang w:val="en-GB"/>
        </w:rPr>
        <w:lastRenderedPageBreak/>
        <w:t>Why 1: Why Were Opioids Prescribed Without Clinical Justification?</w:t>
      </w:r>
    </w:p>
    <w:p w14:paraId="0567D1A2" w14:textId="77777777" w:rsidR="00DD5020" w:rsidRPr="00797792" w:rsidRDefault="00596C4A" w:rsidP="00797792">
      <w:pPr>
        <w:spacing w:before="240" w:line="360" w:lineRule="auto"/>
        <w:jc w:val="both"/>
        <w:rPr>
          <w:rFonts w:eastAsia="Times New Roman"/>
          <w:lang w:val="en-GB"/>
        </w:rPr>
      </w:pPr>
      <w:r w:rsidRPr="00797792">
        <w:rPr>
          <w:rFonts w:eastAsia="Times New Roman"/>
          <w:lang w:val="en-GB"/>
        </w:rPr>
        <w:t xml:space="preserve">Most patients were prescribed opioids even though they did not have a clear medical reason to be treated with opioids. The Gosport Independent Panel established that hazardous modes of prescribing became the norm and an ordinary form of treatment.  </w:t>
      </w:r>
    </w:p>
    <w:p w14:paraId="0567D1A3" w14:textId="77777777" w:rsidR="00DD5020" w:rsidRPr="00797792" w:rsidRDefault="00596C4A" w:rsidP="00797792">
      <w:pPr>
        <w:spacing w:before="240" w:line="360" w:lineRule="auto"/>
        <w:jc w:val="both"/>
        <w:rPr>
          <w:rFonts w:eastAsia="Times New Roman"/>
          <w:b/>
          <w:bCs/>
          <w:i/>
          <w:iCs/>
          <w:lang w:val="en-GB"/>
        </w:rPr>
      </w:pPr>
      <w:r w:rsidRPr="00797792">
        <w:rPr>
          <w:rFonts w:eastAsia="Times New Roman"/>
          <w:b/>
          <w:bCs/>
          <w:i/>
          <w:iCs/>
          <w:lang w:val="en-GB"/>
        </w:rPr>
        <w:t xml:space="preserve">Why 2: Why </w:t>
      </w:r>
      <w:proofErr w:type="spellStart"/>
      <w:r w:rsidRPr="00797792">
        <w:rPr>
          <w:rFonts w:eastAsia="Times New Roman"/>
          <w:b/>
          <w:bCs/>
          <w:i/>
          <w:iCs/>
          <w:lang w:val="en-GB"/>
        </w:rPr>
        <w:t>Were</w:t>
      </w:r>
      <w:proofErr w:type="spellEnd"/>
      <w:r w:rsidRPr="00797792">
        <w:rPr>
          <w:rFonts w:eastAsia="Times New Roman"/>
          <w:b/>
          <w:bCs/>
          <w:i/>
          <w:iCs/>
          <w:lang w:val="en-GB"/>
        </w:rPr>
        <w:t xml:space="preserve"> Prescribing Practices Not Regularly Reviewed?</w:t>
      </w:r>
    </w:p>
    <w:p w14:paraId="0567D1A4" w14:textId="185CEBC1" w:rsidR="00DD5020" w:rsidRPr="00797792" w:rsidRDefault="00596C4A" w:rsidP="00797792">
      <w:pPr>
        <w:spacing w:before="240" w:line="360" w:lineRule="auto"/>
        <w:jc w:val="both"/>
        <w:rPr>
          <w:rFonts w:eastAsia="Times New Roman"/>
          <w:lang w:val="en-GB"/>
        </w:rPr>
      </w:pPr>
      <w:r w:rsidRPr="00797792">
        <w:rPr>
          <w:rFonts w:eastAsia="Times New Roman"/>
          <w:lang w:val="en-GB"/>
        </w:rPr>
        <w:t xml:space="preserve">Planned reviews of medication and reassessments of patients were not sufficient or </w:t>
      </w:r>
      <w:r w:rsidR="00E10162" w:rsidRPr="00797792">
        <w:rPr>
          <w:rFonts w:eastAsia="Times New Roman"/>
          <w:lang w:val="en-GB"/>
        </w:rPr>
        <w:t>non-existent</w:t>
      </w:r>
      <w:r w:rsidRPr="00797792">
        <w:rPr>
          <w:rFonts w:eastAsia="Times New Roman"/>
          <w:lang w:val="en-GB"/>
        </w:rPr>
        <w:t xml:space="preserve"> (</w:t>
      </w:r>
      <w:proofErr w:type="spellStart"/>
      <w:r w:rsidRPr="00797792">
        <w:rPr>
          <w:rFonts w:eastAsia="Times New Roman"/>
          <w:highlight w:val="white"/>
          <w:lang w:val="en-GB"/>
        </w:rPr>
        <w:t>Paternò</w:t>
      </w:r>
      <w:proofErr w:type="spellEnd"/>
      <w:r w:rsidRPr="00797792">
        <w:rPr>
          <w:rFonts w:eastAsia="Times New Roman"/>
          <w:highlight w:val="white"/>
          <w:lang w:val="en-GB"/>
        </w:rPr>
        <w:t xml:space="preserve"> Holtzman </w:t>
      </w:r>
      <w:r w:rsidR="00781BEF" w:rsidRPr="00797792">
        <w:rPr>
          <w:rFonts w:eastAsia="Times New Roman"/>
          <w:i/>
          <w:iCs/>
          <w:highlight w:val="white"/>
          <w:lang w:val="en-GB"/>
        </w:rPr>
        <w:t>et al.</w:t>
      </w:r>
      <w:r w:rsidRPr="00797792">
        <w:rPr>
          <w:rFonts w:eastAsia="Times New Roman"/>
          <w:highlight w:val="white"/>
          <w:lang w:val="en-GB"/>
        </w:rPr>
        <w:t xml:space="preserve"> 2025)</w:t>
      </w:r>
      <w:r w:rsidRPr="00797792">
        <w:rPr>
          <w:rFonts w:eastAsia="Times New Roman"/>
          <w:lang w:val="en-GB"/>
        </w:rPr>
        <w:t xml:space="preserve">. Clinical systems </w:t>
      </w:r>
      <w:proofErr w:type="gramStart"/>
      <w:r w:rsidRPr="00797792">
        <w:rPr>
          <w:rFonts w:eastAsia="Times New Roman"/>
          <w:lang w:val="en-GB"/>
        </w:rPr>
        <w:t>were not able to</w:t>
      </w:r>
      <w:proofErr w:type="gramEnd"/>
      <w:r w:rsidRPr="00797792">
        <w:rPr>
          <w:rFonts w:eastAsia="Times New Roman"/>
          <w:lang w:val="en-GB"/>
        </w:rPr>
        <w:t xml:space="preserve"> make sure the prescriptions were checked based on the specifications of the patients.  </w:t>
      </w:r>
    </w:p>
    <w:p w14:paraId="0567D1A5" w14:textId="77777777" w:rsidR="00DD5020" w:rsidRPr="00797792" w:rsidRDefault="00596C4A" w:rsidP="00797792">
      <w:pPr>
        <w:spacing w:before="240" w:line="360" w:lineRule="auto"/>
        <w:jc w:val="both"/>
        <w:rPr>
          <w:rFonts w:eastAsia="Times New Roman"/>
          <w:b/>
          <w:bCs/>
          <w:i/>
          <w:iCs/>
          <w:lang w:val="en-GB"/>
        </w:rPr>
      </w:pPr>
      <w:r w:rsidRPr="00797792">
        <w:rPr>
          <w:rFonts w:eastAsia="Times New Roman"/>
          <w:b/>
          <w:bCs/>
          <w:i/>
          <w:iCs/>
          <w:lang w:val="en-GB"/>
        </w:rPr>
        <w:t>Why 3: Why Did Governance Systems Fail to Detect Unsafe Practice?</w:t>
      </w:r>
    </w:p>
    <w:p w14:paraId="0567D1A6" w14:textId="3AB965B4" w:rsidR="00DD5020" w:rsidRPr="00797792" w:rsidRDefault="00596C4A" w:rsidP="00797792">
      <w:pPr>
        <w:spacing w:before="240" w:line="360" w:lineRule="auto"/>
        <w:jc w:val="both"/>
        <w:rPr>
          <w:rFonts w:eastAsia="Times New Roman"/>
          <w:lang w:val="en-GB"/>
        </w:rPr>
      </w:pPr>
      <w:r w:rsidRPr="00797792">
        <w:rPr>
          <w:rFonts w:eastAsia="Times New Roman"/>
          <w:lang w:val="en-GB"/>
        </w:rPr>
        <w:t xml:space="preserve">There was weak and ineffective clinical governance. There was a lack of audits, performance reviews and medication safety monitoring processes to determine inappropriate prescribing practices. </w:t>
      </w:r>
      <w:r w:rsidRPr="00797792">
        <w:rPr>
          <w:rFonts w:eastAsia="Times New Roman"/>
          <w:highlight w:val="white"/>
          <w:lang w:val="en-GB"/>
        </w:rPr>
        <w:t xml:space="preserve">Bowers </w:t>
      </w:r>
      <w:r w:rsidR="00781BEF" w:rsidRPr="00797792">
        <w:rPr>
          <w:rFonts w:eastAsia="Times New Roman"/>
          <w:i/>
          <w:iCs/>
          <w:highlight w:val="white"/>
          <w:lang w:val="en-GB"/>
        </w:rPr>
        <w:t>et al.</w:t>
      </w:r>
      <w:r w:rsidRPr="00797792">
        <w:rPr>
          <w:rFonts w:eastAsia="Times New Roman"/>
          <w:highlight w:val="white"/>
          <w:lang w:val="en-GB"/>
        </w:rPr>
        <w:t xml:space="preserve"> </w:t>
      </w:r>
      <w:r w:rsidRPr="00797792">
        <w:rPr>
          <w:rFonts w:eastAsia="Times New Roman"/>
          <w:lang w:val="en-GB"/>
        </w:rPr>
        <w:t xml:space="preserve">(2024) argue that to ensure quality and patient protection, robust clinical governance to support this is necessary, but these processes were mostly absent in Gosport. </w:t>
      </w:r>
    </w:p>
    <w:p w14:paraId="0567D1A7" w14:textId="77777777" w:rsidR="00DD5020" w:rsidRPr="00797792" w:rsidRDefault="00596C4A" w:rsidP="00797792">
      <w:pPr>
        <w:spacing w:before="240" w:line="360" w:lineRule="auto"/>
        <w:jc w:val="both"/>
        <w:rPr>
          <w:rFonts w:eastAsia="Times New Roman"/>
          <w:b/>
          <w:bCs/>
          <w:i/>
          <w:iCs/>
          <w:lang w:val="en-GB"/>
        </w:rPr>
      </w:pPr>
      <w:r w:rsidRPr="00797792">
        <w:rPr>
          <w:rFonts w:eastAsia="Times New Roman"/>
          <w:b/>
          <w:bCs/>
          <w:i/>
          <w:iCs/>
          <w:lang w:val="en-GB"/>
        </w:rPr>
        <w:t>Why 4: Why Were Staff Concerns and Complaints Ignored?</w:t>
      </w:r>
    </w:p>
    <w:p w14:paraId="0567D1A8" w14:textId="77777777" w:rsidR="00DD5020" w:rsidRPr="00797792" w:rsidRDefault="00596C4A" w:rsidP="00797792">
      <w:pPr>
        <w:spacing w:before="240" w:line="360" w:lineRule="auto"/>
        <w:jc w:val="both"/>
        <w:rPr>
          <w:rFonts w:eastAsia="Times New Roman"/>
          <w:lang w:val="en-GB"/>
        </w:rPr>
      </w:pPr>
      <w:r w:rsidRPr="00797792">
        <w:rPr>
          <w:rFonts w:eastAsia="Times New Roman"/>
          <w:lang w:val="en-GB"/>
        </w:rPr>
        <w:t>Many questions were expressed by the nurses, healthcare workers and relatives about patient care. Nonetheless, these warnings were not adequately researched or undertaken. Lack of response to the raised concerns has not helped to detect the risks early. They have enabled unsafe practices to be entrenched in the organisation (</w:t>
      </w:r>
      <w:r w:rsidRPr="00797792">
        <w:rPr>
          <w:rFonts w:eastAsia="Times New Roman"/>
          <w:highlight w:val="white"/>
          <w:lang w:val="en-GB"/>
        </w:rPr>
        <w:t>Modise, 2023)</w:t>
      </w:r>
      <w:r w:rsidRPr="00797792">
        <w:rPr>
          <w:rFonts w:eastAsia="Times New Roman"/>
          <w:lang w:val="en-GB"/>
        </w:rPr>
        <w:t xml:space="preserve">. </w:t>
      </w:r>
    </w:p>
    <w:p w14:paraId="0567D1A9" w14:textId="77777777" w:rsidR="00DD5020" w:rsidRPr="00797792" w:rsidRDefault="00596C4A" w:rsidP="00797792">
      <w:pPr>
        <w:spacing w:before="240" w:line="360" w:lineRule="auto"/>
        <w:jc w:val="both"/>
        <w:rPr>
          <w:rFonts w:eastAsia="Times New Roman"/>
          <w:b/>
          <w:bCs/>
          <w:i/>
          <w:iCs/>
          <w:lang w:val="en-GB"/>
        </w:rPr>
      </w:pPr>
      <w:r w:rsidRPr="00797792">
        <w:rPr>
          <w:rFonts w:eastAsia="Times New Roman"/>
          <w:b/>
          <w:bCs/>
          <w:i/>
          <w:iCs/>
          <w:lang w:val="en-GB"/>
        </w:rPr>
        <w:t>Why 5: Why Did the Organisation Lack Accountability and Transparency?</w:t>
      </w:r>
    </w:p>
    <w:p w14:paraId="0567D1AA" w14:textId="36B04C3D" w:rsidR="00DD5020" w:rsidRPr="00797792" w:rsidRDefault="00596C4A" w:rsidP="00797792">
      <w:pPr>
        <w:spacing w:before="240" w:line="360" w:lineRule="auto"/>
        <w:jc w:val="both"/>
        <w:rPr>
          <w:rFonts w:eastAsia="Times New Roman"/>
          <w:lang w:val="en-GB"/>
        </w:rPr>
      </w:pPr>
      <w:r w:rsidRPr="00797792">
        <w:rPr>
          <w:rFonts w:eastAsia="Times New Roman"/>
          <w:lang w:val="en-GB"/>
        </w:rPr>
        <w:t xml:space="preserve">The most fundamental level was that the culture of the organisation showed a lack of accountability, openness and transparency. </w:t>
      </w:r>
      <w:r w:rsidRPr="00797792">
        <w:rPr>
          <w:rFonts w:eastAsia="Times New Roman"/>
          <w:highlight w:val="white"/>
          <w:lang w:val="en-GB"/>
        </w:rPr>
        <w:t xml:space="preserve">Huang </w:t>
      </w:r>
      <w:r w:rsidR="00781BEF" w:rsidRPr="00797792">
        <w:rPr>
          <w:rFonts w:eastAsia="Times New Roman"/>
          <w:i/>
          <w:iCs/>
          <w:highlight w:val="white"/>
          <w:lang w:val="en-GB"/>
        </w:rPr>
        <w:t>et al.</w:t>
      </w:r>
      <w:r w:rsidRPr="00797792">
        <w:rPr>
          <w:rFonts w:eastAsia="Times New Roman"/>
          <w:highlight w:val="white"/>
          <w:lang w:val="en-GB"/>
        </w:rPr>
        <w:t xml:space="preserve"> </w:t>
      </w:r>
      <w:r w:rsidRPr="00797792">
        <w:rPr>
          <w:rFonts w:eastAsia="Times New Roman"/>
          <w:lang w:val="en-GB"/>
        </w:rPr>
        <w:t xml:space="preserve">(2024) believe that organisational culture plays a crucial role in determining patient safety. </w:t>
      </w:r>
    </w:p>
    <w:p w14:paraId="70F381EA" w14:textId="77777777" w:rsidR="00811848" w:rsidRDefault="00811848" w:rsidP="00797792">
      <w:pPr>
        <w:pStyle w:val="Heading1"/>
        <w:rPr>
          <w:lang w:val="en-GB"/>
        </w:rPr>
      </w:pPr>
      <w:bookmarkStart w:id="4" w:name="_Toc235884699"/>
    </w:p>
    <w:p w14:paraId="5147ED55" w14:textId="77777777" w:rsidR="00811848" w:rsidRDefault="00811848" w:rsidP="00797792">
      <w:pPr>
        <w:pStyle w:val="Heading1"/>
        <w:rPr>
          <w:lang w:val="en-GB"/>
        </w:rPr>
      </w:pPr>
    </w:p>
    <w:p w14:paraId="7CD9A6A5" w14:textId="77777777" w:rsidR="00811848" w:rsidRDefault="00811848" w:rsidP="00797792">
      <w:pPr>
        <w:pStyle w:val="Heading1"/>
        <w:rPr>
          <w:lang w:val="en-GB"/>
        </w:rPr>
      </w:pPr>
    </w:p>
    <w:p w14:paraId="0567D1B7" w14:textId="4F68A6F3" w:rsidR="00DD5020" w:rsidRPr="00797792" w:rsidRDefault="00F50BEE" w:rsidP="00797792">
      <w:pPr>
        <w:pStyle w:val="Heading1"/>
        <w:rPr>
          <w:lang w:val="en-GB"/>
        </w:rPr>
      </w:pPr>
      <w:r w:rsidRPr="00797792">
        <w:rPr>
          <w:lang w:val="en-GB"/>
        </w:rPr>
        <w:lastRenderedPageBreak/>
        <w:t>5</w:t>
      </w:r>
      <w:r w:rsidR="00596C4A" w:rsidRPr="00797792">
        <w:rPr>
          <w:lang w:val="en-GB"/>
        </w:rPr>
        <w:t>. SWOT Framework</w:t>
      </w:r>
      <w:bookmarkEnd w:id="4"/>
      <w:r w:rsidR="00596C4A" w:rsidRPr="00797792">
        <w:rPr>
          <w:lang w:val="en-GB"/>
        </w:rPr>
        <w:t xml:space="preserve"> </w:t>
      </w:r>
    </w:p>
    <w:p w14:paraId="0567D1B8" w14:textId="77777777" w:rsidR="00DD5020" w:rsidRPr="00797792" w:rsidRDefault="00596C4A" w:rsidP="00797792">
      <w:pPr>
        <w:spacing w:before="240" w:after="160" w:line="360" w:lineRule="auto"/>
        <w:jc w:val="center"/>
        <w:rPr>
          <w:rFonts w:eastAsia="Times New Roman"/>
          <w:b/>
          <w:bCs/>
          <w:lang w:val="en-GB"/>
        </w:rPr>
      </w:pPr>
      <w:r w:rsidRPr="00797792">
        <w:rPr>
          <w:rFonts w:eastAsia="Times New Roman"/>
          <w:b/>
          <w:bCs/>
          <w:noProof/>
          <w:lang w:val="en-GB"/>
        </w:rPr>
        <w:drawing>
          <wp:inline distT="114300" distB="114300" distL="114300" distR="114300" wp14:anchorId="0567D1E8" wp14:editId="0567D1E9">
            <wp:extent cx="5943600" cy="56134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5613400"/>
                    </a:xfrm>
                    <a:prstGeom prst="rect">
                      <a:avLst/>
                    </a:prstGeom>
                    <a:ln/>
                  </pic:spPr>
                </pic:pic>
              </a:graphicData>
            </a:graphic>
          </wp:inline>
        </w:drawing>
      </w:r>
    </w:p>
    <w:p w14:paraId="0567D1B9" w14:textId="77777777" w:rsidR="00DD5020" w:rsidRPr="00797792" w:rsidRDefault="00596C4A" w:rsidP="00797792">
      <w:pPr>
        <w:spacing w:before="240" w:after="160" w:line="360" w:lineRule="auto"/>
        <w:jc w:val="center"/>
        <w:rPr>
          <w:rFonts w:eastAsia="Times New Roman"/>
          <w:b/>
          <w:bCs/>
          <w:lang w:val="en-GB"/>
        </w:rPr>
      </w:pPr>
      <w:r w:rsidRPr="00797792">
        <w:rPr>
          <w:rFonts w:eastAsia="Times New Roman"/>
          <w:b/>
          <w:bCs/>
          <w:lang w:val="en-GB"/>
        </w:rPr>
        <w:t xml:space="preserve">Table 1: SWOT Analysis </w:t>
      </w:r>
    </w:p>
    <w:p w14:paraId="0567D1BA" w14:textId="7FBC20E5" w:rsidR="00DD5020" w:rsidRPr="00797792" w:rsidRDefault="00596C4A" w:rsidP="00797792">
      <w:pPr>
        <w:spacing w:before="240" w:line="360" w:lineRule="auto"/>
        <w:jc w:val="center"/>
        <w:rPr>
          <w:rFonts w:eastAsia="Times New Roman"/>
          <w:b/>
          <w:bCs/>
          <w:lang w:val="en-GB"/>
        </w:rPr>
      </w:pPr>
      <w:r w:rsidRPr="00797792">
        <w:rPr>
          <w:rFonts w:eastAsia="Times New Roman"/>
          <w:lang w:val="en-GB"/>
        </w:rPr>
        <w:t xml:space="preserve">(Source: Influenced by Source: Influenced by gov.uk, 2018; </w:t>
      </w:r>
      <w:r w:rsidRPr="00797792">
        <w:rPr>
          <w:rFonts w:eastAsia="Times New Roman"/>
          <w:highlight w:val="white"/>
          <w:lang w:val="en-GB"/>
        </w:rPr>
        <w:t xml:space="preserve">Durojaiye </w:t>
      </w:r>
      <w:r w:rsidR="00781BEF" w:rsidRPr="00797792">
        <w:rPr>
          <w:rFonts w:eastAsia="Times New Roman"/>
          <w:i/>
          <w:iCs/>
          <w:highlight w:val="white"/>
          <w:lang w:val="en-GB"/>
        </w:rPr>
        <w:t>et al.</w:t>
      </w:r>
      <w:r w:rsidRPr="00797792">
        <w:rPr>
          <w:rFonts w:eastAsia="Times New Roman"/>
          <w:highlight w:val="white"/>
          <w:lang w:val="en-GB"/>
        </w:rPr>
        <w:t xml:space="preserve"> 2025</w:t>
      </w:r>
      <w:r w:rsidRPr="00797792">
        <w:rPr>
          <w:rFonts w:eastAsia="Times New Roman"/>
          <w:lang w:val="en-GB"/>
        </w:rPr>
        <w:t xml:space="preserve">) </w:t>
      </w:r>
    </w:p>
    <w:p w14:paraId="0567D1BB" w14:textId="5039BFE9" w:rsidR="00DD5020" w:rsidRPr="00797792" w:rsidRDefault="00596C4A" w:rsidP="00797792">
      <w:pPr>
        <w:spacing w:before="240" w:after="160" w:line="360" w:lineRule="auto"/>
        <w:jc w:val="both"/>
        <w:rPr>
          <w:rFonts w:eastAsia="Times New Roman"/>
          <w:lang w:val="en-GB"/>
        </w:rPr>
      </w:pPr>
      <w:r w:rsidRPr="00797792">
        <w:rPr>
          <w:rFonts w:eastAsia="Times New Roman"/>
          <w:lang w:val="en-GB"/>
        </w:rPr>
        <w:t>Among the strengths, the presence of NHS governance structures and national standards on patient safety that aimed to advance the delivery of healthcare services safely and effectively was one of the strengths (</w:t>
      </w:r>
      <w:r w:rsidRPr="00797792">
        <w:rPr>
          <w:rFonts w:eastAsia="Times New Roman"/>
          <w:highlight w:val="white"/>
          <w:lang w:val="en-GB"/>
        </w:rPr>
        <w:t xml:space="preserve">Durojaiye </w:t>
      </w:r>
      <w:r w:rsidR="00781BEF" w:rsidRPr="00797792">
        <w:rPr>
          <w:rFonts w:eastAsia="Times New Roman"/>
          <w:i/>
          <w:iCs/>
          <w:highlight w:val="white"/>
          <w:lang w:val="en-GB"/>
        </w:rPr>
        <w:t>et al.</w:t>
      </w:r>
      <w:r w:rsidRPr="00797792">
        <w:rPr>
          <w:rFonts w:eastAsia="Times New Roman"/>
          <w:highlight w:val="white"/>
          <w:lang w:val="en-GB"/>
        </w:rPr>
        <w:t xml:space="preserve"> 2025)</w:t>
      </w:r>
      <w:r w:rsidRPr="00797792">
        <w:rPr>
          <w:rFonts w:eastAsia="Times New Roman"/>
          <w:lang w:val="en-GB"/>
        </w:rPr>
        <w:t xml:space="preserve">. There was an existence of professional rules and regulations, prescribing rules and regulations, and structures of clinical governance that were in place at the time of the scandal. But these systems were not positively instituted and tracked in </w:t>
      </w:r>
      <w:r w:rsidRPr="00797792">
        <w:rPr>
          <w:rFonts w:eastAsia="Times New Roman"/>
          <w:lang w:val="en-GB"/>
        </w:rPr>
        <w:lastRenderedPageBreak/>
        <w:t>the organisation. The weaknesses that were identified in the case were significant. According to the Gosport Independent Panel, it was discovered that documents indicated that 456 patients died after receiving an opioid prescription, and an opioid had been administered without the proper clinical justification or reason. Poor accountability and ineffective governance meant that deliberations raised by nurses, families, or healthcare professionals were usually sidelined (</w:t>
      </w:r>
      <w:r w:rsidRPr="00797792">
        <w:rPr>
          <w:rFonts w:eastAsia="Times New Roman"/>
          <w:highlight w:val="white"/>
          <w:lang w:val="en-GB"/>
        </w:rPr>
        <w:t xml:space="preserve">Kassa </w:t>
      </w:r>
      <w:r w:rsidR="00781BEF" w:rsidRPr="00797792">
        <w:rPr>
          <w:rFonts w:eastAsia="Times New Roman"/>
          <w:i/>
          <w:iCs/>
          <w:highlight w:val="white"/>
          <w:lang w:val="en-GB"/>
        </w:rPr>
        <w:t>et al.</w:t>
      </w:r>
      <w:r w:rsidRPr="00797792">
        <w:rPr>
          <w:rFonts w:eastAsia="Times New Roman"/>
          <w:highlight w:val="white"/>
          <w:lang w:val="en-GB"/>
        </w:rPr>
        <w:t xml:space="preserve"> 2025)</w:t>
      </w:r>
      <w:r w:rsidRPr="00797792">
        <w:rPr>
          <w:rFonts w:eastAsia="Times New Roman"/>
          <w:lang w:val="en-GB"/>
        </w:rPr>
        <w:t xml:space="preserve">. </w:t>
      </w:r>
      <w:r w:rsidR="00D8719B" w:rsidRPr="00797792">
        <w:rPr>
          <w:rFonts w:eastAsia="Times New Roman"/>
          <w:lang w:val="en-GB"/>
        </w:rPr>
        <w:t xml:space="preserve"> </w:t>
      </w:r>
      <w:r w:rsidRPr="00797792">
        <w:rPr>
          <w:rFonts w:eastAsia="Times New Roman"/>
          <w:lang w:val="en-GB"/>
        </w:rPr>
        <w:t xml:space="preserve"> </w:t>
      </w:r>
      <w:r w:rsidR="00D8719B" w:rsidRPr="00797792">
        <w:rPr>
          <w:rFonts w:eastAsia="Times New Roman"/>
          <w:lang w:val="en-GB"/>
        </w:rPr>
        <w:t xml:space="preserve"> </w:t>
      </w:r>
    </w:p>
    <w:p w14:paraId="20A399C8" w14:textId="24CB2E68" w:rsidR="00D8719B" w:rsidRPr="00797792" w:rsidRDefault="00D8719B" w:rsidP="00797792">
      <w:pPr>
        <w:pStyle w:val="Heading1"/>
        <w:rPr>
          <w:lang w:val="en-GB"/>
        </w:rPr>
      </w:pPr>
      <w:bookmarkStart w:id="5" w:name="_Toc235884700"/>
      <w:r w:rsidRPr="00797792">
        <w:rPr>
          <w:lang w:val="en-GB"/>
        </w:rPr>
        <w:t>6. PDCA (Plan-Do-Check-Act) Cycle</w:t>
      </w:r>
      <w:bookmarkEnd w:id="5"/>
    </w:p>
    <w:p w14:paraId="3F4F5A75" w14:textId="77777777" w:rsidR="00D8719B" w:rsidRPr="002D7847" w:rsidRDefault="00D8719B" w:rsidP="00797792">
      <w:pPr>
        <w:spacing w:before="240" w:after="160" w:line="360" w:lineRule="auto"/>
        <w:jc w:val="both"/>
        <w:rPr>
          <w:rFonts w:eastAsia="Times New Roman"/>
          <w:b/>
          <w:bCs/>
          <w:color w:val="000000" w:themeColor="text1"/>
          <w:lang w:val="en-GB"/>
        </w:rPr>
      </w:pPr>
      <w:r w:rsidRPr="002D7847">
        <w:rPr>
          <w:rFonts w:eastAsia="Times New Roman"/>
          <w:b/>
          <w:bCs/>
          <w:color w:val="000000" w:themeColor="text1"/>
          <w:lang w:val="en-GB"/>
        </w:rPr>
        <w:t>Plan</w:t>
      </w:r>
    </w:p>
    <w:p w14:paraId="624E1B4F" w14:textId="4E854315" w:rsidR="00D8719B" w:rsidRPr="002D7847" w:rsidRDefault="00D8719B" w:rsidP="00797792">
      <w:pPr>
        <w:spacing w:before="240" w:after="160" w:line="360" w:lineRule="auto"/>
        <w:jc w:val="both"/>
        <w:rPr>
          <w:rFonts w:eastAsia="Times New Roman"/>
          <w:color w:val="000000" w:themeColor="text1"/>
          <w:lang w:val="en-GB"/>
        </w:rPr>
      </w:pPr>
      <w:r w:rsidRPr="002D7847">
        <w:rPr>
          <w:rFonts w:eastAsia="Times New Roman"/>
          <w:color w:val="000000" w:themeColor="text1"/>
          <w:lang w:val="en-GB"/>
        </w:rPr>
        <w:t>The Plan step aims at enhancing medication safety through electronic prescribing, periodic reviews of opioid medications, multidisciplinary prescribing committees, and employee training. The aim of these interventions is to diminish unsafe prescribing practices and enhance clinical governance</w:t>
      </w:r>
      <w:r w:rsidR="002568C8" w:rsidRPr="002D7847">
        <w:rPr>
          <w:rFonts w:eastAsia="Times New Roman"/>
          <w:color w:val="000000" w:themeColor="text1"/>
          <w:lang w:val="en-GB"/>
        </w:rPr>
        <w:t xml:space="preserve"> </w:t>
      </w:r>
      <w:r w:rsidRPr="002D7847">
        <w:rPr>
          <w:rFonts w:eastAsia="Times New Roman"/>
          <w:color w:val="000000" w:themeColor="text1"/>
          <w:lang w:val="en-GB"/>
        </w:rPr>
        <w:t xml:space="preserve">(Sheikh </w:t>
      </w:r>
      <w:r w:rsidR="00781BEF" w:rsidRPr="002D7847">
        <w:rPr>
          <w:rFonts w:eastAsia="Times New Roman"/>
          <w:i/>
          <w:iCs/>
          <w:color w:val="000000" w:themeColor="text1"/>
          <w:lang w:val="en-GB"/>
        </w:rPr>
        <w:t>et al.</w:t>
      </w:r>
      <w:r w:rsidRPr="002D7847">
        <w:rPr>
          <w:rFonts w:eastAsia="Times New Roman"/>
          <w:color w:val="000000" w:themeColor="text1"/>
          <w:lang w:val="en-GB"/>
        </w:rPr>
        <w:t xml:space="preserve"> 2022; </w:t>
      </w:r>
      <w:proofErr w:type="spellStart"/>
      <w:r w:rsidRPr="002D7847">
        <w:rPr>
          <w:rFonts w:eastAsia="Times New Roman"/>
          <w:color w:val="000000" w:themeColor="text1"/>
          <w:lang w:val="en-GB"/>
        </w:rPr>
        <w:t>Realyvásquez</w:t>
      </w:r>
      <w:proofErr w:type="spellEnd"/>
      <w:r w:rsidRPr="002D7847">
        <w:rPr>
          <w:rFonts w:eastAsia="Times New Roman"/>
          <w:color w:val="000000" w:themeColor="text1"/>
          <w:lang w:val="en-GB"/>
        </w:rPr>
        <w:t xml:space="preserve"> Vargas </w:t>
      </w:r>
      <w:r w:rsidR="00781BEF" w:rsidRPr="002D7847">
        <w:rPr>
          <w:rFonts w:eastAsia="Times New Roman"/>
          <w:i/>
          <w:iCs/>
          <w:color w:val="000000" w:themeColor="text1"/>
          <w:lang w:val="en-GB"/>
        </w:rPr>
        <w:t>et al.</w:t>
      </w:r>
      <w:r w:rsidRPr="002D7847">
        <w:rPr>
          <w:rFonts w:eastAsia="Times New Roman"/>
          <w:color w:val="000000" w:themeColor="text1"/>
          <w:lang w:val="en-GB"/>
        </w:rPr>
        <w:t xml:space="preserve"> 2024).</w:t>
      </w:r>
    </w:p>
    <w:p w14:paraId="697A999C" w14:textId="77777777" w:rsidR="00D8719B" w:rsidRPr="002D7847" w:rsidRDefault="00D8719B" w:rsidP="00797792">
      <w:pPr>
        <w:spacing w:before="240" w:after="160" w:line="360" w:lineRule="auto"/>
        <w:jc w:val="both"/>
        <w:rPr>
          <w:rFonts w:eastAsia="Times New Roman"/>
          <w:b/>
          <w:bCs/>
          <w:color w:val="000000" w:themeColor="text1"/>
          <w:lang w:val="en-GB"/>
        </w:rPr>
      </w:pPr>
      <w:r w:rsidRPr="002D7847">
        <w:rPr>
          <w:rFonts w:eastAsia="Times New Roman"/>
          <w:b/>
          <w:bCs/>
          <w:color w:val="000000" w:themeColor="text1"/>
          <w:lang w:val="en-GB"/>
        </w:rPr>
        <w:t>Do</w:t>
      </w:r>
    </w:p>
    <w:p w14:paraId="1F63F5CD" w14:textId="208E3EA8" w:rsidR="00D8719B" w:rsidRPr="002D7847" w:rsidRDefault="00D8719B" w:rsidP="00797792">
      <w:pPr>
        <w:spacing w:before="240" w:after="160" w:line="360" w:lineRule="auto"/>
        <w:jc w:val="both"/>
        <w:rPr>
          <w:rFonts w:eastAsia="Times New Roman"/>
          <w:color w:val="000000" w:themeColor="text1"/>
          <w:lang w:val="en-GB"/>
        </w:rPr>
      </w:pPr>
      <w:r w:rsidRPr="002D7847">
        <w:rPr>
          <w:rFonts w:eastAsia="Times New Roman"/>
          <w:color w:val="000000" w:themeColor="text1"/>
          <w:lang w:val="en-GB"/>
        </w:rPr>
        <w:t xml:space="preserve">The Do stage entails bringing the suggested interventions to a pilot basis. Training on how to prescribe and monitor opioid medicine safely should be given to healthcare staff. Surveys and meetings should also be conducted to gather feedback regarding implementation issues based on the feedback of healthcare professionals, patients, and families (Adams </w:t>
      </w:r>
      <w:r w:rsidR="00781BEF" w:rsidRPr="002D7847">
        <w:rPr>
          <w:rFonts w:eastAsia="Times New Roman"/>
          <w:i/>
          <w:iCs/>
          <w:color w:val="000000" w:themeColor="text1"/>
          <w:lang w:val="en-GB"/>
        </w:rPr>
        <w:t>et al.</w:t>
      </w:r>
      <w:r w:rsidRPr="002D7847">
        <w:rPr>
          <w:rFonts w:eastAsia="Times New Roman"/>
          <w:color w:val="000000" w:themeColor="text1"/>
          <w:lang w:val="en-GB"/>
        </w:rPr>
        <w:t xml:space="preserve"> 2024; </w:t>
      </w:r>
      <w:proofErr w:type="spellStart"/>
      <w:r w:rsidRPr="002D7847">
        <w:rPr>
          <w:rFonts w:eastAsia="Times New Roman"/>
          <w:color w:val="000000" w:themeColor="text1"/>
          <w:lang w:val="en-GB"/>
        </w:rPr>
        <w:t>Brabcova</w:t>
      </w:r>
      <w:proofErr w:type="spellEnd"/>
      <w:r w:rsidRPr="002D7847">
        <w:rPr>
          <w:rFonts w:eastAsia="Times New Roman"/>
          <w:color w:val="000000" w:themeColor="text1"/>
          <w:lang w:val="en-GB"/>
        </w:rPr>
        <w:t xml:space="preserve"> </w:t>
      </w:r>
      <w:r w:rsidR="00781BEF" w:rsidRPr="002D7847">
        <w:rPr>
          <w:rFonts w:eastAsia="Times New Roman"/>
          <w:i/>
          <w:iCs/>
          <w:color w:val="000000" w:themeColor="text1"/>
          <w:lang w:val="en-GB"/>
        </w:rPr>
        <w:t>et al.</w:t>
      </w:r>
      <w:r w:rsidRPr="002D7847">
        <w:rPr>
          <w:rFonts w:eastAsia="Times New Roman"/>
          <w:color w:val="000000" w:themeColor="text1"/>
          <w:lang w:val="en-GB"/>
        </w:rPr>
        <w:t xml:space="preserve"> 2023).</w:t>
      </w:r>
    </w:p>
    <w:p w14:paraId="58D9842D" w14:textId="77777777" w:rsidR="00D8719B" w:rsidRPr="002D7847" w:rsidRDefault="00D8719B" w:rsidP="00797792">
      <w:pPr>
        <w:spacing w:before="240" w:after="160" w:line="360" w:lineRule="auto"/>
        <w:jc w:val="both"/>
        <w:rPr>
          <w:rFonts w:eastAsia="Times New Roman"/>
          <w:b/>
          <w:bCs/>
          <w:color w:val="000000" w:themeColor="text1"/>
          <w:lang w:val="en-GB"/>
        </w:rPr>
      </w:pPr>
      <w:r w:rsidRPr="002D7847">
        <w:rPr>
          <w:rFonts w:eastAsia="Times New Roman"/>
          <w:b/>
          <w:bCs/>
          <w:color w:val="000000" w:themeColor="text1"/>
          <w:lang w:val="en-GB"/>
        </w:rPr>
        <w:t>Check</w:t>
      </w:r>
    </w:p>
    <w:p w14:paraId="2BB08FDC" w14:textId="6E074A58" w:rsidR="00D8719B" w:rsidRPr="002D7847" w:rsidRDefault="00D8719B" w:rsidP="00797792">
      <w:pPr>
        <w:spacing w:before="240" w:after="160" w:line="360" w:lineRule="auto"/>
        <w:jc w:val="both"/>
        <w:rPr>
          <w:rFonts w:eastAsia="Times New Roman"/>
          <w:color w:val="000000" w:themeColor="text1"/>
          <w:lang w:val="en-GB"/>
        </w:rPr>
      </w:pPr>
      <w:r w:rsidRPr="002D7847">
        <w:rPr>
          <w:rFonts w:eastAsia="Times New Roman"/>
          <w:color w:val="000000" w:themeColor="text1"/>
          <w:lang w:val="en-GB"/>
        </w:rPr>
        <w:t xml:space="preserve">In the Check stage, the data obtained must be analysed </w:t>
      </w:r>
      <w:proofErr w:type="gramStart"/>
      <w:r w:rsidRPr="002D7847">
        <w:rPr>
          <w:rFonts w:eastAsia="Times New Roman"/>
          <w:color w:val="000000" w:themeColor="text1"/>
          <w:lang w:val="en-GB"/>
        </w:rPr>
        <w:t>in order to</w:t>
      </w:r>
      <w:proofErr w:type="gramEnd"/>
      <w:r w:rsidRPr="002D7847">
        <w:rPr>
          <w:rFonts w:eastAsia="Times New Roman"/>
          <w:color w:val="000000" w:themeColor="text1"/>
          <w:lang w:val="en-GB"/>
        </w:rPr>
        <w:t xml:space="preserve"> determine the extent of reduced occurrence of errors </w:t>
      </w:r>
      <w:proofErr w:type="gramStart"/>
      <w:r w:rsidRPr="002D7847">
        <w:rPr>
          <w:rFonts w:eastAsia="Times New Roman"/>
          <w:color w:val="000000" w:themeColor="text1"/>
          <w:lang w:val="en-GB"/>
        </w:rPr>
        <w:t>with regard to</w:t>
      </w:r>
      <w:proofErr w:type="gramEnd"/>
      <w:r w:rsidRPr="002D7847">
        <w:rPr>
          <w:rFonts w:eastAsia="Times New Roman"/>
          <w:color w:val="000000" w:themeColor="text1"/>
          <w:lang w:val="en-GB"/>
        </w:rPr>
        <w:t xml:space="preserve"> prescriptions, medication incidents and patient safety risks. The effectiveness of the intervention should also be measured by checking staff feedback, patient experiences, audit results, and adherence to prescribing guidelines (Falade </w:t>
      </w:r>
      <w:r w:rsidR="00781BEF" w:rsidRPr="002D7847">
        <w:rPr>
          <w:rFonts w:eastAsia="Times New Roman"/>
          <w:i/>
          <w:iCs/>
          <w:color w:val="000000" w:themeColor="text1"/>
          <w:lang w:val="en-GB"/>
        </w:rPr>
        <w:t>et al.</w:t>
      </w:r>
      <w:r w:rsidRPr="002D7847">
        <w:rPr>
          <w:rFonts w:eastAsia="Times New Roman"/>
          <w:color w:val="000000" w:themeColor="text1"/>
          <w:lang w:val="en-GB"/>
        </w:rPr>
        <w:t xml:space="preserve"> 2024).</w:t>
      </w:r>
    </w:p>
    <w:p w14:paraId="2F8BB8C6" w14:textId="77777777" w:rsidR="00D8719B" w:rsidRPr="002D7847" w:rsidRDefault="00D8719B" w:rsidP="00797792">
      <w:pPr>
        <w:spacing w:before="240" w:after="160" w:line="360" w:lineRule="auto"/>
        <w:jc w:val="both"/>
        <w:rPr>
          <w:rFonts w:eastAsia="Times New Roman"/>
          <w:b/>
          <w:bCs/>
          <w:color w:val="000000" w:themeColor="text1"/>
          <w:lang w:val="en-GB"/>
        </w:rPr>
      </w:pPr>
      <w:r w:rsidRPr="002D7847">
        <w:rPr>
          <w:rFonts w:eastAsia="Times New Roman"/>
          <w:b/>
          <w:bCs/>
          <w:color w:val="000000" w:themeColor="text1"/>
          <w:lang w:val="en-GB"/>
        </w:rPr>
        <w:t>Act</w:t>
      </w:r>
    </w:p>
    <w:p w14:paraId="323174E1" w14:textId="02543146" w:rsidR="00D8719B" w:rsidRPr="002D7847" w:rsidRDefault="00D8719B" w:rsidP="00797792">
      <w:pPr>
        <w:spacing w:before="240" w:after="160" w:line="360" w:lineRule="auto"/>
        <w:jc w:val="both"/>
        <w:rPr>
          <w:rFonts w:eastAsia="Times New Roman"/>
          <w:color w:val="000000" w:themeColor="text1"/>
          <w:lang w:val="en-GB"/>
        </w:rPr>
      </w:pPr>
      <w:r w:rsidRPr="002D7847">
        <w:rPr>
          <w:rFonts w:eastAsia="Times New Roman"/>
          <w:color w:val="000000" w:themeColor="text1"/>
          <w:lang w:val="en-GB"/>
        </w:rPr>
        <w:t>Act stage is concerned with policy refinement with the help of audit results and recommendations made by the stakeholders. Steps that bring success should be practiced throughout the organization, while areas of weakness should be addressed through more training, revised procedures, and stricter discipline (</w:t>
      </w:r>
      <w:proofErr w:type="spellStart"/>
      <w:r w:rsidRPr="002D7847">
        <w:rPr>
          <w:rFonts w:eastAsia="Times New Roman"/>
          <w:color w:val="000000" w:themeColor="text1"/>
          <w:lang w:val="en-GB"/>
        </w:rPr>
        <w:t>Realyvásquez</w:t>
      </w:r>
      <w:proofErr w:type="spellEnd"/>
      <w:r w:rsidRPr="002D7847">
        <w:rPr>
          <w:rFonts w:eastAsia="Times New Roman"/>
          <w:color w:val="000000" w:themeColor="text1"/>
          <w:lang w:val="en-GB"/>
        </w:rPr>
        <w:t xml:space="preserve"> Vargas </w:t>
      </w:r>
      <w:r w:rsidR="00781BEF" w:rsidRPr="002D7847">
        <w:rPr>
          <w:rFonts w:eastAsia="Times New Roman"/>
          <w:i/>
          <w:iCs/>
          <w:color w:val="000000" w:themeColor="text1"/>
          <w:lang w:val="en-GB"/>
        </w:rPr>
        <w:t>et al.</w:t>
      </w:r>
      <w:r w:rsidRPr="002D7847">
        <w:rPr>
          <w:rFonts w:eastAsia="Times New Roman"/>
          <w:color w:val="000000" w:themeColor="text1"/>
          <w:lang w:val="en-GB"/>
        </w:rPr>
        <w:t xml:space="preserve"> 2024; Ahmed </w:t>
      </w:r>
      <w:r w:rsidR="00781BEF" w:rsidRPr="002D7847">
        <w:rPr>
          <w:rFonts w:eastAsia="Times New Roman"/>
          <w:i/>
          <w:iCs/>
          <w:color w:val="000000" w:themeColor="text1"/>
          <w:lang w:val="en-GB"/>
        </w:rPr>
        <w:t>et al.</w:t>
      </w:r>
      <w:r w:rsidRPr="002D7847">
        <w:rPr>
          <w:rFonts w:eastAsia="Times New Roman"/>
          <w:color w:val="000000" w:themeColor="text1"/>
          <w:lang w:val="en-GB"/>
        </w:rPr>
        <w:t xml:space="preserve"> 2024). </w:t>
      </w:r>
    </w:p>
    <w:p w14:paraId="7F8D4BC9" w14:textId="4084FD6D" w:rsidR="00D8719B" w:rsidRPr="002D7847" w:rsidRDefault="00D8719B" w:rsidP="00797792">
      <w:pPr>
        <w:pStyle w:val="Heading1"/>
        <w:rPr>
          <w:color w:val="000000" w:themeColor="text1"/>
          <w:lang w:val="en-GB"/>
        </w:rPr>
      </w:pPr>
      <w:bookmarkStart w:id="6" w:name="_Toc235884701"/>
      <w:r w:rsidRPr="002D7847">
        <w:rPr>
          <w:color w:val="000000" w:themeColor="text1"/>
          <w:lang w:val="en-GB"/>
        </w:rPr>
        <w:lastRenderedPageBreak/>
        <w:t>7. Kurt Lewin’s 3-Stage Model</w:t>
      </w:r>
      <w:bookmarkEnd w:id="6"/>
    </w:p>
    <w:p w14:paraId="6AA14F4F" w14:textId="77777777" w:rsidR="00D8719B" w:rsidRPr="002D7847" w:rsidRDefault="00D8719B" w:rsidP="00797792">
      <w:pPr>
        <w:spacing w:line="360" w:lineRule="auto"/>
        <w:jc w:val="both"/>
        <w:rPr>
          <w:rFonts w:eastAsia="Times New Roman"/>
          <w:b/>
          <w:bCs/>
          <w:color w:val="000000" w:themeColor="text1"/>
          <w:lang w:val="en-GB"/>
        </w:rPr>
      </w:pPr>
      <w:r w:rsidRPr="002D7847">
        <w:rPr>
          <w:rFonts w:eastAsia="Times New Roman"/>
          <w:b/>
          <w:bCs/>
          <w:color w:val="000000" w:themeColor="text1"/>
          <w:lang w:val="en-GB"/>
        </w:rPr>
        <w:t>Unfreeze</w:t>
      </w:r>
    </w:p>
    <w:p w14:paraId="496C7C1D" w14:textId="71900199" w:rsidR="00D8719B" w:rsidRPr="002D7847" w:rsidRDefault="00D8719B" w:rsidP="00797792">
      <w:pPr>
        <w:spacing w:line="360" w:lineRule="auto"/>
        <w:jc w:val="both"/>
        <w:rPr>
          <w:rFonts w:eastAsia="Times New Roman"/>
          <w:color w:val="000000" w:themeColor="text1"/>
          <w:lang w:val="en-GB"/>
        </w:rPr>
      </w:pPr>
      <w:r w:rsidRPr="002D7847">
        <w:rPr>
          <w:rFonts w:eastAsia="Times New Roman"/>
          <w:color w:val="000000" w:themeColor="text1"/>
          <w:lang w:val="en-GB"/>
        </w:rPr>
        <w:t xml:space="preserve">The 3-Stage Model by Kurt Lewin is appropriate to the Gosport War Memorial Hospital case since it helps to promote a massive organisational and cultural shift in the health care system. The unfreeze phase aims at building awareness that the existing practices are not safe and that there is an urgent need to improve. The results of the Gosport Independent Panel indicated that there were severe lapses in opioid prescribing, governance, and patient safety, which meant that changes were necessary (gov.uk, 2018). Healthcare leaders must convey these risks to doctors, nurses, pharmacists, managers, patients and families in a way that will build a common awareness of the necessity of safer medication practices. Empathic leadership, employee involvement, and transparency facilitate readiness of healthcare workers to change and enhance patient safety culture (Ahmed </w:t>
      </w:r>
      <w:r w:rsidR="00781BEF" w:rsidRPr="002D7847">
        <w:rPr>
          <w:rFonts w:eastAsia="Times New Roman"/>
          <w:i/>
          <w:iCs/>
          <w:color w:val="000000" w:themeColor="text1"/>
          <w:lang w:val="en-GB"/>
        </w:rPr>
        <w:t>et al.</w:t>
      </w:r>
      <w:r w:rsidRPr="002D7847">
        <w:rPr>
          <w:rFonts w:eastAsia="Times New Roman"/>
          <w:color w:val="000000" w:themeColor="text1"/>
          <w:lang w:val="en-GB"/>
        </w:rPr>
        <w:t xml:space="preserve"> 2024). </w:t>
      </w:r>
    </w:p>
    <w:p w14:paraId="61E24C62" w14:textId="77777777" w:rsidR="00D8719B" w:rsidRPr="002D7847" w:rsidRDefault="00D8719B" w:rsidP="00797792">
      <w:pPr>
        <w:spacing w:line="360" w:lineRule="auto"/>
        <w:jc w:val="both"/>
        <w:rPr>
          <w:rFonts w:eastAsia="Times New Roman"/>
          <w:b/>
          <w:bCs/>
          <w:color w:val="000000" w:themeColor="text1"/>
          <w:lang w:val="en-GB"/>
        </w:rPr>
      </w:pPr>
      <w:r w:rsidRPr="002D7847">
        <w:rPr>
          <w:rFonts w:eastAsia="Times New Roman"/>
          <w:b/>
          <w:bCs/>
          <w:color w:val="000000" w:themeColor="text1"/>
          <w:lang w:val="en-GB"/>
        </w:rPr>
        <w:t>Change</w:t>
      </w:r>
    </w:p>
    <w:p w14:paraId="4199425D" w14:textId="4A1ACED7" w:rsidR="00D8719B" w:rsidRPr="002D7847" w:rsidRDefault="00D8719B" w:rsidP="00797792">
      <w:pPr>
        <w:spacing w:line="360" w:lineRule="auto"/>
        <w:jc w:val="both"/>
        <w:rPr>
          <w:rFonts w:eastAsia="Times New Roman"/>
          <w:color w:val="000000" w:themeColor="text1"/>
          <w:lang w:val="en-GB"/>
        </w:rPr>
      </w:pPr>
      <w:r w:rsidRPr="002D7847">
        <w:rPr>
          <w:rFonts w:eastAsia="Times New Roman"/>
          <w:color w:val="000000" w:themeColor="text1"/>
          <w:lang w:val="en-GB"/>
        </w:rPr>
        <w:t xml:space="preserve">The change step is a process that entails the introduction of new practices aimed at enhancing medication safety. The improvement programme should be led by a multidisciplinary team of senior clinicians, pharmacists, nurses, governance leaders and patient representatives. The most important interventions are electronic prescribing, frequent medication reviews, educating the staff about opioid stewardship, and enhancing incident reporting (Adams </w:t>
      </w:r>
      <w:r w:rsidR="00781BEF" w:rsidRPr="002D7847">
        <w:rPr>
          <w:rFonts w:eastAsia="Times New Roman"/>
          <w:i/>
          <w:iCs/>
          <w:color w:val="000000" w:themeColor="text1"/>
          <w:lang w:val="en-GB"/>
        </w:rPr>
        <w:t>et al.</w:t>
      </w:r>
      <w:r w:rsidRPr="002D7847">
        <w:rPr>
          <w:rFonts w:eastAsia="Times New Roman"/>
          <w:color w:val="000000" w:themeColor="text1"/>
          <w:lang w:val="en-GB"/>
        </w:rPr>
        <w:t xml:space="preserve"> 2024; Sheikh </w:t>
      </w:r>
      <w:r w:rsidR="00781BEF" w:rsidRPr="002D7847">
        <w:rPr>
          <w:rFonts w:eastAsia="Times New Roman"/>
          <w:i/>
          <w:iCs/>
          <w:color w:val="000000" w:themeColor="text1"/>
          <w:lang w:val="en-GB"/>
        </w:rPr>
        <w:t>et al.</w:t>
      </w:r>
      <w:r w:rsidRPr="002D7847">
        <w:rPr>
          <w:rFonts w:eastAsia="Times New Roman"/>
          <w:color w:val="000000" w:themeColor="text1"/>
          <w:lang w:val="en-GB"/>
        </w:rPr>
        <w:t xml:space="preserve"> 2022). The changes should be reinforced with constant communication, training of the staff and feedback sessions to address the concerns. The resistance can be due to the fear of more work or alteration of the old practices. Leadership support, effective communication, and engaging the staff in decision-making can help mitigate these challenges (</w:t>
      </w:r>
      <w:proofErr w:type="spellStart"/>
      <w:r w:rsidRPr="002D7847">
        <w:rPr>
          <w:rFonts w:eastAsia="Times New Roman"/>
          <w:color w:val="000000" w:themeColor="text1"/>
          <w:lang w:val="en-GB"/>
        </w:rPr>
        <w:t>Brabcova</w:t>
      </w:r>
      <w:proofErr w:type="spellEnd"/>
      <w:r w:rsidRPr="002D7847">
        <w:rPr>
          <w:rFonts w:eastAsia="Times New Roman"/>
          <w:color w:val="000000" w:themeColor="text1"/>
          <w:lang w:val="en-GB"/>
        </w:rPr>
        <w:t xml:space="preserve"> </w:t>
      </w:r>
      <w:r w:rsidR="00781BEF" w:rsidRPr="002D7847">
        <w:rPr>
          <w:rFonts w:eastAsia="Times New Roman"/>
          <w:i/>
          <w:iCs/>
          <w:color w:val="000000" w:themeColor="text1"/>
          <w:lang w:val="en-GB"/>
        </w:rPr>
        <w:t>et al.</w:t>
      </w:r>
      <w:r w:rsidRPr="002D7847">
        <w:rPr>
          <w:rFonts w:eastAsia="Times New Roman"/>
          <w:color w:val="000000" w:themeColor="text1"/>
          <w:lang w:val="en-GB"/>
        </w:rPr>
        <w:t xml:space="preserve"> 2023). </w:t>
      </w:r>
    </w:p>
    <w:p w14:paraId="2F93BFCE" w14:textId="77777777" w:rsidR="00D8719B" w:rsidRPr="002D7847" w:rsidRDefault="00D8719B" w:rsidP="00797792">
      <w:pPr>
        <w:spacing w:line="360" w:lineRule="auto"/>
        <w:jc w:val="both"/>
        <w:rPr>
          <w:rFonts w:eastAsia="Times New Roman"/>
          <w:b/>
          <w:bCs/>
          <w:color w:val="000000" w:themeColor="text1"/>
          <w:lang w:val="en-GB"/>
        </w:rPr>
      </w:pPr>
      <w:r w:rsidRPr="002D7847">
        <w:rPr>
          <w:rFonts w:eastAsia="Times New Roman"/>
          <w:b/>
          <w:bCs/>
          <w:color w:val="000000" w:themeColor="text1"/>
          <w:lang w:val="en-GB"/>
        </w:rPr>
        <w:t>Refreeze</w:t>
      </w:r>
    </w:p>
    <w:p w14:paraId="2420208B" w14:textId="276C3CCD" w:rsidR="00D8719B" w:rsidRPr="002D7847" w:rsidRDefault="00D8719B" w:rsidP="00797792">
      <w:pPr>
        <w:spacing w:line="360" w:lineRule="auto"/>
        <w:jc w:val="both"/>
        <w:rPr>
          <w:rFonts w:eastAsia="Times New Roman"/>
          <w:color w:val="000000" w:themeColor="text1"/>
          <w:lang w:val="en-GB"/>
        </w:rPr>
      </w:pPr>
      <w:r w:rsidRPr="002D7847">
        <w:rPr>
          <w:rFonts w:eastAsia="Times New Roman"/>
          <w:color w:val="000000" w:themeColor="text1"/>
          <w:lang w:val="en-GB"/>
        </w:rPr>
        <w:t xml:space="preserve">The refreeze phase is critical in making the improvements a routine practice. To maintain safer care, updated prescribing policies, frequent clinical audits, ongoing staff training, and governance checks should be upheld. The leadership ought to track the performance indicators, acknowledge good practice and instil a spirit of openness and learning. Incorporating accountability and ongoing quality improvement will ensure the safety of patients and avoidance of such failures in the future (Huang </w:t>
      </w:r>
      <w:r w:rsidR="00781BEF" w:rsidRPr="002D7847">
        <w:rPr>
          <w:rFonts w:eastAsia="Times New Roman"/>
          <w:i/>
          <w:iCs/>
          <w:color w:val="000000" w:themeColor="text1"/>
          <w:lang w:val="en-GB"/>
        </w:rPr>
        <w:t>et al.</w:t>
      </w:r>
      <w:r w:rsidRPr="002D7847">
        <w:rPr>
          <w:rFonts w:eastAsia="Times New Roman"/>
          <w:color w:val="000000" w:themeColor="text1"/>
          <w:lang w:val="en-GB"/>
        </w:rPr>
        <w:t xml:space="preserve"> 2024; Falade </w:t>
      </w:r>
      <w:r w:rsidR="00781BEF" w:rsidRPr="002D7847">
        <w:rPr>
          <w:rFonts w:eastAsia="Times New Roman"/>
          <w:i/>
          <w:iCs/>
          <w:color w:val="000000" w:themeColor="text1"/>
          <w:lang w:val="en-GB"/>
        </w:rPr>
        <w:t>et al.</w:t>
      </w:r>
      <w:r w:rsidRPr="002D7847">
        <w:rPr>
          <w:rFonts w:eastAsia="Times New Roman"/>
          <w:color w:val="000000" w:themeColor="text1"/>
          <w:lang w:val="en-GB"/>
        </w:rPr>
        <w:t xml:space="preserve"> 2024). </w:t>
      </w:r>
    </w:p>
    <w:p w14:paraId="67948ABF" w14:textId="77777777" w:rsidR="002D7847" w:rsidRDefault="002D7847" w:rsidP="00797792">
      <w:pPr>
        <w:pStyle w:val="Heading1"/>
        <w:rPr>
          <w:lang w:val="en-GB"/>
        </w:rPr>
      </w:pPr>
      <w:bookmarkStart w:id="7" w:name="_Toc235884702"/>
    </w:p>
    <w:p w14:paraId="19E5D4F6" w14:textId="77777777" w:rsidR="002D7847" w:rsidRDefault="002D7847" w:rsidP="00797792">
      <w:pPr>
        <w:pStyle w:val="Heading1"/>
        <w:rPr>
          <w:lang w:val="en-GB"/>
        </w:rPr>
      </w:pPr>
    </w:p>
    <w:p w14:paraId="0567D1BE" w14:textId="489BBE71" w:rsidR="00DD5020" w:rsidRPr="00797792" w:rsidRDefault="00D8719B" w:rsidP="00797792">
      <w:pPr>
        <w:pStyle w:val="Heading1"/>
        <w:rPr>
          <w:lang w:val="en-GB"/>
        </w:rPr>
      </w:pPr>
      <w:r w:rsidRPr="00797792">
        <w:rPr>
          <w:lang w:val="en-GB"/>
        </w:rPr>
        <w:lastRenderedPageBreak/>
        <w:t>8</w:t>
      </w:r>
      <w:r w:rsidR="00596C4A" w:rsidRPr="00797792">
        <w:rPr>
          <w:lang w:val="en-GB"/>
        </w:rPr>
        <w:t>. Recommendations</w:t>
      </w:r>
      <w:bookmarkEnd w:id="7"/>
      <w:r w:rsidR="00596C4A" w:rsidRPr="00797792">
        <w:rPr>
          <w:lang w:val="en-GB"/>
        </w:rPr>
        <w:t xml:space="preserve"> </w:t>
      </w:r>
      <w:r w:rsidRPr="00797792">
        <w:rPr>
          <w:lang w:val="en-GB"/>
        </w:rPr>
        <w:t xml:space="preserve"> </w:t>
      </w:r>
    </w:p>
    <w:p w14:paraId="0567D1C0" w14:textId="77777777" w:rsidR="00DD5020" w:rsidRPr="00797792" w:rsidRDefault="00596C4A" w:rsidP="00797792">
      <w:pPr>
        <w:spacing w:before="240" w:after="160" w:line="360" w:lineRule="auto"/>
        <w:jc w:val="both"/>
        <w:rPr>
          <w:rFonts w:eastAsia="Times New Roman"/>
          <w:b/>
          <w:bCs/>
          <w:lang w:val="en-GB"/>
        </w:rPr>
      </w:pPr>
      <w:r w:rsidRPr="00797792">
        <w:rPr>
          <w:rFonts w:eastAsia="Times New Roman"/>
          <w:b/>
          <w:bCs/>
          <w:lang w:val="en-GB"/>
        </w:rPr>
        <w:t>Recommendation 1: Strengthen Medication Governance and Prescribing Controls</w:t>
      </w:r>
    </w:p>
    <w:p w14:paraId="0567D1C1" w14:textId="6D54E289" w:rsidR="00DD5020" w:rsidRPr="00797792" w:rsidRDefault="00596C4A" w:rsidP="00797792">
      <w:pPr>
        <w:spacing w:before="240" w:after="160" w:line="360" w:lineRule="auto"/>
        <w:jc w:val="both"/>
        <w:rPr>
          <w:rFonts w:eastAsia="Times New Roman"/>
          <w:lang w:val="en-GB"/>
        </w:rPr>
      </w:pPr>
      <w:r w:rsidRPr="00797792">
        <w:rPr>
          <w:rFonts w:eastAsia="Times New Roman"/>
          <w:lang w:val="en-GB"/>
        </w:rPr>
        <w:t xml:space="preserve">Among the key problems in Gosport was the improper prescription of opioid drugs without sufficient clinical support. Greater medication governance systems are thus needed to enhance the prescribing accountability and safety. This suggestion includes the implementation of prescribing review as mandatory, multidisciplinary team-based medication management, an electronic prescribing system and controlled drug audits (Marie </w:t>
      </w:r>
      <w:r w:rsidR="00781BEF" w:rsidRPr="00797792">
        <w:rPr>
          <w:rFonts w:eastAsia="Times New Roman"/>
          <w:i/>
          <w:iCs/>
          <w:lang w:val="en-GB"/>
        </w:rPr>
        <w:t>et al.</w:t>
      </w:r>
      <w:r w:rsidRPr="00797792">
        <w:rPr>
          <w:rFonts w:eastAsia="Times New Roman"/>
          <w:lang w:val="en-GB"/>
        </w:rPr>
        <w:t xml:space="preserve"> 2023). </w:t>
      </w:r>
    </w:p>
    <w:p w14:paraId="0567D1C2" w14:textId="77777777" w:rsidR="00DD5020" w:rsidRPr="00797792" w:rsidRDefault="00596C4A" w:rsidP="00797792">
      <w:pPr>
        <w:spacing w:before="240" w:after="160" w:line="360" w:lineRule="auto"/>
        <w:jc w:val="both"/>
        <w:rPr>
          <w:rFonts w:eastAsia="Times New Roman"/>
          <w:b/>
          <w:bCs/>
          <w:i/>
          <w:iCs/>
          <w:lang w:val="en-GB"/>
        </w:rPr>
      </w:pPr>
      <w:r w:rsidRPr="00797792">
        <w:rPr>
          <w:rFonts w:eastAsia="Times New Roman"/>
          <w:b/>
          <w:bCs/>
          <w:i/>
          <w:iCs/>
          <w:lang w:val="en-GB"/>
        </w:rPr>
        <w:t>PDCA (Plan-Do-Check-Act)</w:t>
      </w:r>
    </w:p>
    <w:p w14:paraId="0567D1C3" w14:textId="20685F2A" w:rsidR="00DD5020" w:rsidRPr="00797792" w:rsidRDefault="00596C4A" w:rsidP="00797792">
      <w:pPr>
        <w:spacing w:before="240" w:after="160" w:line="360" w:lineRule="auto"/>
        <w:jc w:val="both"/>
        <w:rPr>
          <w:rFonts w:eastAsia="Times New Roman"/>
          <w:lang w:val="en-GB"/>
        </w:rPr>
      </w:pPr>
      <w:r w:rsidRPr="00797792">
        <w:rPr>
          <w:rFonts w:eastAsia="Times New Roman"/>
          <w:b/>
          <w:bCs/>
          <w:i/>
          <w:iCs/>
          <w:lang w:val="en-GB"/>
        </w:rPr>
        <w:t xml:space="preserve">Plan: </w:t>
      </w:r>
      <w:r w:rsidRPr="00797792">
        <w:rPr>
          <w:rFonts w:eastAsia="Times New Roman"/>
          <w:lang w:val="en-GB"/>
        </w:rPr>
        <w:t xml:space="preserve">Establish standardised opioid prescribing protocols in accordance with national healthcare standards. Underpin multidisciplinary </w:t>
      </w:r>
      <w:r w:rsidR="00E10162" w:rsidRPr="00797792">
        <w:rPr>
          <w:rFonts w:eastAsia="Times New Roman"/>
          <w:lang w:val="en-GB"/>
        </w:rPr>
        <w:t>assessable</w:t>
      </w:r>
      <w:r w:rsidRPr="00797792">
        <w:rPr>
          <w:rFonts w:eastAsia="Times New Roman"/>
          <w:lang w:val="en-GB"/>
        </w:rPr>
        <w:t xml:space="preserve"> committees comprised of physicians, pharmacists, nurses and representatives of governance. </w:t>
      </w:r>
    </w:p>
    <w:p w14:paraId="0567D1C4" w14:textId="5B9F8009" w:rsidR="00DD5020" w:rsidRPr="00797792" w:rsidRDefault="00596C4A" w:rsidP="00797792">
      <w:pPr>
        <w:spacing w:before="240" w:after="160" w:line="360" w:lineRule="auto"/>
        <w:jc w:val="both"/>
        <w:rPr>
          <w:rFonts w:eastAsia="Times New Roman"/>
          <w:lang w:val="en-GB"/>
        </w:rPr>
      </w:pPr>
      <w:r w:rsidRPr="00797792">
        <w:rPr>
          <w:rFonts w:eastAsia="Times New Roman"/>
          <w:b/>
          <w:bCs/>
          <w:i/>
          <w:iCs/>
          <w:lang w:val="en-GB"/>
        </w:rPr>
        <w:t>Do:</w:t>
      </w:r>
      <w:r w:rsidRPr="00797792">
        <w:rPr>
          <w:rFonts w:eastAsia="Times New Roman"/>
          <w:lang w:val="en-GB"/>
        </w:rPr>
        <w:t xml:space="preserve"> Adopt electronic prescribing and institute compulsory review of medications of all patients taking opioid drugs. Training on safe prescribing and the requirements of medication governance</w:t>
      </w:r>
      <w:r w:rsidR="00575B4C" w:rsidRPr="00797792">
        <w:rPr>
          <w:rFonts w:eastAsia="Times New Roman"/>
          <w:lang w:val="en-GB"/>
        </w:rPr>
        <w:t xml:space="preserve"> (</w:t>
      </w:r>
      <w:proofErr w:type="spellStart"/>
      <w:r w:rsidR="00575B4C" w:rsidRPr="00797792">
        <w:rPr>
          <w:rFonts w:eastAsia="Times New Roman"/>
          <w:lang w:val="en-GB"/>
        </w:rPr>
        <w:t>Brabcova</w:t>
      </w:r>
      <w:proofErr w:type="spellEnd"/>
      <w:r w:rsidR="00575B4C" w:rsidRPr="00797792">
        <w:rPr>
          <w:rFonts w:eastAsia="Times New Roman"/>
          <w:lang w:val="en-GB"/>
        </w:rPr>
        <w:t xml:space="preserve"> </w:t>
      </w:r>
      <w:r w:rsidR="00781BEF" w:rsidRPr="00797792">
        <w:rPr>
          <w:rFonts w:eastAsia="Times New Roman"/>
          <w:i/>
          <w:iCs/>
          <w:lang w:val="en-GB"/>
        </w:rPr>
        <w:t>et al.</w:t>
      </w:r>
      <w:r w:rsidR="00575B4C" w:rsidRPr="00797792">
        <w:rPr>
          <w:rFonts w:eastAsia="Times New Roman"/>
          <w:lang w:val="en-GB"/>
        </w:rPr>
        <w:t xml:space="preserve"> 2023; </w:t>
      </w:r>
      <w:r w:rsidR="004C59F2" w:rsidRPr="00797792">
        <w:rPr>
          <w:rFonts w:eastAsia="Times New Roman"/>
          <w:lang w:val="en-GB"/>
        </w:rPr>
        <w:t xml:space="preserve">D'Errico </w:t>
      </w:r>
      <w:r w:rsidR="00781BEF" w:rsidRPr="00797792">
        <w:rPr>
          <w:rFonts w:eastAsia="Times New Roman"/>
          <w:i/>
          <w:iCs/>
          <w:lang w:val="en-GB"/>
        </w:rPr>
        <w:t>et al.</w:t>
      </w:r>
      <w:r w:rsidR="004C59F2" w:rsidRPr="00797792">
        <w:rPr>
          <w:rFonts w:eastAsia="Times New Roman"/>
          <w:lang w:val="en-GB"/>
        </w:rPr>
        <w:t xml:space="preserve"> 2022)</w:t>
      </w:r>
      <w:r w:rsidRPr="00797792">
        <w:rPr>
          <w:rFonts w:eastAsia="Times New Roman"/>
          <w:lang w:val="en-GB"/>
        </w:rPr>
        <w:t xml:space="preserve">. </w:t>
      </w:r>
    </w:p>
    <w:p w14:paraId="0567D1C5" w14:textId="3C928A54" w:rsidR="00DD5020" w:rsidRPr="00797792" w:rsidRDefault="00596C4A" w:rsidP="00797792">
      <w:pPr>
        <w:spacing w:before="240" w:after="160" w:line="360" w:lineRule="auto"/>
        <w:jc w:val="both"/>
        <w:rPr>
          <w:rFonts w:eastAsia="Times New Roman"/>
          <w:lang w:val="en-GB"/>
        </w:rPr>
      </w:pPr>
      <w:r w:rsidRPr="00797792">
        <w:rPr>
          <w:rFonts w:eastAsia="Times New Roman"/>
          <w:b/>
          <w:bCs/>
          <w:i/>
          <w:iCs/>
          <w:lang w:val="en-GB"/>
        </w:rPr>
        <w:t xml:space="preserve">Check: </w:t>
      </w:r>
      <w:r w:rsidRPr="00797792">
        <w:rPr>
          <w:rFonts w:eastAsia="Times New Roman"/>
          <w:lang w:val="en-GB"/>
        </w:rPr>
        <w:t xml:space="preserve">Monthly audits should be made to evaluate adherence to prescribing guidelines, oversee medication-related events, and evaluate prescribing habits (Idris </w:t>
      </w:r>
      <w:r w:rsidR="00781BEF" w:rsidRPr="00797792">
        <w:rPr>
          <w:rFonts w:eastAsia="Times New Roman"/>
          <w:i/>
          <w:iCs/>
          <w:lang w:val="en-GB"/>
        </w:rPr>
        <w:t>et al.</w:t>
      </w:r>
      <w:r w:rsidRPr="00797792">
        <w:rPr>
          <w:rFonts w:eastAsia="Times New Roman"/>
          <w:lang w:val="en-GB"/>
        </w:rPr>
        <w:t xml:space="preserve"> 2024). </w:t>
      </w:r>
    </w:p>
    <w:p w14:paraId="0567D1C6" w14:textId="77777777" w:rsidR="00DD5020" w:rsidRPr="00797792" w:rsidRDefault="00596C4A" w:rsidP="00797792">
      <w:pPr>
        <w:spacing w:before="240" w:after="160" w:line="360" w:lineRule="auto"/>
        <w:jc w:val="both"/>
        <w:rPr>
          <w:rFonts w:eastAsia="Times New Roman"/>
          <w:lang w:val="en-GB"/>
        </w:rPr>
      </w:pPr>
      <w:r w:rsidRPr="00797792">
        <w:rPr>
          <w:rFonts w:eastAsia="Times New Roman"/>
          <w:b/>
          <w:bCs/>
          <w:i/>
          <w:iCs/>
          <w:lang w:val="en-GB"/>
        </w:rPr>
        <w:t xml:space="preserve">Act: </w:t>
      </w:r>
      <w:r w:rsidRPr="00797792">
        <w:rPr>
          <w:rFonts w:eastAsia="Times New Roman"/>
          <w:lang w:val="en-GB"/>
        </w:rPr>
        <w:t xml:space="preserve">Utilise the audit findings to improve the prescribing policies, fill in gaps, and respond with corrective measures to the identified gaps. Best practices ought to be organised throughout the organisation. </w:t>
      </w:r>
    </w:p>
    <w:p w14:paraId="0567D1C7" w14:textId="77777777" w:rsidR="00DD5020" w:rsidRPr="00797792" w:rsidRDefault="00596C4A" w:rsidP="00797792">
      <w:pPr>
        <w:spacing w:before="240" w:after="160" w:line="360" w:lineRule="auto"/>
        <w:jc w:val="both"/>
        <w:rPr>
          <w:rFonts w:eastAsia="Times New Roman"/>
          <w:b/>
          <w:bCs/>
          <w:lang w:val="en-GB"/>
        </w:rPr>
      </w:pPr>
      <w:r w:rsidRPr="00797792">
        <w:rPr>
          <w:rFonts w:eastAsia="Times New Roman"/>
          <w:b/>
          <w:bCs/>
          <w:lang w:val="en-GB"/>
        </w:rPr>
        <w:t>Recommendation 2: Improve Patient Monitoring and Clinical Review Processes</w:t>
      </w:r>
    </w:p>
    <w:p w14:paraId="0567D1C8" w14:textId="6C5EDBF5" w:rsidR="00DD5020" w:rsidRPr="00797792" w:rsidRDefault="00596C4A" w:rsidP="00797792">
      <w:pPr>
        <w:spacing w:before="240" w:after="160" w:line="360" w:lineRule="auto"/>
        <w:jc w:val="both"/>
        <w:rPr>
          <w:rFonts w:eastAsia="Times New Roman"/>
          <w:lang w:val="en-GB"/>
        </w:rPr>
      </w:pPr>
      <w:r w:rsidRPr="00797792">
        <w:rPr>
          <w:rFonts w:eastAsia="Times New Roman"/>
          <w:lang w:val="en-GB"/>
        </w:rPr>
        <w:t xml:space="preserve">The Gosport case revealed that there were major limitations in patient evaluation and monitoring practices. Patients treated with strong opioid drugs were not regularly reevaluated, which led to negative consequences. Better monitoring systems can be used to aid in the early detection of patient worsening and maintain decisions regarding treatment as clinically appropriate. Falade </w:t>
      </w:r>
      <w:r w:rsidR="00781BEF" w:rsidRPr="00797792">
        <w:rPr>
          <w:rFonts w:eastAsia="Times New Roman"/>
          <w:i/>
          <w:iCs/>
          <w:lang w:val="en-GB"/>
        </w:rPr>
        <w:t>et al.</w:t>
      </w:r>
      <w:r w:rsidRPr="00797792">
        <w:rPr>
          <w:rFonts w:eastAsia="Times New Roman"/>
          <w:lang w:val="en-GB"/>
        </w:rPr>
        <w:t xml:space="preserve"> (2024) argue that one of the main elements of high-quality healthcare services and patient safety management is continuous monitoring of patients. </w:t>
      </w:r>
    </w:p>
    <w:p w14:paraId="2A50FECB" w14:textId="77777777" w:rsidR="002F7424" w:rsidRDefault="002F7424" w:rsidP="00797792">
      <w:pPr>
        <w:spacing w:before="240" w:after="160" w:line="360" w:lineRule="auto"/>
        <w:jc w:val="both"/>
        <w:rPr>
          <w:rFonts w:eastAsia="Times New Roman"/>
          <w:b/>
          <w:bCs/>
          <w:i/>
          <w:iCs/>
          <w:lang w:val="en-GB"/>
        </w:rPr>
      </w:pPr>
    </w:p>
    <w:p w14:paraId="0567D1C9" w14:textId="68EB6A11" w:rsidR="00DD5020" w:rsidRPr="00797792" w:rsidRDefault="00596C4A" w:rsidP="00797792">
      <w:pPr>
        <w:spacing w:before="240" w:after="160" w:line="360" w:lineRule="auto"/>
        <w:jc w:val="both"/>
        <w:rPr>
          <w:rFonts w:eastAsia="Times New Roman"/>
          <w:b/>
          <w:bCs/>
          <w:i/>
          <w:iCs/>
          <w:lang w:val="en-GB"/>
        </w:rPr>
      </w:pPr>
      <w:r w:rsidRPr="00797792">
        <w:rPr>
          <w:rFonts w:eastAsia="Times New Roman"/>
          <w:b/>
          <w:bCs/>
          <w:i/>
          <w:iCs/>
          <w:lang w:val="en-GB"/>
        </w:rPr>
        <w:lastRenderedPageBreak/>
        <w:t>PDCA (Plan-Do-Check-Act)</w:t>
      </w:r>
    </w:p>
    <w:p w14:paraId="0567D1CA" w14:textId="77777777" w:rsidR="00DD5020" w:rsidRPr="00797792" w:rsidRDefault="00596C4A" w:rsidP="00797792">
      <w:pPr>
        <w:spacing w:before="240" w:after="160" w:line="360" w:lineRule="auto"/>
        <w:jc w:val="both"/>
        <w:rPr>
          <w:rFonts w:eastAsia="Times New Roman"/>
          <w:lang w:val="en-GB"/>
        </w:rPr>
      </w:pPr>
      <w:r w:rsidRPr="00797792">
        <w:rPr>
          <w:rFonts w:eastAsia="Times New Roman"/>
          <w:b/>
          <w:bCs/>
          <w:i/>
          <w:iCs/>
          <w:lang w:val="en-GB"/>
        </w:rPr>
        <w:t>Plan</w:t>
      </w:r>
      <w:r w:rsidRPr="00797792">
        <w:rPr>
          <w:rFonts w:eastAsia="Times New Roman"/>
          <w:lang w:val="en-GB"/>
        </w:rPr>
        <w:t>: Develop explicit monitoring guidelines for patients under high-risk medications. Establish roles in terms of clinical reviews and additional evaluations.</w:t>
      </w:r>
    </w:p>
    <w:p w14:paraId="0567D1CB" w14:textId="5C3E61A0" w:rsidR="00DD5020" w:rsidRPr="00797792" w:rsidRDefault="00596C4A" w:rsidP="00797792">
      <w:pPr>
        <w:spacing w:before="240" w:after="160" w:line="360" w:lineRule="auto"/>
        <w:jc w:val="both"/>
        <w:rPr>
          <w:rFonts w:eastAsia="Times New Roman"/>
          <w:lang w:val="en-GB"/>
        </w:rPr>
      </w:pPr>
      <w:r w:rsidRPr="00797792">
        <w:rPr>
          <w:rFonts w:eastAsia="Times New Roman"/>
          <w:b/>
          <w:bCs/>
          <w:i/>
          <w:iCs/>
          <w:lang w:val="en-GB"/>
        </w:rPr>
        <w:t>Do</w:t>
      </w:r>
      <w:r w:rsidRPr="00797792">
        <w:rPr>
          <w:rFonts w:eastAsia="Times New Roman"/>
          <w:lang w:val="en-GB"/>
        </w:rPr>
        <w:t xml:space="preserve">: Implement structured tools of patient assessment and mandate multidisciplinary reviews of opioid therapy patients on a regular basis (Adams </w:t>
      </w:r>
      <w:r w:rsidR="00781BEF" w:rsidRPr="00797792">
        <w:rPr>
          <w:rFonts w:eastAsia="Times New Roman"/>
          <w:i/>
          <w:iCs/>
          <w:lang w:val="en-GB"/>
        </w:rPr>
        <w:t>et al.</w:t>
      </w:r>
      <w:r w:rsidRPr="00797792">
        <w:rPr>
          <w:rFonts w:eastAsia="Times New Roman"/>
          <w:lang w:val="en-GB"/>
        </w:rPr>
        <w:t xml:space="preserve"> 2024). Adopt electronic documentation to help in the tracking of activities.</w:t>
      </w:r>
    </w:p>
    <w:p w14:paraId="0567D1CC" w14:textId="4BB4A049" w:rsidR="00DD5020" w:rsidRPr="00797792" w:rsidRDefault="00596C4A" w:rsidP="00797792">
      <w:pPr>
        <w:spacing w:before="240" w:after="160" w:line="360" w:lineRule="auto"/>
        <w:jc w:val="both"/>
        <w:rPr>
          <w:rFonts w:eastAsia="Times New Roman"/>
          <w:lang w:val="en-GB"/>
        </w:rPr>
      </w:pPr>
      <w:r w:rsidRPr="00797792">
        <w:rPr>
          <w:rFonts w:eastAsia="Times New Roman"/>
          <w:b/>
          <w:bCs/>
          <w:i/>
          <w:iCs/>
          <w:lang w:val="en-GB"/>
        </w:rPr>
        <w:t>Check</w:t>
      </w:r>
      <w:r w:rsidRPr="00797792">
        <w:rPr>
          <w:rFonts w:eastAsia="Times New Roman"/>
          <w:lang w:val="en-GB"/>
        </w:rPr>
        <w:t>: Periodically examine patient records and determine whether monitoring routines are adhered to and whether any assessments or documentation mistakes have occurred</w:t>
      </w:r>
      <w:r w:rsidR="007F65AD" w:rsidRPr="00797792">
        <w:rPr>
          <w:rFonts w:eastAsia="Times New Roman"/>
          <w:lang w:val="en-GB"/>
        </w:rPr>
        <w:t xml:space="preserve"> (</w:t>
      </w:r>
      <w:proofErr w:type="spellStart"/>
      <w:r w:rsidR="007F65AD" w:rsidRPr="00797792">
        <w:rPr>
          <w:rFonts w:eastAsia="Times New Roman"/>
          <w:lang w:val="en-GB"/>
        </w:rPr>
        <w:t>Jedwab</w:t>
      </w:r>
      <w:proofErr w:type="spellEnd"/>
      <w:r w:rsidR="007F65AD" w:rsidRPr="00797792">
        <w:rPr>
          <w:rFonts w:eastAsia="Times New Roman"/>
          <w:lang w:val="en-GB"/>
        </w:rPr>
        <w:t xml:space="preserve"> </w:t>
      </w:r>
      <w:r w:rsidR="00781BEF" w:rsidRPr="00797792">
        <w:rPr>
          <w:rFonts w:eastAsia="Times New Roman"/>
          <w:i/>
          <w:iCs/>
          <w:lang w:val="en-GB"/>
        </w:rPr>
        <w:t>et al.</w:t>
      </w:r>
      <w:r w:rsidR="007F65AD" w:rsidRPr="00797792">
        <w:rPr>
          <w:rFonts w:eastAsia="Times New Roman"/>
          <w:lang w:val="en-GB"/>
        </w:rPr>
        <w:t xml:space="preserve"> 2022)</w:t>
      </w:r>
      <w:r w:rsidRPr="00797792">
        <w:rPr>
          <w:rFonts w:eastAsia="Times New Roman"/>
          <w:lang w:val="en-GB"/>
        </w:rPr>
        <w:t>.</w:t>
      </w:r>
    </w:p>
    <w:p w14:paraId="0567D1CD" w14:textId="77777777" w:rsidR="00DD5020" w:rsidRPr="00797792" w:rsidRDefault="00596C4A" w:rsidP="00797792">
      <w:pPr>
        <w:spacing w:before="240" w:after="160" w:line="360" w:lineRule="auto"/>
        <w:jc w:val="both"/>
        <w:rPr>
          <w:rFonts w:eastAsia="Times New Roman"/>
          <w:lang w:val="en-GB"/>
        </w:rPr>
      </w:pPr>
      <w:r w:rsidRPr="00797792">
        <w:rPr>
          <w:rFonts w:eastAsia="Times New Roman"/>
          <w:b/>
          <w:bCs/>
          <w:i/>
          <w:iCs/>
          <w:lang w:val="en-GB"/>
        </w:rPr>
        <w:t>Action</w:t>
      </w:r>
      <w:r w:rsidRPr="00797792">
        <w:rPr>
          <w:rFonts w:eastAsia="Times New Roman"/>
          <w:lang w:val="en-GB"/>
        </w:rPr>
        <w:t xml:space="preserve">: Manage the vulnerabilities by means of supplementary employee training, updated policies, and increased monitoring. The practice of continuous improvement should be made a part of regular clinical practice. </w:t>
      </w:r>
    </w:p>
    <w:p w14:paraId="0567D1CE" w14:textId="77777777" w:rsidR="00DD5020" w:rsidRPr="00797792" w:rsidRDefault="00596C4A" w:rsidP="00797792">
      <w:pPr>
        <w:spacing w:before="240" w:after="160" w:line="360" w:lineRule="auto"/>
        <w:jc w:val="both"/>
        <w:rPr>
          <w:rFonts w:eastAsia="Times New Roman"/>
          <w:b/>
          <w:bCs/>
          <w:lang w:val="en-GB"/>
        </w:rPr>
      </w:pPr>
      <w:r w:rsidRPr="00797792">
        <w:rPr>
          <w:rFonts w:eastAsia="Times New Roman"/>
          <w:b/>
          <w:bCs/>
          <w:lang w:val="en-GB"/>
        </w:rPr>
        <w:t>Recommendation 3: Develop a Culture of Openness, Accountability, and Speaking Up</w:t>
      </w:r>
    </w:p>
    <w:p w14:paraId="0567D1CF" w14:textId="2695729F" w:rsidR="00DD5020" w:rsidRPr="00797792" w:rsidRDefault="00596C4A" w:rsidP="00797792">
      <w:pPr>
        <w:spacing w:before="240" w:after="160" w:line="360" w:lineRule="auto"/>
        <w:jc w:val="both"/>
        <w:rPr>
          <w:rFonts w:eastAsia="Times New Roman"/>
          <w:lang w:val="en-GB"/>
        </w:rPr>
      </w:pPr>
      <w:r w:rsidRPr="00797792">
        <w:rPr>
          <w:rFonts w:eastAsia="Times New Roman"/>
          <w:lang w:val="en-GB"/>
        </w:rPr>
        <w:t xml:space="preserve">It is necessary to create a culture in which people will be able to report issues, which will then help avoid future patient safety incidents (Mistri </w:t>
      </w:r>
      <w:r w:rsidR="00781BEF" w:rsidRPr="00797792">
        <w:rPr>
          <w:rFonts w:eastAsia="Times New Roman"/>
          <w:i/>
          <w:iCs/>
          <w:lang w:val="en-GB"/>
        </w:rPr>
        <w:t>et al.</w:t>
      </w:r>
      <w:r w:rsidRPr="00797792">
        <w:rPr>
          <w:rFonts w:eastAsia="Times New Roman"/>
          <w:lang w:val="en-GB"/>
        </w:rPr>
        <w:t xml:space="preserve"> 2023). The Department of Health has highlighted that patient, family, and staff concerns are useful tools to enhance the quality of care and prevent harm. </w:t>
      </w:r>
    </w:p>
    <w:p w14:paraId="0567D1D0" w14:textId="77777777" w:rsidR="00DD5020" w:rsidRPr="00797792" w:rsidRDefault="00596C4A" w:rsidP="00797792">
      <w:pPr>
        <w:spacing w:before="240" w:after="160" w:line="360" w:lineRule="auto"/>
        <w:jc w:val="both"/>
        <w:rPr>
          <w:rFonts w:eastAsia="Times New Roman"/>
          <w:b/>
          <w:bCs/>
          <w:i/>
          <w:iCs/>
          <w:lang w:val="en-GB"/>
        </w:rPr>
      </w:pPr>
      <w:r w:rsidRPr="00797792">
        <w:rPr>
          <w:rFonts w:eastAsia="Times New Roman"/>
          <w:b/>
          <w:bCs/>
          <w:i/>
          <w:iCs/>
          <w:lang w:val="en-GB"/>
        </w:rPr>
        <w:t>PDCA (Plan-Do-Check-Act)</w:t>
      </w:r>
    </w:p>
    <w:p w14:paraId="0567D1D1" w14:textId="77777777" w:rsidR="00DD5020" w:rsidRPr="00797792" w:rsidRDefault="00596C4A" w:rsidP="00797792">
      <w:pPr>
        <w:spacing w:before="240" w:after="160" w:line="360" w:lineRule="auto"/>
        <w:jc w:val="both"/>
        <w:rPr>
          <w:rFonts w:eastAsia="Times New Roman"/>
          <w:lang w:val="en-GB"/>
        </w:rPr>
      </w:pPr>
      <w:r w:rsidRPr="00797792">
        <w:rPr>
          <w:rFonts w:eastAsia="Times New Roman"/>
          <w:b/>
          <w:bCs/>
          <w:i/>
          <w:iCs/>
          <w:lang w:val="en-GB"/>
        </w:rPr>
        <w:t>Strategy</w:t>
      </w:r>
      <w:r w:rsidRPr="00797792">
        <w:rPr>
          <w:rFonts w:eastAsia="Times New Roman"/>
          <w:lang w:val="en-GB"/>
        </w:rPr>
        <w:t>: Establish a detailed speaking-up policy that facilitates transparency, protection of the whistleblowers and involvement of the staff. Create Freedom to Speak Up Guardians and confidential reporting.</w:t>
      </w:r>
    </w:p>
    <w:p w14:paraId="0567D1D2" w14:textId="77777777" w:rsidR="00DD5020" w:rsidRPr="00797792" w:rsidRDefault="00596C4A" w:rsidP="00797792">
      <w:pPr>
        <w:spacing w:before="240" w:after="160" w:line="360" w:lineRule="auto"/>
        <w:jc w:val="both"/>
        <w:rPr>
          <w:rFonts w:eastAsia="Times New Roman"/>
          <w:lang w:val="en-GB"/>
        </w:rPr>
      </w:pPr>
      <w:r w:rsidRPr="00797792">
        <w:rPr>
          <w:rFonts w:eastAsia="Times New Roman"/>
          <w:b/>
          <w:bCs/>
          <w:i/>
          <w:iCs/>
          <w:lang w:val="en-GB"/>
        </w:rPr>
        <w:t>Do</w:t>
      </w:r>
      <w:r w:rsidRPr="00797792">
        <w:rPr>
          <w:rFonts w:eastAsia="Times New Roman"/>
          <w:lang w:val="en-GB"/>
        </w:rPr>
        <w:t>: Provide training on patient safety culture, duty of candour, and whistleblowing policies and procedures (</w:t>
      </w:r>
      <w:r w:rsidRPr="00797792">
        <w:rPr>
          <w:rFonts w:eastAsia="Times New Roman"/>
          <w:highlight w:val="white"/>
          <w:lang w:val="en-GB"/>
        </w:rPr>
        <w:t>Quick, 2022)</w:t>
      </w:r>
      <w:r w:rsidRPr="00797792">
        <w:rPr>
          <w:rFonts w:eastAsia="Times New Roman"/>
          <w:lang w:val="en-GB"/>
        </w:rPr>
        <w:t>. Promote an attitude towards open communication and responsive decision-making among leadership teams.</w:t>
      </w:r>
    </w:p>
    <w:p w14:paraId="0567D1D3" w14:textId="77777777" w:rsidR="00DD5020" w:rsidRPr="00797792" w:rsidRDefault="00596C4A" w:rsidP="00797792">
      <w:pPr>
        <w:spacing w:before="240" w:after="160" w:line="360" w:lineRule="auto"/>
        <w:jc w:val="both"/>
        <w:rPr>
          <w:rFonts w:eastAsia="Times New Roman"/>
          <w:lang w:val="en-GB"/>
        </w:rPr>
      </w:pPr>
      <w:r w:rsidRPr="00797792">
        <w:rPr>
          <w:rFonts w:eastAsia="Times New Roman"/>
          <w:b/>
          <w:bCs/>
          <w:i/>
          <w:iCs/>
          <w:lang w:val="en-GB"/>
        </w:rPr>
        <w:t>Check</w:t>
      </w:r>
      <w:r w:rsidRPr="00797792">
        <w:rPr>
          <w:rFonts w:eastAsia="Times New Roman"/>
          <w:lang w:val="en-GB"/>
        </w:rPr>
        <w:t>: Evaluate the level of staff surveys and incident reporting, and employee, patient, and family responses to determine whether they feel empowered when voicing their concerns.</w:t>
      </w:r>
    </w:p>
    <w:p w14:paraId="0567D1D4" w14:textId="77777777" w:rsidR="00DD5020" w:rsidRPr="00797792" w:rsidRDefault="00596C4A" w:rsidP="00797792">
      <w:pPr>
        <w:spacing w:before="240" w:after="160" w:line="360" w:lineRule="auto"/>
        <w:jc w:val="both"/>
        <w:rPr>
          <w:rFonts w:eastAsia="Times New Roman"/>
          <w:lang w:val="en-GB"/>
        </w:rPr>
      </w:pPr>
      <w:r w:rsidRPr="00797792">
        <w:rPr>
          <w:rFonts w:eastAsia="Times New Roman"/>
          <w:b/>
          <w:bCs/>
          <w:i/>
          <w:iCs/>
          <w:lang w:val="en-GB"/>
        </w:rPr>
        <w:lastRenderedPageBreak/>
        <w:t>Action</w:t>
      </w:r>
      <w:r w:rsidRPr="00797792">
        <w:rPr>
          <w:rFonts w:eastAsia="Times New Roman"/>
          <w:lang w:val="en-GB"/>
        </w:rPr>
        <w:t xml:space="preserve">: </w:t>
      </w:r>
      <w:proofErr w:type="gramStart"/>
      <w:r w:rsidRPr="00797792">
        <w:rPr>
          <w:rFonts w:eastAsia="Times New Roman"/>
          <w:lang w:val="en-GB"/>
        </w:rPr>
        <w:t>Take action</w:t>
      </w:r>
      <w:proofErr w:type="gramEnd"/>
      <w:r w:rsidRPr="00797792">
        <w:rPr>
          <w:rFonts w:eastAsia="Times New Roman"/>
          <w:lang w:val="en-GB"/>
        </w:rPr>
        <w:t xml:space="preserve"> based on the findings of the feedback to enhance reporting systems, enhance accountability in leadership, and overcome cultural barriers that contribute to discouraging openness. </w:t>
      </w:r>
    </w:p>
    <w:p w14:paraId="0567D1D5" w14:textId="77777777" w:rsidR="00DD5020" w:rsidRPr="00797792" w:rsidRDefault="00596C4A" w:rsidP="00797792">
      <w:pPr>
        <w:spacing w:before="240" w:after="160" w:line="360" w:lineRule="auto"/>
        <w:jc w:val="both"/>
        <w:rPr>
          <w:rFonts w:eastAsia="Times New Roman"/>
          <w:b/>
          <w:bCs/>
          <w:lang w:val="en-GB"/>
        </w:rPr>
      </w:pPr>
      <w:r w:rsidRPr="00797792">
        <w:rPr>
          <w:rFonts w:eastAsia="Times New Roman"/>
          <w:b/>
          <w:bCs/>
          <w:lang w:val="en-GB"/>
        </w:rPr>
        <w:t>Recommendation 4: Enhance Clinical Governance and Organisational Oversight</w:t>
      </w:r>
    </w:p>
    <w:p w14:paraId="0567D1D6" w14:textId="138EEFB2" w:rsidR="00DD5020" w:rsidRPr="00797792" w:rsidRDefault="00596C4A" w:rsidP="00797792">
      <w:pPr>
        <w:spacing w:before="240" w:after="160" w:line="360" w:lineRule="auto"/>
        <w:jc w:val="both"/>
        <w:rPr>
          <w:rFonts w:eastAsia="Times New Roman"/>
          <w:lang w:val="en-GB"/>
        </w:rPr>
      </w:pPr>
      <w:r w:rsidRPr="00797792">
        <w:rPr>
          <w:rFonts w:eastAsia="Times New Roman"/>
          <w:lang w:val="en-GB"/>
        </w:rPr>
        <w:t>Proper clinical governance offers the frameworks required to guarantee accountability, risk control, quality assurance and continuous improvement (</w:t>
      </w:r>
      <w:proofErr w:type="spellStart"/>
      <w:r w:rsidRPr="00797792">
        <w:rPr>
          <w:rFonts w:eastAsia="Times New Roman"/>
          <w:highlight w:val="white"/>
          <w:lang w:val="en-GB"/>
        </w:rPr>
        <w:t>Efunniyi</w:t>
      </w:r>
      <w:proofErr w:type="spellEnd"/>
      <w:r w:rsidRPr="00797792">
        <w:rPr>
          <w:rFonts w:eastAsia="Times New Roman"/>
          <w:highlight w:val="white"/>
          <w:lang w:val="en-GB"/>
        </w:rPr>
        <w:t xml:space="preserve"> </w:t>
      </w:r>
      <w:r w:rsidR="00781BEF" w:rsidRPr="00797792">
        <w:rPr>
          <w:rFonts w:eastAsia="Times New Roman"/>
          <w:i/>
          <w:iCs/>
          <w:highlight w:val="white"/>
          <w:lang w:val="en-GB"/>
        </w:rPr>
        <w:t>et al.</w:t>
      </w:r>
      <w:r w:rsidRPr="00797792">
        <w:rPr>
          <w:rFonts w:eastAsia="Times New Roman"/>
          <w:highlight w:val="white"/>
          <w:lang w:val="en-GB"/>
        </w:rPr>
        <w:t xml:space="preserve"> 2024)</w:t>
      </w:r>
      <w:r w:rsidRPr="00797792">
        <w:rPr>
          <w:rFonts w:eastAsia="Times New Roman"/>
          <w:lang w:val="en-GB"/>
        </w:rPr>
        <w:t xml:space="preserve">. Well-structured governance systems ensure that healthcare organisations </w:t>
      </w:r>
      <w:proofErr w:type="gramStart"/>
      <w:r w:rsidRPr="00797792">
        <w:rPr>
          <w:rFonts w:eastAsia="Times New Roman"/>
          <w:lang w:val="en-GB"/>
        </w:rPr>
        <w:t>are able to</w:t>
      </w:r>
      <w:proofErr w:type="gramEnd"/>
      <w:r w:rsidRPr="00797792">
        <w:rPr>
          <w:rFonts w:eastAsia="Times New Roman"/>
          <w:lang w:val="en-GB"/>
        </w:rPr>
        <w:t xml:space="preserve"> detect the risks at an early stage and uphold high standards of care. </w:t>
      </w:r>
    </w:p>
    <w:p w14:paraId="0567D1D7" w14:textId="77777777" w:rsidR="00DD5020" w:rsidRPr="00797792" w:rsidRDefault="00596C4A" w:rsidP="00797792">
      <w:pPr>
        <w:spacing w:before="240" w:after="160" w:line="360" w:lineRule="auto"/>
        <w:jc w:val="both"/>
        <w:rPr>
          <w:rFonts w:eastAsia="Times New Roman"/>
          <w:b/>
          <w:bCs/>
          <w:i/>
          <w:iCs/>
          <w:lang w:val="en-GB"/>
        </w:rPr>
      </w:pPr>
      <w:r w:rsidRPr="00797792">
        <w:rPr>
          <w:rFonts w:eastAsia="Times New Roman"/>
          <w:b/>
          <w:bCs/>
          <w:i/>
          <w:iCs/>
          <w:lang w:val="en-GB"/>
        </w:rPr>
        <w:t>PDCA (Plan-Do-Check-Act)</w:t>
      </w:r>
    </w:p>
    <w:p w14:paraId="0567D1D8" w14:textId="03D0F7CE" w:rsidR="00DD5020" w:rsidRPr="00797792" w:rsidRDefault="00596C4A" w:rsidP="00797792">
      <w:pPr>
        <w:spacing w:before="240" w:after="160" w:line="360" w:lineRule="auto"/>
        <w:jc w:val="both"/>
        <w:rPr>
          <w:rFonts w:eastAsia="Times New Roman"/>
          <w:lang w:val="en-GB"/>
        </w:rPr>
      </w:pPr>
      <w:r w:rsidRPr="00797792">
        <w:rPr>
          <w:rFonts w:eastAsia="Times New Roman"/>
          <w:b/>
          <w:bCs/>
          <w:i/>
          <w:iCs/>
          <w:lang w:val="en-GB"/>
        </w:rPr>
        <w:t>Plan</w:t>
      </w:r>
      <w:r w:rsidRPr="00797792">
        <w:rPr>
          <w:rFonts w:eastAsia="Times New Roman"/>
          <w:lang w:val="en-GB"/>
        </w:rPr>
        <w:t>: Build a more robust governance system that has better accountability designs, quality level indicators and reporting designs (</w:t>
      </w:r>
      <w:r w:rsidRPr="00797792">
        <w:rPr>
          <w:rFonts w:eastAsia="Times New Roman"/>
          <w:highlight w:val="white"/>
          <w:lang w:val="en-GB"/>
        </w:rPr>
        <w:t xml:space="preserve">Falade </w:t>
      </w:r>
      <w:r w:rsidR="00781BEF" w:rsidRPr="00797792">
        <w:rPr>
          <w:rFonts w:eastAsia="Times New Roman"/>
          <w:i/>
          <w:iCs/>
          <w:highlight w:val="white"/>
          <w:lang w:val="en-GB"/>
        </w:rPr>
        <w:t>et al.</w:t>
      </w:r>
      <w:r w:rsidRPr="00797792">
        <w:rPr>
          <w:rFonts w:eastAsia="Times New Roman"/>
          <w:highlight w:val="white"/>
          <w:lang w:val="en-GB"/>
        </w:rPr>
        <w:t xml:space="preserve"> 2024)</w:t>
      </w:r>
      <w:r w:rsidRPr="00797792">
        <w:rPr>
          <w:rFonts w:eastAsia="Times New Roman"/>
          <w:lang w:val="en-GB"/>
        </w:rPr>
        <w:t>.</w:t>
      </w:r>
    </w:p>
    <w:p w14:paraId="0567D1D9" w14:textId="77777777" w:rsidR="00DD5020" w:rsidRPr="00797792" w:rsidRDefault="00596C4A" w:rsidP="00797792">
      <w:pPr>
        <w:spacing w:before="240" w:after="160" w:line="360" w:lineRule="auto"/>
        <w:jc w:val="both"/>
        <w:rPr>
          <w:rFonts w:eastAsia="Times New Roman"/>
          <w:lang w:val="en-GB"/>
        </w:rPr>
      </w:pPr>
      <w:r w:rsidRPr="00797792">
        <w:rPr>
          <w:rFonts w:eastAsia="Times New Roman"/>
          <w:b/>
          <w:bCs/>
          <w:i/>
          <w:iCs/>
          <w:lang w:val="en-GB"/>
        </w:rPr>
        <w:t>Do</w:t>
      </w:r>
      <w:r w:rsidRPr="00797792">
        <w:rPr>
          <w:rFonts w:eastAsia="Times New Roman"/>
          <w:lang w:val="en-GB"/>
        </w:rPr>
        <w:t>: Develop routine governance, clinical auditors, risk and performance reviews. Implement board-level monitoring of patient safety measures and medication management.</w:t>
      </w:r>
    </w:p>
    <w:p w14:paraId="0567D1DA" w14:textId="77777777" w:rsidR="00DD5020" w:rsidRPr="00797792" w:rsidRDefault="00596C4A" w:rsidP="00797792">
      <w:pPr>
        <w:spacing w:before="240" w:after="160" w:line="360" w:lineRule="auto"/>
        <w:jc w:val="both"/>
        <w:rPr>
          <w:rFonts w:eastAsia="Times New Roman"/>
          <w:lang w:val="en-GB"/>
        </w:rPr>
      </w:pPr>
      <w:r w:rsidRPr="00797792">
        <w:rPr>
          <w:rFonts w:eastAsia="Times New Roman"/>
          <w:b/>
          <w:bCs/>
          <w:i/>
          <w:iCs/>
          <w:lang w:val="en-GB"/>
        </w:rPr>
        <w:t>Check</w:t>
      </w:r>
      <w:r w:rsidRPr="00797792">
        <w:rPr>
          <w:rFonts w:eastAsia="Times New Roman"/>
          <w:lang w:val="en-GB"/>
        </w:rPr>
        <w:t>: Measure performance of governance by using audit results, trending of incidents, patient safety and regulatory compliance measurements.</w:t>
      </w:r>
    </w:p>
    <w:p w14:paraId="0567D1DB" w14:textId="77777777" w:rsidR="00DD5020" w:rsidRPr="00797792" w:rsidRDefault="00596C4A" w:rsidP="00797792">
      <w:pPr>
        <w:spacing w:before="240" w:after="160" w:line="360" w:lineRule="auto"/>
        <w:jc w:val="both"/>
        <w:rPr>
          <w:rFonts w:eastAsia="Times New Roman"/>
          <w:lang w:val="en-GB"/>
        </w:rPr>
      </w:pPr>
      <w:r w:rsidRPr="00797792">
        <w:rPr>
          <w:rFonts w:eastAsia="Times New Roman"/>
          <w:b/>
          <w:bCs/>
          <w:i/>
          <w:iCs/>
          <w:lang w:val="en-GB"/>
        </w:rPr>
        <w:t>Act</w:t>
      </w:r>
      <w:r w:rsidRPr="00797792">
        <w:rPr>
          <w:rFonts w:eastAsia="Times New Roman"/>
          <w:lang w:val="en-GB"/>
        </w:rPr>
        <w:t xml:space="preserve">: Change governance where it is required and develop improvement plans that deal with weaknesses identified.  </w:t>
      </w:r>
    </w:p>
    <w:p w14:paraId="5FCB663D" w14:textId="6C4EF781" w:rsidR="00D8719B" w:rsidRPr="00797792" w:rsidRDefault="00D8719B" w:rsidP="00797792">
      <w:pPr>
        <w:spacing w:before="240" w:after="160" w:line="360" w:lineRule="auto"/>
        <w:jc w:val="center"/>
        <w:rPr>
          <w:rFonts w:eastAsia="Times New Roman"/>
          <w:lang w:val="en-GB"/>
        </w:rPr>
      </w:pPr>
      <w:r w:rsidRPr="00797792">
        <w:rPr>
          <w:rFonts w:eastAsia="Times New Roman"/>
          <w:noProof/>
          <w:lang w:val="en-GB"/>
        </w:rPr>
        <w:lastRenderedPageBreak/>
        <w:drawing>
          <wp:inline distT="114300" distB="114300" distL="114300" distR="114300" wp14:anchorId="2C79F278" wp14:editId="15F9E5E5">
            <wp:extent cx="5943600" cy="3708400"/>
            <wp:effectExtent l="0" t="0" r="0" b="6350"/>
            <wp:docPr id="37645367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3708400"/>
                    </a:xfrm>
                    <a:prstGeom prst="rect">
                      <a:avLst/>
                    </a:prstGeom>
                    <a:ln/>
                  </pic:spPr>
                </pic:pic>
              </a:graphicData>
            </a:graphic>
          </wp:inline>
        </w:drawing>
      </w:r>
    </w:p>
    <w:p w14:paraId="465BE764" w14:textId="37405564" w:rsidR="00D8719B" w:rsidRPr="00797792" w:rsidRDefault="00D8719B" w:rsidP="00797792">
      <w:pPr>
        <w:spacing w:before="240" w:after="160" w:line="360" w:lineRule="auto"/>
        <w:jc w:val="center"/>
        <w:rPr>
          <w:rFonts w:eastAsia="Times New Roman"/>
          <w:b/>
          <w:bCs/>
          <w:lang w:val="en-GB"/>
        </w:rPr>
      </w:pPr>
      <w:r w:rsidRPr="00797792">
        <w:rPr>
          <w:rFonts w:eastAsia="Times New Roman"/>
          <w:b/>
          <w:bCs/>
          <w:lang w:val="en-GB"/>
        </w:rPr>
        <w:t>Table</w:t>
      </w:r>
      <w:r w:rsidR="00781BEF" w:rsidRPr="00797792">
        <w:rPr>
          <w:rFonts w:eastAsia="Times New Roman"/>
          <w:b/>
          <w:bCs/>
          <w:lang w:val="en-GB"/>
        </w:rPr>
        <w:t xml:space="preserve"> 2</w:t>
      </w:r>
      <w:r w:rsidRPr="00797792">
        <w:rPr>
          <w:rFonts w:eastAsia="Times New Roman"/>
          <w:b/>
          <w:bCs/>
          <w:lang w:val="en-GB"/>
        </w:rPr>
        <w:t>: Recommendation</w:t>
      </w:r>
    </w:p>
    <w:p w14:paraId="41040FCC" w14:textId="2067DA07" w:rsidR="00D8719B" w:rsidRPr="00797792" w:rsidRDefault="00D8719B" w:rsidP="00797792">
      <w:pPr>
        <w:spacing w:after="160" w:line="360" w:lineRule="auto"/>
        <w:jc w:val="center"/>
        <w:rPr>
          <w:rFonts w:eastAsia="Times New Roman"/>
          <w:lang w:val="en-GB"/>
        </w:rPr>
      </w:pPr>
      <w:r w:rsidRPr="00797792">
        <w:rPr>
          <w:rFonts w:eastAsia="Times New Roman"/>
          <w:lang w:val="en-GB"/>
        </w:rPr>
        <w:t xml:space="preserve">(Source: Influenced by Falade </w:t>
      </w:r>
      <w:r w:rsidR="00781BEF" w:rsidRPr="00797792">
        <w:rPr>
          <w:rFonts w:eastAsia="Times New Roman"/>
          <w:i/>
          <w:iCs/>
          <w:lang w:val="en-GB"/>
        </w:rPr>
        <w:t>et al.</w:t>
      </w:r>
      <w:r w:rsidRPr="00797792">
        <w:rPr>
          <w:rFonts w:eastAsia="Times New Roman"/>
          <w:lang w:val="en-GB"/>
        </w:rPr>
        <w:t xml:space="preserve"> 2024; Idris </w:t>
      </w:r>
      <w:r w:rsidR="00781BEF" w:rsidRPr="00797792">
        <w:rPr>
          <w:rFonts w:eastAsia="Times New Roman"/>
          <w:i/>
          <w:iCs/>
          <w:lang w:val="en-GB"/>
        </w:rPr>
        <w:t>et al.</w:t>
      </w:r>
      <w:r w:rsidRPr="00797792">
        <w:rPr>
          <w:rFonts w:eastAsia="Times New Roman"/>
          <w:lang w:val="en-GB"/>
        </w:rPr>
        <w:t xml:space="preserve"> 2024; Quick 2022)</w:t>
      </w:r>
    </w:p>
    <w:p w14:paraId="577761F8" w14:textId="0B195F5F" w:rsidR="00D8719B" w:rsidRPr="00797792" w:rsidRDefault="00D8719B" w:rsidP="00797792">
      <w:pPr>
        <w:pStyle w:val="Heading1"/>
        <w:rPr>
          <w:lang w:val="en-GB"/>
        </w:rPr>
      </w:pPr>
      <w:bookmarkStart w:id="8" w:name="_Toc235884703"/>
      <w:r w:rsidRPr="00797792">
        <w:rPr>
          <w:lang w:val="en-GB"/>
        </w:rPr>
        <w:t>9. Benchmarking</w:t>
      </w:r>
      <w:bookmarkEnd w:id="8"/>
    </w:p>
    <w:p w14:paraId="19F654CB" w14:textId="067E38D3" w:rsidR="00D8719B" w:rsidRPr="007027E0" w:rsidRDefault="00D8719B" w:rsidP="00797792">
      <w:pPr>
        <w:spacing w:after="160" w:line="360" w:lineRule="auto"/>
        <w:jc w:val="both"/>
        <w:rPr>
          <w:rFonts w:eastAsia="Times New Roman"/>
          <w:color w:val="000000" w:themeColor="text1"/>
          <w:lang w:val="en-GB"/>
        </w:rPr>
      </w:pPr>
      <w:r w:rsidRPr="007027E0">
        <w:rPr>
          <w:rFonts w:eastAsia="Times New Roman"/>
          <w:color w:val="000000" w:themeColor="text1"/>
          <w:lang w:val="en-GB"/>
        </w:rPr>
        <w:t xml:space="preserve">Benchmarking assists healthcare organisations in comparing their performance with national performance and best practice in improving patient safety and quality of care. The performance can be contrasted with the NHS Patient Safety Strategy, NICE Medicines Optimisation Guidelines, the Care Quality Commission (CQC) standards, and the Freedom to Speak Up policy in the Gosport case. These standards facilitate safe prescribing, successful clinical governance, patient-centred care, and transparent reporting of safety issues (Sheikh </w:t>
      </w:r>
      <w:r w:rsidR="00781BEF" w:rsidRPr="007027E0">
        <w:rPr>
          <w:rFonts w:eastAsia="Times New Roman"/>
          <w:i/>
          <w:iCs/>
          <w:color w:val="000000" w:themeColor="text1"/>
          <w:lang w:val="en-GB"/>
        </w:rPr>
        <w:t>et al.</w:t>
      </w:r>
      <w:r w:rsidRPr="007027E0">
        <w:rPr>
          <w:rFonts w:eastAsia="Times New Roman"/>
          <w:color w:val="000000" w:themeColor="text1"/>
          <w:lang w:val="en-GB"/>
        </w:rPr>
        <w:t xml:space="preserve"> 2022; Quick, 2022). Best-performing NHS organisations regularly perform medication audits, electronic prescribing systems are used, and staff is encouraged to report everything without fear (Falade </w:t>
      </w:r>
      <w:r w:rsidR="00781BEF" w:rsidRPr="007027E0">
        <w:rPr>
          <w:rFonts w:eastAsia="Times New Roman"/>
          <w:i/>
          <w:iCs/>
          <w:color w:val="000000" w:themeColor="text1"/>
          <w:lang w:val="en-GB"/>
        </w:rPr>
        <w:t>et al.</w:t>
      </w:r>
      <w:r w:rsidRPr="007027E0">
        <w:rPr>
          <w:rFonts w:eastAsia="Times New Roman"/>
          <w:color w:val="000000" w:themeColor="text1"/>
          <w:lang w:val="en-GB"/>
        </w:rPr>
        <w:t xml:space="preserve"> 2024). These national expectations are in line with the suggested improvements, such as more powerful medication governance, regular audit, electronic prescribing and training of staff members. Regular monitoring of benchmarking data, including prescribing error rates, incident reports, audit compliance, and patient safety indicators, can be used to measure progress and identify areas that need additional enhancement (Idris </w:t>
      </w:r>
      <w:r w:rsidR="00781BEF" w:rsidRPr="007027E0">
        <w:rPr>
          <w:rFonts w:eastAsia="Times New Roman"/>
          <w:i/>
          <w:iCs/>
          <w:color w:val="000000" w:themeColor="text1"/>
          <w:lang w:val="en-GB"/>
        </w:rPr>
        <w:t>et al.</w:t>
      </w:r>
      <w:r w:rsidRPr="007027E0">
        <w:rPr>
          <w:rFonts w:eastAsia="Times New Roman"/>
          <w:color w:val="000000" w:themeColor="text1"/>
          <w:lang w:val="en-GB"/>
        </w:rPr>
        <w:t xml:space="preserve"> 2024). Nevertheless, comparisons must be viewed </w:t>
      </w:r>
      <w:r w:rsidRPr="007027E0">
        <w:rPr>
          <w:rFonts w:eastAsia="Times New Roman"/>
          <w:color w:val="000000" w:themeColor="text1"/>
          <w:lang w:val="en-GB"/>
        </w:rPr>
        <w:lastRenderedPageBreak/>
        <w:t xml:space="preserve">cautiously as healthcare organisations vary in terms of patient population, staff, the resources available, and organisational culture, and it could affect performance outcomes (Varga </w:t>
      </w:r>
      <w:r w:rsidR="00781BEF" w:rsidRPr="007027E0">
        <w:rPr>
          <w:rFonts w:eastAsia="Times New Roman"/>
          <w:i/>
          <w:iCs/>
          <w:color w:val="000000" w:themeColor="text1"/>
          <w:lang w:val="en-GB"/>
        </w:rPr>
        <w:t>et al.</w:t>
      </w:r>
      <w:r w:rsidRPr="007027E0">
        <w:rPr>
          <w:rFonts w:eastAsia="Times New Roman"/>
          <w:color w:val="000000" w:themeColor="text1"/>
          <w:lang w:val="en-GB"/>
        </w:rPr>
        <w:t xml:space="preserve"> 2023). </w:t>
      </w:r>
    </w:p>
    <w:p w14:paraId="182BC051" w14:textId="5AA13113" w:rsidR="00D8719B" w:rsidRPr="00797792" w:rsidRDefault="00D8719B" w:rsidP="00797792">
      <w:pPr>
        <w:spacing w:after="160" w:line="360" w:lineRule="auto"/>
        <w:jc w:val="both"/>
        <w:rPr>
          <w:rFonts w:eastAsia="Times New Roman"/>
          <w:lang w:val="en-GB"/>
        </w:rPr>
      </w:pPr>
      <w:r w:rsidRPr="00797792">
        <w:rPr>
          <w:rFonts w:eastAsia="Times New Roman"/>
          <w:noProof/>
          <w:lang w:val="en-GB"/>
        </w:rPr>
        <w:drawing>
          <wp:inline distT="0" distB="0" distL="0" distR="0" wp14:anchorId="74E48967" wp14:editId="7E783D02">
            <wp:extent cx="5845047" cy="3055885"/>
            <wp:effectExtent l="0" t="0" r="3810" b="0"/>
            <wp:docPr id="559477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477548" name=""/>
                    <pic:cNvPicPr/>
                  </pic:nvPicPr>
                  <pic:blipFill>
                    <a:blip r:embed="rId12"/>
                    <a:stretch>
                      <a:fillRect/>
                    </a:stretch>
                  </pic:blipFill>
                  <pic:spPr>
                    <a:xfrm>
                      <a:off x="0" y="0"/>
                      <a:ext cx="5845047" cy="3055885"/>
                    </a:xfrm>
                    <a:prstGeom prst="rect">
                      <a:avLst/>
                    </a:prstGeom>
                  </pic:spPr>
                </pic:pic>
              </a:graphicData>
            </a:graphic>
          </wp:inline>
        </w:drawing>
      </w:r>
    </w:p>
    <w:p w14:paraId="31B75001" w14:textId="5D694A22" w:rsidR="00D8719B" w:rsidRPr="007027E0" w:rsidRDefault="00D8719B" w:rsidP="00797792">
      <w:pPr>
        <w:spacing w:after="160" w:line="360" w:lineRule="auto"/>
        <w:jc w:val="center"/>
        <w:rPr>
          <w:rFonts w:eastAsia="Times New Roman"/>
          <w:b/>
          <w:bCs/>
          <w:color w:val="000000" w:themeColor="text1"/>
          <w:lang w:val="en-GB"/>
        </w:rPr>
      </w:pPr>
      <w:r w:rsidRPr="007027E0">
        <w:rPr>
          <w:rFonts w:eastAsia="Times New Roman"/>
          <w:b/>
          <w:bCs/>
          <w:color w:val="000000" w:themeColor="text1"/>
          <w:lang w:val="en-GB"/>
        </w:rPr>
        <w:t xml:space="preserve">Table </w:t>
      </w:r>
      <w:r w:rsidR="00781BEF" w:rsidRPr="007027E0">
        <w:rPr>
          <w:rFonts w:eastAsia="Times New Roman"/>
          <w:b/>
          <w:bCs/>
          <w:color w:val="000000" w:themeColor="text1"/>
          <w:lang w:val="en-GB"/>
        </w:rPr>
        <w:t>3</w:t>
      </w:r>
      <w:r w:rsidRPr="007027E0">
        <w:rPr>
          <w:rFonts w:eastAsia="Times New Roman"/>
          <w:b/>
          <w:bCs/>
          <w:color w:val="000000" w:themeColor="text1"/>
          <w:lang w:val="en-GB"/>
        </w:rPr>
        <w:t>: Benchmarking of the Gosport Case Against NHS Standards</w:t>
      </w:r>
    </w:p>
    <w:p w14:paraId="6F78159E" w14:textId="222EBB80" w:rsidR="00D8719B" w:rsidRPr="007027E0" w:rsidRDefault="00D8719B" w:rsidP="00797792">
      <w:pPr>
        <w:spacing w:after="160" w:line="360" w:lineRule="auto"/>
        <w:jc w:val="center"/>
        <w:rPr>
          <w:rFonts w:eastAsia="Times New Roman"/>
          <w:color w:val="000000" w:themeColor="text1"/>
          <w:lang w:val="en-GB"/>
        </w:rPr>
      </w:pPr>
      <w:r w:rsidRPr="007027E0">
        <w:rPr>
          <w:rFonts w:eastAsia="Times New Roman"/>
          <w:color w:val="000000" w:themeColor="text1"/>
          <w:lang w:val="en-GB"/>
        </w:rPr>
        <w:t xml:space="preserve">(Source: Influenced by Falade </w:t>
      </w:r>
      <w:r w:rsidR="00781BEF" w:rsidRPr="007027E0">
        <w:rPr>
          <w:rFonts w:eastAsia="Times New Roman"/>
          <w:i/>
          <w:iCs/>
          <w:color w:val="000000" w:themeColor="text1"/>
          <w:lang w:val="en-GB"/>
        </w:rPr>
        <w:t>et al.</w:t>
      </w:r>
      <w:r w:rsidRPr="007027E0">
        <w:rPr>
          <w:rFonts w:eastAsia="Times New Roman"/>
          <w:color w:val="000000" w:themeColor="text1"/>
          <w:lang w:val="en-GB"/>
        </w:rPr>
        <w:t xml:space="preserve"> 2024; Idris </w:t>
      </w:r>
      <w:r w:rsidR="00781BEF" w:rsidRPr="007027E0">
        <w:rPr>
          <w:rFonts w:eastAsia="Times New Roman"/>
          <w:i/>
          <w:iCs/>
          <w:color w:val="000000" w:themeColor="text1"/>
          <w:lang w:val="en-GB"/>
        </w:rPr>
        <w:t>et al.</w:t>
      </w:r>
      <w:r w:rsidRPr="007027E0">
        <w:rPr>
          <w:rFonts w:eastAsia="Times New Roman"/>
          <w:color w:val="000000" w:themeColor="text1"/>
          <w:lang w:val="en-GB"/>
        </w:rPr>
        <w:t xml:space="preserve"> 2024; Quick 2022)</w:t>
      </w:r>
    </w:p>
    <w:p w14:paraId="0567D1DC" w14:textId="6EE0BB19" w:rsidR="00DD5020" w:rsidRPr="00797792" w:rsidRDefault="00D8719B" w:rsidP="00797792">
      <w:pPr>
        <w:pStyle w:val="Heading1"/>
        <w:rPr>
          <w:lang w:val="en-GB"/>
        </w:rPr>
      </w:pPr>
      <w:bookmarkStart w:id="9" w:name="_Toc235884704"/>
      <w:r w:rsidRPr="00797792">
        <w:rPr>
          <w:lang w:val="en-GB"/>
        </w:rPr>
        <w:t>10</w:t>
      </w:r>
      <w:r w:rsidR="00174576" w:rsidRPr="00797792">
        <w:rPr>
          <w:lang w:val="en-GB"/>
        </w:rPr>
        <w:t>. Conclusion</w:t>
      </w:r>
      <w:bookmarkEnd w:id="9"/>
    </w:p>
    <w:p w14:paraId="0567D1DD" w14:textId="3CCF7FC9" w:rsidR="00DD5020" w:rsidRPr="00797792" w:rsidRDefault="00596C4A" w:rsidP="00797792">
      <w:pPr>
        <w:spacing w:before="240" w:after="160" w:line="360" w:lineRule="auto"/>
        <w:jc w:val="both"/>
        <w:rPr>
          <w:rFonts w:eastAsia="Times New Roman"/>
          <w:lang w:val="en-GB"/>
        </w:rPr>
      </w:pPr>
      <w:r w:rsidRPr="00797792">
        <w:rPr>
          <w:rFonts w:eastAsia="Times New Roman"/>
          <w:lang w:val="en-GB"/>
        </w:rPr>
        <w:t xml:space="preserve">This report has analysed the Gosport War Memorial Hospital opioid prescribing scandal as a critical healthcare system failure in quality healthcare, patient safety and clinical governance. The assessment revealed the lack of accountability and weak monitoring regimes, ineffective incident reporting, and unsafe opioid prescribing practices to be the key factors of preventable patient harm. The Gosport Independent Panel showed that at least 456 patients have died after receiving the wrong administration of opioids because of systemic failures instead of singular clinical errors. Making use of quality management tools such as the Fishbone Diagram, the 5 Whys method, the Donabedian Model, and SWOT analysis, it was possible to show that the root causes of failure were complex. Unsafe clinical processes were caused by structural weaknesses like poor leadership, ineffective training and poor governance systems. </w:t>
      </w:r>
      <w:r w:rsidR="00D8719B" w:rsidRPr="00797792">
        <w:rPr>
          <w:rFonts w:eastAsia="Times New Roman"/>
          <w:lang w:val="en-GB"/>
        </w:rPr>
        <w:t xml:space="preserve"> </w:t>
      </w:r>
    </w:p>
    <w:p w14:paraId="0567D1E1" w14:textId="715FA423" w:rsidR="00FB341B" w:rsidRPr="00FF427B" w:rsidRDefault="00FB341B" w:rsidP="00797792">
      <w:pPr>
        <w:spacing w:before="240" w:line="360" w:lineRule="auto"/>
        <w:rPr>
          <w:rFonts w:eastAsia="Times New Roman"/>
          <w:lang w:val="en-GB"/>
        </w:rPr>
      </w:pPr>
      <w:r w:rsidRPr="00FF427B">
        <w:rPr>
          <w:rFonts w:eastAsia="Times New Roman"/>
          <w:lang w:val="en-GB"/>
        </w:rPr>
        <w:br w:type="page"/>
      </w:r>
    </w:p>
    <w:p w14:paraId="7D28C008" w14:textId="3203120C" w:rsidR="00DD5020" w:rsidRPr="00FF427B" w:rsidRDefault="00FB341B" w:rsidP="00797792">
      <w:pPr>
        <w:pStyle w:val="Heading1"/>
        <w:rPr>
          <w:lang w:val="en-GB"/>
        </w:rPr>
      </w:pPr>
      <w:bookmarkStart w:id="10" w:name="_Toc235884705"/>
      <w:r w:rsidRPr="00FF427B">
        <w:rPr>
          <w:lang w:val="en-GB"/>
        </w:rPr>
        <w:lastRenderedPageBreak/>
        <w:t>References</w:t>
      </w:r>
      <w:bookmarkEnd w:id="10"/>
      <w:r w:rsidRPr="00FF427B">
        <w:rPr>
          <w:lang w:val="en-GB"/>
        </w:rPr>
        <w:t xml:space="preserve"> </w:t>
      </w:r>
    </w:p>
    <w:p w14:paraId="7BA56C7A" w14:textId="77777777" w:rsidR="009E0174" w:rsidRPr="00FF427B" w:rsidRDefault="009E0174" w:rsidP="00797792">
      <w:pPr>
        <w:spacing w:before="240" w:line="360" w:lineRule="auto"/>
        <w:jc w:val="both"/>
        <w:rPr>
          <w:lang w:val="en-GB"/>
        </w:rPr>
      </w:pPr>
      <w:r w:rsidRPr="00FF427B">
        <w:rPr>
          <w:lang w:val="en-GB"/>
        </w:rPr>
        <w:t xml:space="preserve">Adams, N., Ott, C.A., Mullen, C.J. and Wang, Y., 2024. An integrative review of opioid stewardship: optimizing patient care and safety with a multidisciplinary approach. </w:t>
      </w:r>
      <w:r w:rsidRPr="00FF427B">
        <w:rPr>
          <w:i/>
          <w:iCs/>
          <w:lang w:val="en-GB"/>
        </w:rPr>
        <w:t>Nursing: Research and Reviews</w:t>
      </w:r>
      <w:r w:rsidRPr="00FF427B">
        <w:rPr>
          <w:lang w:val="en-GB"/>
        </w:rPr>
        <w:t>, pp.173-200.</w:t>
      </w:r>
    </w:p>
    <w:p w14:paraId="143F820E" w14:textId="77777777" w:rsidR="009E0174" w:rsidRPr="00FF427B" w:rsidRDefault="009E0174" w:rsidP="00797792">
      <w:pPr>
        <w:spacing w:before="240" w:line="360" w:lineRule="auto"/>
        <w:jc w:val="both"/>
        <w:rPr>
          <w:lang w:val="en-GB"/>
        </w:rPr>
      </w:pPr>
      <w:r w:rsidRPr="00FF427B">
        <w:rPr>
          <w:lang w:val="en-GB"/>
        </w:rPr>
        <w:t xml:space="preserve">Ahmed, Z., </w:t>
      </w:r>
      <w:proofErr w:type="spellStart"/>
      <w:r w:rsidRPr="00FF427B">
        <w:rPr>
          <w:lang w:val="en-GB"/>
        </w:rPr>
        <w:t>Ellahham</w:t>
      </w:r>
      <w:proofErr w:type="spellEnd"/>
      <w:r w:rsidRPr="00FF427B">
        <w:rPr>
          <w:lang w:val="en-GB"/>
        </w:rPr>
        <w:t xml:space="preserve">, S., Soomro, M., Shams, S. and Latif, K., 2024. Exploring the impact of compassion and leadership on patient safety and quality in healthcare systems: a narrative review. </w:t>
      </w:r>
      <w:r w:rsidRPr="00FF427B">
        <w:rPr>
          <w:i/>
          <w:iCs/>
          <w:lang w:val="en-GB"/>
        </w:rPr>
        <w:t>BMJ open quality</w:t>
      </w:r>
      <w:r w:rsidRPr="00FF427B">
        <w:rPr>
          <w:lang w:val="en-GB"/>
        </w:rPr>
        <w:t xml:space="preserve">, </w:t>
      </w:r>
      <w:r w:rsidRPr="00FF427B">
        <w:rPr>
          <w:i/>
          <w:iCs/>
          <w:lang w:val="en-GB"/>
        </w:rPr>
        <w:t>13</w:t>
      </w:r>
      <w:r w:rsidRPr="00FF427B">
        <w:rPr>
          <w:lang w:val="en-GB"/>
        </w:rPr>
        <w:t>(Suppl 2).</w:t>
      </w:r>
    </w:p>
    <w:p w14:paraId="636CFEC4" w14:textId="77777777" w:rsidR="009E0174" w:rsidRPr="00FF427B" w:rsidRDefault="009E0174" w:rsidP="00797792">
      <w:pPr>
        <w:spacing w:before="240" w:line="360" w:lineRule="auto"/>
        <w:jc w:val="both"/>
        <w:rPr>
          <w:lang w:val="en-GB"/>
        </w:rPr>
      </w:pPr>
      <w:r w:rsidRPr="00FF427B">
        <w:rPr>
          <w:lang w:val="en-GB"/>
        </w:rPr>
        <w:t xml:space="preserve">Bowers, B., Antunes, B.C.P., </w:t>
      </w:r>
      <w:proofErr w:type="spellStart"/>
      <w:r w:rsidRPr="00FF427B">
        <w:rPr>
          <w:lang w:val="en-GB"/>
        </w:rPr>
        <w:t>Etkind</w:t>
      </w:r>
      <w:proofErr w:type="spellEnd"/>
      <w:r w:rsidRPr="00FF427B">
        <w:rPr>
          <w:lang w:val="en-GB"/>
        </w:rPr>
        <w:t xml:space="preserve">, S., Hopkins, S.A., Winterburn, I., Kuhn, I., Pollock, K. and Barclay, S., 2024. Anticipatory prescribing in community end-of-life care: systematic review and narrative synthesis of the evidence since 2017. </w:t>
      </w:r>
      <w:r w:rsidRPr="00FF427B">
        <w:rPr>
          <w:i/>
          <w:iCs/>
          <w:lang w:val="en-GB"/>
        </w:rPr>
        <w:t>BMJ Supportive &amp; Palliative Care</w:t>
      </w:r>
      <w:r w:rsidRPr="00FF427B">
        <w:rPr>
          <w:lang w:val="en-GB"/>
        </w:rPr>
        <w:t xml:space="preserve">, </w:t>
      </w:r>
      <w:r w:rsidRPr="00FF427B">
        <w:rPr>
          <w:i/>
          <w:iCs/>
          <w:lang w:val="en-GB"/>
        </w:rPr>
        <w:t>13</w:t>
      </w:r>
      <w:r w:rsidRPr="00FF427B">
        <w:rPr>
          <w:lang w:val="en-GB"/>
        </w:rPr>
        <w:t xml:space="preserve">(e3), </w:t>
      </w:r>
      <w:proofErr w:type="gramStart"/>
      <w:r w:rsidRPr="00FF427B">
        <w:rPr>
          <w:lang w:val="en-GB"/>
        </w:rPr>
        <w:t>pp.e</w:t>
      </w:r>
      <w:proofErr w:type="gramEnd"/>
      <w:r w:rsidRPr="00FF427B">
        <w:rPr>
          <w:lang w:val="en-GB"/>
        </w:rPr>
        <w:t>612-e623.</w:t>
      </w:r>
    </w:p>
    <w:p w14:paraId="6776A16F" w14:textId="77777777" w:rsidR="009E0174" w:rsidRPr="00FF427B" w:rsidRDefault="009E0174" w:rsidP="00797792">
      <w:pPr>
        <w:spacing w:before="240" w:line="360" w:lineRule="auto"/>
        <w:jc w:val="both"/>
        <w:rPr>
          <w:lang w:val="en-GB"/>
        </w:rPr>
      </w:pPr>
      <w:r w:rsidRPr="00FF427B">
        <w:rPr>
          <w:lang w:val="en-GB"/>
        </w:rPr>
        <w:t xml:space="preserve">Brabcova, I., </w:t>
      </w:r>
      <w:proofErr w:type="spellStart"/>
      <w:r w:rsidRPr="00FF427B">
        <w:rPr>
          <w:lang w:val="en-GB"/>
        </w:rPr>
        <w:t>Hajduchová</w:t>
      </w:r>
      <w:proofErr w:type="spellEnd"/>
      <w:r w:rsidRPr="00FF427B">
        <w:rPr>
          <w:lang w:val="en-GB"/>
        </w:rPr>
        <w:t xml:space="preserve">, H., </w:t>
      </w:r>
      <w:proofErr w:type="spellStart"/>
      <w:r w:rsidRPr="00FF427B">
        <w:rPr>
          <w:lang w:val="en-GB"/>
        </w:rPr>
        <w:t>Tóthová</w:t>
      </w:r>
      <w:proofErr w:type="spellEnd"/>
      <w:r w:rsidRPr="00FF427B">
        <w:rPr>
          <w:lang w:val="en-GB"/>
        </w:rPr>
        <w:t xml:space="preserve">, V., Chloubová, I., Červený, M., Prokešová, R., Malý, J., Vlček, J., </w:t>
      </w:r>
      <w:proofErr w:type="spellStart"/>
      <w:r w:rsidRPr="00FF427B">
        <w:rPr>
          <w:lang w:val="en-GB"/>
        </w:rPr>
        <w:t>Doseděl</w:t>
      </w:r>
      <w:proofErr w:type="spellEnd"/>
      <w:r w:rsidRPr="00FF427B">
        <w:rPr>
          <w:lang w:val="en-GB"/>
        </w:rPr>
        <w:t>, M., Malá-</w:t>
      </w:r>
      <w:proofErr w:type="spellStart"/>
      <w:r w:rsidRPr="00FF427B">
        <w:rPr>
          <w:lang w:val="en-GB"/>
        </w:rPr>
        <w:t>Ládová</w:t>
      </w:r>
      <w:proofErr w:type="spellEnd"/>
      <w:r w:rsidRPr="00FF427B">
        <w:rPr>
          <w:lang w:val="en-GB"/>
        </w:rPr>
        <w:t>, K. and Tesař, O., 2023. Reasons for medication administration errors, barriers to reporting them and the number of reported medication administration errors from the perspective of nurses: A cross-sectional survey. </w:t>
      </w:r>
      <w:r w:rsidRPr="00FF427B">
        <w:rPr>
          <w:i/>
          <w:iCs/>
          <w:lang w:val="en-GB"/>
        </w:rPr>
        <w:t>Nurse education in practice</w:t>
      </w:r>
      <w:r w:rsidRPr="00FF427B">
        <w:rPr>
          <w:lang w:val="en-GB"/>
        </w:rPr>
        <w:t>, </w:t>
      </w:r>
      <w:r w:rsidRPr="00FF427B">
        <w:rPr>
          <w:i/>
          <w:iCs/>
          <w:lang w:val="en-GB"/>
        </w:rPr>
        <w:t>70</w:t>
      </w:r>
      <w:r w:rsidRPr="00FF427B">
        <w:rPr>
          <w:lang w:val="en-GB"/>
        </w:rPr>
        <w:t>, p.103642.</w:t>
      </w:r>
    </w:p>
    <w:p w14:paraId="461E4753" w14:textId="77777777" w:rsidR="009E0174" w:rsidRPr="00FF427B" w:rsidRDefault="009E0174" w:rsidP="00797792">
      <w:pPr>
        <w:spacing w:before="240" w:line="360" w:lineRule="auto"/>
        <w:jc w:val="both"/>
        <w:rPr>
          <w:lang w:val="en-GB"/>
        </w:rPr>
      </w:pPr>
      <w:r w:rsidRPr="00FF427B">
        <w:rPr>
          <w:lang w:val="en-GB"/>
        </w:rPr>
        <w:t xml:space="preserve">Crofts, P., 2022. Gosport hospital, Euthanasia and serial killing. </w:t>
      </w:r>
      <w:r w:rsidRPr="00FF427B">
        <w:rPr>
          <w:i/>
          <w:iCs/>
          <w:lang w:val="en-GB"/>
        </w:rPr>
        <w:t>Voluntary assisted dying: law</w:t>
      </w:r>
      <w:r w:rsidRPr="00FF427B">
        <w:rPr>
          <w:lang w:val="en-GB"/>
        </w:rPr>
        <w:t>, pp.155-78.</w:t>
      </w:r>
    </w:p>
    <w:p w14:paraId="12A31BE3" w14:textId="77777777" w:rsidR="009E0174" w:rsidRPr="00FF427B" w:rsidRDefault="009E0174" w:rsidP="00797792">
      <w:pPr>
        <w:spacing w:before="240" w:line="360" w:lineRule="auto"/>
        <w:jc w:val="both"/>
        <w:rPr>
          <w:lang w:val="en-GB"/>
        </w:rPr>
      </w:pPr>
      <w:r w:rsidRPr="00FF427B">
        <w:rPr>
          <w:lang w:val="en-GB"/>
        </w:rPr>
        <w:t xml:space="preserve">D'Errico, S., Zanon, M., Radaelli, D., Padovano, M., Santurro, A., </w:t>
      </w:r>
      <w:proofErr w:type="spellStart"/>
      <w:r w:rsidRPr="00FF427B">
        <w:rPr>
          <w:lang w:val="en-GB"/>
        </w:rPr>
        <w:t>Scopetti</w:t>
      </w:r>
      <w:proofErr w:type="spellEnd"/>
      <w:r w:rsidRPr="00FF427B">
        <w:rPr>
          <w:lang w:val="en-GB"/>
        </w:rPr>
        <w:t xml:space="preserve">, M., Frati, P. and </w:t>
      </w:r>
      <w:proofErr w:type="spellStart"/>
      <w:r w:rsidRPr="00FF427B">
        <w:rPr>
          <w:lang w:val="en-GB"/>
        </w:rPr>
        <w:t>Fineschi</w:t>
      </w:r>
      <w:proofErr w:type="spellEnd"/>
      <w:r w:rsidRPr="00FF427B">
        <w:rPr>
          <w:lang w:val="en-GB"/>
        </w:rPr>
        <w:t xml:space="preserve">, V., 2022. Medication errors in </w:t>
      </w:r>
      <w:proofErr w:type="spellStart"/>
      <w:r w:rsidRPr="00FF427B">
        <w:rPr>
          <w:lang w:val="en-GB"/>
        </w:rPr>
        <w:t>pediatrics</w:t>
      </w:r>
      <w:proofErr w:type="spellEnd"/>
      <w:r w:rsidRPr="00FF427B">
        <w:rPr>
          <w:lang w:val="en-GB"/>
        </w:rPr>
        <w:t>: proposals to improve the quality and safety of care through clinical risk management. </w:t>
      </w:r>
      <w:r w:rsidRPr="00FF427B">
        <w:rPr>
          <w:i/>
          <w:iCs/>
          <w:lang w:val="en-GB"/>
        </w:rPr>
        <w:t>Frontiers in Medicine</w:t>
      </w:r>
      <w:r w:rsidRPr="00FF427B">
        <w:rPr>
          <w:lang w:val="en-GB"/>
        </w:rPr>
        <w:t>, </w:t>
      </w:r>
      <w:r w:rsidRPr="00FF427B">
        <w:rPr>
          <w:i/>
          <w:iCs/>
          <w:lang w:val="en-GB"/>
        </w:rPr>
        <w:t>8</w:t>
      </w:r>
      <w:r w:rsidRPr="00FF427B">
        <w:rPr>
          <w:lang w:val="en-GB"/>
        </w:rPr>
        <w:t xml:space="preserve">, p.814100. </w:t>
      </w:r>
    </w:p>
    <w:p w14:paraId="16719A0D" w14:textId="77777777" w:rsidR="009E0174" w:rsidRPr="00FF427B" w:rsidRDefault="009E0174" w:rsidP="00797792">
      <w:pPr>
        <w:spacing w:before="240" w:line="360" w:lineRule="auto"/>
        <w:jc w:val="both"/>
        <w:rPr>
          <w:lang w:val="en-GB"/>
        </w:rPr>
      </w:pPr>
      <w:r w:rsidRPr="00FF427B">
        <w:rPr>
          <w:lang w:val="en-GB"/>
        </w:rPr>
        <w:t xml:space="preserve">Duncan, B., Natuhwera, G., Nassuuna, D., Katusabe, R., Kasozi, H. and </w:t>
      </w:r>
      <w:proofErr w:type="spellStart"/>
      <w:r w:rsidRPr="00FF427B">
        <w:rPr>
          <w:lang w:val="en-GB"/>
        </w:rPr>
        <w:t>Acuda</w:t>
      </w:r>
      <w:proofErr w:type="spellEnd"/>
      <w:r w:rsidRPr="00FF427B">
        <w:rPr>
          <w:lang w:val="en-GB"/>
        </w:rPr>
        <w:t xml:space="preserve">, W., 2025. Serious adverse drug reactions to long-term oral liquid morphine in patients with chronic pain: a cross-sectional survey in palliative care. </w:t>
      </w:r>
      <w:r w:rsidRPr="00FF427B">
        <w:rPr>
          <w:i/>
          <w:iCs/>
          <w:lang w:val="en-GB"/>
        </w:rPr>
        <w:t>Journal of Pain Research</w:t>
      </w:r>
      <w:r w:rsidRPr="00FF427B">
        <w:rPr>
          <w:lang w:val="en-GB"/>
        </w:rPr>
        <w:t>, pp.2361-2371.</w:t>
      </w:r>
    </w:p>
    <w:p w14:paraId="1F2F9C3F" w14:textId="77777777" w:rsidR="009E0174" w:rsidRPr="00FF427B" w:rsidRDefault="009E0174" w:rsidP="00797792">
      <w:pPr>
        <w:spacing w:before="240" w:line="360" w:lineRule="auto"/>
        <w:jc w:val="both"/>
        <w:rPr>
          <w:lang w:val="en-GB"/>
        </w:rPr>
      </w:pPr>
      <w:r w:rsidRPr="00FF427B">
        <w:rPr>
          <w:lang w:val="en-GB"/>
        </w:rPr>
        <w:t xml:space="preserve">Durojaiye, O.C., Fiori, C. and Cartwright, K., 2025. Delivery of Outpatient Parenteral Antimicrobial Therapy (OPAT) in an Ever-Changing National Health Service (UK): Benefits, Barriers, and Opportunities. </w:t>
      </w:r>
      <w:r w:rsidRPr="00FF427B">
        <w:rPr>
          <w:i/>
          <w:iCs/>
          <w:lang w:val="en-GB"/>
        </w:rPr>
        <w:t>Antibiotics</w:t>
      </w:r>
      <w:r w:rsidRPr="00FF427B">
        <w:rPr>
          <w:lang w:val="en-GB"/>
        </w:rPr>
        <w:t xml:space="preserve">, </w:t>
      </w:r>
      <w:r w:rsidRPr="00FF427B">
        <w:rPr>
          <w:i/>
          <w:iCs/>
          <w:lang w:val="en-GB"/>
        </w:rPr>
        <w:t>14</w:t>
      </w:r>
      <w:r w:rsidRPr="00FF427B">
        <w:rPr>
          <w:lang w:val="en-GB"/>
        </w:rPr>
        <w:t>(5), p.451.</w:t>
      </w:r>
    </w:p>
    <w:p w14:paraId="0089E738" w14:textId="77777777" w:rsidR="009E0174" w:rsidRPr="00FF427B" w:rsidRDefault="009E0174" w:rsidP="00797792">
      <w:pPr>
        <w:spacing w:before="240" w:line="360" w:lineRule="auto"/>
        <w:jc w:val="both"/>
        <w:rPr>
          <w:lang w:val="en-GB"/>
        </w:rPr>
      </w:pPr>
      <w:proofErr w:type="spellStart"/>
      <w:r w:rsidRPr="00FF427B">
        <w:rPr>
          <w:lang w:val="en-GB"/>
        </w:rPr>
        <w:lastRenderedPageBreak/>
        <w:t>Efunniyi</w:t>
      </w:r>
      <w:proofErr w:type="spellEnd"/>
      <w:r w:rsidRPr="00FF427B">
        <w:rPr>
          <w:lang w:val="en-GB"/>
        </w:rPr>
        <w:t xml:space="preserve">, C.P., </w:t>
      </w:r>
      <w:proofErr w:type="spellStart"/>
      <w:r w:rsidRPr="00FF427B">
        <w:rPr>
          <w:lang w:val="en-GB"/>
        </w:rPr>
        <w:t>Abhulimen</w:t>
      </w:r>
      <w:proofErr w:type="spellEnd"/>
      <w:r w:rsidRPr="00FF427B">
        <w:rPr>
          <w:lang w:val="en-GB"/>
        </w:rPr>
        <w:t xml:space="preserve">, A.O., </w:t>
      </w:r>
      <w:proofErr w:type="spellStart"/>
      <w:r w:rsidRPr="00FF427B">
        <w:rPr>
          <w:lang w:val="en-GB"/>
        </w:rPr>
        <w:t>Obiki-Osafiele</w:t>
      </w:r>
      <w:proofErr w:type="spellEnd"/>
      <w:r w:rsidRPr="00FF427B">
        <w:rPr>
          <w:lang w:val="en-GB"/>
        </w:rPr>
        <w:t xml:space="preserve">, A.N., </w:t>
      </w:r>
      <w:proofErr w:type="spellStart"/>
      <w:r w:rsidRPr="00FF427B">
        <w:rPr>
          <w:lang w:val="en-GB"/>
        </w:rPr>
        <w:t>Osundare</w:t>
      </w:r>
      <w:proofErr w:type="spellEnd"/>
      <w:r w:rsidRPr="00FF427B">
        <w:rPr>
          <w:lang w:val="en-GB"/>
        </w:rPr>
        <w:t xml:space="preserve">, O.S., Agu, E.E. and Adeniran, I.A., 2024. Strengthening corporate governance and financial compliance: Enhancing accountability and transparency. </w:t>
      </w:r>
      <w:r w:rsidRPr="00FF427B">
        <w:rPr>
          <w:i/>
          <w:iCs/>
          <w:lang w:val="en-GB"/>
        </w:rPr>
        <w:t>Finance &amp; Accounting Research Journal</w:t>
      </w:r>
      <w:r w:rsidRPr="00FF427B">
        <w:rPr>
          <w:lang w:val="en-GB"/>
        </w:rPr>
        <w:t xml:space="preserve">, </w:t>
      </w:r>
      <w:r w:rsidRPr="00FF427B">
        <w:rPr>
          <w:i/>
          <w:iCs/>
          <w:lang w:val="en-GB"/>
        </w:rPr>
        <w:t>6</w:t>
      </w:r>
      <w:r w:rsidRPr="00FF427B">
        <w:rPr>
          <w:lang w:val="en-GB"/>
        </w:rPr>
        <w:t>(8), pp.1597-1616.</w:t>
      </w:r>
    </w:p>
    <w:p w14:paraId="45780A03" w14:textId="77777777" w:rsidR="009E0174" w:rsidRPr="00FF427B" w:rsidRDefault="009E0174" w:rsidP="00797792">
      <w:pPr>
        <w:spacing w:before="240" w:line="360" w:lineRule="auto"/>
        <w:jc w:val="both"/>
        <w:rPr>
          <w:lang w:val="en-GB"/>
        </w:rPr>
      </w:pPr>
      <w:r w:rsidRPr="00FF427B">
        <w:rPr>
          <w:lang w:val="en-GB"/>
        </w:rPr>
        <w:t xml:space="preserve">Falade, I.M., </w:t>
      </w:r>
      <w:proofErr w:type="spellStart"/>
      <w:r w:rsidRPr="00FF427B">
        <w:rPr>
          <w:lang w:val="en-GB"/>
        </w:rPr>
        <w:t>Gyampoh</w:t>
      </w:r>
      <w:proofErr w:type="spellEnd"/>
      <w:r w:rsidRPr="00FF427B">
        <w:rPr>
          <w:lang w:val="en-GB"/>
        </w:rPr>
        <w:t xml:space="preserve">, G.K.S., </w:t>
      </w:r>
      <w:proofErr w:type="spellStart"/>
      <w:r w:rsidRPr="00FF427B">
        <w:rPr>
          <w:lang w:val="en-GB"/>
        </w:rPr>
        <w:t>Akpamgbo</w:t>
      </w:r>
      <w:proofErr w:type="spellEnd"/>
      <w:r w:rsidRPr="00FF427B">
        <w:rPr>
          <w:lang w:val="en-GB"/>
        </w:rPr>
        <w:t xml:space="preserve">, E.O., Chika, O.C., Obodo, O.R., </w:t>
      </w:r>
      <w:proofErr w:type="spellStart"/>
      <w:r w:rsidRPr="00FF427B">
        <w:rPr>
          <w:lang w:val="en-GB"/>
        </w:rPr>
        <w:t>Okobi</w:t>
      </w:r>
      <w:proofErr w:type="spellEnd"/>
      <w:r w:rsidRPr="00FF427B">
        <w:rPr>
          <w:lang w:val="en-GB"/>
        </w:rPr>
        <w:t xml:space="preserve">, O.E., </w:t>
      </w:r>
      <w:proofErr w:type="spellStart"/>
      <w:r w:rsidRPr="00FF427B">
        <w:rPr>
          <w:lang w:val="en-GB"/>
        </w:rPr>
        <w:t>Aguguo</w:t>
      </w:r>
      <w:proofErr w:type="spellEnd"/>
      <w:r w:rsidRPr="00FF427B">
        <w:rPr>
          <w:lang w:val="en-GB"/>
        </w:rPr>
        <w:t xml:space="preserve">, J.C. and Chukwu, V.U., 2024. A comprehensive review of effective patient safety and quality improvement programs in healthcare facilities. </w:t>
      </w:r>
      <w:r w:rsidRPr="00FF427B">
        <w:rPr>
          <w:i/>
          <w:iCs/>
          <w:lang w:val="en-GB"/>
        </w:rPr>
        <w:t>Medical Research Archives</w:t>
      </w:r>
      <w:r w:rsidRPr="00FF427B">
        <w:rPr>
          <w:lang w:val="en-GB"/>
        </w:rPr>
        <w:t xml:space="preserve">, </w:t>
      </w:r>
      <w:r w:rsidRPr="00FF427B">
        <w:rPr>
          <w:i/>
          <w:iCs/>
          <w:lang w:val="en-GB"/>
        </w:rPr>
        <w:t>12</w:t>
      </w:r>
      <w:r w:rsidRPr="00FF427B">
        <w:rPr>
          <w:lang w:val="en-GB"/>
        </w:rPr>
        <w:t>(7).</w:t>
      </w:r>
    </w:p>
    <w:p w14:paraId="2924F78C" w14:textId="77777777" w:rsidR="009E0174" w:rsidRPr="00FF427B" w:rsidRDefault="009E0174" w:rsidP="00797792">
      <w:pPr>
        <w:spacing w:before="240" w:line="360" w:lineRule="auto"/>
        <w:jc w:val="both"/>
        <w:rPr>
          <w:lang w:val="en-GB"/>
        </w:rPr>
      </w:pPr>
      <w:r w:rsidRPr="00FF427B">
        <w:rPr>
          <w:lang w:val="en-GB"/>
        </w:rPr>
        <w:t>Fukami, T. and FUKAMI, T., 2024. Enhancing healthcare accountability for administrators: fostering transparency for patient safety and quality enhancement. </w:t>
      </w:r>
      <w:r w:rsidRPr="00FF427B">
        <w:rPr>
          <w:i/>
          <w:iCs/>
          <w:lang w:val="en-GB"/>
        </w:rPr>
        <w:t>Cureus</w:t>
      </w:r>
      <w:r w:rsidRPr="00FF427B">
        <w:rPr>
          <w:lang w:val="en-GB"/>
        </w:rPr>
        <w:t>, </w:t>
      </w:r>
      <w:r w:rsidRPr="00FF427B">
        <w:rPr>
          <w:i/>
          <w:iCs/>
          <w:lang w:val="en-GB"/>
        </w:rPr>
        <w:t>16</w:t>
      </w:r>
      <w:r w:rsidRPr="00FF427B">
        <w:rPr>
          <w:lang w:val="en-GB"/>
        </w:rPr>
        <w:t>(8).</w:t>
      </w:r>
    </w:p>
    <w:p w14:paraId="0A398EBA" w14:textId="77777777" w:rsidR="009E0174" w:rsidRPr="00FF427B" w:rsidRDefault="009E0174" w:rsidP="00797792">
      <w:pPr>
        <w:spacing w:before="240" w:line="360" w:lineRule="auto"/>
        <w:jc w:val="both"/>
        <w:rPr>
          <w:lang w:val="en-GB"/>
        </w:rPr>
      </w:pPr>
      <w:r w:rsidRPr="00FF427B">
        <w:rPr>
          <w:lang w:val="en-GB"/>
        </w:rPr>
        <w:t xml:space="preserve">gov.uk, 2018. </w:t>
      </w:r>
      <w:r w:rsidRPr="00FF427B">
        <w:rPr>
          <w:i/>
          <w:iCs/>
          <w:lang w:val="en-GB"/>
        </w:rPr>
        <w:t>Learning from Gosport.</w:t>
      </w:r>
      <w:r w:rsidRPr="00FF427B">
        <w:rPr>
          <w:lang w:val="en-GB"/>
        </w:rPr>
        <w:t xml:space="preserve"> Available at: </w:t>
      </w:r>
      <w:hyperlink r:id="rId13" w:history="1">
        <w:r w:rsidRPr="00FF427B">
          <w:rPr>
            <w:rStyle w:val="Hyperlink"/>
            <w:color w:val="auto"/>
            <w:lang w:val="en-GB"/>
          </w:rPr>
          <w:t>https://assets.publishing.service.gov.uk/media/5bf55a80ed915d1827f17c39/government-response-to-gosport-independent-panel-report.pdf</w:t>
        </w:r>
      </w:hyperlink>
      <w:r w:rsidRPr="00FF427B">
        <w:rPr>
          <w:lang w:val="en-GB"/>
        </w:rPr>
        <w:t xml:space="preserve"> [Accessed on: 25/6/2026] </w:t>
      </w:r>
    </w:p>
    <w:p w14:paraId="5D253961" w14:textId="77777777" w:rsidR="009E0174" w:rsidRPr="00FF427B" w:rsidRDefault="009E0174" w:rsidP="00797792">
      <w:pPr>
        <w:spacing w:before="240" w:line="360" w:lineRule="auto"/>
        <w:jc w:val="both"/>
        <w:rPr>
          <w:lang w:val="en-GB"/>
        </w:rPr>
      </w:pPr>
      <w:r w:rsidRPr="00FF427B">
        <w:rPr>
          <w:lang w:val="en-GB"/>
        </w:rPr>
        <w:t xml:space="preserve">Huang, C.H., Wu, H.H., Lee, Y.C. and Li, X., 2024. The critical role of leadership in patient safety culture: a mediation analysis of management influence on safety factors. </w:t>
      </w:r>
      <w:r w:rsidRPr="00FF427B">
        <w:rPr>
          <w:i/>
          <w:iCs/>
          <w:lang w:val="en-GB"/>
        </w:rPr>
        <w:t>Risk management and healthcare policy</w:t>
      </w:r>
      <w:r w:rsidRPr="00FF427B">
        <w:rPr>
          <w:lang w:val="en-GB"/>
        </w:rPr>
        <w:t>, pp.513-523.</w:t>
      </w:r>
    </w:p>
    <w:p w14:paraId="781726D6" w14:textId="77777777" w:rsidR="009E0174" w:rsidRPr="00FF427B" w:rsidRDefault="009E0174" w:rsidP="00797792">
      <w:pPr>
        <w:spacing w:before="240" w:line="360" w:lineRule="auto"/>
        <w:jc w:val="both"/>
        <w:rPr>
          <w:lang w:val="en-GB"/>
        </w:rPr>
      </w:pPr>
      <w:r w:rsidRPr="00FF427B">
        <w:rPr>
          <w:lang w:val="en-GB"/>
        </w:rPr>
        <w:t xml:space="preserve">Idris, S.A., Hussien, T.M.A., Al-Shammari, F.F., Nagi, H.A., Bashir, A.I., </w:t>
      </w:r>
      <w:proofErr w:type="spellStart"/>
      <w:r w:rsidRPr="00FF427B">
        <w:rPr>
          <w:lang w:val="en-GB"/>
        </w:rPr>
        <w:t>Elhussein</w:t>
      </w:r>
      <w:proofErr w:type="spellEnd"/>
      <w:r w:rsidRPr="00FF427B">
        <w:rPr>
          <w:lang w:val="en-GB"/>
        </w:rPr>
        <w:t xml:space="preserve">, G.E.M.O., Abdalla, R.A.H., Mohammed, H.M.E., Abdelaziz, W.E., Alshammari, A.D. and </w:t>
      </w:r>
      <w:proofErr w:type="spellStart"/>
      <w:r w:rsidRPr="00FF427B">
        <w:rPr>
          <w:lang w:val="en-GB"/>
        </w:rPr>
        <w:t>Alreshidi</w:t>
      </w:r>
      <w:proofErr w:type="spellEnd"/>
      <w:r w:rsidRPr="00FF427B">
        <w:rPr>
          <w:lang w:val="en-GB"/>
        </w:rPr>
        <w:t xml:space="preserve">, H.F.H., 2024, November. An evaluation of drug prescribing patterns and prescription completeness. In </w:t>
      </w:r>
      <w:r w:rsidRPr="00FF427B">
        <w:rPr>
          <w:i/>
          <w:iCs/>
          <w:lang w:val="en-GB"/>
        </w:rPr>
        <w:t>Healthcare</w:t>
      </w:r>
      <w:r w:rsidRPr="00FF427B">
        <w:rPr>
          <w:lang w:val="en-GB"/>
        </w:rPr>
        <w:t xml:space="preserve"> (Vol. 12, No. 22, p. 2221). MDPI.</w:t>
      </w:r>
    </w:p>
    <w:p w14:paraId="2B39CF76" w14:textId="77777777" w:rsidR="009E0174" w:rsidRPr="00FF427B" w:rsidRDefault="009E0174" w:rsidP="00797792">
      <w:pPr>
        <w:spacing w:before="240" w:line="360" w:lineRule="auto"/>
        <w:jc w:val="both"/>
        <w:rPr>
          <w:lang w:val="en-GB"/>
        </w:rPr>
      </w:pPr>
      <w:proofErr w:type="spellStart"/>
      <w:r w:rsidRPr="00FF427B">
        <w:rPr>
          <w:lang w:val="en-GB"/>
        </w:rPr>
        <w:t>Jedwab</w:t>
      </w:r>
      <w:proofErr w:type="spellEnd"/>
      <w:r w:rsidRPr="00FF427B">
        <w:rPr>
          <w:lang w:val="en-GB"/>
        </w:rPr>
        <w:t xml:space="preserve">, R.M., Franco, M., Owen, D., Ingram, A., Redley, B. and </w:t>
      </w:r>
      <w:proofErr w:type="spellStart"/>
      <w:r w:rsidRPr="00FF427B">
        <w:rPr>
          <w:lang w:val="en-GB"/>
        </w:rPr>
        <w:t>Dobroff</w:t>
      </w:r>
      <w:proofErr w:type="spellEnd"/>
      <w:r w:rsidRPr="00FF427B">
        <w:rPr>
          <w:lang w:val="en-GB"/>
        </w:rPr>
        <w:t>, N., 2022. Improving the quality of electronic medical record documentation: development of a compliance and quality program. </w:t>
      </w:r>
      <w:r w:rsidRPr="00FF427B">
        <w:rPr>
          <w:i/>
          <w:iCs/>
          <w:lang w:val="en-GB"/>
        </w:rPr>
        <w:t>Applied clinical informatics</w:t>
      </w:r>
      <w:r w:rsidRPr="00FF427B">
        <w:rPr>
          <w:lang w:val="en-GB"/>
        </w:rPr>
        <w:t>, </w:t>
      </w:r>
      <w:r w:rsidRPr="00FF427B">
        <w:rPr>
          <w:i/>
          <w:iCs/>
          <w:lang w:val="en-GB"/>
        </w:rPr>
        <w:t>13</w:t>
      </w:r>
      <w:r w:rsidRPr="00FF427B">
        <w:rPr>
          <w:lang w:val="en-GB"/>
        </w:rPr>
        <w:t xml:space="preserve">(04), pp.836-844. </w:t>
      </w:r>
    </w:p>
    <w:p w14:paraId="63D8B51C" w14:textId="77777777" w:rsidR="009E0174" w:rsidRPr="00FF427B" w:rsidRDefault="009E0174" w:rsidP="00797792">
      <w:pPr>
        <w:spacing w:before="240" w:line="360" w:lineRule="auto"/>
        <w:jc w:val="both"/>
        <w:rPr>
          <w:lang w:val="en-GB"/>
        </w:rPr>
      </w:pPr>
      <w:r w:rsidRPr="00FF427B">
        <w:rPr>
          <w:lang w:val="en-GB"/>
        </w:rPr>
        <w:t xml:space="preserve">Kassa, D., Huml, Z. and Wispelwey, B., 2025. Neglected Harms: Health Workers Organizing for Accountability in Tigray. </w:t>
      </w:r>
      <w:r w:rsidRPr="00FF427B">
        <w:rPr>
          <w:i/>
          <w:iCs/>
          <w:lang w:val="en-GB"/>
        </w:rPr>
        <w:t>Health and Human Rights</w:t>
      </w:r>
      <w:r w:rsidRPr="00FF427B">
        <w:rPr>
          <w:lang w:val="en-GB"/>
        </w:rPr>
        <w:t xml:space="preserve">, </w:t>
      </w:r>
      <w:r w:rsidRPr="00FF427B">
        <w:rPr>
          <w:i/>
          <w:iCs/>
          <w:lang w:val="en-GB"/>
        </w:rPr>
        <w:t>27</w:t>
      </w:r>
      <w:r w:rsidRPr="00FF427B">
        <w:rPr>
          <w:lang w:val="en-GB"/>
        </w:rPr>
        <w:t>(2), p.39.</w:t>
      </w:r>
    </w:p>
    <w:p w14:paraId="6A6B289B" w14:textId="77777777" w:rsidR="009E0174" w:rsidRPr="00FF427B" w:rsidRDefault="009E0174" w:rsidP="00797792">
      <w:pPr>
        <w:spacing w:before="240" w:line="360" w:lineRule="auto"/>
        <w:jc w:val="both"/>
        <w:rPr>
          <w:lang w:val="en-GB"/>
        </w:rPr>
      </w:pPr>
      <w:r w:rsidRPr="00FF427B">
        <w:rPr>
          <w:lang w:val="en-GB"/>
        </w:rPr>
        <w:t xml:space="preserve">Kumah, A., Nwogu, C.N., Issah, A.R., Obot, E., </w:t>
      </w:r>
      <w:proofErr w:type="spellStart"/>
      <w:r w:rsidRPr="00FF427B">
        <w:rPr>
          <w:lang w:val="en-GB"/>
        </w:rPr>
        <w:t>Kanamitie</w:t>
      </w:r>
      <w:proofErr w:type="spellEnd"/>
      <w:r w:rsidRPr="00FF427B">
        <w:rPr>
          <w:lang w:val="en-GB"/>
        </w:rPr>
        <w:t xml:space="preserve">, D.T., Sifa, J.S. and Aidoo, L.A., 2024. Cause-and-effect (fishbone) diagram: a tool for generating and organizing quality improvement ideas. </w:t>
      </w:r>
      <w:r w:rsidRPr="00FF427B">
        <w:rPr>
          <w:i/>
          <w:iCs/>
          <w:lang w:val="en-GB"/>
        </w:rPr>
        <w:t>Global Journal on Quality and Safety in Healthcare</w:t>
      </w:r>
      <w:r w:rsidRPr="00FF427B">
        <w:rPr>
          <w:lang w:val="en-GB"/>
        </w:rPr>
        <w:t xml:space="preserve">, </w:t>
      </w:r>
      <w:r w:rsidRPr="00FF427B">
        <w:rPr>
          <w:i/>
          <w:iCs/>
          <w:lang w:val="en-GB"/>
        </w:rPr>
        <w:t>7</w:t>
      </w:r>
      <w:r w:rsidRPr="00FF427B">
        <w:rPr>
          <w:lang w:val="en-GB"/>
        </w:rPr>
        <w:t>(2), pp.85-87.</w:t>
      </w:r>
    </w:p>
    <w:p w14:paraId="2C01BC4B" w14:textId="77777777" w:rsidR="009E0174" w:rsidRPr="00FF427B" w:rsidRDefault="009E0174" w:rsidP="00797792">
      <w:pPr>
        <w:spacing w:before="240" w:line="360" w:lineRule="auto"/>
        <w:jc w:val="both"/>
        <w:rPr>
          <w:lang w:val="en-GB"/>
        </w:rPr>
      </w:pPr>
      <w:r w:rsidRPr="00FF427B">
        <w:rPr>
          <w:lang w:val="en-GB"/>
        </w:rPr>
        <w:t xml:space="preserve">Majka, M., 2024. </w:t>
      </w:r>
      <w:r w:rsidRPr="00FF427B">
        <w:rPr>
          <w:i/>
          <w:iCs/>
          <w:lang w:val="en-GB"/>
        </w:rPr>
        <w:t>Root Cause Analysis</w:t>
      </w:r>
      <w:r w:rsidRPr="00FF427B">
        <w:rPr>
          <w:lang w:val="en-GB"/>
        </w:rPr>
        <w:t xml:space="preserve"> [online]</w:t>
      </w:r>
    </w:p>
    <w:p w14:paraId="59A157FF" w14:textId="77777777" w:rsidR="009E0174" w:rsidRPr="00FF427B" w:rsidRDefault="009E0174" w:rsidP="00797792">
      <w:pPr>
        <w:spacing w:before="240" w:line="360" w:lineRule="auto"/>
        <w:jc w:val="both"/>
        <w:rPr>
          <w:lang w:val="en-GB"/>
        </w:rPr>
      </w:pPr>
      <w:r w:rsidRPr="00FF427B">
        <w:rPr>
          <w:lang w:val="en-GB"/>
        </w:rPr>
        <w:lastRenderedPageBreak/>
        <w:t xml:space="preserve">Marie, B.J.S., Witry, M.J. and Reist, J.C., 2023. Barriers to increasing prescription drug monitoring program use: a multidisciplinary perspective. </w:t>
      </w:r>
      <w:r w:rsidRPr="00FF427B">
        <w:rPr>
          <w:i/>
          <w:iCs/>
          <w:lang w:val="en-GB"/>
        </w:rPr>
        <w:t>CIN: Computers, Informatics, Nursing</w:t>
      </w:r>
      <w:r w:rsidRPr="00FF427B">
        <w:rPr>
          <w:lang w:val="en-GB"/>
        </w:rPr>
        <w:t xml:space="preserve">, </w:t>
      </w:r>
      <w:r w:rsidRPr="00FF427B">
        <w:rPr>
          <w:i/>
          <w:iCs/>
          <w:lang w:val="en-GB"/>
        </w:rPr>
        <w:t>41</w:t>
      </w:r>
      <w:r w:rsidRPr="00FF427B">
        <w:rPr>
          <w:lang w:val="en-GB"/>
        </w:rPr>
        <w:t>(8), pp.556-562.</w:t>
      </w:r>
    </w:p>
    <w:p w14:paraId="1DB9A7CF" w14:textId="77777777" w:rsidR="009E0174" w:rsidRPr="00FF427B" w:rsidRDefault="009E0174" w:rsidP="00797792">
      <w:pPr>
        <w:spacing w:before="240" w:line="360" w:lineRule="auto"/>
        <w:jc w:val="both"/>
        <w:rPr>
          <w:lang w:val="en-GB"/>
        </w:rPr>
      </w:pPr>
      <w:r w:rsidRPr="00FF427B">
        <w:rPr>
          <w:lang w:val="en-GB"/>
        </w:rPr>
        <w:t xml:space="preserve">McCullough, K., Andrew, L., </w:t>
      </w:r>
      <w:proofErr w:type="spellStart"/>
      <w:r w:rsidRPr="00FF427B">
        <w:rPr>
          <w:lang w:val="en-GB"/>
        </w:rPr>
        <w:t>Genoni</w:t>
      </w:r>
      <w:proofErr w:type="spellEnd"/>
      <w:r w:rsidRPr="00FF427B">
        <w:rPr>
          <w:lang w:val="en-GB"/>
        </w:rPr>
        <w:t xml:space="preserve">, A., Dunham, M., Whitehead, L. and </w:t>
      </w:r>
      <w:proofErr w:type="spellStart"/>
      <w:r w:rsidRPr="00FF427B">
        <w:rPr>
          <w:lang w:val="en-GB"/>
        </w:rPr>
        <w:t>Porock</w:t>
      </w:r>
      <w:proofErr w:type="spellEnd"/>
      <w:r w:rsidRPr="00FF427B">
        <w:rPr>
          <w:lang w:val="en-GB"/>
        </w:rPr>
        <w:t xml:space="preserve">, D., 2023. An examination of primary health care nursing service evaluation using the Donabedian model: A systematic review. </w:t>
      </w:r>
      <w:r w:rsidRPr="00FF427B">
        <w:rPr>
          <w:i/>
          <w:iCs/>
          <w:lang w:val="en-GB"/>
        </w:rPr>
        <w:t>Research in nursing &amp; health</w:t>
      </w:r>
      <w:r w:rsidRPr="00FF427B">
        <w:rPr>
          <w:lang w:val="en-GB"/>
        </w:rPr>
        <w:t xml:space="preserve">, </w:t>
      </w:r>
      <w:r w:rsidRPr="00FF427B">
        <w:rPr>
          <w:i/>
          <w:iCs/>
          <w:lang w:val="en-GB"/>
        </w:rPr>
        <w:t>46</w:t>
      </w:r>
      <w:r w:rsidRPr="00FF427B">
        <w:rPr>
          <w:lang w:val="en-GB"/>
        </w:rPr>
        <w:t>(1), pp.159-176.</w:t>
      </w:r>
    </w:p>
    <w:p w14:paraId="76675F53" w14:textId="77777777" w:rsidR="009E0174" w:rsidRPr="00FF427B" w:rsidRDefault="009E0174" w:rsidP="00797792">
      <w:pPr>
        <w:spacing w:before="240" w:line="360" w:lineRule="auto"/>
        <w:jc w:val="both"/>
        <w:rPr>
          <w:lang w:val="en-GB"/>
        </w:rPr>
      </w:pPr>
      <w:r w:rsidRPr="00FF427B">
        <w:rPr>
          <w:lang w:val="en-GB"/>
        </w:rPr>
        <w:t xml:space="preserve">Mistri, I.U., Badge, A. and Shahu, S., 2023. Enhancing patient safety culture in hospitals. </w:t>
      </w:r>
      <w:r w:rsidRPr="00FF427B">
        <w:rPr>
          <w:i/>
          <w:iCs/>
          <w:lang w:val="en-GB"/>
        </w:rPr>
        <w:t>Cureus</w:t>
      </w:r>
      <w:r w:rsidRPr="00FF427B">
        <w:rPr>
          <w:lang w:val="en-GB"/>
        </w:rPr>
        <w:t xml:space="preserve">, </w:t>
      </w:r>
      <w:r w:rsidRPr="00FF427B">
        <w:rPr>
          <w:i/>
          <w:iCs/>
          <w:lang w:val="en-GB"/>
        </w:rPr>
        <w:t>15</w:t>
      </w:r>
      <w:r w:rsidRPr="00FF427B">
        <w:rPr>
          <w:lang w:val="en-GB"/>
        </w:rPr>
        <w:t>(12), p.e51159.</w:t>
      </w:r>
    </w:p>
    <w:p w14:paraId="76C0FD04" w14:textId="77777777" w:rsidR="009E0174" w:rsidRPr="00FF427B" w:rsidRDefault="009E0174" w:rsidP="00797792">
      <w:pPr>
        <w:spacing w:before="240" w:line="360" w:lineRule="auto"/>
        <w:jc w:val="both"/>
        <w:rPr>
          <w:lang w:val="en-GB"/>
        </w:rPr>
      </w:pPr>
      <w:r w:rsidRPr="00FF427B">
        <w:rPr>
          <w:lang w:val="en-GB"/>
        </w:rPr>
        <w:t xml:space="preserve">Modise, J.M., 2023. Ineffective leaders are unable to carry out leadership actions successfully and exhibit incompatible leadership traits. </w:t>
      </w:r>
      <w:r w:rsidRPr="00FF427B">
        <w:rPr>
          <w:i/>
          <w:iCs/>
          <w:lang w:val="en-GB"/>
        </w:rPr>
        <w:t>International Journal of Innovative Science and Research Technology</w:t>
      </w:r>
      <w:r w:rsidRPr="00FF427B">
        <w:rPr>
          <w:lang w:val="en-GB"/>
        </w:rPr>
        <w:t xml:space="preserve">, </w:t>
      </w:r>
      <w:r w:rsidRPr="00FF427B">
        <w:rPr>
          <w:i/>
          <w:iCs/>
          <w:lang w:val="en-GB"/>
        </w:rPr>
        <w:t>8</w:t>
      </w:r>
      <w:r w:rsidRPr="00FF427B">
        <w:rPr>
          <w:lang w:val="en-GB"/>
        </w:rPr>
        <w:t>(8), pp.2333-2350.</w:t>
      </w:r>
    </w:p>
    <w:p w14:paraId="705E2A4A" w14:textId="77777777" w:rsidR="009E0174" w:rsidRPr="00FF427B" w:rsidRDefault="009E0174" w:rsidP="00797792">
      <w:pPr>
        <w:spacing w:before="240" w:line="360" w:lineRule="auto"/>
        <w:jc w:val="both"/>
        <w:rPr>
          <w:lang w:val="en-GB"/>
        </w:rPr>
      </w:pPr>
      <w:proofErr w:type="spellStart"/>
      <w:r w:rsidRPr="00FF427B">
        <w:rPr>
          <w:lang w:val="en-GB"/>
        </w:rPr>
        <w:t>Paternò</w:t>
      </w:r>
      <w:proofErr w:type="spellEnd"/>
      <w:r w:rsidRPr="00FF427B">
        <w:rPr>
          <w:lang w:val="en-GB"/>
        </w:rPr>
        <w:t xml:space="preserve"> Holtzman, L., Valente, N.A., Vittorini </w:t>
      </w:r>
      <w:proofErr w:type="spellStart"/>
      <w:r w:rsidRPr="00FF427B">
        <w:rPr>
          <w:lang w:val="en-GB"/>
        </w:rPr>
        <w:t>Orgeas</w:t>
      </w:r>
      <w:proofErr w:type="spellEnd"/>
      <w:r w:rsidRPr="00FF427B">
        <w:rPr>
          <w:lang w:val="en-GB"/>
        </w:rPr>
        <w:t xml:space="preserve">, G., Copes, L., </w:t>
      </w:r>
      <w:proofErr w:type="spellStart"/>
      <w:r w:rsidRPr="00FF427B">
        <w:rPr>
          <w:lang w:val="en-GB"/>
        </w:rPr>
        <w:t>Discepoli</w:t>
      </w:r>
      <w:proofErr w:type="spellEnd"/>
      <w:r w:rsidRPr="00FF427B">
        <w:rPr>
          <w:lang w:val="en-GB"/>
        </w:rPr>
        <w:t xml:space="preserve">, N. and </w:t>
      </w:r>
      <w:proofErr w:type="spellStart"/>
      <w:r w:rsidRPr="00FF427B">
        <w:rPr>
          <w:lang w:val="en-GB"/>
        </w:rPr>
        <w:t>Clementini</w:t>
      </w:r>
      <w:proofErr w:type="spellEnd"/>
      <w:r w:rsidRPr="00FF427B">
        <w:rPr>
          <w:lang w:val="en-GB"/>
        </w:rPr>
        <w:t>, M., 2025. Change in clinical parameters after subgingival instrumentation for the treatment of periodontitis and timing of periodontal re</w:t>
      </w:r>
      <w:r w:rsidRPr="00FF427B">
        <w:rPr>
          <w:rFonts w:ascii="Cambria Math" w:hAnsi="Cambria Math" w:cs="Cambria Math"/>
          <w:lang w:val="en-GB"/>
        </w:rPr>
        <w:t>‐</w:t>
      </w:r>
      <w:r w:rsidRPr="00FF427B">
        <w:rPr>
          <w:lang w:val="en-GB"/>
        </w:rPr>
        <w:t>evaluation: A systematic review and meta</w:t>
      </w:r>
      <w:r w:rsidRPr="00FF427B">
        <w:rPr>
          <w:rFonts w:ascii="Cambria Math" w:hAnsi="Cambria Math" w:cs="Cambria Math"/>
          <w:lang w:val="en-GB"/>
        </w:rPr>
        <w:t>‐</w:t>
      </w:r>
      <w:r w:rsidRPr="00FF427B">
        <w:rPr>
          <w:lang w:val="en-GB"/>
        </w:rPr>
        <w:t xml:space="preserve">analysis. </w:t>
      </w:r>
      <w:r w:rsidRPr="00FF427B">
        <w:rPr>
          <w:i/>
          <w:iCs/>
          <w:lang w:val="en-GB"/>
        </w:rPr>
        <w:t>Journal of Clinical Periodontology</w:t>
      </w:r>
      <w:r w:rsidRPr="00FF427B">
        <w:rPr>
          <w:lang w:val="en-GB"/>
        </w:rPr>
        <w:t xml:space="preserve">, </w:t>
      </w:r>
      <w:r w:rsidRPr="00FF427B">
        <w:rPr>
          <w:i/>
          <w:iCs/>
          <w:lang w:val="en-GB"/>
        </w:rPr>
        <w:t>52</w:t>
      </w:r>
      <w:r w:rsidRPr="00FF427B">
        <w:rPr>
          <w:lang w:val="en-GB"/>
        </w:rPr>
        <w:t>(1), pp.137-158.</w:t>
      </w:r>
    </w:p>
    <w:p w14:paraId="67895E67" w14:textId="77777777" w:rsidR="009E0174" w:rsidRPr="00FF427B" w:rsidRDefault="009E0174" w:rsidP="00797792">
      <w:pPr>
        <w:spacing w:before="240" w:line="360" w:lineRule="auto"/>
        <w:jc w:val="both"/>
        <w:rPr>
          <w:lang w:val="en-GB"/>
        </w:rPr>
      </w:pPr>
      <w:r w:rsidRPr="00FF427B">
        <w:rPr>
          <w:lang w:val="en-GB"/>
        </w:rPr>
        <w:t xml:space="preserve">Quick, O., 2022. Duties of candour in healthcare: the truth, the whole truth, and nothing but the </w:t>
      </w:r>
      <w:proofErr w:type="gramStart"/>
      <w:r w:rsidRPr="00FF427B">
        <w:rPr>
          <w:lang w:val="en-GB"/>
        </w:rPr>
        <w:t>truth?.</w:t>
      </w:r>
      <w:proofErr w:type="gramEnd"/>
      <w:r w:rsidRPr="00FF427B">
        <w:rPr>
          <w:lang w:val="en-GB"/>
        </w:rPr>
        <w:t xml:space="preserve"> </w:t>
      </w:r>
      <w:r w:rsidRPr="00FF427B">
        <w:rPr>
          <w:i/>
          <w:iCs/>
          <w:lang w:val="en-GB"/>
        </w:rPr>
        <w:t>Medical Law Review</w:t>
      </w:r>
      <w:r w:rsidRPr="00FF427B">
        <w:rPr>
          <w:lang w:val="en-GB"/>
        </w:rPr>
        <w:t xml:space="preserve">, </w:t>
      </w:r>
      <w:r w:rsidRPr="00FF427B">
        <w:rPr>
          <w:i/>
          <w:iCs/>
          <w:lang w:val="en-GB"/>
        </w:rPr>
        <w:t>30</w:t>
      </w:r>
      <w:r w:rsidRPr="00FF427B">
        <w:rPr>
          <w:lang w:val="en-GB"/>
        </w:rPr>
        <w:t>(2), pp.324-347.</w:t>
      </w:r>
    </w:p>
    <w:p w14:paraId="1BF789A2" w14:textId="77777777" w:rsidR="009E0174" w:rsidRPr="00FF427B" w:rsidRDefault="009E0174" w:rsidP="00797792">
      <w:pPr>
        <w:spacing w:before="240" w:line="360" w:lineRule="auto"/>
        <w:jc w:val="both"/>
        <w:rPr>
          <w:lang w:val="en-GB"/>
        </w:rPr>
      </w:pPr>
      <w:proofErr w:type="spellStart"/>
      <w:r w:rsidRPr="00FF427B">
        <w:rPr>
          <w:lang w:val="en-GB"/>
        </w:rPr>
        <w:t>Realyvásquez</w:t>
      </w:r>
      <w:proofErr w:type="spellEnd"/>
      <w:r w:rsidRPr="00FF427B">
        <w:rPr>
          <w:lang w:val="en-GB"/>
        </w:rPr>
        <w:t xml:space="preserve"> Vargas, A., García Alcaraz, J.L., Satapathy, S., Coraza, D.A. and Báez López, Y., 2024. The PDCA (Plan-Do-Check-Act) Cycle. In </w:t>
      </w:r>
      <w:r w:rsidRPr="00FF427B">
        <w:rPr>
          <w:i/>
          <w:iCs/>
          <w:lang w:val="en-GB"/>
        </w:rPr>
        <w:t>Lean Manufacturing in Latin America: Concepts, Methodologies and Applications</w:t>
      </w:r>
      <w:r w:rsidRPr="00FF427B">
        <w:rPr>
          <w:lang w:val="en-GB"/>
        </w:rPr>
        <w:t xml:space="preserve"> (pp. 409-437). Cham: Springer Nature Switzerland.</w:t>
      </w:r>
    </w:p>
    <w:p w14:paraId="0267DB21" w14:textId="77777777" w:rsidR="009E0174" w:rsidRPr="00FF427B" w:rsidRDefault="009E0174" w:rsidP="00797792">
      <w:pPr>
        <w:spacing w:before="240" w:line="360" w:lineRule="auto"/>
        <w:jc w:val="both"/>
        <w:rPr>
          <w:lang w:val="en-GB"/>
        </w:rPr>
      </w:pPr>
      <w:r w:rsidRPr="00FF427B">
        <w:rPr>
          <w:lang w:val="en-GB"/>
        </w:rPr>
        <w:t xml:space="preserve">Sheikh, A., Coleman, J., Chuter, A., Williams, R., </w:t>
      </w:r>
      <w:proofErr w:type="spellStart"/>
      <w:r w:rsidRPr="00FF427B">
        <w:rPr>
          <w:lang w:val="en-GB"/>
        </w:rPr>
        <w:t>Lilford</w:t>
      </w:r>
      <w:proofErr w:type="spellEnd"/>
      <w:r w:rsidRPr="00FF427B">
        <w:rPr>
          <w:lang w:val="en-GB"/>
        </w:rPr>
        <w:t xml:space="preserve">, R., Slee, A., Morrison, Z., Cresswell, K., Robertson, A., Slight, S. and Mozaffar, H., 2022. Electronic prescribing systems in hospitals to improve medication safety: a </w:t>
      </w:r>
      <w:proofErr w:type="spellStart"/>
      <w:r w:rsidRPr="00FF427B">
        <w:rPr>
          <w:lang w:val="en-GB"/>
        </w:rPr>
        <w:t>multimethods</w:t>
      </w:r>
      <w:proofErr w:type="spellEnd"/>
      <w:r w:rsidRPr="00FF427B">
        <w:rPr>
          <w:lang w:val="en-GB"/>
        </w:rPr>
        <w:t xml:space="preserve"> research programme. </w:t>
      </w:r>
      <w:r w:rsidRPr="00FF427B">
        <w:rPr>
          <w:i/>
          <w:iCs/>
          <w:lang w:val="en-GB"/>
        </w:rPr>
        <w:t>Programme Grants for Applied Research</w:t>
      </w:r>
      <w:r w:rsidRPr="00FF427B">
        <w:rPr>
          <w:lang w:val="en-GB"/>
        </w:rPr>
        <w:t xml:space="preserve">, </w:t>
      </w:r>
      <w:r w:rsidRPr="00FF427B">
        <w:rPr>
          <w:i/>
          <w:iCs/>
          <w:lang w:val="en-GB"/>
        </w:rPr>
        <w:t>10</w:t>
      </w:r>
      <w:r w:rsidRPr="00FF427B">
        <w:rPr>
          <w:lang w:val="en-GB"/>
        </w:rPr>
        <w:t>(7), pp.1-164.</w:t>
      </w:r>
    </w:p>
    <w:p w14:paraId="654E3B35" w14:textId="77777777" w:rsidR="009E0174" w:rsidRPr="00FF427B" w:rsidRDefault="009E0174" w:rsidP="00797792">
      <w:pPr>
        <w:spacing w:before="240" w:line="360" w:lineRule="auto"/>
        <w:jc w:val="both"/>
        <w:rPr>
          <w:lang w:val="en-GB"/>
        </w:rPr>
      </w:pPr>
      <w:r w:rsidRPr="00FF427B">
        <w:rPr>
          <w:lang w:val="en-GB"/>
        </w:rPr>
        <w:t xml:space="preserve">Varga, A.I., Spehar, I. and </w:t>
      </w:r>
      <w:proofErr w:type="spellStart"/>
      <w:r w:rsidRPr="00FF427B">
        <w:rPr>
          <w:lang w:val="en-GB"/>
        </w:rPr>
        <w:t>Skirbekk</w:t>
      </w:r>
      <w:proofErr w:type="spellEnd"/>
      <w:r w:rsidRPr="00FF427B">
        <w:rPr>
          <w:lang w:val="en-GB"/>
        </w:rPr>
        <w:t xml:space="preserve">, H., 2023. Trustworthy management in hospital settings: a systematic review. </w:t>
      </w:r>
      <w:r w:rsidRPr="00FF427B">
        <w:rPr>
          <w:i/>
          <w:iCs/>
          <w:lang w:val="en-GB"/>
        </w:rPr>
        <w:t>BMC Health Services Research</w:t>
      </w:r>
      <w:r w:rsidRPr="00FF427B">
        <w:rPr>
          <w:lang w:val="en-GB"/>
        </w:rPr>
        <w:t xml:space="preserve">, </w:t>
      </w:r>
      <w:r w:rsidRPr="00FF427B">
        <w:rPr>
          <w:i/>
          <w:iCs/>
          <w:lang w:val="en-GB"/>
        </w:rPr>
        <w:t>23</w:t>
      </w:r>
      <w:r w:rsidRPr="00FF427B">
        <w:rPr>
          <w:lang w:val="en-GB"/>
        </w:rPr>
        <w:t>(1), p.662.</w:t>
      </w:r>
    </w:p>
    <w:p w14:paraId="564D6D7F" w14:textId="77777777" w:rsidR="009E0174" w:rsidRPr="00FF427B" w:rsidRDefault="009E0174" w:rsidP="00797792">
      <w:pPr>
        <w:spacing w:before="240" w:after="160" w:line="360" w:lineRule="auto"/>
        <w:jc w:val="both"/>
        <w:rPr>
          <w:lang w:val="en-GB"/>
        </w:rPr>
      </w:pPr>
    </w:p>
    <w:p w14:paraId="128468CA" w14:textId="77777777" w:rsidR="00FB341B" w:rsidRPr="00FF427B" w:rsidRDefault="00FB341B" w:rsidP="00797792">
      <w:pPr>
        <w:spacing w:before="240" w:line="360" w:lineRule="auto"/>
        <w:jc w:val="both"/>
        <w:rPr>
          <w:rFonts w:eastAsia="Times New Roman"/>
          <w:b/>
          <w:bCs/>
          <w:lang w:val="en-GB"/>
        </w:rPr>
      </w:pPr>
    </w:p>
    <w:sectPr w:rsidR="00FB341B" w:rsidRPr="00FF427B">
      <w:foot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E27DA8" w14:textId="77777777" w:rsidR="00997704" w:rsidRDefault="00997704" w:rsidP="00174576">
      <w:pPr>
        <w:spacing w:line="240" w:lineRule="auto"/>
      </w:pPr>
      <w:r>
        <w:separator/>
      </w:r>
    </w:p>
  </w:endnote>
  <w:endnote w:type="continuationSeparator" w:id="0">
    <w:p w14:paraId="0518EC12" w14:textId="77777777" w:rsidR="00997704" w:rsidRDefault="00997704" w:rsidP="0017457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C574513-A759-4D42-94DF-D4AD6EBD44F3}"/>
  </w:font>
  <w:font w:name="Cambria">
    <w:panose1 w:val="02040503050406030204"/>
    <w:charset w:val="00"/>
    <w:family w:val="roman"/>
    <w:pitch w:val="variable"/>
    <w:sig w:usb0="E00006FF" w:usb1="420024FF" w:usb2="02000000" w:usb3="00000000" w:csb0="0000019F" w:csb1="00000000"/>
    <w:embedRegular r:id="rId2" w:fontKey="{1681BA64-FB16-4E23-A802-B52F2839E08A}"/>
  </w:font>
  <w:font w:name="Cambria Math">
    <w:panose1 w:val="02040503050406030204"/>
    <w:charset w:val="00"/>
    <w:family w:val="roman"/>
    <w:pitch w:val="variable"/>
    <w:sig w:usb0="E00006FF" w:usb1="420024FF" w:usb2="02000000" w:usb3="00000000" w:csb0="0000019F" w:csb1="00000000"/>
    <w:embedRegular r:id="rId3" w:fontKey="{858D6A1E-7586-4875-B99F-A0A9CE4B3AD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8048515"/>
      <w:docPartObj>
        <w:docPartGallery w:val="Page Numbers (Bottom of Page)"/>
        <w:docPartUnique/>
      </w:docPartObj>
    </w:sdtPr>
    <w:sdtEndPr>
      <w:rPr>
        <w:noProof/>
        <w:sz w:val="20"/>
        <w:szCs w:val="20"/>
      </w:rPr>
    </w:sdtEndPr>
    <w:sdtContent>
      <w:p w14:paraId="40A00EED" w14:textId="027D9C47" w:rsidR="00174576" w:rsidRPr="00174576" w:rsidRDefault="00174576">
        <w:pPr>
          <w:pStyle w:val="Footer"/>
          <w:jc w:val="right"/>
          <w:rPr>
            <w:sz w:val="20"/>
            <w:szCs w:val="20"/>
          </w:rPr>
        </w:pPr>
        <w:r w:rsidRPr="00174576">
          <w:rPr>
            <w:sz w:val="20"/>
            <w:szCs w:val="20"/>
          </w:rPr>
          <w:fldChar w:fldCharType="begin"/>
        </w:r>
        <w:r w:rsidRPr="00174576">
          <w:rPr>
            <w:sz w:val="20"/>
            <w:szCs w:val="20"/>
          </w:rPr>
          <w:instrText xml:space="preserve"> PAGE   \* MERGEFORMAT </w:instrText>
        </w:r>
        <w:r w:rsidRPr="00174576">
          <w:rPr>
            <w:sz w:val="20"/>
            <w:szCs w:val="20"/>
          </w:rPr>
          <w:fldChar w:fldCharType="separate"/>
        </w:r>
        <w:r w:rsidRPr="00174576">
          <w:rPr>
            <w:noProof/>
            <w:sz w:val="20"/>
            <w:szCs w:val="20"/>
          </w:rPr>
          <w:t>2</w:t>
        </w:r>
        <w:r w:rsidRPr="00174576">
          <w:rPr>
            <w:noProof/>
            <w:sz w:val="20"/>
            <w:szCs w:val="20"/>
          </w:rPr>
          <w:fldChar w:fldCharType="end"/>
        </w:r>
      </w:p>
    </w:sdtContent>
  </w:sdt>
  <w:p w14:paraId="20BBA4C7" w14:textId="77777777" w:rsidR="00174576" w:rsidRDefault="001745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5AFE80" w14:textId="77777777" w:rsidR="00997704" w:rsidRDefault="00997704" w:rsidP="00174576">
      <w:pPr>
        <w:spacing w:line="240" w:lineRule="auto"/>
      </w:pPr>
      <w:r>
        <w:separator/>
      </w:r>
    </w:p>
  </w:footnote>
  <w:footnote w:type="continuationSeparator" w:id="0">
    <w:p w14:paraId="497A5898" w14:textId="77777777" w:rsidR="00997704" w:rsidRDefault="00997704" w:rsidP="0017457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5020"/>
    <w:rsid w:val="000E118E"/>
    <w:rsid w:val="000F4754"/>
    <w:rsid w:val="000F69E4"/>
    <w:rsid w:val="00125438"/>
    <w:rsid w:val="00174576"/>
    <w:rsid w:val="001A64B1"/>
    <w:rsid w:val="001C6812"/>
    <w:rsid w:val="001D589C"/>
    <w:rsid w:val="001E68DB"/>
    <w:rsid w:val="00212E00"/>
    <w:rsid w:val="002568C8"/>
    <w:rsid w:val="002D7847"/>
    <w:rsid w:val="002F7424"/>
    <w:rsid w:val="00355310"/>
    <w:rsid w:val="00386794"/>
    <w:rsid w:val="003973BE"/>
    <w:rsid w:val="004028B7"/>
    <w:rsid w:val="004C59F2"/>
    <w:rsid w:val="004E1210"/>
    <w:rsid w:val="0052780C"/>
    <w:rsid w:val="00527FD2"/>
    <w:rsid w:val="00575B4C"/>
    <w:rsid w:val="00596C4A"/>
    <w:rsid w:val="006B13DD"/>
    <w:rsid w:val="007027E0"/>
    <w:rsid w:val="007208D2"/>
    <w:rsid w:val="00772DBB"/>
    <w:rsid w:val="00781BEF"/>
    <w:rsid w:val="00797792"/>
    <w:rsid w:val="007F65AD"/>
    <w:rsid w:val="00811848"/>
    <w:rsid w:val="00814EBB"/>
    <w:rsid w:val="008A7D9F"/>
    <w:rsid w:val="00905D87"/>
    <w:rsid w:val="00997704"/>
    <w:rsid w:val="009A7868"/>
    <w:rsid w:val="009E0174"/>
    <w:rsid w:val="00D2796C"/>
    <w:rsid w:val="00D8719B"/>
    <w:rsid w:val="00DD5020"/>
    <w:rsid w:val="00E10162"/>
    <w:rsid w:val="00E50AC7"/>
    <w:rsid w:val="00E51415"/>
    <w:rsid w:val="00EF75F7"/>
    <w:rsid w:val="00F50BEE"/>
    <w:rsid w:val="00FB341B"/>
    <w:rsid w:val="00FF427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67D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174576"/>
    <w:pPr>
      <w:spacing w:before="240" w:line="360" w:lineRule="auto"/>
      <w:jc w:val="both"/>
      <w:outlineLvl w:val="0"/>
    </w:pPr>
    <w:rPr>
      <w:rFonts w:eastAsia="Times New Roman"/>
      <w:b/>
      <w:bCs/>
      <w:sz w:val="28"/>
      <w:szCs w:val="28"/>
    </w:rPr>
  </w:style>
  <w:style w:type="paragraph" w:styleId="Heading2">
    <w:name w:val="heading 2"/>
    <w:basedOn w:val="Normal"/>
    <w:next w:val="Normal"/>
    <w:uiPriority w:val="9"/>
    <w:unhideWhenUsed/>
    <w:qFormat/>
    <w:rsid w:val="00174576"/>
    <w:pPr>
      <w:spacing w:before="240" w:line="360" w:lineRule="auto"/>
      <w:jc w:val="both"/>
      <w:outlineLvl w:val="1"/>
    </w:pPr>
    <w:rPr>
      <w:rFonts w:eastAsia="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FB341B"/>
    <w:rPr>
      <w:color w:val="0000FF" w:themeColor="hyperlink"/>
      <w:u w:val="single"/>
    </w:rPr>
  </w:style>
  <w:style w:type="paragraph" w:styleId="Header">
    <w:name w:val="header"/>
    <w:basedOn w:val="Normal"/>
    <w:link w:val="HeaderChar"/>
    <w:uiPriority w:val="99"/>
    <w:unhideWhenUsed/>
    <w:rsid w:val="00174576"/>
    <w:pPr>
      <w:tabs>
        <w:tab w:val="center" w:pos="4513"/>
        <w:tab w:val="right" w:pos="9026"/>
      </w:tabs>
      <w:spacing w:line="240" w:lineRule="auto"/>
    </w:pPr>
  </w:style>
  <w:style w:type="character" w:customStyle="1" w:styleId="HeaderChar">
    <w:name w:val="Header Char"/>
    <w:basedOn w:val="DefaultParagraphFont"/>
    <w:link w:val="Header"/>
    <w:uiPriority w:val="99"/>
    <w:rsid w:val="00174576"/>
  </w:style>
  <w:style w:type="paragraph" w:styleId="Footer">
    <w:name w:val="footer"/>
    <w:basedOn w:val="Normal"/>
    <w:link w:val="FooterChar"/>
    <w:uiPriority w:val="99"/>
    <w:unhideWhenUsed/>
    <w:rsid w:val="00174576"/>
    <w:pPr>
      <w:tabs>
        <w:tab w:val="center" w:pos="4513"/>
        <w:tab w:val="right" w:pos="9026"/>
      </w:tabs>
      <w:spacing w:line="240" w:lineRule="auto"/>
    </w:pPr>
  </w:style>
  <w:style w:type="character" w:customStyle="1" w:styleId="FooterChar">
    <w:name w:val="Footer Char"/>
    <w:basedOn w:val="DefaultParagraphFont"/>
    <w:link w:val="Footer"/>
    <w:uiPriority w:val="99"/>
    <w:rsid w:val="00174576"/>
  </w:style>
  <w:style w:type="paragraph" w:styleId="ListParagraph">
    <w:name w:val="List Paragraph"/>
    <w:basedOn w:val="Normal"/>
    <w:uiPriority w:val="34"/>
    <w:qFormat/>
    <w:rsid w:val="00E10162"/>
    <w:pPr>
      <w:ind w:left="720"/>
      <w:contextualSpacing/>
    </w:pPr>
  </w:style>
  <w:style w:type="paragraph" w:styleId="TOCHeading">
    <w:name w:val="TOC Heading"/>
    <w:basedOn w:val="Heading1"/>
    <w:next w:val="Normal"/>
    <w:uiPriority w:val="39"/>
    <w:unhideWhenUsed/>
    <w:qFormat/>
    <w:rsid w:val="00FF427B"/>
    <w:pPr>
      <w:keepNext/>
      <w:keepLines/>
      <w:spacing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FF427B"/>
    <w:pPr>
      <w:spacing w:after="100"/>
    </w:pPr>
  </w:style>
  <w:style w:type="paragraph" w:styleId="TOC2">
    <w:name w:val="toc 2"/>
    <w:basedOn w:val="Normal"/>
    <w:next w:val="Normal"/>
    <w:autoRedefine/>
    <w:uiPriority w:val="39"/>
    <w:unhideWhenUsed/>
    <w:rsid w:val="00FF427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assets.publishing.service.gov.uk/media/5bf55a80ed915d1827f17c39/government-response-to-gosport-independent-panel-report.pdf"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7E7010-7448-44FA-AD5D-338C59A490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4595</Words>
  <Characters>26195</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2026-06-25T16:44:00Z</dcterms:created>
  <dcterms:modified xsi:type="dcterms:W3CDTF">2026-07-29T10:33:00Z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e91da9de-9d7c-4d58-bc89-8a80beead018</vt:lpwstr>
  </property>
</Properties>
</file>