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126C89" w14:textId="412007E9" w:rsidR="00141F07" w:rsidRPr="005D3B32" w:rsidRDefault="00335287" w:rsidP="00141F07">
      <w:pPr>
        <w:spacing w:line="360" w:lineRule="auto"/>
        <w:jc w:val="center"/>
        <w:rPr>
          <w:b/>
          <w:bCs/>
          <w:sz w:val="32"/>
          <w:szCs w:val="32"/>
          <w:lang w:val="en-GB"/>
        </w:rPr>
      </w:pPr>
      <w:r w:rsidRPr="00A406E5">
        <w:rPr>
          <w:noProof/>
          <w:lang w:val="en-US" w:eastAsia="en-US" w:bidi="hi-IN"/>
        </w:rPr>
        <w:drawing>
          <wp:anchor distT="0" distB="0" distL="114300" distR="114300" simplePos="0" relativeHeight="251659264" behindDoc="0" locked="0" layoutInCell="1" allowOverlap="1" wp14:anchorId="04DC5D20" wp14:editId="708E49E3">
            <wp:simplePos x="0" y="0"/>
            <wp:positionH relativeFrom="margin">
              <wp:posOffset>1266825</wp:posOffset>
            </wp:positionH>
            <wp:positionV relativeFrom="paragraph">
              <wp:posOffset>8890</wp:posOffset>
            </wp:positionV>
            <wp:extent cx="3448050" cy="1552575"/>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3448050" cy="15525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369E97F" w14:textId="77777777" w:rsidR="00141F07" w:rsidRPr="005D3B32" w:rsidRDefault="00141F07" w:rsidP="00141F07">
      <w:pPr>
        <w:spacing w:line="360" w:lineRule="auto"/>
        <w:jc w:val="center"/>
        <w:rPr>
          <w:b/>
          <w:bCs/>
          <w:sz w:val="32"/>
          <w:szCs w:val="32"/>
          <w:lang w:val="en-GB"/>
        </w:rPr>
      </w:pPr>
    </w:p>
    <w:p w14:paraId="284B6BA1" w14:textId="77777777" w:rsidR="00141F07" w:rsidRPr="005D3B32" w:rsidRDefault="00141F07" w:rsidP="00141F07">
      <w:pPr>
        <w:spacing w:line="360" w:lineRule="auto"/>
        <w:jc w:val="center"/>
        <w:rPr>
          <w:b/>
          <w:bCs/>
          <w:sz w:val="32"/>
          <w:szCs w:val="32"/>
          <w:lang w:val="en-GB"/>
        </w:rPr>
      </w:pPr>
    </w:p>
    <w:p w14:paraId="1AA67F85" w14:textId="77777777" w:rsidR="00141F07" w:rsidRPr="005D3B32" w:rsidRDefault="00141F07" w:rsidP="00141F07">
      <w:pPr>
        <w:spacing w:line="360" w:lineRule="auto"/>
        <w:jc w:val="center"/>
        <w:rPr>
          <w:b/>
          <w:bCs/>
          <w:sz w:val="32"/>
          <w:szCs w:val="32"/>
          <w:lang w:val="en-GB"/>
        </w:rPr>
      </w:pPr>
    </w:p>
    <w:p w14:paraId="66F57697" w14:textId="77777777" w:rsidR="00141F07" w:rsidRPr="005D3B32" w:rsidRDefault="00141F07" w:rsidP="00141F07">
      <w:pPr>
        <w:spacing w:line="360" w:lineRule="auto"/>
        <w:jc w:val="center"/>
        <w:rPr>
          <w:b/>
          <w:bCs/>
          <w:sz w:val="32"/>
          <w:szCs w:val="32"/>
          <w:lang w:val="en-GB"/>
        </w:rPr>
      </w:pPr>
    </w:p>
    <w:p w14:paraId="55A22EEB" w14:textId="77777777" w:rsidR="00141F07" w:rsidRPr="005D3B32" w:rsidRDefault="00141F07" w:rsidP="00141F07">
      <w:pPr>
        <w:spacing w:line="360" w:lineRule="auto"/>
        <w:jc w:val="center"/>
        <w:rPr>
          <w:b/>
          <w:bCs/>
          <w:sz w:val="32"/>
          <w:szCs w:val="32"/>
          <w:lang w:val="en-GB"/>
        </w:rPr>
      </w:pPr>
    </w:p>
    <w:p w14:paraId="0A5BC5A2" w14:textId="71D363A2" w:rsidR="00141F07" w:rsidRPr="005D3B32" w:rsidRDefault="00141F07" w:rsidP="00335287">
      <w:pPr>
        <w:spacing w:line="480" w:lineRule="auto"/>
        <w:jc w:val="center"/>
        <w:rPr>
          <w:b/>
          <w:bCs/>
          <w:sz w:val="32"/>
          <w:szCs w:val="32"/>
          <w:lang w:val="en-GB"/>
        </w:rPr>
      </w:pPr>
      <w:r w:rsidRPr="005D3B32">
        <w:rPr>
          <w:b/>
          <w:bCs/>
          <w:sz w:val="32"/>
          <w:szCs w:val="32"/>
          <w:lang w:val="en-GB"/>
        </w:rPr>
        <w:t>Assignment Title: Written Assignment on Community Mental Health and Ambulance Services</w:t>
      </w:r>
    </w:p>
    <w:p w14:paraId="047F5C11" w14:textId="20EEE60E" w:rsidR="00141F07" w:rsidRDefault="00141F07" w:rsidP="00335287">
      <w:pPr>
        <w:spacing w:line="480" w:lineRule="auto"/>
        <w:jc w:val="center"/>
        <w:rPr>
          <w:b/>
          <w:bCs/>
          <w:sz w:val="32"/>
          <w:szCs w:val="32"/>
          <w:lang w:val="en-GB"/>
        </w:rPr>
      </w:pPr>
      <w:r w:rsidRPr="005D3B32">
        <w:rPr>
          <w:b/>
          <w:bCs/>
          <w:sz w:val="32"/>
          <w:szCs w:val="32"/>
          <w:lang w:val="en-GB"/>
        </w:rPr>
        <w:t>Module Title: Introduction to Health and Social Care</w:t>
      </w:r>
    </w:p>
    <w:p w14:paraId="58560ABC" w14:textId="77777777" w:rsidR="00335287" w:rsidRPr="005D3B32" w:rsidRDefault="00335287" w:rsidP="00335287">
      <w:pPr>
        <w:spacing w:line="480" w:lineRule="auto"/>
        <w:jc w:val="center"/>
        <w:rPr>
          <w:b/>
          <w:bCs/>
          <w:sz w:val="32"/>
          <w:szCs w:val="32"/>
          <w:lang w:val="en-GB"/>
        </w:rPr>
      </w:pPr>
      <w:r w:rsidRPr="005D3B32">
        <w:rPr>
          <w:b/>
          <w:bCs/>
          <w:sz w:val="32"/>
          <w:szCs w:val="32"/>
          <w:lang w:val="en-GB"/>
        </w:rPr>
        <w:t>Module Leader: Dr Helen Parsons</w:t>
      </w:r>
    </w:p>
    <w:p w14:paraId="77E6A9A2" w14:textId="77777777" w:rsidR="00335287" w:rsidRPr="005D3B32" w:rsidRDefault="00335287" w:rsidP="00335287">
      <w:pPr>
        <w:spacing w:line="480" w:lineRule="auto"/>
        <w:jc w:val="center"/>
        <w:rPr>
          <w:b/>
          <w:bCs/>
          <w:sz w:val="32"/>
          <w:szCs w:val="32"/>
          <w:lang w:val="en-GB"/>
        </w:rPr>
      </w:pPr>
      <w:r w:rsidRPr="005D3B32">
        <w:rPr>
          <w:b/>
          <w:bCs/>
          <w:sz w:val="32"/>
          <w:szCs w:val="32"/>
          <w:lang w:val="en-GB"/>
        </w:rPr>
        <w:t>Module Code: LCHS4003</w:t>
      </w:r>
    </w:p>
    <w:p w14:paraId="07FC6222" w14:textId="77777777" w:rsidR="00335287" w:rsidRPr="005D3B32" w:rsidRDefault="00335287" w:rsidP="00335287">
      <w:pPr>
        <w:spacing w:line="480" w:lineRule="auto"/>
        <w:jc w:val="center"/>
        <w:rPr>
          <w:b/>
          <w:bCs/>
          <w:sz w:val="32"/>
          <w:szCs w:val="32"/>
          <w:lang w:val="en-GB"/>
        </w:rPr>
      </w:pPr>
    </w:p>
    <w:p w14:paraId="337B9480" w14:textId="33343FBA" w:rsidR="00141F07" w:rsidRPr="005D3B32" w:rsidRDefault="00141F07" w:rsidP="00335287">
      <w:pPr>
        <w:spacing w:line="480" w:lineRule="auto"/>
        <w:jc w:val="center"/>
        <w:rPr>
          <w:b/>
          <w:bCs/>
          <w:sz w:val="32"/>
          <w:szCs w:val="32"/>
          <w:lang w:val="en-GB"/>
        </w:rPr>
      </w:pPr>
      <w:r w:rsidRPr="005D3B32">
        <w:rPr>
          <w:b/>
          <w:bCs/>
          <w:sz w:val="32"/>
          <w:szCs w:val="32"/>
          <w:lang w:val="en-GB"/>
        </w:rPr>
        <w:t>Student Name:</w:t>
      </w:r>
      <w:r w:rsidR="00335287">
        <w:rPr>
          <w:b/>
          <w:bCs/>
          <w:sz w:val="32"/>
          <w:szCs w:val="32"/>
          <w:lang w:val="en-GB"/>
        </w:rPr>
        <w:t xml:space="preserve"> </w:t>
      </w:r>
      <w:r w:rsidR="00335287" w:rsidRPr="00335287">
        <w:rPr>
          <w:b/>
          <w:bCs/>
          <w:sz w:val="32"/>
          <w:szCs w:val="32"/>
          <w:lang w:val="en-GB"/>
        </w:rPr>
        <w:t>Tabassum faraz</w:t>
      </w:r>
    </w:p>
    <w:p w14:paraId="4B388249" w14:textId="6C9EB548" w:rsidR="00141F07" w:rsidRPr="005D3B32" w:rsidRDefault="00141F07" w:rsidP="00335287">
      <w:pPr>
        <w:spacing w:line="480" w:lineRule="auto"/>
        <w:jc w:val="center"/>
        <w:rPr>
          <w:b/>
          <w:bCs/>
          <w:sz w:val="32"/>
          <w:szCs w:val="32"/>
          <w:lang w:val="en-GB"/>
        </w:rPr>
      </w:pPr>
      <w:r w:rsidRPr="005D3B32">
        <w:rPr>
          <w:b/>
          <w:bCs/>
          <w:sz w:val="32"/>
          <w:szCs w:val="32"/>
          <w:lang w:val="en-GB"/>
        </w:rPr>
        <w:t>Student ID:</w:t>
      </w:r>
      <w:r w:rsidR="00335287">
        <w:rPr>
          <w:b/>
          <w:bCs/>
          <w:sz w:val="32"/>
          <w:szCs w:val="32"/>
          <w:lang w:val="en-GB"/>
        </w:rPr>
        <w:t xml:space="preserve"> </w:t>
      </w:r>
      <w:r w:rsidR="00335287" w:rsidRPr="00335287">
        <w:rPr>
          <w:b/>
          <w:bCs/>
          <w:sz w:val="32"/>
          <w:szCs w:val="32"/>
          <w:lang w:val="en-GB"/>
        </w:rPr>
        <w:t>2511023</w:t>
      </w:r>
    </w:p>
    <w:p w14:paraId="73367F6C" w14:textId="77777777" w:rsidR="00141F07" w:rsidRPr="005D3B32" w:rsidRDefault="00141F07">
      <w:pPr>
        <w:rPr>
          <w:b/>
          <w:bCs/>
          <w:sz w:val="32"/>
          <w:szCs w:val="32"/>
          <w:lang w:val="en-GB"/>
        </w:rPr>
      </w:pPr>
      <w:r w:rsidRPr="005D3B32">
        <w:rPr>
          <w:b/>
          <w:bCs/>
          <w:sz w:val="32"/>
          <w:szCs w:val="32"/>
          <w:lang w:val="en-GB"/>
        </w:rPr>
        <w:br w:type="page"/>
      </w:r>
    </w:p>
    <w:sdt>
      <w:sdtPr>
        <w:rPr>
          <w:rFonts w:ascii="Arial" w:eastAsia="Arial" w:hAnsi="Arial" w:cs="Arial"/>
          <w:color w:val="auto"/>
          <w:sz w:val="22"/>
          <w:szCs w:val="22"/>
          <w:lang w:val="en-GB" w:eastAsia="zh-CN"/>
        </w:rPr>
        <w:id w:val="-931963909"/>
        <w:docPartObj>
          <w:docPartGallery w:val="Table of Contents"/>
          <w:docPartUnique/>
        </w:docPartObj>
      </w:sdtPr>
      <w:sdtEndPr>
        <w:rPr>
          <w:b/>
          <w:bCs/>
          <w:noProof/>
        </w:rPr>
      </w:sdtEndPr>
      <w:sdtContent>
        <w:p w14:paraId="7CEF1FF3" w14:textId="3D1EDE13" w:rsidR="00141F07" w:rsidRPr="005D3B32" w:rsidRDefault="00141F07" w:rsidP="00141F07">
          <w:pPr>
            <w:pStyle w:val="TOCHeading"/>
            <w:spacing w:line="360" w:lineRule="auto"/>
            <w:jc w:val="center"/>
            <w:rPr>
              <w:rFonts w:asciiTheme="minorBidi" w:hAnsiTheme="minorBidi" w:cstheme="minorBidi"/>
              <w:b/>
              <w:bCs/>
              <w:color w:val="000000" w:themeColor="text1"/>
              <w:sz w:val="22"/>
              <w:szCs w:val="22"/>
              <w:lang w:val="en-GB"/>
            </w:rPr>
          </w:pPr>
          <w:r w:rsidRPr="005D3B32">
            <w:rPr>
              <w:rFonts w:asciiTheme="minorBidi" w:hAnsiTheme="minorBidi" w:cstheme="minorBidi"/>
              <w:b/>
              <w:bCs/>
              <w:color w:val="000000" w:themeColor="text1"/>
              <w:sz w:val="22"/>
              <w:szCs w:val="22"/>
              <w:lang w:val="en-GB"/>
            </w:rPr>
            <w:t>Table of Contents</w:t>
          </w:r>
        </w:p>
        <w:p w14:paraId="123C7F98" w14:textId="66B3D074" w:rsidR="00141F07" w:rsidRPr="005D3B32" w:rsidRDefault="00141F07" w:rsidP="00141F07">
          <w:pPr>
            <w:pStyle w:val="TOC1"/>
            <w:tabs>
              <w:tab w:val="right" w:leader="dot" w:pos="9350"/>
            </w:tabs>
            <w:spacing w:line="360" w:lineRule="auto"/>
            <w:jc w:val="both"/>
            <w:rPr>
              <w:rFonts w:asciiTheme="minorBidi" w:hAnsiTheme="minorBidi" w:cstheme="minorBidi"/>
              <w:noProof/>
              <w:lang w:val="en-GB"/>
            </w:rPr>
          </w:pPr>
          <w:r w:rsidRPr="005D3B32">
            <w:rPr>
              <w:rFonts w:asciiTheme="minorBidi" w:hAnsiTheme="minorBidi" w:cstheme="minorBidi"/>
              <w:lang w:val="en-GB"/>
            </w:rPr>
            <w:fldChar w:fldCharType="begin"/>
          </w:r>
          <w:r w:rsidRPr="005D3B32">
            <w:rPr>
              <w:rFonts w:asciiTheme="minorBidi" w:hAnsiTheme="minorBidi" w:cstheme="minorBidi"/>
              <w:lang w:val="en-GB"/>
            </w:rPr>
            <w:instrText xml:space="preserve"> TOC \o "1-3" \h \z \u </w:instrText>
          </w:r>
          <w:r w:rsidRPr="005D3B32">
            <w:rPr>
              <w:rFonts w:asciiTheme="minorBidi" w:hAnsiTheme="minorBidi" w:cstheme="minorBidi"/>
              <w:lang w:val="en-GB"/>
            </w:rPr>
            <w:fldChar w:fldCharType="separate"/>
          </w:r>
          <w:hyperlink w:anchor="_Toc241221655" w:history="1">
            <w:r w:rsidRPr="005D3B32">
              <w:rPr>
                <w:rStyle w:val="Hyperlink"/>
                <w:rFonts w:asciiTheme="minorBidi" w:hAnsiTheme="minorBidi" w:cstheme="minorBidi"/>
                <w:noProof/>
                <w:lang w:val="en-GB"/>
              </w:rPr>
              <w:t>Task 1: Mini report</w:t>
            </w:r>
            <w:r w:rsidRPr="005D3B32">
              <w:rPr>
                <w:rFonts w:asciiTheme="minorBidi" w:hAnsiTheme="minorBidi" w:cstheme="minorBidi"/>
                <w:noProof/>
                <w:webHidden/>
                <w:lang w:val="en-GB"/>
              </w:rPr>
              <w:tab/>
            </w:r>
            <w:r w:rsidRPr="005D3B32">
              <w:rPr>
                <w:rFonts w:asciiTheme="minorBidi" w:hAnsiTheme="minorBidi" w:cstheme="minorBidi"/>
                <w:noProof/>
                <w:webHidden/>
                <w:lang w:val="en-GB"/>
              </w:rPr>
              <w:fldChar w:fldCharType="begin"/>
            </w:r>
            <w:r w:rsidRPr="005D3B32">
              <w:rPr>
                <w:rFonts w:asciiTheme="minorBidi" w:hAnsiTheme="minorBidi" w:cstheme="minorBidi"/>
                <w:noProof/>
                <w:webHidden/>
                <w:lang w:val="en-GB"/>
              </w:rPr>
              <w:instrText xml:space="preserve"> PAGEREF _Toc241221655 \h </w:instrText>
            </w:r>
            <w:r w:rsidRPr="005D3B32">
              <w:rPr>
                <w:rFonts w:asciiTheme="minorBidi" w:hAnsiTheme="minorBidi" w:cstheme="minorBidi"/>
                <w:noProof/>
                <w:webHidden/>
                <w:lang w:val="en-GB"/>
              </w:rPr>
            </w:r>
            <w:r w:rsidRPr="005D3B32">
              <w:rPr>
                <w:rFonts w:asciiTheme="minorBidi" w:hAnsiTheme="minorBidi" w:cstheme="minorBidi"/>
                <w:noProof/>
                <w:webHidden/>
                <w:lang w:val="en-GB"/>
              </w:rPr>
              <w:fldChar w:fldCharType="separate"/>
            </w:r>
            <w:r w:rsidR="00351A95">
              <w:rPr>
                <w:rFonts w:asciiTheme="minorBidi" w:hAnsiTheme="minorBidi" w:cstheme="minorBidi"/>
                <w:noProof/>
                <w:webHidden/>
                <w:lang w:val="en-GB"/>
              </w:rPr>
              <w:t>3</w:t>
            </w:r>
            <w:r w:rsidRPr="005D3B32">
              <w:rPr>
                <w:rFonts w:asciiTheme="minorBidi" w:hAnsiTheme="minorBidi" w:cstheme="minorBidi"/>
                <w:noProof/>
                <w:webHidden/>
                <w:lang w:val="en-GB"/>
              </w:rPr>
              <w:fldChar w:fldCharType="end"/>
            </w:r>
          </w:hyperlink>
        </w:p>
        <w:p w14:paraId="35F7ACAE" w14:textId="3B548B8F" w:rsidR="00141F07" w:rsidRPr="005D3B32" w:rsidRDefault="00141F07" w:rsidP="00141F07">
          <w:pPr>
            <w:pStyle w:val="TOC2"/>
            <w:tabs>
              <w:tab w:val="right" w:leader="dot" w:pos="9350"/>
            </w:tabs>
            <w:spacing w:line="360" w:lineRule="auto"/>
            <w:jc w:val="both"/>
            <w:rPr>
              <w:rFonts w:asciiTheme="minorBidi" w:hAnsiTheme="minorBidi" w:cstheme="minorBidi"/>
              <w:noProof/>
              <w:lang w:val="en-GB"/>
            </w:rPr>
          </w:pPr>
          <w:hyperlink w:anchor="_Toc241221656" w:history="1">
            <w:r w:rsidRPr="005D3B32">
              <w:rPr>
                <w:rStyle w:val="Hyperlink"/>
                <w:rFonts w:asciiTheme="minorBidi" w:hAnsiTheme="minorBidi" w:cstheme="minorBidi"/>
                <w:noProof/>
                <w:lang w:val="en-GB"/>
              </w:rPr>
              <w:t>1. Introduction</w:t>
            </w:r>
            <w:r w:rsidRPr="005D3B32">
              <w:rPr>
                <w:rFonts w:asciiTheme="minorBidi" w:hAnsiTheme="minorBidi" w:cstheme="minorBidi"/>
                <w:noProof/>
                <w:webHidden/>
                <w:lang w:val="en-GB"/>
              </w:rPr>
              <w:tab/>
            </w:r>
            <w:r w:rsidRPr="005D3B32">
              <w:rPr>
                <w:rFonts w:asciiTheme="minorBidi" w:hAnsiTheme="minorBidi" w:cstheme="minorBidi"/>
                <w:noProof/>
                <w:webHidden/>
                <w:lang w:val="en-GB"/>
              </w:rPr>
              <w:fldChar w:fldCharType="begin"/>
            </w:r>
            <w:r w:rsidRPr="005D3B32">
              <w:rPr>
                <w:rFonts w:asciiTheme="minorBidi" w:hAnsiTheme="minorBidi" w:cstheme="minorBidi"/>
                <w:noProof/>
                <w:webHidden/>
                <w:lang w:val="en-GB"/>
              </w:rPr>
              <w:instrText xml:space="preserve"> PAGEREF _Toc241221656 \h </w:instrText>
            </w:r>
            <w:r w:rsidRPr="005D3B32">
              <w:rPr>
                <w:rFonts w:asciiTheme="minorBidi" w:hAnsiTheme="minorBidi" w:cstheme="minorBidi"/>
                <w:noProof/>
                <w:webHidden/>
                <w:lang w:val="en-GB"/>
              </w:rPr>
            </w:r>
            <w:r w:rsidRPr="005D3B32">
              <w:rPr>
                <w:rFonts w:asciiTheme="minorBidi" w:hAnsiTheme="minorBidi" w:cstheme="minorBidi"/>
                <w:noProof/>
                <w:webHidden/>
                <w:lang w:val="en-GB"/>
              </w:rPr>
              <w:fldChar w:fldCharType="separate"/>
            </w:r>
            <w:r w:rsidR="00351A95">
              <w:rPr>
                <w:rFonts w:asciiTheme="minorBidi" w:hAnsiTheme="minorBidi" w:cstheme="minorBidi"/>
                <w:noProof/>
                <w:webHidden/>
                <w:lang w:val="en-GB"/>
              </w:rPr>
              <w:t>3</w:t>
            </w:r>
            <w:r w:rsidRPr="005D3B32">
              <w:rPr>
                <w:rFonts w:asciiTheme="minorBidi" w:hAnsiTheme="minorBidi" w:cstheme="minorBidi"/>
                <w:noProof/>
                <w:webHidden/>
                <w:lang w:val="en-GB"/>
              </w:rPr>
              <w:fldChar w:fldCharType="end"/>
            </w:r>
          </w:hyperlink>
        </w:p>
        <w:p w14:paraId="79A86D78" w14:textId="54D00915" w:rsidR="00141F07" w:rsidRPr="005D3B32" w:rsidRDefault="00141F07" w:rsidP="00141F07">
          <w:pPr>
            <w:pStyle w:val="TOC2"/>
            <w:tabs>
              <w:tab w:val="right" w:leader="dot" w:pos="9350"/>
            </w:tabs>
            <w:spacing w:line="360" w:lineRule="auto"/>
            <w:jc w:val="both"/>
            <w:rPr>
              <w:rFonts w:asciiTheme="minorBidi" w:hAnsiTheme="minorBidi" w:cstheme="minorBidi"/>
              <w:noProof/>
              <w:lang w:val="en-GB"/>
            </w:rPr>
          </w:pPr>
          <w:hyperlink w:anchor="_Toc241221657" w:history="1">
            <w:r w:rsidRPr="005D3B32">
              <w:rPr>
                <w:rStyle w:val="Hyperlink"/>
                <w:rFonts w:asciiTheme="minorBidi" w:hAnsiTheme="minorBidi" w:cstheme="minorBidi"/>
                <w:noProof/>
                <w:lang w:val="en-GB"/>
              </w:rPr>
              <w:t>2. Impact of the issue on the community</w:t>
            </w:r>
            <w:r w:rsidRPr="005D3B32">
              <w:rPr>
                <w:rFonts w:asciiTheme="minorBidi" w:hAnsiTheme="minorBidi" w:cstheme="minorBidi"/>
                <w:noProof/>
                <w:webHidden/>
                <w:lang w:val="en-GB"/>
              </w:rPr>
              <w:tab/>
            </w:r>
            <w:r w:rsidRPr="005D3B32">
              <w:rPr>
                <w:rFonts w:asciiTheme="minorBidi" w:hAnsiTheme="minorBidi" w:cstheme="minorBidi"/>
                <w:noProof/>
                <w:webHidden/>
                <w:lang w:val="en-GB"/>
              </w:rPr>
              <w:fldChar w:fldCharType="begin"/>
            </w:r>
            <w:r w:rsidRPr="005D3B32">
              <w:rPr>
                <w:rFonts w:asciiTheme="minorBidi" w:hAnsiTheme="minorBidi" w:cstheme="minorBidi"/>
                <w:noProof/>
                <w:webHidden/>
                <w:lang w:val="en-GB"/>
              </w:rPr>
              <w:instrText xml:space="preserve"> PAGEREF _Toc241221657 \h </w:instrText>
            </w:r>
            <w:r w:rsidRPr="005D3B32">
              <w:rPr>
                <w:rFonts w:asciiTheme="minorBidi" w:hAnsiTheme="minorBidi" w:cstheme="minorBidi"/>
                <w:noProof/>
                <w:webHidden/>
                <w:lang w:val="en-GB"/>
              </w:rPr>
            </w:r>
            <w:r w:rsidRPr="005D3B32">
              <w:rPr>
                <w:rFonts w:asciiTheme="minorBidi" w:hAnsiTheme="minorBidi" w:cstheme="minorBidi"/>
                <w:noProof/>
                <w:webHidden/>
                <w:lang w:val="en-GB"/>
              </w:rPr>
              <w:fldChar w:fldCharType="separate"/>
            </w:r>
            <w:r w:rsidR="00351A95">
              <w:rPr>
                <w:rFonts w:asciiTheme="minorBidi" w:hAnsiTheme="minorBidi" w:cstheme="minorBidi"/>
                <w:noProof/>
                <w:webHidden/>
                <w:lang w:val="en-GB"/>
              </w:rPr>
              <w:t>3</w:t>
            </w:r>
            <w:r w:rsidRPr="005D3B32">
              <w:rPr>
                <w:rFonts w:asciiTheme="minorBidi" w:hAnsiTheme="minorBidi" w:cstheme="minorBidi"/>
                <w:noProof/>
                <w:webHidden/>
                <w:lang w:val="en-GB"/>
              </w:rPr>
              <w:fldChar w:fldCharType="end"/>
            </w:r>
          </w:hyperlink>
        </w:p>
        <w:p w14:paraId="4D7C81C4" w14:textId="6C01F5AA" w:rsidR="00141F07" w:rsidRPr="005D3B32" w:rsidRDefault="00141F07" w:rsidP="00141F07">
          <w:pPr>
            <w:pStyle w:val="TOC2"/>
            <w:tabs>
              <w:tab w:val="right" w:leader="dot" w:pos="9350"/>
            </w:tabs>
            <w:spacing w:line="360" w:lineRule="auto"/>
            <w:jc w:val="both"/>
            <w:rPr>
              <w:rFonts w:asciiTheme="minorBidi" w:hAnsiTheme="minorBidi" w:cstheme="minorBidi"/>
              <w:noProof/>
              <w:lang w:val="en-GB"/>
            </w:rPr>
          </w:pPr>
          <w:hyperlink w:anchor="_Toc241221658" w:history="1">
            <w:r w:rsidRPr="005D3B32">
              <w:rPr>
                <w:rStyle w:val="Hyperlink"/>
                <w:rFonts w:asciiTheme="minorBidi" w:hAnsiTheme="minorBidi" w:cstheme="minorBidi"/>
                <w:noProof/>
                <w:lang w:val="en-GB"/>
              </w:rPr>
              <w:t>3. Recommendations</w:t>
            </w:r>
            <w:r w:rsidRPr="005D3B32">
              <w:rPr>
                <w:rFonts w:asciiTheme="minorBidi" w:hAnsiTheme="minorBidi" w:cstheme="minorBidi"/>
                <w:noProof/>
                <w:webHidden/>
                <w:lang w:val="en-GB"/>
              </w:rPr>
              <w:tab/>
            </w:r>
            <w:r w:rsidRPr="005D3B32">
              <w:rPr>
                <w:rFonts w:asciiTheme="minorBidi" w:hAnsiTheme="minorBidi" w:cstheme="minorBidi"/>
                <w:noProof/>
                <w:webHidden/>
                <w:lang w:val="en-GB"/>
              </w:rPr>
              <w:fldChar w:fldCharType="begin"/>
            </w:r>
            <w:r w:rsidRPr="005D3B32">
              <w:rPr>
                <w:rFonts w:asciiTheme="minorBidi" w:hAnsiTheme="minorBidi" w:cstheme="minorBidi"/>
                <w:noProof/>
                <w:webHidden/>
                <w:lang w:val="en-GB"/>
              </w:rPr>
              <w:instrText xml:space="preserve"> PAGEREF _Toc241221658 \h </w:instrText>
            </w:r>
            <w:r w:rsidRPr="005D3B32">
              <w:rPr>
                <w:rFonts w:asciiTheme="minorBidi" w:hAnsiTheme="minorBidi" w:cstheme="minorBidi"/>
                <w:noProof/>
                <w:webHidden/>
                <w:lang w:val="en-GB"/>
              </w:rPr>
            </w:r>
            <w:r w:rsidRPr="005D3B32">
              <w:rPr>
                <w:rFonts w:asciiTheme="minorBidi" w:hAnsiTheme="minorBidi" w:cstheme="minorBidi"/>
                <w:noProof/>
                <w:webHidden/>
                <w:lang w:val="en-GB"/>
              </w:rPr>
              <w:fldChar w:fldCharType="separate"/>
            </w:r>
            <w:r w:rsidR="00351A95">
              <w:rPr>
                <w:rFonts w:asciiTheme="minorBidi" w:hAnsiTheme="minorBidi" w:cstheme="minorBidi"/>
                <w:noProof/>
                <w:webHidden/>
                <w:lang w:val="en-GB"/>
              </w:rPr>
              <w:t>4</w:t>
            </w:r>
            <w:r w:rsidRPr="005D3B32">
              <w:rPr>
                <w:rFonts w:asciiTheme="minorBidi" w:hAnsiTheme="minorBidi" w:cstheme="minorBidi"/>
                <w:noProof/>
                <w:webHidden/>
                <w:lang w:val="en-GB"/>
              </w:rPr>
              <w:fldChar w:fldCharType="end"/>
            </w:r>
          </w:hyperlink>
        </w:p>
        <w:p w14:paraId="3C8B08B5" w14:textId="523DD975" w:rsidR="00141F07" w:rsidRPr="005D3B32" w:rsidRDefault="00141F07" w:rsidP="00141F07">
          <w:pPr>
            <w:pStyle w:val="TOC2"/>
            <w:tabs>
              <w:tab w:val="right" w:leader="dot" w:pos="9350"/>
            </w:tabs>
            <w:spacing w:line="360" w:lineRule="auto"/>
            <w:jc w:val="both"/>
            <w:rPr>
              <w:rFonts w:asciiTheme="minorBidi" w:hAnsiTheme="minorBidi" w:cstheme="minorBidi"/>
              <w:noProof/>
              <w:lang w:val="en-GB"/>
            </w:rPr>
          </w:pPr>
          <w:hyperlink w:anchor="_Toc241221659" w:history="1">
            <w:r w:rsidRPr="005D3B32">
              <w:rPr>
                <w:rStyle w:val="Hyperlink"/>
                <w:rFonts w:asciiTheme="minorBidi" w:hAnsiTheme="minorBidi" w:cstheme="minorBidi"/>
                <w:noProof/>
                <w:lang w:val="en-GB"/>
              </w:rPr>
              <w:t>4. Conclusion</w:t>
            </w:r>
            <w:r w:rsidRPr="005D3B32">
              <w:rPr>
                <w:rFonts w:asciiTheme="minorBidi" w:hAnsiTheme="minorBidi" w:cstheme="minorBidi"/>
                <w:noProof/>
                <w:webHidden/>
                <w:lang w:val="en-GB"/>
              </w:rPr>
              <w:tab/>
            </w:r>
            <w:r w:rsidRPr="005D3B32">
              <w:rPr>
                <w:rFonts w:asciiTheme="minorBidi" w:hAnsiTheme="minorBidi" w:cstheme="minorBidi"/>
                <w:noProof/>
                <w:webHidden/>
                <w:lang w:val="en-GB"/>
              </w:rPr>
              <w:fldChar w:fldCharType="begin"/>
            </w:r>
            <w:r w:rsidRPr="005D3B32">
              <w:rPr>
                <w:rFonts w:asciiTheme="minorBidi" w:hAnsiTheme="minorBidi" w:cstheme="minorBidi"/>
                <w:noProof/>
                <w:webHidden/>
                <w:lang w:val="en-GB"/>
              </w:rPr>
              <w:instrText xml:space="preserve"> PAGEREF _Toc241221659 \h </w:instrText>
            </w:r>
            <w:r w:rsidRPr="005D3B32">
              <w:rPr>
                <w:rFonts w:asciiTheme="minorBidi" w:hAnsiTheme="minorBidi" w:cstheme="minorBidi"/>
                <w:noProof/>
                <w:webHidden/>
                <w:lang w:val="en-GB"/>
              </w:rPr>
            </w:r>
            <w:r w:rsidRPr="005D3B32">
              <w:rPr>
                <w:rFonts w:asciiTheme="minorBidi" w:hAnsiTheme="minorBidi" w:cstheme="minorBidi"/>
                <w:noProof/>
                <w:webHidden/>
                <w:lang w:val="en-GB"/>
              </w:rPr>
              <w:fldChar w:fldCharType="separate"/>
            </w:r>
            <w:r w:rsidR="00351A95">
              <w:rPr>
                <w:rFonts w:asciiTheme="minorBidi" w:hAnsiTheme="minorBidi" w:cstheme="minorBidi"/>
                <w:noProof/>
                <w:webHidden/>
                <w:lang w:val="en-GB"/>
              </w:rPr>
              <w:t>5</w:t>
            </w:r>
            <w:r w:rsidRPr="005D3B32">
              <w:rPr>
                <w:rFonts w:asciiTheme="minorBidi" w:hAnsiTheme="minorBidi" w:cstheme="minorBidi"/>
                <w:noProof/>
                <w:webHidden/>
                <w:lang w:val="en-GB"/>
              </w:rPr>
              <w:fldChar w:fldCharType="end"/>
            </w:r>
          </w:hyperlink>
        </w:p>
        <w:p w14:paraId="3CD9CCB0" w14:textId="75E778D0" w:rsidR="00141F07" w:rsidRPr="005D3B32" w:rsidRDefault="00141F07" w:rsidP="00141F07">
          <w:pPr>
            <w:pStyle w:val="TOC1"/>
            <w:tabs>
              <w:tab w:val="right" w:leader="dot" w:pos="9350"/>
            </w:tabs>
            <w:spacing w:line="360" w:lineRule="auto"/>
            <w:jc w:val="both"/>
            <w:rPr>
              <w:rFonts w:asciiTheme="minorBidi" w:hAnsiTheme="minorBidi" w:cstheme="minorBidi"/>
              <w:noProof/>
              <w:lang w:val="en-GB"/>
            </w:rPr>
          </w:pPr>
          <w:hyperlink w:anchor="_Toc241221660" w:history="1">
            <w:r w:rsidRPr="005D3B32">
              <w:rPr>
                <w:rStyle w:val="Hyperlink"/>
                <w:rFonts w:asciiTheme="minorBidi" w:hAnsiTheme="minorBidi" w:cstheme="minorBidi"/>
                <w:noProof/>
                <w:lang w:val="en-GB"/>
              </w:rPr>
              <w:t>Task 2: Essay</w:t>
            </w:r>
            <w:r w:rsidRPr="005D3B32">
              <w:rPr>
                <w:rFonts w:asciiTheme="minorBidi" w:hAnsiTheme="minorBidi" w:cstheme="minorBidi"/>
                <w:noProof/>
                <w:webHidden/>
                <w:lang w:val="en-GB"/>
              </w:rPr>
              <w:tab/>
            </w:r>
            <w:r w:rsidRPr="005D3B32">
              <w:rPr>
                <w:rFonts w:asciiTheme="minorBidi" w:hAnsiTheme="minorBidi" w:cstheme="minorBidi"/>
                <w:noProof/>
                <w:webHidden/>
                <w:lang w:val="en-GB"/>
              </w:rPr>
              <w:fldChar w:fldCharType="begin"/>
            </w:r>
            <w:r w:rsidRPr="005D3B32">
              <w:rPr>
                <w:rFonts w:asciiTheme="minorBidi" w:hAnsiTheme="minorBidi" w:cstheme="minorBidi"/>
                <w:noProof/>
                <w:webHidden/>
                <w:lang w:val="en-GB"/>
              </w:rPr>
              <w:instrText xml:space="preserve"> PAGEREF _Toc241221660 \h </w:instrText>
            </w:r>
            <w:r w:rsidRPr="005D3B32">
              <w:rPr>
                <w:rFonts w:asciiTheme="minorBidi" w:hAnsiTheme="minorBidi" w:cstheme="minorBidi"/>
                <w:noProof/>
                <w:webHidden/>
                <w:lang w:val="en-GB"/>
              </w:rPr>
            </w:r>
            <w:r w:rsidRPr="005D3B32">
              <w:rPr>
                <w:rFonts w:asciiTheme="minorBidi" w:hAnsiTheme="minorBidi" w:cstheme="minorBidi"/>
                <w:noProof/>
                <w:webHidden/>
                <w:lang w:val="en-GB"/>
              </w:rPr>
              <w:fldChar w:fldCharType="separate"/>
            </w:r>
            <w:r w:rsidR="00351A95">
              <w:rPr>
                <w:rFonts w:asciiTheme="minorBidi" w:hAnsiTheme="minorBidi" w:cstheme="minorBidi"/>
                <w:noProof/>
                <w:webHidden/>
                <w:lang w:val="en-GB"/>
              </w:rPr>
              <w:t>6</w:t>
            </w:r>
            <w:r w:rsidRPr="005D3B32">
              <w:rPr>
                <w:rFonts w:asciiTheme="minorBidi" w:hAnsiTheme="minorBidi" w:cstheme="minorBidi"/>
                <w:noProof/>
                <w:webHidden/>
                <w:lang w:val="en-GB"/>
              </w:rPr>
              <w:fldChar w:fldCharType="end"/>
            </w:r>
          </w:hyperlink>
        </w:p>
        <w:p w14:paraId="0A8E59FA" w14:textId="29139B91" w:rsidR="00141F07" w:rsidRPr="005D3B32" w:rsidRDefault="00141F07" w:rsidP="00141F07">
          <w:pPr>
            <w:pStyle w:val="TOC2"/>
            <w:tabs>
              <w:tab w:val="right" w:leader="dot" w:pos="9350"/>
            </w:tabs>
            <w:spacing w:line="360" w:lineRule="auto"/>
            <w:jc w:val="both"/>
            <w:rPr>
              <w:rFonts w:asciiTheme="minorBidi" w:hAnsiTheme="minorBidi" w:cstheme="minorBidi"/>
              <w:noProof/>
              <w:lang w:val="en-GB"/>
            </w:rPr>
          </w:pPr>
          <w:hyperlink w:anchor="_Toc241221661" w:history="1">
            <w:r w:rsidRPr="005D3B32">
              <w:rPr>
                <w:rStyle w:val="Hyperlink"/>
                <w:rFonts w:asciiTheme="minorBidi" w:hAnsiTheme="minorBidi" w:cstheme="minorBidi"/>
                <w:noProof/>
                <w:lang w:val="en-GB"/>
              </w:rPr>
              <w:t>1. Introduction</w:t>
            </w:r>
            <w:r w:rsidRPr="005D3B32">
              <w:rPr>
                <w:rFonts w:asciiTheme="minorBidi" w:hAnsiTheme="minorBidi" w:cstheme="minorBidi"/>
                <w:noProof/>
                <w:webHidden/>
                <w:lang w:val="en-GB"/>
              </w:rPr>
              <w:tab/>
            </w:r>
            <w:r w:rsidRPr="005D3B32">
              <w:rPr>
                <w:rFonts w:asciiTheme="minorBidi" w:hAnsiTheme="minorBidi" w:cstheme="minorBidi"/>
                <w:noProof/>
                <w:webHidden/>
                <w:lang w:val="en-GB"/>
              </w:rPr>
              <w:fldChar w:fldCharType="begin"/>
            </w:r>
            <w:r w:rsidRPr="005D3B32">
              <w:rPr>
                <w:rFonts w:asciiTheme="minorBidi" w:hAnsiTheme="minorBidi" w:cstheme="minorBidi"/>
                <w:noProof/>
                <w:webHidden/>
                <w:lang w:val="en-GB"/>
              </w:rPr>
              <w:instrText xml:space="preserve"> PAGEREF _Toc241221661 \h </w:instrText>
            </w:r>
            <w:r w:rsidRPr="005D3B32">
              <w:rPr>
                <w:rFonts w:asciiTheme="minorBidi" w:hAnsiTheme="minorBidi" w:cstheme="minorBidi"/>
                <w:noProof/>
                <w:webHidden/>
                <w:lang w:val="en-GB"/>
              </w:rPr>
            </w:r>
            <w:r w:rsidRPr="005D3B32">
              <w:rPr>
                <w:rFonts w:asciiTheme="minorBidi" w:hAnsiTheme="minorBidi" w:cstheme="minorBidi"/>
                <w:noProof/>
                <w:webHidden/>
                <w:lang w:val="en-GB"/>
              </w:rPr>
              <w:fldChar w:fldCharType="separate"/>
            </w:r>
            <w:r w:rsidR="00351A95">
              <w:rPr>
                <w:rFonts w:asciiTheme="minorBidi" w:hAnsiTheme="minorBidi" w:cstheme="minorBidi"/>
                <w:noProof/>
                <w:webHidden/>
                <w:lang w:val="en-GB"/>
              </w:rPr>
              <w:t>6</w:t>
            </w:r>
            <w:r w:rsidRPr="005D3B32">
              <w:rPr>
                <w:rFonts w:asciiTheme="minorBidi" w:hAnsiTheme="minorBidi" w:cstheme="minorBidi"/>
                <w:noProof/>
                <w:webHidden/>
                <w:lang w:val="en-GB"/>
              </w:rPr>
              <w:fldChar w:fldCharType="end"/>
            </w:r>
          </w:hyperlink>
        </w:p>
        <w:p w14:paraId="121E7DBA" w14:textId="53F6275A" w:rsidR="00141F07" w:rsidRPr="005D3B32" w:rsidRDefault="00141F07" w:rsidP="00141F07">
          <w:pPr>
            <w:pStyle w:val="TOC2"/>
            <w:tabs>
              <w:tab w:val="right" w:leader="dot" w:pos="9350"/>
            </w:tabs>
            <w:spacing w:line="360" w:lineRule="auto"/>
            <w:jc w:val="both"/>
            <w:rPr>
              <w:rFonts w:asciiTheme="minorBidi" w:hAnsiTheme="minorBidi" w:cstheme="minorBidi"/>
              <w:noProof/>
              <w:lang w:val="en-GB"/>
            </w:rPr>
          </w:pPr>
          <w:hyperlink w:anchor="_Toc241221662" w:history="1">
            <w:r w:rsidRPr="005D3B32">
              <w:rPr>
                <w:rStyle w:val="Hyperlink"/>
                <w:rFonts w:asciiTheme="minorBidi" w:hAnsiTheme="minorBidi" w:cstheme="minorBidi"/>
                <w:noProof/>
                <w:lang w:val="en-GB"/>
              </w:rPr>
              <w:t>2. Discussion</w:t>
            </w:r>
            <w:r w:rsidRPr="005D3B32">
              <w:rPr>
                <w:rFonts w:asciiTheme="minorBidi" w:hAnsiTheme="minorBidi" w:cstheme="minorBidi"/>
                <w:noProof/>
                <w:webHidden/>
                <w:lang w:val="en-GB"/>
              </w:rPr>
              <w:tab/>
            </w:r>
            <w:r w:rsidRPr="005D3B32">
              <w:rPr>
                <w:rFonts w:asciiTheme="minorBidi" w:hAnsiTheme="minorBidi" w:cstheme="minorBidi"/>
                <w:noProof/>
                <w:webHidden/>
                <w:lang w:val="en-GB"/>
              </w:rPr>
              <w:fldChar w:fldCharType="begin"/>
            </w:r>
            <w:r w:rsidRPr="005D3B32">
              <w:rPr>
                <w:rFonts w:asciiTheme="minorBidi" w:hAnsiTheme="minorBidi" w:cstheme="minorBidi"/>
                <w:noProof/>
                <w:webHidden/>
                <w:lang w:val="en-GB"/>
              </w:rPr>
              <w:instrText xml:space="preserve"> PAGEREF _Toc241221662 \h </w:instrText>
            </w:r>
            <w:r w:rsidRPr="005D3B32">
              <w:rPr>
                <w:rFonts w:asciiTheme="minorBidi" w:hAnsiTheme="minorBidi" w:cstheme="minorBidi"/>
                <w:noProof/>
                <w:webHidden/>
                <w:lang w:val="en-GB"/>
              </w:rPr>
            </w:r>
            <w:r w:rsidRPr="005D3B32">
              <w:rPr>
                <w:rFonts w:asciiTheme="minorBidi" w:hAnsiTheme="minorBidi" w:cstheme="minorBidi"/>
                <w:noProof/>
                <w:webHidden/>
                <w:lang w:val="en-GB"/>
              </w:rPr>
              <w:fldChar w:fldCharType="separate"/>
            </w:r>
            <w:r w:rsidR="00351A95">
              <w:rPr>
                <w:rFonts w:asciiTheme="minorBidi" w:hAnsiTheme="minorBidi" w:cstheme="minorBidi"/>
                <w:noProof/>
                <w:webHidden/>
                <w:lang w:val="en-GB"/>
              </w:rPr>
              <w:t>6</w:t>
            </w:r>
            <w:r w:rsidRPr="005D3B32">
              <w:rPr>
                <w:rFonts w:asciiTheme="minorBidi" w:hAnsiTheme="minorBidi" w:cstheme="minorBidi"/>
                <w:noProof/>
                <w:webHidden/>
                <w:lang w:val="en-GB"/>
              </w:rPr>
              <w:fldChar w:fldCharType="end"/>
            </w:r>
          </w:hyperlink>
        </w:p>
        <w:p w14:paraId="36C9FAFF" w14:textId="30D7F30A" w:rsidR="00141F07" w:rsidRPr="005D3B32" w:rsidRDefault="00141F07" w:rsidP="00141F07">
          <w:pPr>
            <w:pStyle w:val="TOC3"/>
            <w:tabs>
              <w:tab w:val="right" w:leader="dot" w:pos="9350"/>
            </w:tabs>
            <w:spacing w:line="360" w:lineRule="auto"/>
            <w:jc w:val="both"/>
            <w:rPr>
              <w:rFonts w:asciiTheme="minorBidi" w:hAnsiTheme="minorBidi" w:cstheme="minorBidi"/>
              <w:noProof/>
              <w:lang w:val="en-GB"/>
            </w:rPr>
          </w:pPr>
          <w:hyperlink w:anchor="_Toc241221663" w:history="1">
            <w:r w:rsidRPr="005D3B32">
              <w:rPr>
                <w:rStyle w:val="Hyperlink"/>
                <w:rFonts w:asciiTheme="minorBidi" w:hAnsiTheme="minorBidi" w:cstheme="minorBidi"/>
                <w:noProof/>
                <w:lang w:val="en-GB"/>
              </w:rPr>
              <w:t>2.1 Historical context and current function of ambulance services</w:t>
            </w:r>
            <w:r w:rsidRPr="005D3B32">
              <w:rPr>
                <w:rFonts w:asciiTheme="minorBidi" w:hAnsiTheme="minorBidi" w:cstheme="minorBidi"/>
                <w:noProof/>
                <w:webHidden/>
                <w:lang w:val="en-GB"/>
              </w:rPr>
              <w:tab/>
            </w:r>
            <w:r w:rsidRPr="005D3B32">
              <w:rPr>
                <w:rFonts w:asciiTheme="minorBidi" w:hAnsiTheme="minorBidi" w:cstheme="minorBidi"/>
                <w:noProof/>
                <w:webHidden/>
                <w:lang w:val="en-GB"/>
              </w:rPr>
              <w:fldChar w:fldCharType="begin"/>
            </w:r>
            <w:r w:rsidRPr="005D3B32">
              <w:rPr>
                <w:rFonts w:asciiTheme="minorBidi" w:hAnsiTheme="minorBidi" w:cstheme="minorBidi"/>
                <w:noProof/>
                <w:webHidden/>
                <w:lang w:val="en-GB"/>
              </w:rPr>
              <w:instrText xml:space="preserve"> PAGEREF _Toc241221663 \h </w:instrText>
            </w:r>
            <w:r w:rsidRPr="005D3B32">
              <w:rPr>
                <w:rFonts w:asciiTheme="minorBidi" w:hAnsiTheme="minorBidi" w:cstheme="minorBidi"/>
                <w:noProof/>
                <w:webHidden/>
                <w:lang w:val="en-GB"/>
              </w:rPr>
            </w:r>
            <w:r w:rsidRPr="005D3B32">
              <w:rPr>
                <w:rFonts w:asciiTheme="minorBidi" w:hAnsiTheme="minorBidi" w:cstheme="minorBidi"/>
                <w:noProof/>
                <w:webHidden/>
                <w:lang w:val="en-GB"/>
              </w:rPr>
              <w:fldChar w:fldCharType="separate"/>
            </w:r>
            <w:r w:rsidR="00351A95">
              <w:rPr>
                <w:rFonts w:asciiTheme="minorBidi" w:hAnsiTheme="minorBidi" w:cstheme="minorBidi"/>
                <w:noProof/>
                <w:webHidden/>
                <w:lang w:val="en-GB"/>
              </w:rPr>
              <w:t>6</w:t>
            </w:r>
            <w:r w:rsidRPr="005D3B32">
              <w:rPr>
                <w:rFonts w:asciiTheme="minorBidi" w:hAnsiTheme="minorBidi" w:cstheme="minorBidi"/>
                <w:noProof/>
                <w:webHidden/>
                <w:lang w:val="en-GB"/>
              </w:rPr>
              <w:fldChar w:fldCharType="end"/>
            </w:r>
          </w:hyperlink>
        </w:p>
        <w:p w14:paraId="7DAEEBD7" w14:textId="18DAD680" w:rsidR="00141F07" w:rsidRPr="005D3B32" w:rsidRDefault="00141F07" w:rsidP="00141F07">
          <w:pPr>
            <w:pStyle w:val="TOC3"/>
            <w:tabs>
              <w:tab w:val="right" w:leader="dot" w:pos="9350"/>
            </w:tabs>
            <w:spacing w:line="360" w:lineRule="auto"/>
            <w:jc w:val="both"/>
            <w:rPr>
              <w:rFonts w:asciiTheme="minorBidi" w:hAnsiTheme="minorBidi" w:cstheme="minorBidi"/>
              <w:noProof/>
              <w:lang w:val="en-GB"/>
            </w:rPr>
          </w:pPr>
          <w:hyperlink w:anchor="_Toc241221664" w:history="1">
            <w:r w:rsidRPr="005D3B32">
              <w:rPr>
                <w:rStyle w:val="Hyperlink"/>
                <w:rFonts w:asciiTheme="minorBidi" w:hAnsiTheme="minorBidi" w:cstheme="minorBidi"/>
                <w:noProof/>
                <w:lang w:val="en-GB"/>
              </w:rPr>
              <w:t>2.2 Critical evaluation and significance for service users</w:t>
            </w:r>
            <w:r w:rsidRPr="005D3B32">
              <w:rPr>
                <w:rFonts w:asciiTheme="minorBidi" w:hAnsiTheme="minorBidi" w:cstheme="minorBidi"/>
                <w:noProof/>
                <w:webHidden/>
                <w:lang w:val="en-GB"/>
              </w:rPr>
              <w:tab/>
            </w:r>
            <w:r w:rsidRPr="005D3B32">
              <w:rPr>
                <w:rFonts w:asciiTheme="minorBidi" w:hAnsiTheme="minorBidi" w:cstheme="minorBidi"/>
                <w:noProof/>
                <w:webHidden/>
                <w:lang w:val="en-GB"/>
              </w:rPr>
              <w:fldChar w:fldCharType="begin"/>
            </w:r>
            <w:r w:rsidRPr="005D3B32">
              <w:rPr>
                <w:rFonts w:asciiTheme="minorBidi" w:hAnsiTheme="minorBidi" w:cstheme="minorBidi"/>
                <w:noProof/>
                <w:webHidden/>
                <w:lang w:val="en-GB"/>
              </w:rPr>
              <w:instrText xml:space="preserve"> PAGEREF _Toc241221664 \h </w:instrText>
            </w:r>
            <w:r w:rsidRPr="005D3B32">
              <w:rPr>
                <w:rFonts w:asciiTheme="minorBidi" w:hAnsiTheme="minorBidi" w:cstheme="minorBidi"/>
                <w:noProof/>
                <w:webHidden/>
                <w:lang w:val="en-GB"/>
              </w:rPr>
            </w:r>
            <w:r w:rsidRPr="005D3B32">
              <w:rPr>
                <w:rFonts w:asciiTheme="minorBidi" w:hAnsiTheme="minorBidi" w:cstheme="minorBidi"/>
                <w:noProof/>
                <w:webHidden/>
                <w:lang w:val="en-GB"/>
              </w:rPr>
              <w:fldChar w:fldCharType="separate"/>
            </w:r>
            <w:r w:rsidR="00351A95">
              <w:rPr>
                <w:rFonts w:asciiTheme="minorBidi" w:hAnsiTheme="minorBidi" w:cstheme="minorBidi"/>
                <w:noProof/>
                <w:webHidden/>
                <w:lang w:val="en-GB"/>
              </w:rPr>
              <w:t>7</w:t>
            </w:r>
            <w:r w:rsidRPr="005D3B32">
              <w:rPr>
                <w:rFonts w:asciiTheme="minorBidi" w:hAnsiTheme="minorBidi" w:cstheme="minorBidi"/>
                <w:noProof/>
                <w:webHidden/>
                <w:lang w:val="en-GB"/>
              </w:rPr>
              <w:fldChar w:fldCharType="end"/>
            </w:r>
          </w:hyperlink>
        </w:p>
        <w:p w14:paraId="3A9A83D4" w14:textId="3EE74167" w:rsidR="00141F07" w:rsidRPr="005D3B32" w:rsidRDefault="00141F07" w:rsidP="00141F07">
          <w:pPr>
            <w:pStyle w:val="TOC2"/>
            <w:tabs>
              <w:tab w:val="right" w:leader="dot" w:pos="9350"/>
            </w:tabs>
            <w:spacing w:line="360" w:lineRule="auto"/>
            <w:jc w:val="both"/>
            <w:rPr>
              <w:rFonts w:asciiTheme="minorBidi" w:hAnsiTheme="minorBidi" w:cstheme="minorBidi"/>
              <w:noProof/>
              <w:lang w:val="en-GB"/>
            </w:rPr>
          </w:pPr>
          <w:hyperlink w:anchor="_Toc241221665" w:history="1">
            <w:r w:rsidRPr="005D3B32">
              <w:rPr>
                <w:rStyle w:val="Hyperlink"/>
                <w:rFonts w:asciiTheme="minorBidi" w:hAnsiTheme="minorBidi" w:cstheme="minorBidi"/>
                <w:noProof/>
                <w:lang w:val="en-GB"/>
              </w:rPr>
              <w:t>3. Conclusion</w:t>
            </w:r>
            <w:r w:rsidRPr="005D3B32">
              <w:rPr>
                <w:rFonts w:asciiTheme="minorBidi" w:hAnsiTheme="minorBidi" w:cstheme="minorBidi"/>
                <w:noProof/>
                <w:webHidden/>
                <w:lang w:val="en-GB"/>
              </w:rPr>
              <w:tab/>
            </w:r>
            <w:r w:rsidRPr="005D3B32">
              <w:rPr>
                <w:rFonts w:asciiTheme="minorBidi" w:hAnsiTheme="minorBidi" w:cstheme="minorBidi"/>
                <w:noProof/>
                <w:webHidden/>
                <w:lang w:val="en-GB"/>
              </w:rPr>
              <w:fldChar w:fldCharType="begin"/>
            </w:r>
            <w:r w:rsidRPr="005D3B32">
              <w:rPr>
                <w:rFonts w:asciiTheme="minorBidi" w:hAnsiTheme="minorBidi" w:cstheme="minorBidi"/>
                <w:noProof/>
                <w:webHidden/>
                <w:lang w:val="en-GB"/>
              </w:rPr>
              <w:instrText xml:space="preserve"> PAGEREF _Toc241221665 \h </w:instrText>
            </w:r>
            <w:r w:rsidRPr="005D3B32">
              <w:rPr>
                <w:rFonts w:asciiTheme="minorBidi" w:hAnsiTheme="minorBidi" w:cstheme="minorBidi"/>
                <w:noProof/>
                <w:webHidden/>
                <w:lang w:val="en-GB"/>
              </w:rPr>
            </w:r>
            <w:r w:rsidRPr="005D3B32">
              <w:rPr>
                <w:rFonts w:asciiTheme="minorBidi" w:hAnsiTheme="minorBidi" w:cstheme="minorBidi"/>
                <w:noProof/>
                <w:webHidden/>
                <w:lang w:val="en-GB"/>
              </w:rPr>
              <w:fldChar w:fldCharType="separate"/>
            </w:r>
            <w:r w:rsidR="00351A95">
              <w:rPr>
                <w:rFonts w:asciiTheme="minorBidi" w:hAnsiTheme="minorBidi" w:cstheme="minorBidi"/>
                <w:noProof/>
                <w:webHidden/>
                <w:lang w:val="en-GB"/>
              </w:rPr>
              <w:t>8</w:t>
            </w:r>
            <w:r w:rsidRPr="005D3B32">
              <w:rPr>
                <w:rFonts w:asciiTheme="minorBidi" w:hAnsiTheme="minorBidi" w:cstheme="minorBidi"/>
                <w:noProof/>
                <w:webHidden/>
                <w:lang w:val="en-GB"/>
              </w:rPr>
              <w:fldChar w:fldCharType="end"/>
            </w:r>
          </w:hyperlink>
        </w:p>
        <w:p w14:paraId="54C02512" w14:textId="71EDC388" w:rsidR="00141F07" w:rsidRPr="005D3B32" w:rsidRDefault="00141F07" w:rsidP="00141F07">
          <w:pPr>
            <w:pStyle w:val="TOC1"/>
            <w:tabs>
              <w:tab w:val="right" w:leader="dot" w:pos="9350"/>
            </w:tabs>
            <w:spacing w:line="360" w:lineRule="auto"/>
            <w:jc w:val="both"/>
            <w:rPr>
              <w:rFonts w:asciiTheme="minorBidi" w:hAnsiTheme="minorBidi" w:cstheme="minorBidi"/>
              <w:noProof/>
              <w:lang w:val="en-GB"/>
            </w:rPr>
          </w:pPr>
          <w:hyperlink w:anchor="_Toc241221666" w:history="1">
            <w:r w:rsidRPr="005D3B32">
              <w:rPr>
                <w:rStyle w:val="Hyperlink"/>
                <w:rFonts w:asciiTheme="minorBidi" w:hAnsiTheme="minorBidi" w:cstheme="minorBidi"/>
                <w:noProof/>
                <w:lang w:val="en-GB"/>
              </w:rPr>
              <w:t>Reference list</w:t>
            </w:r>
            <w:r w:rsidRPr="005D3B32">
              <w:rPr>
                <w:rFonts w:asciiTheme="minorBidi" w:hAnsiTheme="minorBidi" w:cstheme="minorBidi"/>
                <w:noProof/>
                <w:webHidden/>
                <w:lang w:val="en-GB"/>
              </w:rPr>
              <w:tab/>
            </w:r>
            <w:r w:rsidRPr="005D3B32">
              <w:rPr>
                <w:rFonts w:asciiTheme="minorBidi" w:hAnsiTheme="minorBidi" w:cstheme="minorBidi"/>
                <w:noProof/>
                <w:webHidden/>
                <w:lang w:val="en-GB"/>
              </w:rPr>
              <w:fldChar w:fldCharType="begin"/>
            </w:r>
            <w:r w:rsidRPr="005D3B32">
              <w:rPr>
                <w:rFonts w:asciiTheme="minorBidi" w:hAnsiTheme="minorBidi" w:cstheme="minorBidi"/>
                <w:noProof/>
                <w:webHidden/>
                <w:lang w:val="en-GB"/>
              </w:rPr>
              <w:instrText xml:space="preserve"> PAGEREF _Toc241221666 \h </w:instrText>
            </w:r>
            <w:r w:rsidRPr="005D3B32">
              <w:rPr>
                <w:rFonts w:asciiTheme="minorBidi" w:hAnsiTheme="minorBidi" w:cstheme="minorBidi"/>
                <w:noProof/>
                <w:webHidden/>
                <w:lang w:val="en-GB"/>
              </w:rPr>
            </w:r>
            <w:r w:rsidRPr="005D3B32">
              <w:rPr>
                <w:rFonts w:asciiTheme="minorBidi" w:hAnsiTheme="minorBidi" w:cstheme="minorBidi"/>
                <w:noProof/>
                <w:webHidden/>
                <w:lang w:val="en-GB"/>
              </w:rPr>
              <w:fldChar w:fldCharType="separate"/>
            </w:r>
            <w:r w:rsidR="00351A95">
              <w:rPr>
                <w:rFonts w:asciiTheme="minorBidi" w:hAnsiTheme="minorBidi" w:cstheme="minorBidi"/>
                <w:noProof/>
                <w:webHidden/>
                <w:lang w:val="en-GB"/>
              </w:rPr>
              <w:t>9</w:t>
            </w:r>
            <w:r w:rsidRPr="005D3B32">
              <w:rPr>
                <w:rFonts w:asciiTheme="minorBidi" w:hAnsiTheme="minorBidi" w:cstheme="minorBidi"/>
                <w:noProof/>
                <w:webHidden/>
                <w:lang w:val="en-GB"/>
              </w:rPr>
              <w:fldChar w:fldCharType="end"/>
            </w:r>
          </w:hyperlink>
        </w:p>
        <w:p w14:paraId="6A5B0132" w14:textId="18FADA99" w:rsidR="00141F07" w:rsidRPr="005D3B32" w:rsidRDefault="00141F07" w:rsidP="00141F07">
          <w:pPr>
            <w:pStyle w:val="TOC2"/>
            <w:tabs>
              <w:tab w:val="right" w:leader="dot" w:pos="9350"/>
            </w:tabs>
            <w:spacing w:line="360" w:lineRule="auto"/>
            <w:jc w:val="both"/>
            <w:rPr>
              <w:rFonts w:asciiTheme="minorBidi" w:hAnsiTheme="minorBidi" w:cstheme="minorBidi"/>
              <w:noProof/>
              <w:lang w:val="en-GB"/>
            </w:rPr>
          </w:pPr>
          <w:hyperlink w:anchor="_Toc241221667" w:history="1">
            <w:r w:rsidRPr="005D3B32">
              <w:rPr>
                <w:rStyle w:val="Hyperlink"/>
                <w:rFonts w:asciiTheme="minorBidi" w:hAnsiTheme="minorBidi" w:cstheme="minorBidi"/>
                <w:noProof/>
                <w:lang w:val="en-GB"/>
              </w:rPr>
              <w:t>Task 1</w:t>
            </w:r>
            <w:r w:rsidRPr="005D3B32">
              <w:rPr>
                <w:rFonts w:asciiTheme="minorBidi" w:hAnsiTheme="minorBidi" w:cstheme="minorBidi"/>
                <w:noProof/>
                <w:webHidden/>
                <w:lang w:val="en-GB"/>
              </w:rPr>
              <w:tab/>
            </w:r>
            <w:r w:rsidRPr="005D3B32">
              <w:rPr>
                <w:rFonts w:asciiTheme="minorBidi" w:hAnsiTheme="minorBidi" w:cstheme="minorBidi"/>
                <w:noProof/>
                <w:webHidden/>
                <w:lang w:val="en-GB"/>
              </w:rPr>
              <w:fldChar w:fldCharType="begin"/>
            </w:r>
            <w:r w:rsidRPr="005D3B32">
              <w:rPr>
                <w:rFonts w:asciiTheme="minorBidi" w:hAnsiTheme="minorBidi" w:cstheme="minorBidi"/>
                <w:noProof/>
                <w:webHidden/>
                <w:lang w:val="en-GB"/>
              </w:rPr>
              <w:instrText xml:space="preserve"> PAGEREF _Toc241221667 \h </w:instrText>
            </w:r>
            <w:r w:rsidRPr="005D3B32">
              <w:rPr>
                <w:rFonts w:asciiTheme="minorBidi" w:hAnsiTheme="minorBidi" w:cstheme="minorBidi"/>
                <w:noProof/>
                <w:webHidden/>
                <w:lang w:val="en-GB"/>
              </w:rPr>
            </w:r>
            <w:r w:rsidRPr="005D3B32">
              <w:rPr>
                <w:rFonts w:asciiTheme="minorBidi" w:hAnsiTheme="minorBidi" w:cstheme="minorBidi"/>
                <w:noProof/>
                <w:webHidden/>
                <w:lang w:val="en-GB"/>
              </w:rPr>
              <w:fldChar w:fldCharType="separate"/>
            </w:r>
            <w:r w:rsidR="00351A95">
              <w:rPr>
                <w:rFonts w:asciiTheme="minorBidi" w:hAnsiTheme="minorBidi" w:cstheme="minorBidi"/>
                <w:noProof/>
                <w:webHidden/>
                <w:lang w:val="en-GB"/>
              </w:rPr>
              <w:t>9</w:t>
            </w:r>
            <w:r w:rsidRPr="005D3B32">
              <w:rPr>
                <w:rFonts w:asciiTheme="minorBidi" w:hAnsiTheme="minorBidi" w:cstheme="minorBidi"/>
                <w:noProof/>
                <w:webHidden/>
                <w:lang w:val="en-GB"/>
              </w:rPr>
              <w:fldChar w:fldCharType="end"/>
            </w:r>
          </w:hyperlink>
        </w:p>
        <w:p w14:paraId="4049DD51" w14:textId="26686996" w:rsidR="00141F07" w:rsidRPr="005D3B32" w:rsidRDefault="00141F07" w:rsidP="00141F07">
          <w:pPr>
            <w:pStyle w:val="TOC2"/>
            <w:tabs>
              <w:tab w:val="right" w:leader="dot" w:pos="9350"/>
            </w:tabs>
            <w:spacing w:line="360" w:lineRule="auto"/>
            <w:jc w:val="both"/>
            <w:rPr>
              <w:rFonts w:asciiTheme="minorBidi" w:hAnsiTheme="minorBidi" w:cstheme="minorBidi"/>
              <w:noProof/>
              <w:lang w:val="en-GB"/>
            </w:rPr>
          </w:pPr>
          <w:hyperlink w:anchor="_Toc241221668" w:history="1">
            <w:r w:rsidRPr="005D3B32">
              <w:rPr>
                <w:rStyle w:val="Hyperlink"/>
                <w:rFonts w:asciiTheme="minorBidi" w:hAnsiTheme="minorBidi" w:cstheme="minorBidi"/>
                <w:noProof/>
                <w:lang w:val="en-GB"/>
              </w:rPr>
              <w:t>Task 2</w:t>
            </w:r>
            <w:r w:rsidRPr="005D3B32">
              <w:rPr>
                <w:rFonts w:asciiTheme="minorBidi" w:hAnsiTheme="minorBidi" w:cstheme="minorBidi"/>
                <w:noProof/>
                <w:webHidden/>
                <w:lang w:val="en-GB"/>
              </w:rPr>
              <w:tab/>
            </w:r>
            <w:r w:rsidRPr="005D3B32">
              <w:rPr>
                <w:rFonts w:asciiTheme="minorBidi" w:hAnsiTheme="minorBidi" w:cstheme="minorBidi"/>
                <w:noProof/>
                <w:webHidden/>
                <w:lang w:val="en-GB"/>
              </w:rPr>
              <w:fldChar w:fldCharType="begin"/>
            </w:r>
            <w:r w:rsidRPr="005D3B32">
              <w:rPr>
                <w:rFonts w:asciiTheme="minorBidi" w:hAnsiTheme="minorBidi" w:cstheme="minorBidi"/>
                <w:noProof/>
                <w:webHidden/>
                <w:lang w:val="en-GB"/>
              </w:rPr>
              <w:instrText xml:space="preserve"> PAGEREF _Toc241221668 \h </w:instrText>
            </w:r>
            <w:r w:rsidRPr="005D3B32">
              <w:rPr>
                <w:rFonts w:asciiTheme="minorBidi" w:hAnsiTheme="minorBidi" w:cstheme="minorBidi"/>
                <w:noProof/>
                <w:webHidden/>
                <w:lang w:val="en-GB"/>
              </w:rPr>
            </w:r>
            <w:r w:rsidRPr="005D3B32">
              <w:rPr>
                <w:rFonts w:asciiTheme="minorBidi" w:hAnsiTheme="minorBidi" w:cstheme="minorBidi"/>
                <w:noProof/>
                <w:webHidden/>
                <w:lang w:val="en-GB"/>
              </w:rPr>
              <w:fldChar w:fldCharType="separate"/>
            </w:r>
            <w:r w:rsidR="00351A95">
              <w:rPr>
                <w:rFonts w:asciiTheme="minorBidi" w:hAnsiTheme="minorBidi" w:cstheme="minorBidi"/>
                <w:noProof/>
                <w:webHidden/>
                <w:lang w:val="en-GB"/>
              </w:rPr>
              <w:t>10</w:t>
            </w:r>
            <w:r w:rsidRPr="005D3B32">
              <w:rPr>
                <w:rFonts w:asciiTheme="minorBidi" w:hAnsiTheme="minorBidi" w:cstheme="minorBidi"/>
                <w:noProof/>
                <w:webHidden/>
                <w:lang w:val="en-GB"/>
              </w:rPr>
              <w:fldChar w:fldCharType="end"/>
            </w:r>
          </w:hyperlink>
        </w:p>
        <w:p w14:paraId="7CA9B365" w14:textId="4FD86EC8" w:rsidR="00141F07" w:rsidRPr="005D3B32" w:rsidRDefault="00141F07" w:rsidP="00141F07">
          <w:pPr>
            <w:spacing w:line="360" w:lineRule="auto"/>
            <w:jc w:val="both"/>
            <w:rPr>
              <w:lang w:val="en-GB"/>
            </w:rPr>
          </w:pPr>
          <w:r w:rsidRPr="005D3B32">
            <w:rPr>
              <w:rFonts w:asciiTheme="minorBidi" w:hAnsiTheme="minorBidi" w:cstheme="minorBidi"/>
              <w:b/>
              <w:bCs/>
              <w:noProof/>
              <w:lang w:val="en-GB"/>
            </w:rPr>
            <w:fldChar w:fldCharType="end"/>
          </w:r>
        </w:p>
      </w:sdtContent>
    </w:sdt>
    <w:p w14:paraId="771BE43D" w14:textId="77777777" w:rsidR="00141F07" w:rsidRPr="005D3B32" w:rsidRDefault="00141F07" w:rsidP="00141F07">
      <w:pPr>
        <w:spacing w:line="360" w:lineRule="auto"/>
        <w:jc w:val="center"/>
        <w:rPr>
          <w:b/>
          <w:bCs/>
          <w:sz w:val="32"/>
          <w:szCs w:val="32"/>
          <w:lang w:val="en-GB"/>
        </w:rPr>
      </w:pPr>
    </w:p>
    <w:p w14:paraId="3A7C5ED3" w14:textId="77777777" w:rsidR="00141F07" w:rsidRPr="005D3B32" w:rsidRDefault="00141F07">
      <w:pPr>
        <w:rPr>
          <w:b/>
          <w:bCs/>
          <w:lang w:val="en-GB"/>
        </w:rPr>
      </w:pPr>
      <w:r w:rsidRPr="005D3B32">
        <w:rPr>
          <w:lang w:val="en-GB"/>
        </w:rPr>
        <w:br w:type="page"/>
      </w:r>
    </w:p>
    <w:p w14:paraId="00000001" w14:textId="15CED2DE" w:rsidR="008C384D" w:rsidRPr="005D3B32" w:rsidRDefault="003E4854" w:rsidP="00141F07">
      <w:pPr>
        <w:pStyle w:val="Heading1"/>
        <w:rPr>
          <w:lang w:val="en-GB"/>
        </w:rPr>
      </w:pPr>
      <w:bookmarkStart w:id="0" w:name="_Toc241221655"/>
      <w:r w:rsidRPr="005D3B32">
        <w:rPr>
          <w:lang w:val="en-GB"/>
        </w:rPr>
        <w:lastRenderedPageBreak/>
        <w:t>Task 1: Mini report</w:t>
      </w:r>
      <w:bookmarkEnd w:id="0"/>
    </w:p>
    <w:p w14:paraId="00000002" w14:textId="77777777" w:rsidR="008C384D" w:rsidRPr="005D3B32" w:rsidRDefault="003E4854">
      <w:pPr>
        <w:spacing w:before="200" w:after="200" w:line="360" w:lineRule="auto"/>
        <w:jc w:val="both"/>
        <w:rPr>
          <w:lang w:val="en-GB"/>
        </w:rPr>
      </w:pPr>
      <w:r w:rsidRPr="005D3B32">
        <w:rPr>
          <w:b/>
          <w:bCs/>
          <w:lang w:val="en-GB"/>
        </w:rPr>
        <w:t xml:space="preserve">To: </w:t>
      </w:r>
      <w:r w:rsidRPr="005D3B32">
        <w:rPr>
          <w:lang w:val="en-GB"/>
        </w:rPr>
        <w:t xml:space="preserve">Martin Smith, Councillor </w:t>
      </w:r>
    </w:p>
    <w:p w14:paraId="00000003" w14:textId="77777777" w:rsidR="008C384D" w:rsidRPr="005D3B32" w:rsidRDefault="003E4854">
      <w:pPr>
        <w:spacing w:before="200" w:after="200" w:line="360" w:lineRule="auto"/>
        <w:jc w:val="both"/>
        <w:rPr>
          <w:lang w:val="en-GB"/>
        </w:rPr>
      </w:pPr>
      <w:r w:rsidRPr="005D3B32">
        <w:rPr>
          <w:lang w:val="en-GB"/>
        </w:rPr>
        <w:t>King’s Norton North Ward</w:t>
      </w:r>
    </w:p>
    <w:p w14:paraId="00000004" w14:textId="77777777" w:rsidR="008C384D" w:rsidRPr="005D3B32" w:rsidRDefault="003E4854">
      <w:pPr>
        <w:spacing w:before="200" w:after="200" w:line="360" w:lineRule="auto"/>
        <w:jc w:val="both"/>
        <w:rPr>
          <w:lang w:val="en-GB"/>
        </w:rPr>
      </w:pPr>
      <w:r w:rsidRPr="005D3B32">
        <w:rPr>
          <w:lang w:val="en-GB"/>
        </w:rPr>
        <w:t>Birmingham City Council</w:t>
      </w:r>
    </w:p>
    <w:p w14:paraId="00000005" w14:textId="77777777" w:rsidR="008C384D" w:rsidRPr="005D3B32" w:rsidRDefault="003E4854">
      <w:pPr>
        <w:spacing w:before="200" w:after="200" w:line="360" w:lineRule="auto"/>
        <w:jc w:val="both"/>
        <w:rPr>
          <w:lang w:val="en-GB"/>
        </w:rPr>
      </w:pPr>
      <w:r w:rsidRPr="005D3B32">
        <w:rPr>
          <w:b/>
          <w:bCs/>
          <w:lang w:val="en-GB"/>
        </w:rPr>
        <w:t>Subject:</w:t>
      </w:r>
      <w:r w:rsidRPr="005D3B32">
        <w:rPr>
          <w:lang w:val="en-GB"/>
        </w:rPr>
        <w:t xml:space="preserve"> Addressing the shortage of community mental health services</w:t>
      </w:r>
    </w:p>
    <w:p w14:paraId="00000006" w14:textId="0A587B6D" w:rsidR="008C384D" w:rsidRPr="00917C0E" w:rsidRDefault="003E4854">
      <w:pPr>
        <w:spacing w:before="200" w:after="200" w:line="360" w:lineRule="auto"/>
        <w:jc w:val="both"/>
        <w:rPr>
          <w:lang w:val="en-GB"/>
        </w:rPr>
      </w:pPr>
      <w:r w:rsidRPr="005D3B32">
        <w:rPr>
          <w:b/>
          <w:bCs/>
          <w:lang w:val="en-GB"/>
        </w:rPr>
        <w:t xml:space="preserve">Prepared By: </w:t>
      </w:r>
      <w:r w:rsidR="00917C0E" w:rsidRPr="00917C0E">
        <w:rPr>
          <w:lang w:val="en-GB"/>
        </w:rPr>
        <w:t>Tabassum faraz</w:t>
      </w:r>
    </w:p>
    <w:p w14:paraId="00000007" w14:textId="4C675126" w:rsidR="008C384D" w:rsidRPr="005D3B32" w:rsidRDefault="003E4854">
      <w:pPr>
        <w:spacing w:before="200" w:after="200" w:line="360" w:lineRule="auto"/>
        <w:jc w:val="both"/>
        <w:rPr>
          <w:lang w:val="en-GB"/>
        </w:rPr>
      </w:pPr>
      <w:r w:rsidRPr="005D3B32">
        <w:rPr>
          <w:b/>
          <w:bCs/>
          <w:lang w:val="en-GB"/>
        </w:rPr>
        <w:t xml:space="preserve">Date: </w:t>
      </w:r>
      <w:r w:rsidR="00917C0E">
        <w:rPr>
          <w:lang w:val="en-GB"/>
        </w:rPr>
        <w:t>30</w:t>
      </w:r>
      <w:r w:rsidRPr="005D3B32">
        <w:rPr>
          <w:lang w:val="en-GB"/>
        </w:rPr>
        <w:t xml:space="preserve"> </w:t>
      </w:r>
      <w:proofErr w:type="gramStart"/>
      <w:r w:rsidRPr="005D3B32">
        <w:rPr>
          <w:lang w:val="en-GB"/>
        </w:rPr>
        <w:t>September,</w:t>
      </w:r>
      <w:proofErr w:type="gramEnd"/>
      <w:r w:rsidRPr="005D3B32">
        <w:rPr>
          <w:lang w:val="en-GB"/>
        </w:rPr>
        <w:t xml:space="preserve"> 2026</w:t>
      </w:r>
    </w:p>
    <w:p w14:paraId="00000008" w14:textId="77777777" w:rsidR="008C384D" w:rsidRPr="005D3B32" w:rsidRDefault="003E4854" w:rsidP="00141F07">
      <w:pPr>
        <w:pStyle w:val="Heading2"/>
        <w:rPr>
          <w:lang w:val="en-GB"/>
        </w:rPr>
      </w:pPr>
      <w:bookmarkStart w:id="1" w:name="_Toc241221656"/>
      <w:r w:rsidRPr="005D3B32">
        <w:rPr>
          <w:lang w:val="en-GB"/>
        </w:rPr>
        <w:t>1. Introduction</w:t>
      </w:r>
      <w:bookmarkEnd w:id="1"/>
    </w:p>
    <w:p w14:paraId="00000009" w14:textId="4A30EBB6" w:rsidR="008C384D" w:rsidRPr="005D3B32" w:rsidRDefault="00164577">
      <w:pPr>
        <w:spacing w:before="200" w:after="200" w:line="360" w:lineRule="auto"/>
        <w:jc w:val="both"/>
        <w:rPr>
          <w:lang w:val="en-GB"/>
        </w:rPr>
      </w:pPr>
      <w:r>
        <w:rPr>
          <w:lang w:val="en-GB"/>
        </w:rPr>
        <w:t>Community mental health services in the United Kingdom are referred to the teams who support or treat individuals suffering from mental disorders in a domiciliary setting, rather than a mental hospital.</w:t>
      </w:r>
      <w:r w:rsidR="00CC64A4" w:rsidRPr="005D3B32">
        <w:rPr>
          <w:lang w:val="en-GB"/>
        </w:rPr>
        <w:t xml:space="preserve"> </w:t>
      </w:r>
      <w:r>
        <w:rPr>
          <w:lang w:val="en-GB"/>
        </w:rPr>
        <w:t xml:space="preserve">A wide range of community mental health services vary focusing on the nation in which the services are offered to the patients </w:t>
      </w:r>
      <w:r w:rsidR="00CC64A4" w:rsidRPr="005D3B32">
        <w:rPr>
          <w:lang w:val="en-GB"/>
        </w:rPr>
        <w:t xml:space="preserve">(Dixon, 2023). The demand for mental health services has increased dramatically over the past few years, and it has put a lot of pressure on local agencies across the U.K. Lack of community mental health services in Birmingham has resulted in people in need of care having to wait longer and having less access to assistance. Early intervention is critical as early access to services can reduce the risk of crises and the potential for mental health issues to escalate. By imposing obligations on local authorities for promoting individual welfare, avoiding the escalation of care requirements and ensuring that adequate support is accessible within communities, the Care Act 2014 provides the critical foundation for tackling this challenge. In order to improve community mental health services locally, this mini report will suggest significant recommendations that Birmingham City Council need to take. </w:t>
      </w:r>
    </w:p>
    <w:p w14:paraId="0000000A" w14:textId="77777777" w:rsidR="008C384D" w:rsidRPr="005D3B32" w:rsidRDefault="003E4854" w:rsidP="00141F07">
      <w:pPr>
        <w:pStyle w:val="Heading2"/>
        <w:rPr>
          <w:lang w:val="en-GB"/>
        </w:rPr>
      </w:pPr>
      <w:bookmarkStart w:id="2" w:name="_Toc241221657"/>
      <w:r w:rsidRPr="005D3B32">
        <w:rPr>
          <w:lang w:val="en-GB"/>
        </w:rPr>
        <w:t>2. Impact of the issue on the community</w:t>
      </w:r>
      <w:bookmarkEnd w:id="2"/>
      <w:r w:rsidRPr="005D3B32">
        <w:rPr>
          <w:lang w:val="en-GB"/>
        </w:rPr>
        <w:t xml:space="preserve"> </w:t>
      </w:r>
    </w:p>
    <w:p w14:paraId="0000000B" w14:textId="5313CE64" w:rsidR="008C384D" w:rsidRPr="005D3B32" w:rsidRDefault="00B750E9" w:rsidP="00164577">
      <w:pPr>
        <w:spacing w:before="200" w:after="200" w:line="360" w:lineRule="auto"/>
        <w:jc w:val="both"/>
        <w:rPr>
          <w:lang w:val="en-GB"/>
        </w:rPr>
      </w:pPr>
      <w:r w:rsidRPr="00B750E9">
        <w:t xml:space="preserve">Community mental health services are an important way of helping people with mental health issues to live in their own community as independently as possible. However, many local authorities across </w:t>
      </w:r>
      <w:r w:rsidR="00164577">
        <w:t xml:space="preserve">the UK </w:t>
      </w:r>
      <w:r w:rsidRPr="00B750E9">
        <w:t>continue to face significant challenges due to increasing demand for mental health support and limitations in service capacity</w:t>
      </w:r>
      <w:r w:rsidR="00164577">
        <w:t xml:space="preserve"> </w:t>
      </w:r>
      <w:r w:rsidR="00164577" w:rsidRPr="005D3B32">
        <w:rPr>
          <w:lang w:val="en-GB"/>
        </w:rPr>
        <w:t xml:space="preserve">(Susanti </w:t>
      </w:r>
      <w:r w:rsidR="00164577" w:rsidRPr="005D3B32">
        <w:rPr>
          <w:i/>
          <w:iCs/>
          <w:lang w:val="en-GB"/>
        </w:rPr>
        <w:t>et al.</w:t>
      </w:r>
      <w:r w:rsidR="00164577" w:rsidRPr="005D3B32">
        <w:rPr>
          <w:lang w:val="en-GB"/>
        </w:rPr>
        <w:t>, 2024)</w:t>
      </w:r>
      <w:r w:rsidRPr="00B750E9">
        <w:t xml:space="preserve">. NHS England and the Royal College of Psychiatrists estimate that one in four adults has a mental health condition that can be diagnosed, showing that there is a clear need for more accessible mental health services in the community. </w:t>
      </w:r>
      <w:r w:rsidR="00164577">
        <w:t>One of the research papers</w:t>
      </w:r>
      <w:r w:rsidRPr="00B750E9">
        <w:t xml:space="preserve"> suggests that mental health needs are </w:t>
      </w:r>
      <w:r w:rsidRPr="00B750E9">
        <w:lastRenderedPageBreak/>
        <w:t>continuing to increase</w:t>
      </w:r>
      <w:r w:rsidR="00164577" w:rsidRPr="005D3B32">
        <w:rPr>
          <w:lang w:val="en-GB"/>
        </w:rPr>
        <w:t xml:space="preserve"> (</w:t>
      </w:r>
      <w:proofErr w:type="spellStart"/>
      <w:r w:rsidR="00164577" w:rsidRPr="005D3B32">
        <w:rPr>
          <w:lang w:val="en-GB"/>
        </w:rPr>
        <w:t>Kopelovich</w:t>
      </w:r>
      <w:proofErr w:type="spellEnd"/>
      <w:r w:rsidR="00164577" w:rsidRPr="005D3B32">
        <w:rPr>
          <w:lang w:val="en-GB"/>
        </w:rPr>
        <w:t xml:space="preserve"> </w:t>
      </w:r>
      <w:r w:rsidR="00164577" w:rsidRPr="005D3B32">
        <w:rPr>
          <w:i/>
          <w:iCs/>
          <w:lang w:val="en-GB"/>
        </w:rPr>
        <w:t>et al.</w:t>
      </w:r>
      <w:r w:rsidR="00164577" w:rsidRPr="005D3B32">
        <w:rPr>
          <w:lang w:val="en-GB"/>
        </w:rPr>
        <w:t>, 2020)</w:t>
      </w:r>
      <w:r w:rsidRPr="00B750E9">
        <w:t xml:space="preserve">. A survey of adult psychiatric morbidity </w:t>
      </w:r>
      <w:r w:rsidR="00164577">
        <w:t>in the UK</w:t>
      </w:r>
      <w:r w:rsidRPr="00B750E9">
        <w:t xml:space="preserve"> in 2023</w:t>
      </w:r>
      <w:r w:rsidR="00164577">
        <w:t>-</w:t>
      </w:r>
      <w:r w:rsidRPr="00B750E9">
        <w:t>24 showed that 20% of adults had symptoms of a common mental health disorder (CMHD) including anxiety or depression</w:t>
      </w:r>
      <w:r w:rsidR="00164577">
        <w:t xml:space="preserve"> </w:t>
      </w:r>
      <w:r w:rsidR="00164577" w:rsidRPr="00164577">
        <w:t>(NHS England, 2025)</w:t>
      </w:r>
      <w:r w:rsidRPr="00B750E9">
        <w:t>. In addition, this year (2024</w:t>
      </w:r>
      <w:r w:rsidR="00164577">
        <w:t>-</w:t>
      </w:r>
      <w:r w:rsidRPr="00B750E9">
        <w:t>25), NHS Talking Therapies had a total of around 1.8 million referrals, which were largely consistent to previous years, showing a continued strain on mental health services and increasing public reliance on support services</w:t>
      </w:r>
      <w:r w:rsidR="00164577">
        <w:t xml:space="preserve"> (NHS England, 2025)</w:t>
      </w:r>
      <w:r w:rsidRPr="00B750E9">
        <w:t>. Importantly, the access to services has improved, but the rising rate of mental health conditions indicate that many communities are still experiencing a gap between services demand and capacity. This may lead to delayed interventions, overloading of crisis services and/or health outcomes that suffer for those who need support. Community mental health services are intended to stop deterioration of mental health and to decrease the likelihood of someone being admitted to hospital, which is especially alarming given the situation</w:t>
      </w:r>
      <w:r w:rsidR="00164577">
        <w:t xml:space="preserve"> </w:t>
      </w:r>
      <w:r w:rsidR="00164577" w:rsidRPr="005D3B32">
        <w:rPr>
          <w:lang w:val="en-GB"/>
        </w:rPr>
        <w:t xml:space="preserve">(Alavi </w:t>
      </w:r>
      <w:r w:rsidR="00164577" w:rsidRPr="005D3B32">
        <w:rPr>
          <w:i/>
          <w:iCs/>
          <w:lang w:val="en-GB"/>
        </w:rPr>
        <w:t>et al.</w:t>
      </w:r>
      <w:r w:rsidR="00164577" w:rsidRPr="005D3B32">
        <w:rPr>
          <w:lang w:val="en-GB"/>
        </w:rPr>
        <w:t>, 2020).</w:t>
      </w:r>
      <w:r w:rsidRPr="00B750E9">
        <w:t xml:space="preserve"> Part 1 of the Care Act 2014 places a duty on local authorities to promote the wellbeing of every person in their care, to prevent or delay the need for care and support, and to ensure there is access to information and support within the local community</w:t>
      </w:r>
      <w:r w:rsidR="00164577">
        <w:t xml:space="preserve"> </w:t>
      </w:r>
      <w:r w:rsidR="00164577" w:rsidRPr="005D3B32">
        <w:rPr>
          <w:lang w:val="en-GB"/>
        </w:rPr>
        <w:t>(Legislation.gov.uk, 2014)</w:t>
      </w:r>
      <w:r w:rsidRPr="00B750E9">
        <w:t>. It is therefore crucial that community mental health provision is adequate to fulfil statutory duties and to enhance the wellbeing of local citizens.</w:t>
      </w:r>
      <w:r w:rsidRPr="005D3B32">
        <w:rPr>
          <w:lang w:val="en-GB"/>
        </w:rPr>
        <w:t xml:space="preserve"> </w:t>
      </w:r>
    </w:p>
    <w:p w14:paraId="0000000E" w14:textId="77777777" w:rsidR="008C384D" w:rsidRPr="005D3B32" w:rsidRDefault="003E4854" w:rsidP="00141F07">
      <w:pPr>
        <w:pStyle w:val="Heading2"/>
        <w:rPr>
          <w:lang w:val="en-GB"/>
        </w:rPr>
      </w:pPr>
      <w:bookmarkStart w:id="3" w:name="_Toc241221658"/>
      <w:r w:rsidRPr="005D3B32">
        <w:rPr>
          <w:lang w:val="en-GB"/>
        </w:rPr>
        <w:t>3. Recommendations</w:t>
      </w:r>
      <w:bookmarkEnd w:id="3"/>
    </w:p>
    <w:p w14:paraId="0000000F" w14:textId="77777777" w:rsidR="008C384D" w:rsidRPr="005D3B32" w:rsidRDefault="003E4854">
      <w:pPr>
        <w:spacing w:before="200" w:after="200" w:line="360" w:lineRule="auto"/>
        <w:jc w:val="both"/>
        <w:rPr>
          <w:lang w:val="en-GB"/>
        </w:rPr>
      </w:pPr>
      <w:r w:rsidRPr="005D3B32">
        <w:rPr>
          <w:lang w:val="en-GB"/>
        </w:rPr>
        <w:t xml:space="preserve">A focus increase in workforce capacity and financing is required to address the lack of community health services within Birmingham. Access to assessments and treatment would be enhanced by growing community mental health teams by hiring more mental health nurses, counsellors, and support staff. Even if the local government needs to make a financial commitment, it is probably more economical than dealing with preventable mental health emergencies (Li </w:t>
      </w:r>
      <w:r w:rsidRPr="005D3B32">
        <w:rPr>
          <w:i/>
          <w:iCs/>
          <w:lang w:val="en-GB"/>
        </w:rPr>
        <w:t>et al.</w:t>
      </w:r>
      <w:r w:rsidRPr="005D3B32">
        <w:rPr>
          <w:lang w:val="en-GB"/>
        </w:rPr>
        <w:t>, 2022). This supports independence, promotes welfare and ensures that care requirements are promptly satisfied, all of which are associated with the Care Act of 2014.</w:t>
      </w:r>
    </w:p>
    <w:p w14:paraId="00000010" w14:textId="77777777" w:rsidR="008C384D" w:rsidRPr="005D3B32" w:rsidRDefault="003E4854">
      <w:pPr>
        <w:spacing w:before="200" w:after="200" w:line="360" w:lineRule="auto"/>
        <w:jc w:val="both"/>
        <w:rPr>
          <w:lang w:val="en-GB"/>
        </w:rPr>
      </w:pPr>
      <w:r w:rsidRPr="005D3B32">
        <w:rPr>
          <w:lang w:val="en-GB"/>
        </w:rPr>
        <w:t xml:space="preserve">Enhancing early intervention initiatives is a second priority. More community-based preventive programs and mental health screening programs would find those who are at risk before situations get worse (Sanchez </w:t>
      </w:r>
      <w:r w:rsidRPr="005D3B32">
        <w:rPr>
          <w:i/>
          <w:iCs/>
          <w:lang w:val="en-GB"/>
        </w:rPr>
        <w:t>et al.</w:t>
      </w:r>
      <w:r w:rsidRPr="005D3B32">
        <w:rPr>
          <w:lang w:val="en-GB"/>
        </w:rPr>
        <w:t>, 2023). Timely access to support would be promoted by facilitating local companies and educational institutions to offer mental health awareness and referral pathways. The Care Act 2014's emphasis on postponing or preventing the emergence of care and assistance needs is highlighted in such measures.</w:t>
      </w:r>
    </w:p>
    <w:p w14:paraId="00000011" w14:textId="52FC13B5" w:rsidR="008C384D" w:rsidRPr="005D3B32" w:rsidRDefault="005D3B32">
      <w:pPr>
        <w:spacing w:before="200" w:after="200" w:line="360" w:lineRule="auto"/>
        <w:jc w:val="both"/>
        <w:rPr>
          <w:lang w:val="en-GB"/>
        </w:rPr>
      </w:pPr>
      <w:r w:rsidRPr="005D3B32">
        <w:rPr>
          <w:lang w:val="en-GB"/>
        </w:rPr>
        <w:t xml:space="preserve">Furthermore, there is a need to enhance working relationships between the NHS, community organisations, Birmingham City Council and volunteers. Minimising service duplication, allocating </w:t>
      </w:r>
      <w:r w:rsidRPr="005D3B32">
        <w:rPr>
          <w:lang w:val="en-GB"/>
        </w:rPr>
        <w:lastRenderedPageBreak/>
        <w:t>resources more efficiently and providing service consumers with more coordinated support are all possible with efficient teamwork (</w:t>
      </w:r>
      <w:proofErr w:type="spellStart"/>
      <w:r w:rsidRPr="005D3B32">
        <w:rPr>
          <w:lang w:val="en-GB"/>
        </w:rPr>
        <w:t>Abendstern</w:t>
      </w:r>
      <w:proofErr w:type="spellEnd"/>
      <w:r w:rsidRPr="005D3B32">
        <w:rPr>
          <w:lang w:val="en-GB"/>
        </w:rPr>
        <w:t xml:space="preserve"> </w:t>
      </w:r>
      <w:r w:rsidRPr="005D3B32">
        <w:rPr>
          <w:i/>
          <w:iCs/>
          <w:lang w:val="en-GB"/>
        </w:rPr>
        <w:t>et al.</w:t>
      </w:r>
      <w:r w:rsidRPr="005D3B32">
        <w:rPr>
          <w:lang w:val="en-GB"/>
        </w:rPr>
        <w:t xml:space="preserve">, 2021). Multi-agency approach is especially important as mental health issues often have economic, social and health implications. Finally, optimising community outreach initiatives which optimise accessibility for vulnerable populations that can experience barriers while trying to get help. Interactions with accessible assets can be encouraged through outreach activities and reduce social isolation. </w:t>
      </w:r>
    </w:p>
    <w:p w14:paraId="00000012" w14:textId="77777777" w:rsidR="008C384D" w:rsidRPr="005D3B32" w:rsidRDefault="003E4854" w:rsidP="00141F07">
      <w:pPr>
        <w:pStyle w:val="Heading2"/>
        <w:rPr>
          <w:lang w:val="en-GB"/>
        </w:rPr>
      </w:pPr>
      <w:bookmarkStart w:id="4" w:name="_Toc241221659"/>
      <w:r w:rsidRPr="005D3B32">
        <w:rPr>
          <w:lang w:val="en-GB"/>
        </w:rPr>
        <w:t>4. Conclusion</w:t>
      </w:r>
      <w:bookmarkEnd w:id="4"/>
    </w:p>
    <w:p w14:paraId="00000013" w14:textId="77777777" w:rsidR="008C384D" w:rsidRPr="005D3B32" w:rsidRDefault="003E4854">
      <w:pPr>
        <w:spacing w:before="200" w:after="200" w:line="360" w:lineRule="auto"/>
        <w:jc w:val="both"/>
        <w:rPr>
          <w:lang w:val="en-GB"/>
        </w:rPr>
      </w:pPr>
      <w:r w:rsidRPr="005D3B32">
        <w:rPr>
          <w:lang w:val="en-GB"/>
        </w:rPr>
        <w:t xml:space="preserve">It can be concluded that families, people and the larger community were all greatly influenced by the lack of community mental health services in Birmingham. The likelihood of declining mental health, increased dependency on crisis services, and social isolation increased when support was delayed. The recommendations were intended to resolve these challenges by optimising funding, promoting better collaborations, and expanding awareness. These actions would have optimised welfare access to suitable care and support independence, which were associated with the Care Act of 2014. </w:t>
      </w:r>
      <w:r w:rsidRPr="005D3B32">
        <w:rPr>
          <w:lang w:val="en-GB"/>
        </w:rPr>
        <w:br w:type="page"/>
      </w:r>
    </w:p>
    <w:p w14:paraId="00000014" w14:textId="77777777" w:rsidR="008C384D" w:rsidRPr="005D3B32" w:rsidRDefault="003E4854" w:rsidP="00141F07">
      <w:pPr>
        <w:pStyle w:val="Heading1"/>
        <w:rPr>
          <w:lang w:val="en-GB"/>
        </w:rPr>
      </w:pPr>
      <w:r w:rsidRPr="005D3B32">
        <w:rPr>
          <w:lang w:val="en-GB"/>
        </w:rPr>
        <w:lastRenderedPageBreak/>
        <w:t xml:space="preserve"> </w:t>
      </w:r>
      <w:bookmarkStart w:id="5" w:name="_Toc241221660"/>
      <w:r w:rsidRPr="005D3B32">
        <w:rPr>
          <w:lang w:val="en-GB"/>
        </w:rPr>
        <w:t>Task 2: Essay</w:t>
      </w:r>
      <w:bookmarkEnd w:id="5"/>
      <w:r w:rsidRPr="005D3B32">
        <w:rPr>
          <w:lang w:val="en-GB"/>
        </w:rPr>
        <w:t xml:space="preserve"> </w:t>
      </w:r>
    </w:p>
    <w:p w14:paraId="00000015" w14:textId="77777777" w:rsidR="008C384D" w:rsidRPr="005D3B32" w:rsidRDefault="003E4854" w:rsidP="00141F07">
      <w:pPr>
        <w:pStyle w:val="Heading2"/>
        <w:rPr>
          <w:lang w:val="en-GB"/>
        </w:rPr>
      </w:pPr>
      <w:bookmarkStart w:id="6" w:name="_Toc241221661"/>
      <w:r w:rsidRPr="005D3B32">
        <w:rPr>
          <w:lang w:val="en-GB"/>
        </w:rPr>
        <w:t>1. Introduction</w:t>
      </w:r>
      <w:bookmarkEnd w:id="6"/>
    </w:p>
    <w:p w14:paraId="00000016" w14:textId="77777777" w:rsidR="008C384D" w:rsidRPr="005D3B32" w:rsidRDefault="003E4854">
      <w:pPr>
        <w:spacing w:before="200" w:after="200" w:line="360" w:lineRule="auto"/>
        <w:jc w:val="both"/>
        <w:rPr>
          <w:lang w:val="en-GB"/>
        </w:rPr>
      </w:pPr>
      <w:r w:rsidRPr="005D3B32">
        <w:rPr>
          <w:lang w:val="en-GB"/>
        </w:rPr>
        <w:t xml:space="preserve">Ambulance services, which provide emergency medical care and quick evacuation for individuals suffering from severe illness, injury and other life-threatening situations, are a critical part of the healthcare system in the United Kingdom (Knutsson and </w:t>
      </w:r>
      <w:proofErr w:type="spellStart"/>
      <w:r w:rsidRPr="005D3B32">
        <w:rPr>
          <w:lang w:val="en-GB"/>
        </w:rPr>
        <w:t>Tyrefors</w:t>
      </w:r>
      <w:proofErr w:type="spellEnd"/>
      <w:r w:rsidRPr="005D3B32">
        <w:rPr>
          <w:lang w:val="en-GB"/>
        </w:rPr>
        <w:t xml:space="preserve">, 2022). National Health Service (NHS) ambulance organisations are the main providers of emergency medical Services in the United Kingdom (NHS England, 2023). There are emergency circumstances that are reported through the 999 and 112 emergency telephone systems. Prior to admission to hospital, ambulance services play a major role in assessing patients, offering care services in emergency situations and facilitating access to the right medical networks (Wilson </w:t>
      </w:r>
      <w:r w:rsidRPr="005D3B32">
        <w:rPr>
          <w:i/>
          <w:iCs/>
          <w:lang w:val="en-GB"/>
        </w:rPr>
        <w:t>et al.</w:t>
      </w:r>
      <w:r w:rsidRPr="005D3B32">
        <w:rPr>
          <w:lang w:val="en-GB"/>
        </w:rPr>
        <w:t xml:space="preserve">, 2022). NHS Ambulance Service is at the foundation of emergency pre-hospital care in the UK, according to Emergency Medical Services. </w:t>
      </w:r>
    </w:p>
    <w:p w14:paraId="00000017" w14:textId="17B1F8CB" w:rsidR="008C384D" w:rsidRPr="005D3B32" w:rsidRDefault="00F25661">
      <w:pPr>
        <w:spacing w:before="200" w:after="200" w:line="360" w:lineRule="auto"/>
        <w:jc w:val="both"/>
        <w:rPr>
          <w:lang w:val="en-GB"/>
        </w:rPr>
      </w:pPr>
      <w:r w:rsidRPr="00F25661">
        <w:rPr>
          <w:lang w:val="en-GB"/>
        </w:rPr>
        <w:t xml:space="preserve">In this essay, the historical background and role of ambulance services in the UK will be thoroughly examined. The significance of raising service users' standards of living and their results will also be examined in this </w:t>
      </w:r>
      <w:r>
        <w:rPr>
          <w:lang w:val="en-GB"/>
        </w:rPr>
        <w:t>essay vividly</w:t>
      </w:r>
      <w:r w:rsidRPr="00F25661">
        <w:rPr>
          <w:lang w:val="en-GB"/>
        </w:rPr>
        <w:t xml:space="preserve">. This </w:t>
      </w:r>
      <w:r>
        <w:rPr>
          <w:lang w:val="en-GB"/>
        </w:rPr>
        <w:t>essay</w:t>
      </w:r>
      <w:r w:rsidRPr="00F25661">
        <w:rPr>
          <w:lang w:val="en-GB"/>
        </w:rPr>
        <w:t xml:space="preserve"> will also provide a vivid evaluation of the benefits and drawbacks of ambulance services in delivering contemporary healthcare services</w:t>
      </w:r>
      <w:r w:rsidR="00CC64A4" w:rsidRPr="005D3B32">
        <w:rPr>
          <w:lang w:val="en-GB"/>
        </w:rPr>
        <w:t xml:space="preserve">. </w:t>
      </w:r>
    </w:p>
    <w:p w14:paraId="00000018" w14:textId="77777777" w:rsidR="008C384D" w:rsidRPr="005D3B32" w:rsidRDefault="003E4854" w:rsidP="00141F07">
      <w:pPr>
        <w:pStyle w:val="Heading2"/>
        <w:rPr>
          <w:lang w:val="en-GB"/>
        </w:rPr>
      </w:pPr>
      <w:bookmarkStart w:id="7" w:name="_Toc241221662"/>
      <w:r w:rsidRPr="005D3B32">
        <w:rPr>
          <w:lang w:val="en-GB"/>
        </w:rPr>
        <w:t>2. Discussion</w:t>
      </w:r>
      <w:bookmarkEnd w:id="7"/>
    </w:p>
    <w:p w14:paraId="00000019" w14:textId="77777777" w:rsidR="008C384D" w:rsidRPr="005D3B32" w:rsidRDefault="003E4854" w:rsidP="00141F07">
      <w:pPr>
        <w:pStyle w:val="Heading3"/>
        <w:rPr>
          <w:lang w:val="en-GB"/>
        </w:rPr>
      </w:pPr>
      <w:bookmarkStart w:id="8" w:name="_Toc241221663"/>
      <w:r w:rsidRPr="005D3B32">
        <w:rPr>
          <w:lang w:val="en-GB"/>
        </w:rPr>
        <w:t>2.1 Historical context and current function of ambulance services</w:t>
      </w:r>
      <w:bookmarkEnd w:id="8"/>
      <w:r w:rsidRPr="005D3B32">
        <w:rPr>
          <w:lang w:val="en-GB"/>
        </w:rPr>
        <w:t xml:space="preserve"> </w:t>
      </w:r>
    </w:p>
    <w:p w14:paraId="313C4DD6" w14:textId="43923346" w:rsidR="005D3B32" w:rsidRPr="005D3B32" w:rsidRDefault="00C618E6" w:rsidP="00C618E6">
      <w:pPr>
        <w:spacing w:before="200" w:after="200" w:line="360" w:lineRule="auto"/>
        <w:jc w:val="both"/>
        <w:rPr>
          <w:lang w:val="en-GB"/>
        </w:rPr>
      </w:pPr>
      <w:r w:rsidRPr="00C618E6">
        <w:t>Ambulance services in the UK have come a long way from the early days of the 19th century. At first, ambulance service was primarily linked with the transport of wounded members of the military and industrial accident victims</w:t>
      </w:r>
      <w:r>
        <w:t xml:space="preserve"> </w:t>
      </w:r>
      <w:r w:rsidRPr="005D3B32">
        <w:rPr>
          <w:lang w:val="en-GB"/>
        </w:rPr>
        <w:t>(</w:t>
      </w:r>
      <w:proofErr w:type="spellStart"/>
      <w:r w:rsidRPr="005D3B32">
        <w:rPr>
          <w:lang w:val="en-GB"/>
        </w:rPr>
        <w:t>Shetab-Boushehri</w:t>
      </w:r>
      <w:proofErr w:type="spellEnd"/>
      <w:r w:rsidRPr="005D3B32">
        <w:rPr>
          <w:lang w:val="en-GB"/>
        </w:rPr>
        <w:t>, Rajabi and Mahmoudi, 2022)</w:t>
      </w:r>
      <w:r w:rsidRPr="00C618E6">
        <w:t>. Prior to the national system of administration for First Aid and Emergency transport, organisations like St John Ambulance Brigade were instrumental in providing these services from 1887 onwards</w:t>
      </w:r>
      <w:r>
        <w:t xml:space="preserve"> </w:t>
      </w:r>
      <w:r w:rsidRPr="005D3B32">
        <w:rPr>
          <w:lang w:val="en-GB"/>
        </w:rPr>
        <w:t>(Gorsky, 2015)</w:t>
      </w:r>
      <w:r w:rsidRPr="00C618E6">
        <w:t>. In 1948, the establishment of the National Health Service (NHS) brought ambulance services under a more structured and accessible publicly funded healthcare system</w:t>
      </w:r>
      <w:r>
        <w:t xml:space="preserve"> (NHS England, 2023)</w:t>
      </w:r>
      <w:r w:rsidRPr="00C618E6">
        <w:t xml:space="preserve">. This was part of broader social and governmental initiatives to enhance healthcare provision and mitigate health disparities among the people. Importantly, the purpose of ambulance services has changed significantly from patient transport. Ambulance services are crucial providers of urgent and emergency health care, which include rapid clinical evaluations, interventions designed to save lives and onward referral to suitable health and social care </w:t>
      </w:r>
      <w:r w:rsidRPr="00C618E6">
        <w:lastRenderedPageBreak/>
        <w:t>services. Paramedics undergo training to respond to a variety of medical emergencies including cardiac arrest, stroke, trauma, mental health crisis and respiratory conditions</w:t>
      </w:r>
      <w:r w:rsidRPr="005D3B32">
        <w:rPr>
          <w:lang w:val="en-GB"/>
        </w:rPr>
        <w:t xml:space="preserve"> (Beldon and Garside, 2021)</w:t>
      </w:r>
      <w:r w:rsidRPr="00C618E6">
        <w:t>. This enhanced clinical role also helps minimise inappropriate hospital admissions and direct people to the most suitable place to receive care in a timely manner. Despite these developments there are still significant challenges for ambulance services: rising demand, pressures on service staff, longer response times in some areas and more complex patient needs</w:t>
      </w:r>
      <w:r>
        <w:t xml:space="preserve"> </w:t>
      </w:r>
      <w:r w:rsidRPr="005D3B32">
        <w:rPr>
          <w:lang w:val="en-GB"/>
        </w:rPr>
        <w:t xml:space="preserve">(Zhai </w:t>
      </w:r>
      <w:r w:rsidRPr="005D3B32">
        <w:rPr>
          <w:i/>
          <w:iCs/>
          <w:lang w:val="en-GB"/>
        </w:rPr>
        <w:t>et al.</w:t>
      </w:r>
      <w:r w:rsidRPr="005D3B32">
        <w:rPr>
          <w:lang w:val="en-GB"/>
        </w:rPr>
        <w:t>, 2021</w:t>
      </w:r>
      <w:r>
        <w:rPr>
          <w:lang w:val="en-GB"/>
        </w:rPr>
        <w:t>)</w:t>
      </w:r>
      <w:r w:rsidRPr="00C618E6">
        <w:t>. Ambulance services are a vital component of public health protection, but continued investment, training, and service integration efforts will be required to ensure their continued effectiveness and adaptability to future health services needs in the UK</w:t>
      </w:r>
      <w:r>
        <w:t xml:space="preserve"> </w:t>
      </w:r>
      <w:r w:rsidRPr="005D3B32">
        <w:rPr>
          <w:lang w:val="en-GB"/>
        </w:rPr>
        <w:t>(Association of Ambulance Chief Executives, 2020)</w:t>
      </w:r>
      <w:r w:rsidRPr="00C618E6">
        <w:t>.</w:t>
      </w:r>
      <w:r w:rsidRPr="00C618E6">
        <w:rPr>
          <w:lang w:val="en-GB"/>
        </w:rPr>
        <w:t xml:space="preserve"> </w:t>
      </w:r>
    </w:p>
    <w:p w14:paraId="0000001D" w14:textId="77777777" w:rsidR="008C384D" w:rsidRPr="005D3B32" w:rsidRDefault="003E4854" w:rsidP="00141F07">
      <w:pPr>
        <w:pStyle w:val="Heading3"/>
        <w:rPr>
          <w:lang w:val="en-GB"/>
        </w:rPr>
      </w:pPr>
      <w:bookmarkStart w:id="9" w:name="_Toc241221664"/>
      <w:r w:rsidRPr="005D3B32">
        <w:rPr>
          <w:lang w:val="en-GB"/>
        </w:rPr>
        <w:t>2.2 Critical evaluation and significance for service users</w:t>
      </w:r>
      <w:bookmarkEnd w:id="9"/>
      <w:r w:rsidRPr="005D3B32">
        <w:rPr>
          <w:lang w:val="en-GB"/>
        </w:rPr>
        <w:t xml:space="preserve"> </w:t>
      </w:r>
    </w:p>
    <w:p w14:paraId="0CC4CA13" w14:textId="77777777" w:rsidR="00C618E6" w:rsidRPr="00C618E6" w:rsidRDefault="00C618E6" w:rsidP="00C618E6">
      <w:pPr>
        <w:spacing w:before="200" w:after="200" w:line="360" w:lineRule="auto"/>
        <w:jc w:val="both"/>
        <w:rPr>
          <w:lang w:val="en-GB"/>
        </w:rPr>
      </w:pPr>
      <w:r w:rsidRPr="00C618E6">
        <w:rPr>
          <w:lang w:val="en-GB"/>
        </w:rPr>
        <w:t>Ambulance services are a key component of emergency healthcare, providing care and support for individuals experiencing a sudden illness or injury. Significant advantages that they can offer from clinical assessment and treatment prior to admission in the hospital, frequently at the most critical stages of a medical emergency. The development of the group of highly qualified paramedics has led to interventions that help stabilise patients, optimising the opportunity for survival in the pre-hospital treatment (Paulo, Santos and Barbosa-</w:t>
      </w:r>
      <w:proofErr w:type="spellStart"/>
      <w:r w:rsidRPr="00C618E6">
        <w:rPr>
          <w:lang w:val="en-GB"/>
        </w:rPr>
        <w:t>Povoa</w:t>
      </w:r>
      <w:proofErr w:type="spellEnd"/>
      <w:r w:rsidRPr="00C618E6">
        <w:rPr>
          <w:lang w:val="en-GB"/>
        </w:rPr>
        <w:t xml:space="preserve">, 2023). Further, the implementation is readily available (specialist pathways), and continuity of care is supported through improved access to wider NHS services. </w:t>
      </w:r>
    </w:p>
    <w:p w14:paraId="50700E8D" w14:textId="451A8A37" w:rsidR="00C618E6" w:rsidRPr="00C618E6" w:rsidRDefault="00C618E6" w:rsidP="00C618E6">
      <w:pPr>
        <w:spacing w:before="200" w:after="200" w:line="360" w:lineRule="auto"/>
        <w:jc w:val="both"/>
        <w:rPr>
          <w:lang w:val="en-GB"/>
        </w:rPr>
      </w:pPr>
      <w:r w:rsidRPr="00C618E6">
        <w:rPr>
          <w:lang w:val="en-GB"/>
        </w:rPr>
        <w:t>These positions are highly important to consumers of services. Timely interventions can reduce morbidity and mortality by ensuring that interventions are implemented timely for urgent interventions. Moreover, ambulance services maximi</w:t>
      </w:r>
      <w:r>
        <w:rPr>
          <w:lang w:val="en-GB"/>
        </w:rPr>
        <w:t>s</w:t>
      </w:r>
      <w:r w:rsidRPr="00C618E6">
        <w:rPr>
          <w:lang w:val="en-GB"/>
        </w:rPr>
        <w:t>e access to health for vulnerable groups including elderly, individuals with chronic diseases and those living in remote areas (</w:t>
      </w:r>
      <w:proofErr w:type="spellStart"/>
      <w:r w:rsidRPr="00C618E6">
        <w:rPr>
          <w:lang w:val="en-GB"/>
        </w:rPr>
        <w:t>Shetab-Boushehri</w:t>
      </w:r>
      <w:proofErr w:type="spellEnd"/>
      <w:r w:rsidRPr="00C618E6">
        <w:rPr>
          <w:lang w:val="en-GB"/>
        </w:rPr>
        <w:t>, Rajabi and Mahmoudi, 2022). This means they get the best recovery that's possible and avoid complications in recovery so that they can maximise the standard of living. Despite those advantages, there are many problems facing the ambulance service. Due to the rising demand for emergency care, there is a concern that the existing resources are the subject of pressure and the demand for services is outstripping capacity (</w:t>
      </w:r>
      <w:proofErr w:type="spellStart"/>
      <w:r w:rsidRPr="00C618E6">
        <w:rPr>
          <w:lang w:val="en-GB"/>
        </w:rPr>
        <w:t>Bijani</w:t>
      </w:r>
      <w:proofErr w:type="spellEnd"/>
      <w:r w:rsidRPr="00C618E6">
        <w:rPr>
          <w:lang w:val="en-GB"/>
        </w:rPr>
        <w:t xml:space="preserve"> </w:t>
      </w:r>
      <w:r w:rsidRPr="00C618E6">
        <w:rPr>
          <w:i/>
          <w:iCs/>
          <w:lang w:val="en-GB"/>
        </w:rPr>
        <w:t>et al.</w:t>
      </w:r>
      <w:r w:rsidRPr="00C618E6">
        <w:rPr>
          <w:lang w:val="en-GB"/>
        </w:rPr>
        <w:t>, 2021)</w:t>
      </w:r>
      <w:r>
        <w:rPr>
          <w:lang w:val="en-GB"/>
        </w:rPr>
        <w:t>.</w:t>
      </w:r>
      <w:r w:rsidRPr="00C618E6">
        <w:rPr>
          <w:lang w:val="en-GB"/>
        </w:rPr>
        <w:t xml:space="preserve"> Ambulance trusts that do not meet the standards of performance consistently are not only because of the lack of staff but also due to financial restrictions. There is also a delay in ambulance transfer to hospital which may result in lower quality of patient care, and in reduced availability of ambulances to </w:t>
      </w:r>
      <w:r w:rsidRPr="00C618E6">
        <w:rPr>
          <w:lang w:val="en-GB"/>
        </w:rPr>
        <w:lastRenderedPageBreak/>
        <w:t xml:space="preserve">transfer patients to hospital. Another possible reason for differences in access to emergency care can be the geographic variation in response times. </w:t>
      </w:r>
    </w:p>
    <w:p w14:paraId="00000020" w14:textId="2187FBB2" w:rsidR="008C384D" w:rsidRPr="005D3B32" w:rsidRDefault="00C618E6" w:rsidP="00C618E6">
      <w:pPr>
        <w:spacing w:before="200" w:after="200" w:line="360" w:lineRule="auto"/>
        <w:jc w:val="both"/>
        <w:rPr>
          <w:lang w:val="en-GB"/>
        </w:rPr>
      </w:pPr>
      <w:r>
        <w:rPr>
          <w:lang w:val="en-GB"/>
        </w:rPr>
        <w:t>From a critical viewpoint</w:t>
      </w:r>
      <w:r w:rsidRPr="00C618E6">
        <w:rPr>
          <w:lang w:val="en-GB"/>
        </w:rPr>
        <w:t xml:space="preserve">, although Ambulance services have become a sophisticated healthcare provider, coordination system-wide, resources allocation and human resources are critical for effectiveness (Gage </w:t>
      </w:r>
      <w:r w:rsidRPr="00C618E6">
        <w:rPr>
          <w:i/>
          <w:iCs/>
          <w:lang w:val="en-GB"/>
        </w:rPr>
        <w:t>et al.</w:t>
      </w:r>
      <w:r w:rsidRPr="00C618E6">
        <w:rPr>
          <w:lang w:val="en-GB"/>
        </w:rPr>
        <w:t>, 2023). Hence, even though their advantages are still important, resolving operational challenges is critical to preserving quality of services and ensuring favourable outcomes for clients throughout the healthcare system</w:t>
      </w:r>
      <w:r w:rsidRPr="005D3B32">
        <w:rPr>
          <w:lang w:val="en-GB"/>
        </w:rPr>
        <w:t xml:space="preserve">. </w:t>
      </w:r>
    </w:p>
    <w:p w14:paraId="00000021" w14:textId="77777777" w:rsidR="008C384D" w:rsidRPr="005D3B32" w:rsidRDefault="003E4854" w:rsidP="00141F07">
      <w:pPr>
        <w:pStyle w:val="Heading2"/>
        <w:rPr>
          <w:lang w:val="en-GB"/>
        </w:rPr>
      </w:pPr>
      <w:bookmarkStart w:id="10" w:name="_Toc241221665"/>
      <w:r w:rsidRPr="005D3B32">
        <w:rPr>
          <w:lang w:val="en-GB"/>
        </w:rPr>
        <w:t>3. Conclusion</w:t>
      </w:r>
      <w:bookmarkEnd w:id="10"/>
    </w:p>
    <w:p w14:paraId="00000022" w14:textId="040987D7" w:rsidR="008C384D" w:rsidRPr="005D3B32" w:rsidRDefault="00C618E6">
      <w:pPr>
        <w:spacing w:before="200" w:after="200" w:line="360" w:lineRule="auto"/>
        <w:jc w:val="both"/>
        <w:rPr>
          <w:lang w:val="en-GB"/>
        </w:rPr>
      </w:pPr>
      <w:r w:rsidRPr="00C618E6">
        <w:rPr>
          <w:lang w:val="en-GB"/>
        </w:rPr>
        <w:t>Since ambulance services improve patient outcomes during emergencies, it can be inferred that they play a crucial role in modern healthcare. Over time, they have developed from transactional networks into sophisticated pre-hospital care providers. They possess many important advantages, especially when it comes to their clinical knowledge, quick reaction times, and integration with NHS services. However, the rise in demand, staffing shortfall, and transfer delays had an impact on their operational performance. Despite these difficulties, ambulance services are nevertheless essential for reducing health problems, helping those in need, and maintaining general quality of life</w:t>
      </w:r>
      <w:r w:rsidRPr="005D3B32">
        <w:rPr>
          <w:lang w:val="en-GB"/>
        </w:rPr>
        <w:t xml:space="preserve">. </w:t>
      </w:r>
    </w:p>
    <w:p w14:paraId="00000023" w14:textId="77777777" w:rsidR="008C384D" w:rsidRPr="005D3B32" w:rsidRDefault="003E4854">
      <w:pPr>
        <w:spacing w:before="200" w:after="200" w:line="360" w:lineRule="auto"/>
        <w:jc w:val="both"/>
        <w:rPr>
          <w:b/>
          <w:bCs/>
          <w:lang w:val="en-GB"/>
        </w:rPr>
      </w:pPr>
      <w:r w:rsidRPr="005D3B32">
        <w:rPr>
          <w:lang w:val="en-GB"/>
        </w:rPr>
        <w:br w:type="page"/>
      </w:r>
    </w:p>
    <w:p w14:paraId="00000024" w14:textId="77777777" w:rsidR="008C384D" w:rsidRPr="005D3B32" w:rsidRDefault="003E4854" w:rsidP="00141F07">
      <w:pPr>
        <w:pStyle w:val="Heading1"/>
        <w:rPr>
          <w:lang w:val="en-GB"/>
        </w:rPr>
      </w:pPr>
      <w:bookmarkStart w:id="11" w:name="_Toc241221666"/>
      <w:r w:rsidRPr="005D3B32">
        <w:rPr>
          <w:lang w:val="en-GB"/>
        </w:rPr>
        <w:lastRenderedPageBreak/>
        <w:t>Reference list</w:t>
      </w:r>
      <w:bookmarkEnd w:id="11"/>
    </w:p>
    <w:p w14:paraId="00000025" w14:textId="77777777" w:rsidR="008C384D" w:rsidRPr="005D3B32" w:rsidRDefault="003E4854" w:rsidP="00141F07">
      <w:pPr>
        <w:pStyle w:val="Heading2"/>
        <w:rPr>
          <w:lang w:val="en-GB"/>
        </w:rPr>
      </w:pPr>
      <w:bookmarkStart w:id="12" w:name="_Toc241221667"/>
      <w:r w:rsidRPr="005D3B32">
        <w:rPr>
          <w:lang w:val="en-GB"/>
        </w:rPr>
        <w:t>Task 1</w:t>
      </w:r>
      <w:bookmarkEnd w:id="12"/>
    </w:p>
    <w:p w14:paraId="00000026" w14:textId="77777777" w:rsidR="008C384D" w:rsidRPr="005D3B32" w:rsidRDefault="003E4854">
      <w:pPr>
        <w:spacing w:after="220" w:line="360" w:lineRule="auto"/>
        <w:jc w:val="both"/>
        <w:rPr>
          <w:lang w:val="en-GB"/>
        </w:rPr>
      </w:pPr>
      <w:proofErr w:type="spellStart"/>
      <w:r w:rsidRPr="005D3B32">
        <w:rPr>
          <w:lang w:val="en-GB"/>
        </w:rPr>
        <w:t>Abendstern</w:t>
      </w:r>
      <w:proofErr w:type="spellEnd"/>
      <w:r w:rsidRPr="005D3B32">
        <w:rPr>
          <w:lang w:val="en-GB"/>
        </w:rPr>
        <w:t xml:space="preserve">, M., Hughes, J., Wilberforce, M., Davies, K., Pitts, R., Batool, S., Robinson, C. and Challis, D. (2021) “Perceptions of the social worker role in adult community mental health teams in England,” </w:t>
      </w:r>
      <w:r w:rsidRPr="005D3B32">
        <w:rPr>
          <w:i/>
          <w:iCs/>
          <w:lang w:val="en-GB"/>
        </w:rPr>
        <w:t>Qualitative Social Work</w:t>
      </w:r>
      <w:r w:rsidRPr="005D3B32">
        <w:rPr>
          <w:lang w:val="en-GB"/>
        </w:rPr>
        <w:t>, 20(3), p. 147332502092408. Available at: https://doi.org/10.1177/1473325020924085.</w:t>
      </w:r>
    </w:p>
    <w:p w14:paraId="00000027" w14:textId="77777777" w:rsidR="008C384D" w:rsidRPr="005D3B32" w:rsidRDefault="003E4854">
      <w:pPr>
        <w:spacing w:after="220" w:line="360" w:lineRule="auto"/>
        <w:jc w:val="both"/>
        <w:rPr>
          <w:lang w:val="en-GB"/>
        </w:rPr>
      </w:pPr>
      <w:r w:rsidRPr="005D3B32">
        <w:rPr>
          <w:lang w:val="en-GB"/>
        </w:rPr>
        <w:t xml:space="preserve">Alavi, Z., Haque, R., Felzer-Kim, I.T., Lewicki, T., Haque, A. and Mormann, M. (2020) “Implementing COVID-19 mitigation in the community mental health setting: March 2020 and lessons learned,” </w:t>
      </w:r>
      <w:r w:rsidRPr="005D3B32">
        <w:rPr>
          <w:i/>
          <w:iCs/>
          <w:lang w:val="en-GB"/>
        </w:rPr>
        <w:t>Community Mental Health Journal</w:t>
      </w:r>
      <w:r w:rsidRPr="005D3B32">
        <w:rPr>
          <w:lang w:val="en-GB"/>
        </w:rPr>
        <w:t>, 57(1), pp. 57–63. Available at: https://doi.org/10.1007/s10597-020-00677-6.</w:t>
      </w:r>
    </w:p>
    <w:p w14:paraId="00000028" w14:textId="77777777" w:rsidR="008C384D" w:rsidRPr="005D3B32" w:rsidRDefault="003E4854">
      <w:pPr>
        <w:spacing w:after="220" w:line="360" w:lineRule="auto"/>
        <w:jc w:val="both"/>
        <w:rPr>
          <w:lang w:val="en-GB"/>
        </w:rPr>
      </w:pPr>
      <w:r w:rsidRPr="005D3B32">
        <w:rPr>
          <w:lang w:val="en-GB"/>
        </w:rPr>
        <w:t xml:space="preserve">Dixon, J. (2023) “Understanding Mental Distress: Knowledge, Practice and Neoliberal Reform in Community Mental Health Services, Rich Moth,” </w:t>
      </w:r>
      <w:r w:rsidRPr="005D3B32">
        <w:rPr>
          <w:i/>
          <w:iCs/>
          <w:lang w:val="en-GB"/>
        </w:rPr>
        <w:t>British Journal of Social Work</w:t>
      </w:r>
      <w:r w:rsidRPr="005D3B32">
        <w:rPr>
          <w:lang w:val="en-GB"/>
        </w:rPr>
        <w:t>, 54(2), pp. 840–842. Available at: https://doi.org/10.1093/bjsw/bcad265.</w:t>
      </w:r>
    </w:p>
    <w:p w14:paraId="00000029" w14:textId="77777777" w:rsidR="008C384D" w:rsidRPr="005D3B32" w:rsidRDefault="003E4854">
      <w:pPr>
        <w:spacing w:after="220" w:line="360" w:lineRule="auto"/>
        <w:jc w:val="both"/>
        <w:rPr>
          <w:lang w:val="en-GB"/>
        </w:rPr>
      </w:pPr>
      <w:r w:rsidRPr="005D3B32">
        <w:rPr>
          <w:lang w:val="en-GB"/>
        </w:rPr>
        <w:t xml:space="preserve">Kopelovich, S.L., Monroe-DeVita, M., Buck, B.E., Brenner, C., Moser, L., </w:t>
      </w:r>
      <w:proofErr w:type="spellStart"/>
      <w:r w:rsidRPr="005D3B32">
        <w:rPr>
          <w:lang w:val="en-GB"/>
        </w:rPr>
        <w:t>Jarskog</w:t>
      </w:r>
      <w:proofErr w:type="spellEnd"/>
      <w:r w:rsidRPr="005D3B32">
        <w:rPr>
          <w:lang w:val="en-GB"/>
        </w:rPr>
        <w:t xml:space="preserve">, L.F., Harker, S. and </w:t>
      </w:r>
      <w:proofErr w:type="spellStart"/>
      <w:r w:rsidRPr="005D3B32">
        <w:rPr>
          <w:lang w:val="en-GB"/>
        </w:rPr>
        <w:t>Chwastiak</w:t>
      </w:r>
      <w:proofErr w:type="spellEnd"/>
      <w:r w:rsidRPr="005D3B32">
        <w:rPr>
          <w:lang w:val="en-GB"/>
        </w:rPr>
        <w:t xml:space="preserve">, L.A. (2020) “Community mental health care delivery during the COVID-19 pandemic: Practical strategies for improving care for people with serious mental illness,” </w:t>
      </w:r>
      <w:r w:rsidRPr="005D3B32">
        <w:rPr>
          <w:i/>
          <w:iCs/>
          <w:lang w:val="en-GB"/>
        </w:rPr>
        <w:t>Community Mental Health Journal</w:t>
      </w:r>
      <w:r w:rsidRPr="005D3B32">
        <w:rPr>
          <w:lang w:val="en-GB"/>
        </w:rPr>
        <w:t>, 57, pp. 405–415. Available at: https://doi.org/10.1007/s10597-020-00662-z.</w:t>
      </w:r>
    </w:p>
    <w:p w14:paraId="0000002A" w14:textId="77777777" w:rsidR="008C384D" w:rsidRPr="005D3B32" w:rsidRDefault="003E4854">
      <w:pPr>
        <w:spacing w:after="220" w:line="360" w:lineRule="auto"/>
        <w:jc w:val="both"/>
        <w:rPr>
          <w:lang w:val="en-GB"/>
        </w:rPr>
      </w:pPr>
      <w:r w:rsidRPr="005D3B32">
        <w:rPr>
          <w:lang w:val="en-GB"/>
        </w:rPr>
        <w:t xml:space="preserve">Legislation.gov.uk (2014) </w:t>
      </w:r>
      <w:r w:rsidRPr="005D3B32">
        <w:rPr>
          <w:i/>
          <w:iCs/>
          <w:lang w:val="en-GB"/>
        </w:rPr>
        <w:t>Care Act 2014</w:t>
      </w:r>
      <w:r w:rsidRPr="005D3B32">
        <w:rPr>
          <w:lang w:val="en-GB"/>
        </w:rPr>
        <w:t xml:space="preserve">, </w:t>
      </w:r>
      <w:r w:rsidRPr="005D3B32">
        <w:rPr>
          <w:i/>
          <w:iCs/>
          <w:lang w:val="en-GB"/>
        </w:rPr>
        <w:t>Legislation.gov.uk</w:t>
      </w:r>
      <w:r w:rsidRPr="005D3B32">
        <w:rPr>
          <w:lang w:val="en-GB"/>
        </w:rPr>
        <w:t>. Available at: https://www.legislation.gov.uk/ukpga/2014/23/contents (Accessed: September 25, 2026).</w:t>
      </w:r>
    </w:p>
    <w:p w14:paraId="0000002B" w14:textId="77777777" w:rsidR="008C384D" w:rsidRPr="005D3B32" w:rsidRDefault="003E4854">
      <w:pPr>
        <w:spacing w:after="220" w:line="360" w:lineRule="auto"/>
        <w:jc w:val="both"/>
        <w:rPr>
          <w:lang w:val="en-GB"/>
        </w:rPr>
      </w:pPr>
      <w:r w:rsidRPr="005D3B32">
        <w:rPr>
          <w:lang w:val="en-GB"/>
        </w:rPr>
        <w:t xml:space="preserve">Li, C., Yang, F., Yang, B.X., Chen, W., Wang, Q., Huang, H., Liu, Q., Luo, D., Wang, X.Q. and Ruan, J. (2022) “Experiences and challenges faced by community mental health workers when providing care to people with mental illness: A qualitative study,” </w:t>
      </w:r>
      <w:r w:rsidRPr="005D3B32">
        <w:rPr>
          <w:i/>
          <w:iCs/>
          <w:lang w:val="en-GB"/>
        </w:rPr>
        <w:t>BMC Psychiatry</w:t>
      </w:r>
      <w:r w:rsidRPr="005D3B32">
        <w:rPr>
          <w:lang w:val="en-GB"/>
        </w:rPr>
        <w:t>, 22(1), p. 623. Available at: https://doi.org/10.1186/s12888-022-04252-z.</w:t>
      </w:r>
    </w:p>
    <w:p w14:paraId="0000002C" w14:textId="77777777" w:rsidR="008C384D" w:rsidRPr="005D3B32" w:rsidRDefault="003E4854">
      <w:pPr>
        <w:spacing w:after="220" w:line="360" w:lineRule="auto"/>
        <w:jc w:val="both"/>
        <w:rPr>
          <w:lang w:val="en-GB"/>
        </w:rPr>
      </w:pPr>
      <w:r w:rsidRPr="005D3B32">
        <w:rPr>
          <w:lang w:val="en-GB"/>
        </w:rPr>
        <w:t xml:space="preserve">Sanchez, A.L., Cliggitt, L.P., </w:t>
      </w:r>
      <w:proofErr w:type="spellStart"/>
      <w:r w:rsidRPr="005D3B32">
        <w:rPr>
          <w:lang w:val="en-GB"/>
        </w:rPr>
        <w:t>Dallard</w:t>
      </w:r>
      <w:proofErr w:type="spellEnd"/>
      <w:r w:rsidRPr="005D3B32">
        <w:rPr>
          <w:lang w:val="en-GB"/>
        </w:rPr>
        <w:t xml:space="preserve">, N.L., Irby, D., Harper, M., Schaffer, E., Lane-Fall, M. and </w:t>
      </w:r>
      <w:proofErr w:type="spellStart"/>
      <w:r w:rsidRPr="005D3B32">
        <w:rPr>
          <w:lang w:val="en-GB"/>
        </w:rPr>
        <w:t>Beidas</w:t>
      </w:r>
      <w:proofErr w:type="spellEnd"/>
      <w:r w:rsidRPr="005D3B32">
        <w:rPr>
          <w:lang w:val="en-GB"/>
        </w:rPr>
        <w:t xml:space="preserve">, R.S. (2023) “Power Redistribution and Upending White Supremacy in Implementation Research and Practice in Community Mental Health,” </w:t>
      </w:r>
      <w:r w:rsidRPr="005D3B32">
        <w:rPr>
          <w:i/>
          <w:iCs/>
          <w:lang w:val="en-GB"/>
        </w:rPr>
        <w:t>Psychiatric Services</w:t>
      </w:r>
      <w:r w:rsidRPr="005D3B32">
        <w:rPr>
          <w:lang w:val="en-GB"/>
        </w:rPr>
        <w:t>, 74(9), pp. 987–990. Available at: https://doi.org/10.1176/appi.ps.20220209.</w:t>
      </w:r>
    </w:p>
    <w:p w14:paraId="0000002D" w14:textId="77777777" w:rsidR="008C384D" w:rsidRPr="005D3B32" w:rsidRDefault="003E4854">
      <w:pPr>
        <w:spacing w:after="220" w:line="360" w:lineRule="auto"/>
        <w:jc w:val="both"/>
        <w:rPr>
          <w:lang w:val="en-GB"/>
        </w:rPr>
      </w:pPr>
      <w:r w:rsidRPr="005D3B32">
        <w:rPr>
          <w:lang w:val="en-GB"/>
        </w:rPr>
        <w:lastRenderedPageBreak/>
        <w:t xml:space="preserve">Susanti, H., Brooks, H., Yulia, I., </w:t>
      </w:r>
      <w:proofErr w:type="spellStart"/>
      <w:r w:rsidRPr="005D3B32">
        <w:rPr>
          <w:lang w:val="en-GB"/>
        </w:rPr>
        <w:t>Windarwati</w:t>
      </w:r>
      <w:proofErr w:type="spellEnd"/>
      <w:r w:rsidRPr="005D3B32">
        <w:rPr>
          <w:lang w:val="en-GB"/>
        </w:rPr>
        <w:t xml:space="preserve">, H.D., </w:t>
      </w:r>
      <w:proofErr w:type="spellStart"/>
      <w:r w:rsidRPr="005D3B32">
        <w:rPr>
          <w:lang w:val="en-GB"/>
        </w:rPr>
        <w:t>Yuliastuti</w:t>
      </w:r>
      <w:proofErr w:type="spellEnd"/>
      <w:r w:rsidRPr="005D3B32">
        <w:rPr>
          <w:lang w:val="en-GB"/>
        </w:rPr>
        <w:t xml:space="preserve">, E., </w:t>
      </w:r>
      <w:proofErr w:type="spellStart"/>
      <w:r w:rsidRPr="005D3B32">
        <w:rPr>
          <w:lang w:val="en-GB"/>
        </w:rPr>
        <w:t>Hasniah</w:t>
      </w:r>
      <w:proofErr w:type="spellEnd"/>
      <w:r w:rsidRPr="005D3B32">
        <w:rPr>
          <w:lang w:val="en-GB"/>
        </w:rPr>
        <w:t xml:space="preserve">, H. and </w:t>
      </w:r>
      <w:proofErr w:type="spellStart"/>
      <w:r w:rsidRPr="005D3B32">
        <w:rPr>
          <w:lang w:val="en-GB"/>
        </w:rPr>
        <w:t>Keliat</w:t>
      </w:r>
      <w:proofErr w:type="spellEnd"/>
      <w:r w:rsidRPr="005D3B32">
        <w:rPr>
          <w:lang w:val="en-GB"/>
        </w:rPr>
        <w:t xml:space="preserve">, B.A. (2024) “An exploration of the Indonesian lay mental health workers’ (cadres) experiences in performing their roles in Community Mental Health Services: A qualitative study,” </w:t>
      </w:r>
      <w:r w:rsidRPr="005D3B32">
        <w:rPr>
          <w:i/>
          <w:iCs/>
          <w:lang w:val="en-GB"/>
        </w:rPr>
        <w:t>International Journal of Mental Health Systems</w:t>
      </w:r>
      <w:r w:rsidRPr="005D3B32">
        <w:rPr>
          <w:lang w:val="en-GB"/>
        </w:rPr>
        <w:t>, 18(1), p. 3. Available at: https://doi.org/10.1186/s13033-024-00622-0.</w:t>
      </w:r>
    </w:p>
    <w:p w14:paraId="0000002E" w14:textId="77777777" w:rsidR="008C384D" w:rsidRPr="005D3B32" w:rsidRDefault="003E4854" w:rsidP="00141F07">
      <w:pPr>
        <w:pStyle w:val="Heading2"/>
        <w:rPr>
          <w:lang w:val="en-GB"/>
        </w:rPr>
      </w:pPr>
      <w:bookmarkStart w:id="13" w:name="_Toc241221668"/>
      <w:r w:rsidRPr="005D3B32">
        <w:rPr>
          <w:lang w:val="en-GB"/>
        </w:rPr>
        <w:t>Task 2</w:t>
      </w:r>
      <w:bookmarkEnd w:id="13"/>
    </w:p>
    <w:p w14:paraId="0000002F" w14:textId="77777777" w:rsidR="008C384D" w:rsidRPr="005D3B32" w:rsidRDefault="003E4854">
      <w:pPr>
        <w:spacing w:after="220" w:line="360" w:lineRule="auto"/>
        <w:jc w:val="both"/>
        <w:rPr>
          <w:lang w:val="en-GB"/>
        </w:rPr>
      </w:pPr>
      <w:r w:rsidRPr="005D3B32">
        <w:rPr>
          <w:lang w:val="en-GB"/>
        </w:rPr>
        <w:t xml:space="preserve">Association of Ambulance Chief Executives (2020) </w:t>
      </w:r>
      <w:r w:rsidRPr="005D3B32">
        <w:rPr>
          <w:i/>
          <w:iCs/>
          <w:lang w:val="en-GB"/>
        </w:rPr>
        <w:t>The Ambulance Service offer: Integrated urgent and emergency care - AACE.ORG.UK</w:t>
      </w:r>
      <w:r w:rsidRPr="005D3B32">
        <w:rPr>
          <w:lang w:val="en-GB"/>
        </w:rPr>
        <w:t xml:space="preserve">, </w:t>
      </w:r>
      <w:r w:rsidRPr="005D3B32">
        <w:rPr>
          <w:i/>
          <w:iCs/>
          <w:lang w:val="en-GB"/>
        </w:rPr>
        <w:t>aace.org.uk</w:t>
      </w:r>
      <w:r w:rsidRPr="005D3B32">
        <w:rPr>
          <w:lang w:val="en-GB"/>
        </w:rPr>
        <w:t>. Available at: https://aace.org.uk/news/the-ambulance-service-offer-integrated-urgent-and-emergency-care/ (Accessed: September 25, 2026).</w:t>
      </w:r>
    </w:p>
    <w:p w14:paraId="00000030" w14:textId="77777777" w:rsidR="008C384D" w:rsidRPr="005D3B32" w:rsidRDefault="003E4854">
      <w:pPr>
        <w:spacing w:after="220" w:line="360" w:lineRule="auto"/>
        <w:jc w:val="both"/>
        <w:rPr>
          <w:lang w:val="en-GB"/>
        </w:rPr>
      </w:pPr>
      <w:r w:rsidRPr="005D3B32">
        <w:rPr>
          <w:lang w:val="en-GB"/>
        </w:rPr>
        <w:t xml:space="preserve">Beldon, R. and Garside, J. (2021) “Burnout in frontline ambulance staff,” </w:t>
      </w:r>
      <w:r w:rsidRPr="005D3B32">
        <w:rPr>
          <w:i/>
          <w:iCs/>
          <w:lang w:val="en-GB"/>
        </w:rPr>
        <w:t>Journal of Paramedic Practice</w:t>
      </w:r>
      <w:r w:rsidRPr="005D3B32">
        <w:rPr>
          <w:lang w:val="en-GB"/>
        </w:rPr>
        <w:t>, 14(1), pp. 6–14. Available at: https://doi.org/10.12968/jpar.2022.14.1.6.</w:t>
      </w:r>
    </w:p>
    <w:p w14:paraId="00000031" w14:textId="77777777" w:rsidR="008C384D" w:rsidRPr="005D3B32" w:rsidRDefault="003E4854">
      <w:pPr>
        <w:spacing w:after="220" w:line="360" w:lineRule="auto"/>
        <w:jc w:val="both"/>
        <w:rPr>
          <w:lang w:val="en-GB"/>
        </w:rPr>
      </w:pPr>
      <w:proofErr w:type="spellStart"/>
      <w:r w:rsidRPr="005D3B32">
        <w:rPr>
          <w:lang w:val="en-GB"/>
        </w:rPr>
        <w:t>Bijani</w:t>
      </w:r>
      <w:proofErr w:type="spellEnd"/>
      <w:r w:rsidRPr="005D3B32">
        <w:rPr>
          <w:lang w:val="en-GB"/>
        </w:rPr>
        <w:t xml:space="preserve">, M., Abedi, S., Karimi, S. and </w:t>
      </w:r>
      <w:proofErr w:type="spellStart"/>
      <w:r w:rsidRPr="005D3B32">
        <w:rPr>
          <w:lang w:val="en-GB"/>
        </w:rPr>
        <w:t>Tehranineshat</w:t>
      </w:r>
      <w:proofErr w:type="spellEnd"/>
      <w:r w:rsidRPr="005D3B32">
        <w:rPr>
          <w:lang w:val="en-GB"/>
        </w:rPr>
        <w:t xml:space="preserve">, B. (2021) “Major challenges and barriers in clinical decision-making as perceived by emergency medical services personnel: A qualitative content analysis,” </w:t>
      </w:r>
      <w:r w:rsidRPr="005D3B32">
        <w:rPr>
          <w:i/>
          <w:iCs/>
          <w:lang w:val="en-GB"/>
        </w:rPr>
        <w:t>BMC Emergency Medicine</w:t>
      </w:r>
      <w:r w:rsidRPr="005D3B32">
        <w:rPr>
          <w:lang w:val="en-GB"/>
        </w:rPr>
        <w:t>, 21(1), p. 11. Available at: https://doi.org/https://doi.org/10.1186/s12873-021-00408-4.</w:t>
      </w:r>
    </w:p>
    <w:p w14:paraId="00000032" w14:textId="77777777" w:rsidR="008C384D" w:rsidRPr="005D3B32" w:rsidRDefault="003E4854">
      <w:pPr>
        <w:spacing w:after="220" w:line="360" w:lineRule="auto"/>
        <w:jc w:val="both"/>
        <w:rPr>
          <w:lang w:val="en-GB"/>
        </w:rPr>
      </w:pPr>
      <w:r w:rsidRPr="005D3B32">
        <w:rPr>
          <w:lang w:val="en-GB"/>
        </w:rPr>
        <w:t xml:space="preserve">Gage, C.H., Stander, C., Gwyther, L. and Stassen, W. (2023) “Emergency Medical Services and palliative care: A scoping review,” </w:t>
      </w:r>
      <w:r w:rsidRPr="005D3B32">
        <w:rPr>
          <w:i/>
          <w:iCs/>
          <w:lang w:val="en-GB"/>
        </w:rPr>
        <w:t>BMJ Open</w:t>
      </w:r>
      <w:r w:rsidRPr="005D3B32">
        <w:rPr>
          <w:lang w:val="en-GB"/>
        </w:rPr>
        <w:t>, 13(3), p. e071116. Available at: https://doi.org/10.1136/bmjopen-2022-071116.</w:t>
      </w:r>
    </w:p>
    <w:p w14:paraId="00000033" w14:textId="77777777" w:rsidR="008C384D" w:rsidRPr="005D3B32" w:rsidRDefault="003E4854">
      <w:pPr>
        <w:spacing w:after="220" w:line="360" w:lineRule="auto"/>
        <w:jc w:val="both"/>
        <w:rPr>
          <w:lang w:val="en-GB"/>
        </w:rPr>
      </w:pPr>
      <w:r w:rsidRPr="005D3B32">
        <w:rPr>
          <w:lang w:val="en-GB"/>
        </w:rPr>
        <w:t xml:space="preserve">Gorsky, M. (2015) </w:t>
      </w:r>
      <w:r w:rsidRPr="005D3B32">
        <w:rPr>
          <w:i/>
          <w:iCs/>
          <w:lang w:val="en-GB"/>
        </w:rPr>
        <w:t xml:space="preserve">The NHS in Britain: Any lesson from history for universal health </w:t>
      </w:r>
      <w:proofErr w:type="gramStart"/>
      <w:r w:rsidRPr="005D3B32">
        <w:rPr>
          <w:i/>
          <w:iCs/>
          <w:lang w:val="en-GB"/>
        </w:rPr>
        <w:t>coverage?</w:t>
      </w:r>
      <w:r w:rsidRPr="005D3B32">
        <w:rPr>
          <w:lang w:val="en-GB"/>
        </w:rPr>
        <w:t>,</w:t>
      </w:r>
      <w:proofErr w:type="gramEnd"/>
      <w:r w:rsidRPr="005D3B32">
        <w:rPr>
          <w:lang w:val="en-GB"/>
        </w:rPr>
        <w:t xml:space="preserve"> </w:t>
      </w:r>
      <w:r w:rsidRPr="005D3B32">
        <w:rPr>
          <w:i/>
          <w:iCs/>
          <w:lang w:val="en-GB"/>
        </w:rPr>
        <w:t>Nih.gov</w:t>
      </w:r>
      <w:r w:rsidRPr="005D3B32">
        <w:rPr>
          <w:lang w:val="en-GB"/>
        </w:rPr>
        <w:t xml:space="preserve">. Orient </w:t>
      </w:r>
      <w:proofErr w:type="spellStart"/>
      <w:r w:rsidRPr="005D3B32">
        <w:rPr>
          <w:lang w:val="en-GB"/>
        </w:rPr>
        <w:t>Blackswan</w:t>
      </w:r>
      <w:proofErr w:type="spellEnd"/>
      <w:r w:rsidRPr="005D3B32">
        <w:rPr>
          <w:lang w:val="en-GB"/>
        </w:rPr>
        <w:t>. Available at: https://www.ncbi.nlm.nih.gov/books/NBK316274/ (Accessed: September 25, 2026).</w:t>
      </w:r>
    </w:p>
    <w:p w14:paraId="00000034" w14:textId="77777777" w:rsidR="008C384D" w:rsidRPr="005D3B32" w:rsidRDefault="003E4854">
      <w:pPr>
        <w:spacing w:after="220" w:line="360" w:lineRule="auto"/>
        <w:jc w:val="both"/>
        <w:rPr>
          <w:lang w:val="en-GB"/>
        </w:rPr>
      </w:pPr>
      <w:r w:rsidRPr="005D3B32">
        <w:rPr>
          <w:lang w:val="en-GB"/>
        </w:rPr>
        <w:t xml:space="preserve">Knutsson, D. and </w:t>
      </w:r>
      <w:proofErr w:type="spellStart"/>
      <w:r w:rsidRPr="005D3B32">
        <w:rPr>
          <w:lang w:val="en-GB"/>
        </w:rPr>
        <w:t>Tyrefors</w:t>
      </w:r>
      <w:proofErr w:type="spellEnd"/>
      <w:r w:rsidRPr="005D3B32">
        <w:rPr>
          <w:lang w:val="en-GB"/>
        </w:rPr>
        <w:t xml:space="preserve">, B. (2022) “The quality and efficiency of public and private firms: Evidence from ambulance services,” </w:t>
      </w:r>
      <w:r w:rsidRPr="005D3B32">
        <w:rPr>
          <w:i/>
          <w:iCs/>
          <w:lang w:val="en-GB"/>
        </w:rPr>
        <w:t>The Quarterly Journal of Economics</w:t>
      </w:r>
      <w:r w:rsidRPr="005D3B32">
        <w:rPr>
          <w:lang w:val="en-GB"/>
        </w:rPr>
        <w:t>, 137(4), pp. 2213–2262. Available at: https://doi.org/10.1093/qje/qjac014.</w:t>
      </w:r>
    </w:p>
    <w:p w14:paraId="26F6E12F" w14:textId="77777777" w:rsidR="00C618E6" w:rsidRDefault="00C618E6">
      <w:pPr>
        <w:spacing w:after="220" w:line="360" w:lineRule="auto"/>
        <w:jc w:val="both"/>
        <w:rPr>
          <w:lang w:val="en-GB"/>
        </w:rPr>
      </w:pPr>
      <w:r w:rsidRPr="005D3B32">
        <w:rPr>
          <w:lang w:val="en-GB"/>
        </w:rPr>
        <w:t xml:space="preserve">NHS England (2023) </w:t>
      </w:r>
      <w:r w:rsidRPr="005D3B32">
        <w:rPr>
          <w:i/>
          <w:iCs/>
          <w:lang w:val="en-GB"/>
        </w:rPr>
        <w:t>NHS England » ambulance</w:t>
      </w:r>
      <w:r w:rsidRPr="005D3B32">
        <w:rPr>
          <w:lang w:val="en-GB"/>
        </w:rPr>
        <w:t xml:space="preserve">, </w:t>
      </w:r>
      <w:r w:rsidRPr="005D3B32">
        <w:rPr>
          <w:i/>
          <w:iCs/>
          <w:lang w:val="en-GB"/>
        </w:rPr>
        <w:t>www.england.nhs.uk</w:t>
      </w:r>
      <w:r w:rsidRPr="005D3B32">
        <w:rPr>
          <w:lang w:val="en-GB"/>
        </w:rPr>
        <w:t>. Available at: https://www.england.nhs.uk/urgent-emergency-care/improving-ambulance-services/ (Accessed: September 25, 2026).</w:t>
      </w:r>
    </w:p>
    <w:p w14:paraId="68299938" w14:textId="77777777" w:rsidR="00C618E6" w:rsidRPr="00C618E6" w:rsidRDefault="00C618E6" w:rsidP="00C618E6">
      <w:pPr>
        <w:spacing w:after="220" w:line="360" w:lineRule="auto"/>
        <w:jc w:val="both"/>
        <w:rPr>
          <w:lang w:val="en-US"/>
        </w:rPr>
      </w:pPr>
      <w:r w:rsidRPr="00C618E6">
        <w:rPr>
          <w:lang w:val="en-US"/>
        </w:rPr>
        <w:lastRenderedPageBreak/>
        <w:t xml:space="preserve">NHS England (2025) </w:t>
      </w:r>
      <w:r w:rsidRPr="00C618E6">
        <w:rPr>
          <w:i/>
          <w:iCs/>
          <w:lang w:val="en-US"/>
        </w:rPr>
        <w:t>Chapter 1: Common mental health conditions</w:t>
      </w:r>
      <w:r w:rsidRPr="00C618E6">
        <w:rPr>
          <w:lang w:val="en-US"/>
        </w:rPr>
        <w:t xml:space="preserve">, </w:t>
      </w:r>
      <w:r w:rsidRPr="00C618E6">
        <w:rPr>
          <w:i/>
          <w:iCs/>
          <w:lang w:val="en-US"/>
        </w:rPr>
        <w:t>Digital.nhs.uk</w:t>
      </w:r>
      <w:r w:rsidRPr="00C618E6">
        <w:rPr>
          <w:lang w:val="en-US"/>
        </w:rPr>
        <w:t>. Available at: https://digital.nhs.uk/data-and-information/publications/statistical/adult-psychiatric-morbidity-survey/survey-of-mental-health-and-wellbeing-england-2023-24/common-mental-health-conditions (Accessed: September 27, 2026).</w:t>
      </w:r>
    </w:p>
    <w:p w14:paraId="00000036" w14:textId="77777777" w:rsidR="008C384D" w:rsidRPr="005D3B32" w:rsidRDefault="003E4854">
      <w:pPr>
        <w:spacing w:after="220" w:line="360" w:lineRule="auto"/>
        <w:jc w:val="both"/>
        <w:rPr>
          <w:lang w:val="en-GB"/>
        </w:rPr>
      </w:pPr>
      <w:r w:rsidRPr="005D3B32">
        <w:rPr>
          <w:lang w:val="en-GB"/>
        </w:rPr>
        <w:t>Paulo, A., Santos, D. and Barbosa-</w:t>
      </w:r>
      <w:proofErr w:type="spellStart"/>
      <w:r w:rsidRPr="005D3B32">
        <w:rPr>
          <w:lang w:val="en-GB"/>
        </w:rPr>
        <w:t>Povoa</w:t>
      </w:r>
      <w:proofErr w:type="spellEnd"/>
      <w:r w:rsidRPr="005D3B32">
        <w:rPr>
          <w:lang w:val="en-GB"/>
        </w:rPr>
        <w:t xml:space="preserve">, A. (2023) “Data-driven forecasting for operational planning of emergency medical services,” </w:t>
      </w:r>
      <w:r w:rsidRPr="005D3B32">
        <w:rPr>
          <w:i/>
          <w:iCs/>
          <w:lang w:val="en-GB"/>
        </w:rPr>
        <w:t>Socio-Economic Planning Sciences</w:t>
      </w:r>
      <w:r w:rsidRPr="005D3B32">
        <w:rPr>
          <w:lang w:val="en-GB"/>
        </w:rPr>
        <w:t>, 86, p. 101492. Available at: https://doi.org/10.1016/j.seps.2022.101492.</w:t>
      </w:r>
    </w:p>
    <w:p w14:paraId="00000037" w14:textId="77777777" w:rsidR="008C384D" w:rsidRPr="005D3B32" w:rsidRDefault="003E4854">
      <w:pPr>
        <w:spacing w:after="220" w:line="360" w:lineRule="auto"/>
        <w:jc w:val="both"/>
        <w:rPr>
          <w:lang w:val="en-GB"/>
        </w:rPr>
      </w:pPr>
      <w:proofErr w:type="spellStart"/>
      <w:r w:rsidRPr="005D3B32">
        <w:rPr>
          <w:lang w:val="en-GB"/>
        </w:rPr>
        <w:t>Shetab-Boushehri</w:t>
      </w:r>
      <w:proofErr w:type="spellEnd"/>
      <w:r w:rsidRPr="005D3B32">
        <w:rPr>
          <w:lang w:val="en-GB"/>
        </w:rPr>
        <w:t>, S.-N., Rajabi, P. and Mahmoudi, R. (2022) “</w:t>
      </w:r>
      <w:proofErr w:type="spellStart"/>
      <w:r w:rsidRPr="005D3B32">
        <w:rPr>
          <w:lang w:val="en-GB"/>
        </w:rPr>
        <w:t>Modeling</w:t>
      </w:r>
      <w:proofErr w:type="spellEnd"/>
      <w:r w:rsidRPr="005D3B32">
        <w:rPr>
          <w:lang w:val="en-GB"/>
        </w:rPr>
        <w:t xml:space="preserve"> location–allocation of emergency medical service stations and ambulance routing problems considering the variability of events and recurrent traffic congestion: A real case study,” </w:t>
      </w:r>
      <w:r w:rsidRPr="005D3B32">
        <w:rPr>
          <w:i/>
          <w:iCs/>
          <w:lang w:val="en-GB"/>
        </w:rPr>
        <w:t>Healthcare Analytics</w:t>
      </w:r>
      <w:r w:rsidRPr="005D3B32">
        <w:rPr>
          <w:lang w:val="en-GB"/>
        </w:rPr>
        <w:t>, 2, p. 100048. Available at: https://doi.org/10.1016/j.health.2022.100048.</w:t>
      </w:r>
    </w:p>
    <w:p w14:paraId="00000038" w14:textId="77777777" w:rsidR="008C384D" w:rsidRPr="005D3B32" w:rsidRDefault="003E4854">
      <w:pPr>
        <w:spacing w:after="220" w:line="360" w:lineRule="auto"/>
        <w:jc w:val="both"/>
        <w:rPr>
          <w:lang w:val="en-GB"/>
        </w:rPr>
      </w:pPr>
      <w:r w:rsidRPr="005D3B32">
        <w:rPr>
          <w:lang w:val="en-GB"/>
        </w:rPr>
        <w:t xml:space="preserve">Wilson, C., Howell, A.-M., Janes, G. and Benn, J. (2022) “The role of feedback in emergency ambulance services: A qualitative interview study,” </w:t>
      </w:r>
      <w:r w:rsidRPr="005D3B32">
        <w:rPr>
          <w:i/>
          <w:iCs/>
          <w:lang w:val="en-GB"/>
        </w:rPr>
        <w:t>BMC Health Services Research</w:t>
      </w:r>
      <w:r w:rsidRPr="005D3B32">
        <w:rPr>
          <w:lang w:val="en-GB"/>
        </w:rPr>
        <w:t>, 22(1). Available at: https://doi.org/10.1186/s12913-022-07676-1.</w:t>
      </w:r>
    </w:p>
    <w:p w14:paraId="00000039" w14:textId="77777777" w:rsidR="008C384D" w:rsidRPr="005D3B32" w:rsidRDefault="003E4854">
      <w:pPr>
        <w:spacing w:after="220" w:line="360" w:lineRule="auto"/>
        <w:jc w:val="both"/>
        <w:rPr>
          <w:lang w:val="en-GB"/>
        </w:rPr>
      </w:pPr>
      <w:r w:rsidRPr="005D3B32">
        <w:rPr>
          <w:lang w:val="en-GB"/>
        </w:rPr>
        <w:t xml:space="preserve">Zhai, Y., Xu, X., Chen, B., Lu, H., Wang, Y., Li, S., Shi, X., Wang, W., Shang, L. and Zhao, J. (2021) “5G-Network-Enabled smart ambulance: Architecture, application, and evaluation,” </w:t>
      </w:r>
      <w:r w:rsidRPr="005D3B32">
        <w:rPr>
          <w:i/>
          <w:iCs/>
          <w:lang w:val="en-GB"/>
        </w:rPr>
        <w:t>IEEE Network</w:t>
      </w:r>
      <w:r w:rsidRPr="005D3B32">
        <w:rPr>
          <w:lang w:val="en-GB"/>
        </w:rPr>
        <w:t>, 35(1), pp. 190–196. Available at: https://doi.org/10.1109/mnet.011.2000014.</w:t>
      </w:r>
    </w:p>
    <w:p w14:paraId="0000003A" w14:textId="77777777" w:rsidR="008C384D" w:rsidRPr="005D3B32" w:rsidRDefault="008C384D">
      <w:pPr>
        <w:spacing w:before="200" w:after="200" w:line="360" w:lineRule="auto"/>
        <w:jc w:val="both"/>
        <w:rPr>
          <w:lang w:val="en-GB"/>
        </w:rPr>
      </w:pPr>
    </w:p>
    <w:sectPr w:rsidR="008C384D" w:rsidRPr="005D3B32" w:rsidSect="00141F07">
      <w:footerReference w:type="default" r:id="rId9"/>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5AF397" w14:textId="77777777" w:rsidR="00840C2F" w:rsidRDefault="00840C2F" w:rsidP="00141F07">
      <w:pPr>
        <w:spacing w:line="240" w:lineRule="auto"/>
      </w:pPr>
      <w:r>
        <w:separator/>
      </w:r>
    </w:p>
  </w:endnote>
  <w:endnote w:type="continuationSeparator" w:id="0">
    <w:p w14:paraId="01B4A9D3" w14:textId="77777777" w:rsidR="00840C2F" w:rsidRDefault="00840C2F" w:rsidP="00141F0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415BCD13-BD39-47B1-B2A7-34AE741BF2BA}"/>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2" w:fontKey="{7A9F8A26-3EB3-4FB5-AC0E-01FF01018A7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5784748"/>
      <w:docPartObj>
        <w:docPartGallery w:val="Page Numbers (Bottom of Page)"/>
        <w:docPartUnique/>
      </w:docPartObj>
    </w:sdtPr>
    <w:sdtEndPr>
      <w:rPr>
        <w:noProof/>
      </w:rPr>
    </w:sdtEndPr>
    <w:sdtContent>
      <w:p w14:paraId="01479898" w14:textId="5A114CB4" w:rsidR="00141F07" w:rsidRDefault="00141F07">
        <w:pPr>
          <w:pStyle w:val="Footer"/>
          <w:jc w:val="right"/>
        </w:pPr>
        <w:r>
          <w:fldChar w:fldCharType="begin"/>
        </w:r>
        <w:r>
          <w:instrText xml:space="preserve"> PAGE   \* MERGEFORMAT </w:instrText>
        </w:r>
        <w:r>
          <w:fldChar w:fldCharType="separate"/>
        </w:r>
        <w:r w:rsidR="00917C0E">
          <w:rPr>
            <w:noProof/>
          </w:rPr>
          <w:t>3</w:t>
        </w:r>
        <w:r>
          <w:rPr>
            <w:noProof/>
          </w:rPr>
          <w:fldChar w:fldCharType="end"/>
        </w:r>
      </w:p>
    </w:sdtContent>
  </w:sdt>
  <w:p w14:paraId="4D415925" w14:textId="77777777" w:rsidR="00141F07" w:rsidRDefault="00141F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422B10" w14:textId="77777777" w:rsidR="00840C2F" w:rsidRDefault="00840C2F" w:rsidP="00141F07">
      <w:pPr>
        <w:spacing w:line="240" w:lineRule="auto"/>
      </w:pPr>
      <w:r>
        <w:separator/>
      </w:r>
    </w:p>
  </w:footnote>
  <w:footnote w:type="continuationSeparator" w:id="0">
    <w:p w14:paraId="5E2275E4" w14:textId="77777777" w:rsidR="00840C2F" w:rsidRDefault="00840C2F" w:rsidP="00141F0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384D"/>
    <w:rsid w:val="00044D91"/>
    <w:rsid w:val="000F3F9B"/>
    <w:rsid w:val="00141F07"/>
    <w:rsid w:val="00164577"/>
    <w:rsid w:val="00310A47"/>
    <w:rsid w:val="00335287"/>
    <w:rsid w:val="00351A95"/>
    <w:rsid w:val="003B61AA"/>
    <w:rsid w:val="003E4854"/>
    <w:rsid w:val="003E7081"/>
    <w:rsid w:val="005D3B32"/>
    <w:rsid w:val="00840C2F"/>
    <w:rsid w:val="008C384D"/>
    <w:rsid w:val="00917C0E"/>
    <w:rsid w:val="00A07A09"/>
    <w:rsid w:val="00B05C6C"/>
    <w:rsid w:val="00B750E9"/>
    <w:rsid w:val="00BC04C7"/>
    <w:rsid w:val="00C06571"/>
    <w:rsid w:val="00C618E6"/>
    <w:rsid w:val="00CC0C8D"/>
    <w:rsid w:val="00CC64A4"/>
    <w:rsid w:val="00F22AB7"/>
    <w:rsid w:val="00F2566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CF378"/>
  <w15:docId w15:val="{BBD9A12F-EEF2-4FCA-9662-215BE3C5B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141F07"/>
    <w:pPr>
      <w:spacing w:before="200" w:after="200" w:line="360" w:lineRule="auto"/>
      <w:jc w:val="both"/>
      <w:outlineLvl w:val="0"/>
    </w:pPr>
    <w:rPr>
      <w:b/>
      <w:bCs/>
    </w:rPr>
  </w:style>
  <w:style w:type="paragraph" w:styleId="Heading2">
    <w:name w:val="heading 2"/>
    <w:basedOn w:val="Normal"/>
    <w:next w:val="Normal"/>
    <w:uiPriority w:val="9"/>
    <w:unhideWhenUsed/>
    <w:qFormat/>
    <w:rsid w:val="00141F07"/>
    <w:pPr>
      <w:spacing w:before="200" w:after="200" w:line="360" w:lineRule="auto"/>
      <w:jc w:val="both"/>
      <w:outlineLvl w:val="1"/>
    </w:pPr>
    <w:rPr>
      <w:b/>
      <w:bCs/>
    </w:rPr>
  </w:style>
  <w:style w:type="paragraph" w:styleId="Heading3">
    <w:name w:val="heading 3"/>
    <w:basedOn w:val="Normal"/>
    <w:next w:val="Normal"/>
    <w:uiPriority w:val="9"/>
    <w:unhideWhenUsed/>
    <w:qFormat/>
    <w:rsid w:val="00141F07"/>
    <w:pPr>
      <w:spacing w:before="200" w:after="200" w:line="360" w:lineRule="auto"/>
      <w:jc w:val="both"/>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141F07"/>
    <w:pPr>
      <w:tabs>
        <w:tab w:val="center" w:pos="4680"/>
        <w:tab w:val="right" w:pos="9360"/>
      </w:tabs>
      <w:spacing w:line="240" w:lineRule="auto"/>
    </w:pPr>
  </w:style>
  <w:style w:type="character" w:customStyle="1" w:styleId="HeaderChar">
    <w:name w:val="Header Char"/>
    <w:basedOn w:val="DefaultParagraphFont"/>
    <w:link w:val="Header"/>
    <w:uiPriority w:val="99"/>
    <w:rsid w:val="00141F07"/>
  </w:style>
  <w:style w:type="paragraph" w:styleId="Footer">
    <w:name w:val="footer"/>
    <w:basedOn w:val="Normal"/>
    <w:link w:val="FooterChar"/>
    <w:uiPriority w:val="99"/>
    <w:unhideWhenUsed/>
    <w:rsid w:val="00141F07"/>
    <w:pPr>
      <w:tabs>
        <w:tab w:val="center" w:pos="4680"/>
        <w:tab w:val="right" w:pos="9360"/>
      </w:tabs>
      <w:spacing w:line="240" w:lineRule="auto"/>
    </w:pPr>
  </w:style>
  <w:style w:type="character" w:customStyle="1" w:styleId="FooterChar">
    <w:name w:val="Footer Char"/>
    <w:basedOn w:val="DefaultParagraphFont"/>
    <w:link w:val="Footer"/>
    <w:uiPriority w:val="99"/>
    <w:rsid w:val="00141F07"/>
  </w:style>
  <w:style w:type="paragraph" w:styleId="TOCHeading">
    <w:name w:val="TOC Heading"/>
    <w:basedOn w:val="Heading1"/>
    <w:next w:val="Normal"/>
    <w:uiPriority w:val="39"/>
    <w:unhideWhenUsed/>
    <w:qFormat/>
    <w:rsid w:val="00141F07"/>
    <w:pPr>
      <w:keepNext/>
      <w:keepLines/>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141F07"/>
    <w:pPr>
      <w:spacing w:after="100"/>
    </w:pPr>
  </w:style>
  <w:style w:type="paragraph" w:styleId="TOC2">
    <w:name w:val="toc 2"/>
    <w:basedOn w:val="Normal"/>
    <w:next w:val="Normal"/>
    <w:autoRedefine/>
    <w:uiPriority w:val="39"/>
    <w:unhideWhenUsed/>
    <w:rsid w:val="00141F07"/>
    <w:pPr>
      <w:spacing w:after="100"/>
      <w:ind w:left="220"/>
    </w:pPr>
  </w:style>
  <w:style w:type="paragraph" w:styleId="TOC3">
    <w:name w:val="toc 3"/>
    <w:basedOn w:val="Normal"/>
    <w:next w:val="Normal"/>
    <w:autoRedefine/>
    <w:uiPriority w:val="39"/>
    <w:unhideWhenUsed/>
    <w:rsid w:val="00141F07"/>
    <w:pPr>
      <w:spacing w:after="100"/>
      <w:ind w:left="440"/>
    </w:pPr>
  </w:style>
  <w:style w:type="character" w:styleId="Hyperlink">
    <w:name w:val="Hyperlink"/>
    <w:basedOn w:val="DefaultParagraphFont"/>
    <w:uiPriority w:val="99"/>
    <w:unhideWhenUsed/>
    <w:rsid w:val="00141F0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5D592E-436F-443C-A4DF-52F84C2022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2961</Words>
  <Characters>16883</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Tabassum Faraz (2511023)</cp:lastModifiedBy>
  <cp:revision>2</cp:revision>
  <dcterms:created xsi:type="dcterms:W3CDTF">2026-09-30T10:48:00Z</dcterms:created>
  <dcterms:modified xsi:type="dcterms:W3CDTF">2026-09-30T10:48:00Z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bdd376a5-75cf-462b-af2a-b0ae073227f8</vt:lpwstr>
  </property>
</Properties>
</file>