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A33FB" w14:textId="6181C045" w:rsidR="009745E2" w:rsidRPr="009745E2" w:rsidRDefault="009745E2" w:rsidP="009745E2">
      <w:pPr>
        <w:spacing w:after="0" w:line="360" w:lineRule="auto"/>
        <w:jc w:val="center"/>
        <w:rPr>
          <w:szCs w:val="24"/>
        </w:rPr>
      </w:pPr>
      <w:r w:rsidRPr="009745E2">
        <w:rPr>
          <w:szCs w:val="24"/>
        </w:rPr>
        <w:t xml:space="preserve">Student </w:t>
      </w:r>
      <w:r>
        <w:rPr>
          <w:szCs w:val="24"/>
        </w:rPr>
        <w:t>n</w:t>
      </w:r>
      <w:r w:rsidRPr="009745E2">
        <w:rPr>
          <w:szCs w:val="24"/>
        </w:rPr>
        <w:t>ame</w:t>
      </w:r>
      <w:r>
        <w:rPr>
          <w:szCs w:val="24"/>
        </w:rPr>
        <w:t xml:space="preserve">: </w:t>
      </w:r>
      <w:r w:rsidRPr="009745E2">
        <w:rPr>
          <w:szCs w:val="24"/>
        </w:rPr>
        <w:t xml:space="preserve"> Dabir Ahmed </w:t>
      </w:r>
    </w:p>
    <w:p w14:paraId="63A9031E" w14:textId="77777777" w:rsidR="009745E2" w:rsidRDefault="009745E2" w:rsidP="009745E2">
      <w:pPr>
        <w:spacing w:after="0" w:line="360" w:lineRule="auto"/>
        <w:jc w:val="center"/>
        <w:rPr>
          <w:szCs w:val="24"/>
        </w:rPr>
      </w:pPr>
      <w:r w:rsidRPr="009745E2">
        <w:rPr>
          <w:szCs w:val="24"/>
        </w:rPr>
        <w:t>Student number: 2213340</w:t>
      </w:r>
    </w:p>
    <w:p w14:paraId="5FED88D8" w14:textId="671A6470" w:rsidR="00ED0463" w:rsidRPr="009745E2" w:rsidRDefault="00ED0463" w:rsidP="009745E2">
      <w:pPr>
        <w:spacing w:after="0" w:line="360" w:lineRule="auto"/>
        <w:jc w:val="center"/>
        <w:rPr>
          <w:szCs w:val="24"/>
        </w:rPr>
      </w:pPr>
      <w:r>
        <w:rPr>
          <w:szCs w:val="24"/>
        </w:rPr>
        <w:t>Assignment title</w:t>
      </w:r>
      <w:r w:rsidR="00080C6E">
        <w:rPr>
          <w:szCs w:val="24"/>
        </w:rPr>
        <w:t xml:space="preserve">: </w:t>
      </w:r>
      <w:r w:rsidR="00C931CC">
        <w:rPr>
          <w:szCs w:val="24"/>
        </w:rPr>
        <w:t>D</w:t>
      </w:r>
      <w:r w:rsidR="00080C6E">
        <w:rPr>
          <w:szCs w:val="24"/>
        </w:rPr>
        <w:t>iminished respo</w:t>
      </w:r>
      <w:r w:rsidR="00C931CC">
        <w:rPr>
          <w:szCs w:val="24"/>
        </w:rPr>
        <w:t>nsibility</w:t>
      </w:r>
    </w:p>
    <w:p w14:paraId="65E9750E" w14:textId="77777777" w:rsidR="009745E2" w:rsidRPr="009745E2" w:rsidRDefault="009745E2" w:rsidP="009745E2">
      <w:pPr>
        <w:spacing w:after="0" w:line="360" w:lineRule="auto"/>
        <w:jc w:val="center"/>
        <w:rPr>
          <w:szCs w:val="24"/>
        </w:rPr>
      </w:pPr>
      <w:r w:rsidRPr="009745E2">
        <w:rPr>
          <w:szCs w:val="24"/>
        </w:rPr>
        <w:t>Module code: BMPL4009/ BMLW4005</w:t>
      </w:r>
    </w:p>
    <w:p w14:paraId="7D47D516" w14:textId="483C8E26" w:rsidR="009745E2" w:rsidRPr="009745E2" w:rsidRDefault="009745E2" w:rsidP="009745E2">
      <w:pPr>
        <w:pStyle w:val="Title"/>
        <w:spacing w:line="360" w:lineRule="auto"/>
        <w:rPr>
          <w:b w:val="0"/>
          <w:sz w:val="24"/>
          <w:szCs w:val="24"/>
        </w:rPr>
      </w:pPr>
      <w:r w:rsidRPr="009745E2">
        <w:rPr>
          <w:b w:val="0"/>
          <w:sz w:val="24"/>
          <w:szCs w:val="24"/>
        </w:rPr>
        <w:t>Lecturer: Z. Draper</w:t>
      </w:r>
    </w:p>
    <w:p w14:paraId="29880497" w14:textId="77777777" w:rsidR="009745E2" w:rsidRPr="009745E2" w:rsidRDefault="009745E2" w:rsidP="004E6A07">
      <w:pPr>
        <w:pStyle w:val="Title"/>
        <w:spacing w:line="360" w:lineRule="auto"/>
        <w:rPr>
          <w:sz w:val="24"/>
          <w:szCs w:val="24"/>
        </w:rPr>
      </w:pPr>
    </w:p>
    <w:p w14:paraId="5AC9D397" w14:textId="114F19C2" w:rsidR="00194897" w:rsidRPr="004E6A07" w:rsidRDefault="00CF48CA" w:rsidP="009745E2">
      <w:pPr>
        <w:pStyle w:val="Title"/>
        <w:spacing w:line="360" w:lineRule="auto"/>
        <w:rPr>
          <w:sz w:val="24"/>
          <w:szCs w:val="24"/>
        </w:rPr>
      </w:pPr>
      <w:r w:rsidRPr="004E6A07">
        <w:rPr>
          <w:sz w:val="24"/>
          <w:szCs w:val="24"/>
        </w:rPr>
        <w:t>What changes did the Coroners and Justice Act (2009) make to the defence of diminished responsibility? Did these amendments change the law in this area for the better?</w:t>
      </w:r>
    </w:p>
    <w:p w14:paraId="6B51849D" w14:textId="42C7E7A0" w:rsidR="009745E2" w:rsidRDefault="009745E2" w:rsidP="009745E2">
      <w:pPr>
        <w:spacing w:after="0" w:line="360" w:lineRule="auto"/>
        <w:jc w:val="center"/>
        <w:rPr>
          <w:szCs w:val="24"/>
        </w:rPr>
      </w:pPr>
    </w:p>
    <w:p w14:paraId="69BE1311" w14:textId="6FA48F78" w:rsidR="00D55061" w:rsidRPr="00E20EEE" w:rsidRDefault="009745E2" w:rsidP="00E20EEE">
      <w:pPr>
        <w:spacing w:after="0" w:line="360" w:lineRule="auto"/>
        <w:jc w:val="center"/>
        <w:rPr>
          <w:szCs w:val="24"/>
        </w:rPr>
      </w:pPr>
      <w:r>
        <w:rPr>
          <w:szCs w:val="24"/>
        </w:rPr>
        <w:t xml:space="preserve"> </w:t>
      </w:r>
    </w:p>
    <w:p w14:paraId="39FC37B0" w14:textId="093FA588" w:rsidR="00C533DF" w:rsidRDefault="00874B6F" w:rsidP="00E20EEE">
      <w:pPr>
        <w:pStyle w:val="Heading1"/>
        <w:rPr>
          <w:sz w:val="24"/>
          <w:szCs w:val="24"/>
        </w:rPr>
      </w:pPr>
      <w:r w:rsidRPr="00E20EEE">
        <w:rPr>
          <w:sz w:val="24"/>
          <w:szCs w:val="24"/>
        </w:rPr>
        <w:t>Introduction</w:t>
      </w:r>
    </w:p>
    <w:p w14:paraId="4BEDF16E" w14:textId="77777777" w:rsidR="00E20EEE" w:rsidRPr="00E20EEE" w:rsidRDefault="00E20EEE" w:rsidP="00E20EEE"/>
    <w:p w14:paraId="1BF1269E" w14:textId="4C3470C2" w:rsidR="00C533DF" w:rsidRDefault="00CB6CB3" w:rsidP="004E6A07">
      <w:pPr>
        <w:spacing w:after="0" w:line="360" w:lineRule="auto"/>
        <w:rPr>
          <w:szCs w:val="24"/>
        </w:rPr>
      </w:pPr>
      <w:r w:rsidRPr="004E6A07">
        <w:rPr>
          <w:szCs w:val="24"/>
        </w:rPr>
        <w:t xml:space="preserve">The reduced responsibility defence has been modified quite a few times </w:t>
      </w:r>
      <w:proofErr w:type="gramStart"/>
      <w:r w:rsidRPr="004E6A07">
        <w:rPr>
          <w:szCs w:val="24"/>
        </w:rPr>
        <w:t>during the course of</w:t>
      </w:r>
      <w:proofErr w:type="gramEnd"/>
      <w:r w:rsidRPr="004E6A07">
        <w:rPr>
          <w:szCs w:val="24"/>
        </w:rPr>
        <w:t xml:space="preserve"> history. The </w:t>
      </w:r>
      <w:r w:rsidR="008B4629" w:rsidRPr="004E6A07">
        <w:rPr>
          <w:szCs w:val="24"/>
        </w:rPr>
        <w:t>“</w:t>
      </w:r>
      <w:r w:rsidRPr="004E6A07">
        <w:rPr>
          <w:szCs w:val="24"/>
        </w:rPr>
        <w:t>Coroners and Justice Act 2009 (CJA)</w:t>
      </w:r>
      <w:r w:rsidR="008B4629" w:rsidRPr="004E6A07">
        <w:rPr>
          <w:szCs w:val="24"/>
        </w:rPr>
        <w:t>”</w:t>
      </w:r>
      <w:r w:rsidRPr="004E6A07">
        <w:rPr>
          <w:szCs w:val="24"/>
        </w:rPr>
        <w:t xml:space="preserve"> was one of the key adjustments to this defence. Before the Criminal Justice Act was enacted, the defence was governed by the </w:t>
      </w:r>
      <w:r w:rsidR="008B4629" w:rsidRPr="004E6A07">
        <w:rPr>
          <w:szCs w:val="24"/>
        </w:rPr>
        <w:t>“</w:t>
      </w:r>
      <w:r w:rsidRPr="004E6A07">
        <w:rPr>
          <w:szCs w:val="24"/>
        </w:rPr>
        <w:t>Homicide Act of 1957,</w:t>
      </w:r>
      <w:r w:rsidR="008B4629" w:rsidRPr="004E6A07">
        <w:rPr>
          <w:szCs w:val="24"/>
        </w:rPr>
        <w:t>”</w:t>
      </w:r>
      <w:r w:rsidRPr="004E6A07">
        <w:rPr>
          <w:szCs w:val="24"/>
        </w:rPr>
        <w:t xml:space="preserve"> which stipulated that the defendant needed to be suffering from a mental abnormality and that the abnormality had substantially impaired their mental responsibility for their actions</w:t>
      </w:r>
      <w:r w:rsidR="00417A31">
        <w:rPr>
          <w:szCs w:val="24"/>
        </w:rPr>
        <w:t xml:space="preserve"> (</w:t>
      </w:r>
      <w:r w:rsidR="00417A31" w:rsidRPr="007245EF">
        <w:t>Reed,</w:t>
      </w:r>
      <w:r w:rsidR="00417A31">
        <w:t xml:space="preserve"> et al., 2021)</w:t>
      </w:r>
      <w:r w:rsidRPr="004E6A07">
        <w:rPr>
          <w:szCs w:val="24"/>
        </w:rPr>
        <w:t xml:space="preserve">. Before the CJA, this was a prerequisite for the defence. The CJA brought about important modifications to the defence, such as changing the word </w:t>
      </w:r>
      <w:r w:rsidR="00B53346" w:rsidRPr="004E6A07">
        <w:rPr>
          <w:szCs w:val="24"/>
        </w:rPr>
        <w:t>“</w:t>
      </w:r>
      <w:r w:rsidRPr="004E6A07">
        <w:rPr>
          <w:szCs w:val="24"/>
        </w:rPr>
        <w:t>mental abnormality</w:t>
      </w:r>
      <w:r w:rsidR="00B53346" w:rsidRPr="004E6A07">
        <w:rPr>
          <w:szCs w:val="24"/>
        </w:rPr>
        <w:t>”</w:t>
      </w:r>
      <w:r w:rsidRPr="004E6A07">
        <w:rPr>
          <w:szCs w:val="24"/>
        </w:rPr>
        <w:t xml:space="preserve"> to </w:t>
      </w:r>
      <w:r w:rsidR="00B53346" w:rsidRPr="004E6A07">
        <w:rPr>
          <w:szCs w:val="24"/>
        </w:rPr>
        <w:t>“</w:t>
      </w:r>
      <w:r w:rsidRPr="004E6A07">
        <w:rPr>
          <w:szCs w:val="24"/>
        </w:rPr>
        <w:t>abnormality of mental functioning</w:t>
      </w:r>
      <w:r w:rsidR="00B53346" w:rsidRPr="004E6A07">
        <w:rPr>
          <w:szCs w:val="24"/>
        </w:rPr>
        <w:t>”</w:t>
      </w:r>
      <w:r w:rsidRPr="004E6A07">
        <w:rPr>
          <w:szCs w:val="24"/>
        </w:rPr>
        <w:t xml:space="preserve"> and adopting a new test for determining whether or not a person is eligible for this defence</w:t>
      </w:r>
      <w:r w:rsidR="0028177B">
        <w:rPr>
          <w:szCs w:val="24"/>
        </w:rPr>
        <w:t xml:space="preserve"> (</w:t>
      </w:r>
      <w:r w:rsidR="0028177B" w:rsidRPr="007245EF">
        <w:t>Reed,</w:t>
      </w:r>
      <w:r w:rsidR="0028177B">
        <w:t xml:space="preserve"> et al., 2021)</w:t>
      </w:r>
      <w:r w:rsidRPr="004E6A07">
        <w:rPr>
          <w:szCs w:val="24"/>
        </w:rPr>
        <w:t xml:space="preserve">. This article intends to explore the modifications that were made to the defence of reduced responsibility by the CJA, as well as </w:t>
      </w:r>
      <w:proofErr w:type="gramStart"/>
      <w:r w:rsidRPr="004E6A07">
        <w:rPr>
          <w:szCs w:val="24"/>
        </w:rPr>
        <w:t>whether or not</w:t>
      </w:r>
      <w:proofErr w:type="gramEnd"/>
      <w:r w:rsidRPr="004E6A07">
        <w:rPr>
          <w:szCs w:val="24"/>
        </w:rPr>
        <w:t xml:space="preserve"> these modifications were an improvement.</w:t>
      </w:r>
    </w:p>
    <w:p w14:paraId="15B29AD2" w14:textId="77777777" w:rsidR="00E20EEE" w:rsidRPr="00C533DF" w:rsidRDefault="00E20EEE" w:rsidP="004E6A07">
      <w:pPr>
        <w:spacing w:after="0" w:line="360" w:lineRule="auto"/>
        <w:rPr>
          <w:szCs w:val="24"/>
        </w:rPr>
      </w:pPr>
    </w:p>
    <w:p w14:paraId="0D634069" w14:textId="78C2F05A" w:rsidR="00C533DF" w:rsidRPr="004E6A07" w:rsidRDefault="00C533DF" w:rsidP="004E6A07">
      <w:pPr>
        <w:pStyle w:val="Heading1"/>
        <w:spacing w:before="0" w:line="360" w:lineRule="auto"/>
        <w:rPr>
          <w:sz w:val="24"/>
          <w:szCs w:val="24"/>
        </w:rPr>
      </w:pPr>
      <w:r w:rsidRPr="004E6A07">
        <w:rPr>
          <w:sz w:val="24"/>
          <w:szCs w:val="24"/>
        </w:rPr>
        <w:t>Discussion</w:t>
      </w:r>
    </w:p>
    <w:p w14:paraId="33AABAC9" w14:textId="77777777" w:rsidR="00C533DF" w:rsidRPr="004E6A07" w:rsidRDefault="00C533DF" w:rsidP="004E6A07">
      <w:pPr>
        <w:pStyle w:val="Heading2"/>
        <w:spacing w:before="0" w:line="360" w:lineRule="auto"/>
        <w:rPr>
          <w:szCs w:val="24"/>
        </w:rPr>
      </w:pPr>
      <w:r w:rsidRPr="004E6A07">
        <w:rPr>
          <w:szCs w:val="24"/>
        </w:rPr>
        <w:t>S.2 Homicide Act 1957: What were the requirements for diminished responsibility under this legislation?</w:t>
      </w:r>
    </w:p>
    <w:p w14:paraId="3C1D756C" w14:textId="7A91D89E" w:rsidR="00C533DF" w:rsidRPr="00C533DF" w:rsidRDefault="00184761" w:rsidP="004E6A07">
      <w:pPr>
        <w:spacing w:after="0" w:line="360" w:lineRule="auto"/>
        <w:rPr>
          <w:szCs w:val="24"/>
        </w:rPr>
      </w:pPr>
      <w:r w:rsidRPr="004E6A07">
        <w:rPr>
          <w:szCs w:val="24"/>
        </w:rPr>
        <w:t xml:space="preserve">The </w:t>
      </w:r>
      <w:r w:rsidR="007C7BD9" w:rsidRPr="004E6A07">
        <w:rPr>
          <w:szCs w:val="24"/>
        </w:rPr>
        <w:t>“</w:t>
      </w:r>
      <w:r w:rsidRPr="004E6A07">
        <w:rPr>
          <w:szCs w:val="24"/>
        </w:rPr>
        <w:t xml:space="preserve">Homicide Act </w:t>
      </w:r>
      <w:r w:rsidR="00C64E1D" w:rsidRPr="004E6A07">
        <w:rPr>
          <w:szCs w:val="24"/>
        </w:rPr>
        <w:t xml:space="preserve">of </w:t>
      </w:r>
      <w:r w:rsidRPr="004E6A07">
        <w:rPr>
          <w:szCs w:val="24"/>
        </w:rPr>
        <w:t>1957</w:t>
      </w:r>
      <w:r w:rsidR="007C7BD9" w:rsidRPr="004E6A07">
        <w:rPr>
          <w:szCs w:val="24"/>
        </w:rPr>
        <w:t>”</w:t>
      </w:r>
      <w:r w:rsidRPr="004E6A07">
        <w:rPr>
          <w:szCs w:val="24"/>
        </w:rPr>
        <w:t xml:space="preserve"> is the piece of legislation that is credited as being the one that first established the reduced responsibility defence</w:t>
      </w:r>
      <w:r w:rsidR="001330A4">
        <w:rPr>
          <w:szCs w:val="24"/>
        </w:rPr>
        <w:t xml:space="preserve"> (</w:t>
      </w:r>
      <w:r w:rsidR="001330A4" w:rsidRPr="007245EF">
        <w:t>Reed,</w:t>
      </w:r>
      <w:r w:rsidR="001330A4">
        <w:t xml:space="preserve"> et al., 2021)</w:t>
      </w:r>
      <w:r w:rsidRPr="004E6A07">
        <w:rPr>
          <w:szCs w:val="24"/>
        </w:rPr>
        <w:t xml:space="preserve">. If the defendant can provide evidence that they were suffering from a mental disorder at the time of the offence, they will have the ability to assert that they are entitled to a defence under this piece of legislation. In </w:t>
      </w:r>
      <w:r w:rsidRPr="004E6A07">
        <w:rPr>
          <w:szCs w:val="24"/>
        </w:rPr>
        <w:lastRenderedPageBreak/>
        <w:t>addition, the abnormality had to have caused the defendant to have a significant reduction in their mental capacity to take responsibility for their acts</w:t>
      </w:r>
      <w:r w:rsidR="001330A4">
        <w:rPr>
          <w:szCs w:val="24"/>
        </w:rPr>
        <w:t xml:space="preserve"> (</w:t>
      </w:r>
      <w:r w:rsidR="001330A4" w:rsidRPr="007245EF">
        <w:t>Reed,</w:t>
      </w:r>
      <w:r w:rsidR="001330A4">
        <w:t xml:space="preserve"> et al., 2021)</w:t>
      </w:r>
      <w:r w:rsidRPr="004E6A07">
        <w:rPr>
          <w:szCs w:val="24"/>
        </w:rPr>
        <w:t xml:space="preserve">. It was up to the defendant to establish the defence based on a balance of probability, as this was their burden of evidence. In accordance with the </w:t>
      </w:r>
      <w:r w:rsidR="00D9789D" w:rsidRPr="004E6A07">
        <w:rPr>
          <w:szCs w:val="24"/>
        </w:rPr>
        <w:t>“</w:t>
      </w:r>
      <w:r w:rsidRPr="004E6A07">
        <w:rPr>
          <w:szCs w:val="24"/>
        </w:rPr>
        <w:t>Homicide Act,</w:t>
      </w:r>
      <w:r w:rsidR="00D9789D" w:rsidRPr="004E6A07">
        <w:rPr>
          <w:szCs w:val="24"/>
        </w:rPr>
        <w:t>”</w:t>
      </w:r>
      <w:r w:rsidRPr="004E6A07">
        <w:rPr>
          <w:szCs w:val="24"/>
        </w:rPr>
        <w:t xml:space="preserve"> the concept of </w:t>
      </w:r>
      <w:r w:rsidR="00D9789D" w:rsidRPr="004E6A07">
        <w:rPr>
          <w:szCs w:val="24"/>
        </w:rPr>
        <w:t>“</w:t>
      </w:r>
      <w:r w:rsidRPr="004E6A07">
        <w:rPr>
          <w:szCs w:val="24"/>
        </w:rPr>
        <w:t>mental aberration</w:t>
      </w:r>
      <w:r w:rsidR="00D9789D" w:rsidRPr="004E6A07">
        <w:rPr>
          <w:szCs w:val="24"/>
        </w:rPr>
        <w:t>”</w:t>
      </w:r>
      <w:r w:rsidRPr="004E6A07">
        <w:rPr>
          <w:szCs w:val="24"/>
        </w:rPr>
        <w:t xml:space="preserve"> was not entirely clear, which resulted in anomalies in the use of the defence</w:t>
      </w:r>
      <w:r w:rsidR="001330A4">
        <w:rPr>
          <w:szCs w:val="24"/>
        </w:rPr>
        <w:t xml:space="preserve"> (</w:t>
      </w:r>
      <w:r w:rsidR="001330A4" w:rsidRPr="007245EF">
        <w:t>Reed,</w:t>
      </w:r>
      <w:r w:rsidR="001330A4">
        <w:t xml:space="preserve"> et al., 2021)</w:t>
      </w:r>
      <w:r w:rsidRPr="004E6A07">
        <w:rPr>
          <w:szCs w:val="24"/>
        </w:rPr>
        <w:t>. In addition, the requirement that the abnormality substantially impaired the defendant's mental responsibility was problematic because it was difficult to establish the level of impairment required to satisfy this requirement. This requirement was problematic because it was difficult to establish the level of impairment required.</w:t>
      </w:r>
    </w:p>
    <w:p w14:paraId="512E8FEB" w14:textId="77777777" w:rsidR="00C533DF" w:rsidRPr="004E6A07" w:rsidRDefault="00C533DF" w:rsidP="004E6A07">
      <w:pPr>
        <w:pStyle w:val="Heading2"/>
        <w:spacing w:before="0" w:line="360" w:lineRule="auto"/>
        <w:rPr>
          <w:szCs w:val="24"/>
        </w:rPr>
      </w:pPr>
      <w:r w:rsidRPr="004E6A07">
        <w:rPr>
          <w:szCs w:val="24"/>
        </w:rPr>
        <w:t>Why was there a need for change?</w:t>
      </w:r>
    </w:p>
    <w:p w14:paraId="0254027E" w14:textId="79A5C0AF" w:rsidR="00C533DF" w:rsidRPr="00C533DF" w:rsidRDefault="000D031D" w:rsidP="004E6A07">
      <w:pPr>
        <w:spacing w:after="0" w:line="360" w:lineRule="auto"/>
        <w:rPr>
          <w:szCs w:val="24"/>
        </w:rPr>
      </w:pPr>
      <w:r w:rsidRPr="004E6A07">
        <w:rPr>
          <w:szCs w:val="24"/>
        </w:rPr>
        <w:t>The clauses on decreased responsibility that were included in the "Homicide Act" have been criticised for being excessively specific and ambiguous</w:t>
      </w:r>
      <w:r w:rsidR="007F6916">
        <w:rPr>
          <w:szCs w:val="24"/>
        </w:rPr>
        <w:t xml:space="preserve"> (</w:t>
      </w:r>
      <w:r w:rsidR="007F6916" w:rsidRPr="00564AD3">
        <w:t>Stuart-Cole,</w:t>
      </w:r>
      <w:r w:rsidR="007F6916">
        <w:t xml:space="preserve"> et al 2016)</w:t>
      </w:r>
      <w:r w:rsidRPr="004E6A07">
        <w:rPr>
          <w:szCs w:val="24"/>
        </w:rPr>
        <w:t xml:space="preserve">. It was difficult for </w:t>
      </w:r>
      <w:r w:rsidR="00C64E1D" w:rsidRPr="004E6A07">
        <w:rPr>
          <w:szCs w:val="24"/>
        </w:rPr>
        <w:t xml:space="preserve">the </w:t>
      </w:r>
      <w:r w:rsidRPr="004E6A07">
        <w:rPr>
          <w:szCs w:val="24"/>
        </w:rPr>
        <w:t>defendants to prove the defence due to the lack of clarity in the concept of mental abnormality, and the need that the condition seriously affected mental responsibility was another obstacle. In addition to this, there were worries that the "Homicide Act" did not take the mental condition of the accused person into sufficient consideration at the time of the crime.</w:t>
      </w:r>
    </w:p>
    <w:p w14:paraId="6BF04043" w14:textId="129A931D" w:rsidR="00C533DF" w:rsidRPr="004E6A07" w:rsidRDefault="00C533DF" w:rsidP="004E6A07">
      <w:pPr>
        <w:pStyle w:val="Heading2"/>
        <w:spacing w:before="0" w:line="360" w:lineRule="auto"/>
        <w:rPr>
          <w:szCs w:val="24"/>
        </w:rPr>
      </w:pPr>
      <w:r w:rsidRPr="004E6A07">
        <w:rPr>
          <w:szCs w:val="24"/>
        </w:rPr>
        <w:t xml:space="preserve">How did </w:t>
      </w:r>
      <w:r w:rsidR="0059126E" w:rsidRPr="004E6A07">
        <w:rPr>
          <w:szCs w:val="24"/>
        </w:rPr>
        <w:t>“</w:t>
      </w:r>
      <w:r w:rsidRPr="004E6A07">
        <w:rPr>
          <w:szCs w:val="24"/>
        </w:rPr>
        <w:t>s.52 Coroners and Justice Act 2009</w:t>
      </w:r>
      <w:r w:rsidR="0059126E" w:rsidRPr="004E6A07">
        <w:rPr>
          <w:szCs w:val="24"/>
        </w:rPr>
        <w:t>”</w:t>
      </w:r>
      <w:r w:rsidRPr="004E6A07">
        <w:rPr>
          <w:szCs w:val="24"/>
        </w:rPr>
        <w:t xml:space="preserve"> change the law?</w:t>
      </w:r>
    </w:p>
    <w:p w14:paraId="39C26312" w14:textId="1B22AA39" w:rsidR="00C533DF" w:rsidRPr="00C533DF" w:rsidRDefault="004B05C2" w:rsidP="004E6A07">
      <w:pPr>
        <w:spacing w:after="0" w:line="360" w:lineRule="auto"/>
        <w:rPr>
          <w:szCs w:val="24"/>
        </w:rPr>
      </w:pPr>
      <w:r w:rsidRPr="004E6A07">
        <w:rPr>
          <w:szCs w:val="24"/>
        </w:rPr>
        <w:t xml:space="preserve">The concept of lessened responsibility underwent major revisions as a result of the reforms made by the CJA. The phrase </w:t>
      </w:r>
      <w:r w:rsidR="007B7A03" w:rsidRPr="004E6A07">
        <w:rPr>
          <w:szCs w:val="24"/>
        </w:rPr>
        <w:t>“</w:t>
      </w:r>
      <w:r w:rsidRPr="004E6A07">
        <w:rPr>
          <w:szCs w:val="24"/>
        </w:rPr>
        <w:t>mental abnormality</w:t>
      </w:r>
      <w:r w:rsidR="007B7A03" w:rsidRPr="004E6A07">
        <w:rPr>
          <w:szCs w:val="24"/>
        </w:rPr>
        <w:t>”</w:t>
      </w:r>
      <w:r w:rsidRPr="004E6A07">
        <w:rPr>
          <w:szCs w:val="24"/>
        </w:rPr>
        <w:t xml:space="preserve"> has been replaced with </w:t>
      </w:r>
      <w:r w:rsidR="007B7A03" w:rsidRPr="004E6A07">
        <w:rPr>
          <w:szCs w:val="24"/>
        </w:rPr>
        <w:t>“</w:t>
      </w:r>
      <w:r w:rsidRPr="004E6A07">
        <w:rPr>
          <w:szCs w:val="24"/>
        </w:rPr>
        <w:t>abnormality of mental functioning,</w:t>
      </w:r>
      <w:r w:rsidR="007B7A03" w:rsidRPr="004E6A07">
        <w:rPr>
          <w:szCs w:val="24"/>
        </w:rPr>
        <w:t>”</w:t>
      </w:r>
      <w:r w:rsidRPr="004E6A07">
        <w:rPr>
          <w:szCs w:val="24"/>
        </w:rPr>
        <w:t xml:space="preserve"> which is a broader term that encompasses not just mental illness but also developmental problems and brain injury</w:t>
      </w:r>
      <w:r w:rsidR="009E234C">
        <w:rPr>
          <w:szCs w:val="24"/>
        </w:rPr>
        <w:t xml:space="preserve"> (</w:t>
      </w:r>
      <w:proofErr w:type="spellStart"/>
      <w:r w:rsidR="009E234C" w:rsidRPr="00B938AD">
        <w:t>Treasaden</w:t>
      </w:r>
      <w:proofErr w:type="spellEnd"/>
      <w:r w:rsidR="009E234C">
        <w:t xml:space="preserve"> et al., 2017)</w:t>
      </w:r>
      <w:r w:rsidRPr="004E6A07">
        <w:rPr>
          <w:szCs w:val="24"/>
        </w:rPr>
        <w:t xml:space="preserve">. The previous term, </w:t>
      </w:r>
      <w:r w:rsidR="00AB6634" w:rsidRPr="004E6A07">
        <w:rPr>
          <w:szCs w:val="24"/>
        </w:rPr>
        <w:t>“</w:t>
      </w:r>
      <w:r w:rsidRPr="004E6A07">
        <w:rPr>
          <w:szCs w:val="24"/>
        </w:rPr>
        <w:t>mental abnormality,</w:t>
      </w:r>
      <w:r w:rsidR="00AB6634" w:rsidRPr="004E6A07">
        <w:rPr>
          <w:szCs w:val="24"/>
        </w:rPr>
        <w:t>”</w:t>
      </w:r>
      <w:r w:rsidRPr="004E6A07">
        <w:rPr>
          <w:szCs w:val="24"/>
        </w:rPr>
        <w:t xml:space="preserve"> has been retired. This modification was made with the intention of providing better clarity on what exactly defines an abnormality of mental functioning and broadening the scope of the defence</w:t>
      </w:r>
      <w:r w:rsidR="009E234C">
        <w:rPr>
          <w:szCs w:val="24"/>
        </w:rPr>
        <w:t xml:space="preserve"> (</w:t>
      </w:r>
      <w:proofErr w:type="spellStart"/>
      <w:r w:rsidR="009E234C" w:rsidRPr="00B938AD">
        <w:t>Treasaden</w:t>
      </w:r>
      <w:proofErr w:type="spellEnd"/>
      <w:r w:rsidR="009E234C">
        <w:t xml:space="preserve"> et al., 2017)</w:t>
      </w:r>
      <w:r w:rsidRPr="004E6A07">
        <w:rPr>
          <w:szCs w:val="24"/>
        </w:rPr>
        <w:t>. The CJA also included the establishment of a new test for the reduced responsibility defence. The examination is divided into two parts. In order to move on to the next level, the defendant must first demonstrate that, at the time of the offence, they were suffering from an abnormality in their mental functioning</w:t>
      </w:r>
      <w:r w:rsidR="00D72A45">
        <w:rPr>
          <w:szCs w:val="24"/>
        </w:rPr>
        <w:t xml:space="preserve"> (</w:t>
      </w:r>
      <w:r w:rsidR="00D72A45" w:rsidRPr="00634899">
        <w:t>Crofts</w:t>
      </w:r>
      <w:r w:rsidR="00D72A45">
        <w:t>, et al., 2021)</w:t>
      </w:r>
      <w:r w:rsidRPr="004E6A07">
        <w:rPr>
          <w:szCs w:val="24"/>
        </w:rPr>
        <w:t xml:space="preserve">. </w:t>
      </w:r>
      <w:r w:rsidR="00C64E1D" w:rsidRPr="004E6A07">
        <w:rPr>
          <w:szCs w:val="24"/>
        </w:rPr>
        <w:t>In</w:t>
      </w:r>
      <w:r w:rsidRPr="004E6A07">
        <w:rPr>
          <w:szCs w:val="24"/>
        </w:rPr>
        <w:t xml:space="preserve"> the second step, the defendant is required to establish that the abnormality in their mental functioning significantly impacted any of the following abilities:</w:t>
      </w:r>
    </w:p>
    <w:p w14:paraId="715F7789" w14:textId="77777777" w:rsidR="00C533DF" w:rsidRPr="00C533DF" w:rsidRDefault="00C533DF" w:rsidP="004E6A07">
      <w:pPr>
        <w:numPr>
          <w:ilvl w:val="0"/>
          <w:numId w:val="1"/>
        </w:numPr>
        <w:spacing w:after="0" w:line="360" w:lineRule="auto"/>
        <w:rPr>
          <w:szCs w:val="24"/>
        </w:rPr>
      </w:pPr>
      <w:r w:rsidRPr="00C533DF">
        <w:rPr>
          <w:szCs w:val="24"/>
        </w:rPr>
        <w:t>Understand the nature of their conduct</w:t>
      </w:r>
    </w:p>
    <w:p w14:paraId="7679C657" w14:textId="77777777" w:rsidR="00C533DF" w:rsidRPr="00C533DF" w:rsidRDefault="00C533DF" w:rsidP="004E6A07">
      <w:pPr>
        <w:numPr>
          <w:ilvl w:val="0"/>
          <w:numId w:val="1"/>
        </w:numPr>
        <w:spacing w:after="0" w:line="360" w:lineRule="auto"/>
        <w:rPr>
          <w:szCs w:val="24"/>
        </w:rPr>
      </w:pPr>
      <w:r w:rsidRPr="00C533DF">
        <w:rPr>
          <w:szCs w:val="24"/>
        </w:rPr>
        <w:t>Form a rational judgment</w:t>
      </w:r>
    </w:p>
    <w:p w14:paraId="38BAF64F" w14:textId="77777777" w:rsidR="00C533DF" w:rsidRPr="00C533DF" w:rsidRDefault="00C533DF" w:rsidP="004E6A07">
      <w:pPr>
        <w:numPr>
          <w:ilvl w:val="0"/>
          <w:numId w:val="1"/>
        </w:numPr>
        <w:spacing w:after="0" w:line="360" w:lineRule="auto"/>
        <w:rPr>
          <w:szCs w:val="24"/>
        </w:rPr>
      </w:pPr>
      <w:r w:rsidRPr="00C533DF">
        <w:rPr>
          <w:szCs w:val="24"/>
        </w:rPr>
        <w:lastRenderedPageBreak/>
        <w:t>Exercise self-control</w:t>
      </w:r>
    </w:p>
    <w:p w14:paraId="77881488" w14:textId="77777777" w:rsidR="00C533DF" w:rsidRPr="00C533DF" w:rsidRDefault="00C533DF" w:rsidP="004E6A07">
      <w:pPr>
        <w:spacing w:after="0" w:line="360" w:lineRule="auto"/>
        <w:rPr>
          <w:szCs w:val="24"/>
        </w:rPr>
      </w:pPr>
      <w:r w:rsidRPr="00C533DF">
        <w:rPr>
          <w:szCs w:val="24"/>
        </w:rPr>
        <w:t>The CJA also shifted the burden of proof for the defence of diminished responsibility from the defendant to the prosecution. This means that the prosecution has to disprove the defence beyond a reasonable doubt, rather than the defendant having to prove it on a balance of probabilities.</w:t>
      </w:r>
    </w:p>
    <w:p w14:paraId="3A888B76" w14:textId="77777777" w:rsidR="00C533DF" w:rsidRPr="004E6A07" w:rsidRDefault="00C533DF" w:rsidP="004E6A07">
      <w:pPr>
        <w:pStyle w:val="Heading2"/>
        <w:spacing w:before="0" w:line="360" w:lineRule="auto"/>
        <w:rPr>
          <w:szCs w:val="24"/>
        </w:rPr>
      </w:pPr>
      <w:r w:rsidRPr="004E6A07">
        <w:rPr>
          <w:szCs w:val="24"/>
        </w:rPr>
        <w:t>What are the advantages and disadvantages of these changes?</w:t>
      </w:r>
    </w:p>
    <w:p w14:paraId="61EBF7B7" w14:textId="225B517A" w:rsidR="00393656" w:rsidRPr="004E6A07" w:rsidRDefault="00393656" w:rsidP="004E6A07">
      <w:pPr>
        <w:spacing w:after="0" w:line="360" w:lineRule="auto"/>
        <w:rPr>
          <w:szCs w:val="24"/>
        </w:rPr>
      </w:pPr>
      <w:r w:rsidRPr="004E6A07">
        <w:rPr>
          <w:szCs w:val="24"/>
        </w:rPr>
        <w:t xml:space="preserve">The </w:t>
      </w:r>
      <w:r w:rsidR="000408C7" w:rsidRPr="004E6A07">
        <w:rPr>
          <w:szCs w:val="24"/>
        </w:rPr>
        <w:t>“</w:t>
      </w:r>
      <w:r w:rsidRPr="004E6A07">
        <w:rPr>
          <w:szCs w:val="24"/>
        </w:rPr>
        <w:t>Coroners and Justice Act 2009</w:t>
      </w:r>
      <w:r w:rsidR="000408C7" w:rsidRPr="004E6A07">
        <w:rPr>
          <w:szCs w:val="24"/>
        </w:rPr>
        <w:t>”</w:t>
      </w:r>
      <w:r w:rsidRPr="004E6A07">
        <w:rPr>
          <w:szCs w:val="24"/>
        </w:rPr>
        <w:t xml:space="preserve"> established a number of reforms, and one of the benefits of these reforms is that defendants who are struggling with mental health issues now have easier access to the defence of diminished responsibility</w:t>
      </w:r>
      <w:r w:rsidR="00937E1F">
        <w:rPr>
          <w:szCs w:val="24"/>
        </w:rPr>
        <w:t xml:space="preserve"> (</w:t>
      </w:r>
      <w:r w:rsidR="00937E1F" w:rsidRPr="00634899">
        <w:t>Crofts</w:t>
      </w:r>
      <w:r w:rsidR="00937E1F">
        <w:t>, et al., 2021)</w:t>
      </w:r>
      <w:r w:rsidRPr="004E6A07">
        <w:rPr>
          <w:szCs w:val="24"/>
        </w:rPr>
        <w:t>. The requirement that the abnormality of the mind must originate from one of three specific causes has been eliminated, which has broadened the scope of the defence and made it more inclusive of a wider range of mental health issues. This has resulted in a wider range of people being able to use it as a defence</w:t>
      </w:r>
      <w:r w:rsidR="000A5BAA">
        <w:rPr>
          <w:szCs w:val="24"/>
        </w:rPr>
        <w:t xml:space="preserve"> (</w:t>
      </w:r>
      <w:r w:rsidR="000A5BAA" w:rsidRPr="00634899">
        <w:t>Crofts</w:t>
      </w:r>
      <w:r w:rsidR="000A5BAA">
        <w:t>, et al., 2021)</w:t>
      </w:r>
      <w:r w:rsidRPr="004E6A07">
        <w:rPr>
          <w:szCs w:val="24"/>
        </w:rPr>
        <w:t>. Because of the lower standard for the defence, it is also simpler for defendants to establish diminished culpability, which might possibly lead to more suitable judgements and fairer outcomes.</w:t>
      </w:r>
    </w:p>
    <w:p w14:paraId="766368A7" w14:textId="37918D85" w:rsidR="007977F6" w:rsidRPr="006825A7" w:rsidRDefault="00393656" w:rsidP="004E6A07">
      <w:pPr>
        <w:spacing w:after="0" w:line="360" w:lineRule="auto"/>
        <w:rPr>
          <w:szCs w:val="24"/>
        </w:rPr>
      </w:pPr>
      <w:r w:rsidRPr="004E6A07">
        <w:rPr>
          <w:szCs w:val="24"/>
        </w:rPr>
        <w:t xml:space="preserve">However, some critics have argued that the lower threshold could lead to an increase in the use of the defence and could potentially result in more lenient sentences for offenders who may not have a genuine mental health issue. These critics are concerned that the lower threshold could lead to an increase in the use of the defence. Concerns have also been raised over the possibility that the recently proposed term </w:t>
      </w:r>
      <w:r w:rsidR="00577F12" w:rsidRPr="004E6A07">
        <w:rPr>
          <w:szCs w:val="24"/>
        </w:rPr>
        <w:t>“</w:t>
      </w:r>
      <w:r w:rsidRPr="004E6A07">
        <w:rPr>
          <w:szCs w:val="24"/>
        </w:rPr>
        <w:t>abnormality of mental functioning</w:t>
      </w:r>
      <w:r w:rsidR="00577F12" w:rsidRPr="004E6A07">
        <w:rPr>
          <w:szCs w:val="24"/>
        </w:rPr>
        <w:t>”</w:t>
      </w:r>
      <w:r w:rsidRPr="004E6A07">
        <w:rPr>
          <w:szCs w:val="24"/>
        </w:rPr>
        <w:t xml:space="preserve"> may still be too vague and provide jurors space for misunderstanding</w:t>
      </w:r>
      <w:r w:rsidR="00EF2037">
        <w:rPr>
          <w:szCs w:val="24"/>
        </w:rPr>
        <w:t xml:space="preserve"> (</w:t>
      </w:r>
      <w:r w:rsidR="00EF2037" w:rsidRPr="008F478F">
        <w:t>Wu</w:t>
      </w:r>
      <w:r w:rsidR="00EF2037">
        <w:t>, 2020)</w:t>
      </w:r>
      <w:r w:rsidRPr="004E6A07">
        <w:rPr>
          <w:szCs w:val="24"/>
        </w:rPr>
        <w:t>. In addition, there are issues over the accessibility as well as the quality of mental health evaluations that are performed in legal proceedings. The recent modifications to the legislation have resulted in an increase in the demand for evaluations of a person's mental health, and there are now worries over the availability of certified specialists to carry out these evaluations</w:t>
      </w:r>
      <w:r w:rsidR="007918A1">
        <w:rPr>
          <w:szCs w:val="24"/>
        </w:rPr>
        <w:t xml:space="preserve"> (</w:t>
      </w:r>
      <w:r w:rsidR="007918A1" w:rsidRPr="008E1122">
        <w:t>Liu</w:t>
      </w:r>
      <w:r w:rsidR="007918A1">
        <w:t>, 2018)</w:t>
      </w:r>
      <w:r w:rsidRPr="004E6A07">
        <w:rPr>
          <w:szCs w:val="24"/>
        </w:rPr>
        <w:t>. There are also worries regarding the accuracy and dependability of these evaluations in assessing the defendant's mental state at the time of the homicide. The quality of these evaluations has been called into question. Alterations to the defence might result in proceedings that are both more difficult and costly to conduct, which is still another possible drawback</w:t>
      </w:r>
      <w:r w:rsidR="00DB4DF7">
        <w:rPr>
          <w:szCs w:val="24"/>
        </w:rPr>
        <w:t xml:space="preserve"> (</w:t>
      </w:r>
      <w:r w:rsidR="00DB4DF7" w:rsidRPr="008E1122">
        <w:t>Liu</w:t>
      </w:r>
      <w:r w:rsidR="00DB4DF7">
        <w:t>, 2018)</w:t>
      </w:r>
      <w:r w:rsidRPr="004E6A07">
        <w:rPr>
          <w:szCs w:val="24"/>
        </w:rPr>
        <w:t xml:space="preserve">. As a result of the newly revised and expanded definition of </w:t>
      </w:r>
      <w:r w:rsidR="007934AB" w:rsidRPr="004E6A07">
        <w:rPr>
          <w:szCs w:val="24"/>
        </w:rPr>
        <w:t>“</w:t>
      </w:r>
      <w:r w:rsidRPr="004E6A07">
        <w:rPr>
          <w:szCs w:val="24"/>
        </w:rPr>
        <w:t>abnormality of mental functioning,</w:t>
      </w:r>
      <w:r w:rsidR="007934AB" w:rsidRPr="004E6A07">
        <w:rPr>
          <w:szCs w:val="24"/>
        </w:rPr>
        <w:t>”</w:t>
      </w:r>
      <w:r w:rsidRPr="004E6A07">
        <w:rPr>
          <w:szCs w:val="24"/>
        </w:rPr>
        <w:t xml:space="preserve"> it is possible that the court will need the presentation of additional expert evidence. This may cause the length and expense of the trials to grow</w:t>
      </w:r>
      <w:r w:rsidR="00BB00B0">
        <w:rPr>
          <w:szCs w:val="24"/>
        </w:rPr>
        <w:t xml:space="preserve"> (</w:t>
      </w:r>
      <w:r w:rsidR="00BB00B0" w:rsidRPr="008E1122">
        <w:t>Liu</w:t>
      </w:r>
      <w:r w:rsidR="00BB00B0">
        <w:t>, 2018)</w:t>
      </w:r>
      <w:r w:rsidRPr="004E6A07">
        <w:rPr>
          <w:szCs w:val="24"/>
        </w:rPr>
        <w:t>.</w:t>
      </w:r>
    </w:p>
    <w:p w14:paraId="3752ABEF" w14:textId="44A604F0" w:rsidR="00874B6F" w:rsidRPr="004E6A07" w:rsidRDefault="0025343A" w:rsidP="004E6A07">
      <w:pPr>
        <w:pStyle w:val="Heading2"/>
        <w:spacing w:before="0" w:line="360" w:lineRule="auto"/>
        <w:rPr>
          <w:szCs w:val="24"/>
        </w:rPr>
      </w:pPr>
      <w:r w:rsidRPr="004E6A07">
        <w:rPr>
          <w:szCs w:val="24"/>
        </w:rPr>
        <w:lastRenderedPageBreak/>
        <w:t>Recommendations for further reform:</w:t>
      </w:r>
    </w:p>
    <w:p w14:paraId="7A50ABD0" w14:textId="0FA91742" w:rsidR="00755F64" w:rsidRDefault="00731F13" w:rsidP="004E6A07">
      <w:pPr>
        <w:spacing w:after="0" w:line="360" w:lineRule="auto"/>
        <w:rPr>
          <w:szCs w:val="24"/>
        </w:rPr>
      </w:pPr>
      <w:r w:rsidRPr="004E6A07">
        <w:rPr>
          <w:szCs w:val="24"/>
        </w:rPr>
        <w:t xml:space="preserve">The legislation regarding lessened liability is susceptible to a variety of additional changes, many of which might be beneficial. In order to offer better clarity as to what factors into the classification of a recognised medical condition, one potential change would be the introduction of a legislative definition of the term </w:t>
      </w:r>
      <w:r w:rsidR="009F4E37" w:rsidRPr="004E6A07">
        <w:rPr>
          <w:szCs w:val="24"/>
        </w:rPr>
        <w:t>“</w:t>
      </w:r>
      <w:r w:rsidRPr="004E6A07">
        <w:rPr>
          <w:szCs w:val="24"/>
        </w:rPr>
        <w:t>mental disorder</w:t>
      </w:r>
      <w:r w:rsidR="009F4E37" w:rsidRPr="004E6A07">
        <w:rPr>
          <w:szCs w:val="24"/>
        </w:rPr>
        <w:t>”</w:t>
      </w:r>
      <w:r w:rsidR="007A207D">
        <w:rPr>
          <w:szCs w:val="24"/>
        </w:rPr>
        <w:t xml:space="preserve"> (</w:t>
      </w:r>
      <w:r w:rsidR="007A207D">
        <w:t>QC, 2018)</w:t>
      </w:r>
      <w:r w:rsidR="00F05FAD">
        <w:rPr>
          <w:szCs w:val="24"/>
        </w:rPr>
        <w:t>.</w:t>
      </w:r>
      <w:r w:rsidRPr="004E6A07">
        <w:rPr>
          <w:szCs w:val="24"/>
        </w:rPr>
        <w:t xml:space="preserve"> This would assist to eliminate confusion among jurors and could lead to a more uniform use of the defence in cases where it is applicable. Another potential change would be to increase the amount of assistance that is made available to criminal defendants who are struggling with issues related to their mental health</w:t>
      </w:r>
      <w:r w:rsidR="00B36A33">
        <w:rPr>
          <w:szCs w:val="24"/>
        </w:rPr>
        <w:t xml:space="preserve"> (</w:t>
      </w:r>
      <w:r w:rsidR="00B36A33">
        <w:t>QC, 2018)</w:t>
      </w:r>
      <w:r w:rsidRPr="004E6A07">
        <w:rPr>
          <w:szCs w:val="24"/>
        </w:rPr>
        <w:t>. This might include more financing for mental health services, as well as enhanced training for attorneys and judges on how to deal with mental health difficulties inside the criminal justice system.</w:t>
      </w:r>
    </w:p>
    <w:p w14:paraId="666D2CF0" w14:textId="77777777" w:rsidR="00E20EEE" w:rsidRPr="00755F64" w:rsidRDefault="00E20EEE" w:rsidP="004E6A07">
      <w:pPr>
        <w:spacing w:after="0" w:line="360" w:lineRule="auto"/>
        <w:rPr>
          <w:szCs w:val="24"/>
        </w:rPr>
      </w:pPr>
    </w:p>
    <w:p w14:paraId="43738234" w14:textId="173C5ACB" w:rsidR="00874B6F" w:rsidRPr="004E6A07" w:rsidRDefault="00D947F7" w:rsidP="004E6A07">
      <w:pPr>
        <w:pStyle w:val="Heading1"/>
        <w:spacing w:before="0" w:line="360" w:lineRule="auto"/>
        <w:rPr>
          <w:sz w:val="24"/>
          <w:szCs w:val="24"/>
        </w:rPr>
      </w:pPr>
      <w:r w:rsidRPr="004E6A07">
        <w:rPr>
          <w:sz w:val="24"/>
          <w:szCs w:val="24"/>
        </w:rPr>
        <w:t>Conclusion</w:t>
      </w:r>
    </w:p>
    <w:p w14:paraId="2B9F361A" w14:textId="3CC12600" w:rsidR="00826BC2" w:rsidRPr="004E6A07" w:rsidRDefault="00104CD3" w:rsidP="004E6A07">
      <w:pPr>
        <w:spacing w:after="0" w:line="360" w:lineRule="auto"/>
        <w:rPr>
          <w:szCs w:val="24"/>
        </w:rPr>
      </w:pPr>
      <w:r w:rsidRPr="004E6A07">
        <w:rPr>
          <w:szCs w:val="24"/>
        </w:rPr>
        <w:t xml:space="preserve">The </w:t>
      </w:r>
      <w:r w:rsidR="00BB5CC1" w:rsidRPr="004E6A07">
        <w:rPr>
          <w:szCs w:val="24"/>
        </w:rPr>
        <w:t>“</w:t>
      </w:r>
      <w:r w:rsidRPr="004E6A07">
        <w:rPr>
          <w:szCs w:val="24"/>
        </w:rPr>
        <w:t>Coroners and Justice Act 2009</w:t>
      </w:r>
      <w:r w:rsidR="00BB5CC1" w:rsidRPr="004E6A07">
        <w:rPr>
          <w:szCs w:val="24"/>
        </w:rPr>
        <w:t>”</w:t>
      </w:r>
      <w:r w:rsidRPr="004E6A07">
        <w:rPr>
          <w:szCs w:val="24"/>
        </w:rPr>
        <w:t xml:space="preserve"> brought about substantial modifications to the defence of reduced responsibility. These modifications were implemented with the intention of making the defence more approachable and simpler to comprehend</w:t>
      </w:r>
      <w:r w:rsidR="00E94B80">
        <w:rPr>
          <w:szCs w:val="24"/>
        </w:rPr>
        <w:t xml:space="preserve"> (</w:t>
      </w:r>
      <w:r w:rsidR="00E94B80">
        <w:t>QC, 2018)</w:t>
      </w:r>
      <w:r w:rsidRPr="004E6A07">
        <w:rPr>
          <w:szCs w:val="24"/>
        </w:rPr>
        <w:t xml:space="preserve">. The lower bar that must be met by the defence might result in an increase in the number of defendants who are found not guilty of murder as a result of these changes, which has both positives and cons. However, on the whole, the modifications that were made by the 2009 Act are likely to result in greater consistency and clarity in the application of the defence. This should help to prevent wrongful convictions and ensure that defendants who have mental health problems are treated fairly by the criminal justice system. Yet, there is still </w:t>
      </w:r>
      <w:r w:rsidR="00CE6FDF" w:rsidRPr="004E6A07">
        <w:rPr>
          <w:szCs w:val="24"/>
        </w:rPr>
        <w:t xml:space="preserve">a </w:t>
      </w:r>
      <w:r w:rsidRPr="004E6A07">
        <w:rPr>
          <w:szCs w:val="24"/>
        </w:rPr>
        <w:t>need for additional change in this area to guarantee that the law on decreased responsibility remains applicable in a society and legal system that is undergoing fast transformation.</w:t>
      </w:r>
      <w:r w:rsidR="00826BC2" w:rsidRPr="004E6A07">
        <w:rPr>
          <w:b/>
          <w:bCs/>
          <w:szCs w:val="24"/>
        </w:rPr>
        <w:br w:type="page"/>
      </w:r>
    </w:p>
    <w:p w14:paraId="3796AEFC" w14:textId="66C8422A" w:rsidR="00EB6849" w:rsidRPr="004E6A07" w:rsidRDefault="00826BC2" w:rsidP="004E6A07">
      <w:pPr>
        <w:spacing w:after="0" w:line="360" w:lineRule="auto"/>
        <w:rPr>
          <w:b/>
          <w:bCs/>
          <w:szCs w:val="24"/>
        </w:rPr>
      </w:pPr>
      <w:r w:rsidRPr="004E6A07">
        <w:rPr>
          <w:b/>
          <w:bCs/>
          <w:szCs w:val="24"/>
        </w:rPr>
        <w:lastRenderedPageBreak/>
        <w:t>References</w:t>
      </w:r>
    </w:p>
    <w:p w14:paraId="0440131A" w14:textId="77777777" w:rsidR="0003090A" w:rsidRDefault="0003090A" w:rsidP="004E6A07">
      <w:pPr>
        <w:spacing w:after="0" w:line="360" w:lineRule="auto"/>
        <w:rPr>
          <w:szCs w:val="24"/>
        </w:rPr>
      </w:pPr>
      <w:r w:rsidRPr="00262FB0">
        <w:rPr>
          <w:szCs w:val="24"/>
        </w:rPr>
        <w:t>Crofts, T. and Wake, N., 2021. Diminished responsibility determinations in England and Wales and New South Wales: whose role is it anyway?. </w:t>
      </w:r>
      <w:r w:rsidRPr="00262FB0">
        <w:rPr>
          <w:i/>
          <w:iCs/>
          <w:szCs w:val="24"/>
        </w:rPr>
        <w:t>Northern Ireland Legal Quarterly</w:t>
      </w:r>
      <w:r w:rsidRPr="00262FB0">
        <w:rPr>
          <w:szCs w:val="24"/>
        </w:rPr>
        <w:t>, </w:t>
      </w:r>
      <w:r w:rsidRPr="00262FB0">
        <w:rPr>
          <w:i/>
          <w:iCs/>
          <w:szCs w:val="24"/>
        </w:rPr>
        <w:t>72</w:t>
      </w:r>
      <w:r w:rsidRPr="00262FB0">
        <w:rPr>
          <w:szCs w:val="24"/>
        </w:rPr>
        <w:t>(2), pp.324-362.</w:t>
      </w:r>
    </w:p>
    <w:p w14:paraId="29297CAA" w14:textId="77777777" w:rsidR="0003090A" w:rsidRPr="004E6A07" w:rsidRDefault="0003090A" w:rsidP="004E6A07">
      <w:pPr>
        <w:spacing w:after="0" w:line="360" w:lineRule="auto"/>
        <w:rPr>
          <w:szCs w:val="24"/>
        </w:rPr>
      </w:pPr>
      <w:r w:rsidRPr="0067105A">
        <w:rPr>
          <w:szCs w:val="24"/>
        </w:rPr>
        <w:t>Liu, A.C., 2018. Diminished responsibility: law reform in the United Kingdom and personal perspective on forensic psychiatric practice in Hong Kong. </w:t>
      </w:r>
      <w:r w:rsidRPr="0067105A">
        <w:rPr>
          <w:i/>
          <w:iCs/>
          <w:szCs w:val="24"/>
        </w:rPr>
        <w:t>East Asian archives of psychiatry</w:t>
      </w:r>
      <w:r w:rsidRPr="0067105A">
        <w:rPr>
          <w:szCs w:val="24"/>
        </w:rPr>
        <w:t>, </w:t>
      </w:r>
      <w:r w:rsidRPr="0067105A">
        <w:rPr>
          <w:i/>
          <w:iCs/>
          <w:szCs w:val="24"/>
        </w:rPr>
        <w:t>28</w:t>
      </w:r>
      <w:r w:rsidRPr="0067105A">
        <w:rPr>
          <w:szCs w:val="24"/>
        </w:rPr>
        <w:t>(4), pp.144-149.</w:t>
      </w:r>
    </w:p>
    <w:p w14:paraId="37A04808" w14:textId="77777777" w:rsidR="0003090A" w:rsidRPr="004E6A07" w:rsidRDefault="0003090A" w:rsidP="004E6A07">
      <w:pPr>
        <w:spacing w:after="0" w:line="360" w:lineRule="auto"/>
        <w:rPr>
          <w:szCs w:val="24"/>
        </w:rPr>
      </w:pPr>
      <w:r w:rsidRPr="007D66F1">
        <w:rPr>
          <w:szCs w:val="24"/>
        </w:rPr>
        <w:t>QC, R.F., 2018. Diminished responsibility: A limited partial defence to murder. In </w:t>
      </w:r>
      <w:r w:rsidRPr="007D66F1">
        <w:rPr>
          <w:i/>
          <w:iCs/>
          <w:szCs w:val="24"/>
        </w:rPr>
        <w:t>Homicide in Criminal Law</w:t>
      </w:r>
      <w:r w:rsidRPr="007D66F1">
        <w:rPr>
          <w:szCs w:val="24"/>
        </w:rPr>
        <w:t> (pp. 102-118). Routledge.</w:t>
      </w:r>
    </w:p>
    <w:p w14:paraId="1AF83AEE" w14:textId="77777777" w:rsidR="0003090A" w:rsidRPr="004E6A07" w:rsidRDefault="0003090A" w:rsidP="004E6A07">
      <w:pPr>
        <w:spacing w:after="0" w:line="360" w:lineRule="auto"/>
        <w:rPr>
          <w:szCs w:val="24"/>
        </w:rPr>
      </w:pPr>
      <w:r w:rsidRPr="009A5AD7">
        <w:rPr>
          <w:szCs w:val="24"/>
        </w:rPr>
        <w:t>Reed, A., Wake, N. and Simpson, B., 2021. 'Domestic and Comparative Perspectives on Loss of Self-Control and Diminished Responsibility as Partial Defences to Murder: A 10-Year Review of the Coroners and Justice Act 2009 Reform Framework'. </w:t>
      </w:r>
      <w:r w:rsidRPr="009A5AD7">
        <w:rPr>
          <w:i/>
          <w:iCs/>
          <w:szCs w:val="24"/>
        </w:rPr>
        <w:t>N. Ir. Legal Q.</w:t>
      </w:r>
      <w:r w:rsidRPr="009A5AD7">
        <w:rPr>
          <w:szCs w:val="24"/>
        </w:rPr>
        <w:t>, </w:t>
      </w:r>
      <w:r w:rsidRPr="009A5AD7">
        <w:rPr>
          <w:i/>
          <w:iCs/>
          <w:szCs w:val="24"/>
        </w:rPr>
        <w:t>72</w:t>
      </w:r>
      <w:r w:rsidRPr="009A5AD7">
        <w:rPr>
          <w:szCs w:val="24"/>
        </w:rPr>
        <w:t>, p.161.</w:t>
      </w:r>
    </w:p>
    <w:p w14:paraId="3FF97A5A" w14:textId="77777777" w:rsidR="0003090A" w:rsidRPr="004E6A07" w:rsidRDefault="0003090A" w:rsidP="004E6A07">
      <w:pPr>
        <w:spacing w:after="0" w:line="360" w:lineRule="auto"/>
        <w:rPr>
          <w:szCs w:val="24"/>
        </w:rPr>
      </w:pPr>
      <w:r w:rsidRPr="00861895">
        <w:rPr>
          <w:szCs w:val="24"/>
        </w:rPr>
        <w:t>Stuart-Cole, E., 2017. Substantially confused? The paradox of Golds R v Golds [2016] UKSC 61. </w:t>
      </w:r>
      <w:r w:rsidRPr="00861895">
        <w:rPr>
          <w:i/>
          <w:iCs/>
          <w:szCs w:val="24"/>
        </w:rPr>
        <w:t>The Journal of Criminal Law</w:t>
      </w:r>
      <w:r w:rsidRPr="00861895">
        <w:rPr>
          <w:szCs w:val="24"/>
        </w:rPr>
        <w:t>, </w:t>
      </w:r>
      <w:r w:rsidRPr="00861895">
        <w:rPr>
          <w:i/>
          <w:iCs/>
          <w:szCs w:val="24"/>
        </w:rPr>
        <w:t>81</w:t>
      </w:r>
      <w:r w:rsidRPr="00861895">
        <w:rPr>
          <w:szCs w:val="24"/>
        </w:rPr>
        <w:t>(2), pp.99-102.</w:t>
      </w:r>
    </w:p>
    <w:p w14:paraId="60D7A9E2" w14:textId="77777777" w:rsidR="0003090A" w:rsidRPr="004E6A07" w:rsidRDefault="0003090A" w:rsidP="004E6A07">
      <w:pPr>
        <w:spacing w:after="0" w:line="360" w:lineRule="auto"/>
        <w:rPr>
          <w:szCs w:val="24"/>
        </w:rPr>
      </w:pPr>
      <w:proofErr w:type="spellStart"/>
      <w:r w:rsidRPr="004E6A07">
        <w:rPr>
          <w:szCs w:val="24"/>
        </w:rPr>
        <w:t>Treasaden</w:t>
      </w:r>
      <w:proofErr w:type="spellEnd"/>
      <w:r w:rsidRPr="004E6A07">
        <w:rPr>
          <w:szCs w:val="24"/>
        </w:rPr>
        <w:t>, Ian H</w:t>
      </w:r>
      <w:r>
        <w:rPr>
          <w:szCs w:val="24"/>
        </w:rPr>
        <w:t>., 2017</w:t>
      </w:r>
      <w:r w:rsidRPr="004E6A07">
        <w:rPr>
          <w:szCs w:val="24"/>
        </w:rPr>
        <w:t>. "Diminished Responsibility." In Forensic Psychiatry, pp. 507-514. CRC Press</w:t>
      </w:r>
      <w:r>
        <w:rPr>
          <w:szCs w:val="24"/>
        </w:rPr>
        <w:t>.</w:t>
      </w:r>
    </w:p>
    <w:p w14:paraId="4C9D1F1D" w14:textId="77777777" w:rsidR="0003090A" w:rsidRPr="004E6A07" w:rsidRDefault="0003090A" w:rsidP="004E6A07">
      <w:pPr>
        <w:spacing w:after="0" w:line="360" w:lineRule="auto"/>
        <w:rPr>
          <w:szCs w:val="24"/>
        </w:rPr>
      </w:pPr>
      <w:r w:rsidRPr="00F559E0">
        <w:rPr>
          <w:szCs w:val="24"/>
        </w:rPr>
        <w:t xml:space="preserve">Wu, A., 2020. Going Full Circle: Gender and the ‘Loss of </w:t>
      </w:r>
      <w:proofErr w:type="spellStart"/>
      <w:r w:rsidRPr="00F559E0">
        <w:rPr>
          <w:szCs w:val="24"/>
        </w:rPr>
        <w:t>Control’Defence</w:t>
      </w:r>
      <w:proofErr w:type="spellEnd"/>
      <w:r w:rsidRPr="00F559E0">
        <w:rPr>
          <w:szCs w:val="24"/>
        </w:rPr>
        <w:t xml:space="preserve"> under the Coroners and Justice Act 2009. </w:t>
      </w:r>
      <w:r w:rsidRPr="00F559E0">
        <w:rPr>
          <w:i/>
          <w:iCs/>
          <w:szCs w:val="24"/>
        </w:rPr>
        <w:t>Rule of Law Journal</w:t>
      </w:r>
      <w:r w:rsidRPr="00F559E0">
        <w:rPr>
          <w:szCs w:val="24"/>
        </w:rPr>
        <w:t>, </w:t>
      </w:r>
      <w:r w:rsidRPr="00F559E0">
        <w:rPr>
          <w:i/>
          <w:iCs/>
          <w:szCs w:val="24"/>
        </w:rPr>
        <w:t>1</w:t>
      </w:r>
      <w:r w:rsidRPr="00F559E0">
        <w:rPr>
          <w:szCs w:val="24"/>
        </w:rPr>
        <w:t>(1).</w:t>
      </w:r>
    </w:p>
    <w:sectPr w:rsidR="0003090A" w:rsidRPr="004E6A07" w:rsidSect="00D876B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E5001" w14:textId="77777777" w:rsidR="00055275" w:rsidRDefault="00055275" w:rsidP="007245EF">
      <w:pPr>
        <w:spacing w:after="0" w:line="240" w:lineRule="auto"/>
      </w:pPr>
      <w:r>
        <w:separator/>
      </w:r>
    </w:p>
  </w:endnote>
  <w:endnote w:type="continuationSeparator" w:id="0">
    <w:p w14:paraId="1F8A9813" w14:textId="77777777" w:rsidR="00055275" w:rsidRDefault="00055275" w:rsidP="00724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24B63" w14:textId="77777777" w:rsidR="00055275" w:rsidRDefault="00055275" w:rsidP="007245EF">
      <w:pPr>
        <w:spacing w:after="0" w:line="240" w:lineRule="auto"/>
      </w:pPr>
      <w:r>
        <w:separator/>
      </w:r>
    </w:p>
  </w:footnote>
  <w:footnote w:type="continuationSeparator" w:id="0">
    <w:p w14:paraId="7D503D36" w14:textId="77777777" w:rsidR="00055275" w:rsidRDefault="00055275" w:rsidP="007245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663820"/>
      <w:docPartObj>
        <w:docPartGallery w:val="Page Numbers (Top of Page)"/>
        <w:docPartUnique/>
      </w:docPartObj>
    </w:sdtPr>
    <w:sdtEndPr>
      <w:rPr>
        <w:noProof/>
      </w:rPr>
    </w:sdtEndPr>
    <w:sdtContent>
      <w:p w14:paraId="38F0B438" w14:textId="38075EB1" w:rsidR="007F5DCD" w:rsidRDefault="007F5DC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57216A8" w14:textId="77777777" w:rsidR="007F5DCD" w:rsidRDefault="007F5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A08D8"/>
    <w:multiLevelType w:val="hybridMultilevel"/>
    <w:tmpl w:val="CB18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A156C8"/>
    <w:multiLevelType w:val="multilevel"/>
    <w:tmpl w:val="1530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3130189">
    <w:abstractNumId w:val="1"/>
  </w:num>
  <w:num w:numId="2" w16cid:durableId="1360470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B6F"/>
    <w:rsid w:val="00000896"/>
    <w:rsid w:val="00004F50"/>
    <w:rsid w:val="0003090A"/>
    <w:rsid w:val="000408C7"/>
    <w:rsid w:val="00047820"/>
    <w:rsid w:val="00055275"/>
    <w:rsid w:val="00080C6E"/>
    <w:rsid w:val="00084ADE"/>
    <w:rsid w:val="000A5BAA"/>
    <w:rsid w:val="000C42BC"/>
    <w:rsid w:val="000D031D"/>
    <w:rsid w:val="000E4159"/>
    <w:rsid w:val="000F5BB1"/>
    <w:rsid w:val="00104CD3"/>
    <w:rsid w:val="0013098D"/>
    <w:rsid w:val="001330A4"/>
    <w:rsid w:val="00143EC3"/>
    <w:rsid w:val="00161495"/>
    <w:rsid w:val="00167BAA"/>
    <w:rsid w:val="00184761"/>
    <w:rsid w:val="00190644"/>
    <w:rsid w:val="00194897"/>
    <w:rsid w:val="001A0FDF"/>
    <w:rsid w:val="001F46A2"/>
    <w:rsid w:val="001F725D"/>
    <w:rsid w:val="00210534"/>
    <w:rsid w:val="00226D66"/>
    <w:rsid w:val="0025343A"/>
    <w:rsid w:val="00262FB0"/>
    <w:rsid w:val="00264034"/>
    <w:rsid w:val="0028177B"/>
    <w:rsid w:val="002929B7"/>
    <w:rsid w:val="002A07AF"/>
    <w:rsid w:val="002B4DC3"/>
    <w:rsid w:val="002C3528"/>
    <w:rsid w:val="002D5820"/>
    <w:rsid w:val="00356F96"/>
    <w:rsid w:val="00383764"/>
    <w:rsid w:val="00393656"/>
    <w:rsid w:val="003A056F"/>
    <w:rsid w:val="003F0A6E"/>
    <w:rsid w:val="0040469C"/>
    <w:rsid w:val="00417A31"/>
    <w:rsid w:val="0043038B"/>
    <w:rsid w:val="00447A81"/>
    <w:rsid w:val="004637AA"/>
    <w:rsid w:val="00497AF7"/>
    <w:rsid w:val="004B05C2"/>
    <w:rsid w:val="004C6E94"/>
    <w:rsid w:val="004E2676"/>
    <w:rsid w:val="004E6A07"/>
    <w:rsid w:val="00503A45"/>
    <w:rsid w:val="00514E97"/>
    <w:rsid w:val="005377C1"/>
    <w:rsid w:val="00543382"/>
    <w:rsid w:val="0054659D"/>
    <w:rsid w:val="00564AD3"/>
    <w:rsid w:val="00577F12"/>
    <w:rsid w:val="0058266E"/>
    <w:rsid w:val="0059126E"/>
    <w:rsid w:val="005B1413"/>
    <w:rsid w:val="005B7268"/>
    <w:rsid w:val="005E1D21"/>
    <w:rsid w:val="00602C24"/>
    <w:rsid w:val="006160AF"/>
    <w:rsid w:val="00634899"/>
    <w:rsid w:val="0067105A"/>
    <w:rsid w:val="006825A7"/>
    <w:rsid w:val="0069177A"/>
    <w:rsid w:val="006E0506"/>
    <w:rsid w:val="007245EF"/>
    <w:rsid w:val="0072496A"/>
    <w:rsid w:val="00724EE9"/>
    <w:rsid w:val="00731F13"/>
    <w:rsid w:val="00755F64"/>
    <w:rsid w:val="00781D30"/>
    <w:rsid w:val="00783F00"/>
    <w:rsid w:val="007918A1"/>
    <w:rsid w:val="007934AB"/>
    <w:rsid w:val="007977F6"/>
    <w:rsid w:val="007A207D"/>
    <w:rsid w:val="007B7A03"/>
    <w:rsid w:val="007C7BD9"/>
    <w:rsid w:val="007D66F1"/>
    <w:rsid w:val="007E5DD9"/>
    <w:rsid w:val="007E763B"/>
    <w:rsid w:val="007F023B"/>
    <w:rsid w:val="007F5DCD"/>
    <w:rsid w:val="007F6916"/>
    <w:rsid w:val="007F73E2"/>
    <w:rsid w:val="00800B0D"/>
    <w:rsid w:val="00826BC2"/>
    <w:rsid w:val="008425F2"/>
    <w:rsid w:val="00845944"/>
    <w:rsid w:val="00861895"/>
    <w:rsid w:val="0087073B"/>
    <w:rsid w:val="00874B6F"/>
    <w:rsid w:val="00882834"/>
    <w:rsid w:val="008B4629"/>
    <w:rsid w:val="008E1122"/>
    <w:rsid w:val="008E6EBB"/>
    <w:rsid w:val="008F478F"/>
    <w:rsid w:val="00911C08"/>
    <w:rsid w:val="00920649"/>
    <w:rsid w:val="00937E1F"/>
    <w:rsid w:val="009745E2"/>
    <w:rsid w:val="00986D1A"/>
    <w:rsid w:val="009A0037"/>
    <w:rsid w:val="009A5AD7"/>
    <w:rsid w:val="009E234C"/>
    <w:rsid w:val="009F4E37"/>
    <w:rsid w:val="00A13B4A"/>
    <w:rsid w:val="00A417A3"/>
    <w:rsid w:val="00A526C7"/>
    <w:rsid w:val="00A94587"/>
    <w:rsid w:val="00A97CA4"/>
    <w:rsid w:val="00AB6634"/>
    <w:rsid w:val="00AC6353"/>
    <w:rsid w:val="00AE3022"/>
    <w:rsid w:val="00B36A33"/>
    <w:rsid w:val="00B409F4"/>
    <w:rsid w:val="00B53346"/>
    <w:rsid w:val="00B542FA"/>
    <w:rsid w:val="00B55816"/>
    <w:rsid w:val="00B80D2E"/>
    <w:rsid w:val="00B938AD"/>
    <w:rsid w:val="00BB00B0"/>
    <w:rsid w:val="00BB30F3"/>
    <w:rsid w:val="00BB5CC1"/>
    <w:rsid w:val="00C07947"/>
    <w:rsid w:val="00C137C1"/>
    <w:rsid w:val="00C533DF"/>
    <w:rsid w:val="00C64E1D"/>
    <w:rsid w:val="00C90D27"/>
    <w:rsid w:val="00C931CC"/>
    <w:rsid w:val="00CB6CB3"/>
    <w:rsid w:val="00CE6FDF"/>
    <w:rsid w:val="00CF48CA"/>
    <w:rsid w:val="00D11D28"/>
    <w:rsid w:val="00D3425C"/>
    <w:rsid w:val="00D422A5"/>
    <w:rsid w:val="00D465FB"/>
    <w:rsid w:val="00D55061"/>
    <w:rsid w:val="00D556D3"/>
    <w:rsid w:val="00D72A45"/>
    <w:rsid w:val="00D83456"/>
    <w:rsid w:val="00D876BA"/>
    <w:rsid w:val="00D947F7"/>
    <w:rsid w:val="00D9789D"/>
    <w:rsid w:val="00DB4DF7"/>
    <w:rsid w:val="00E20EEE"/>
    <w:rsid w:val="00E23D1D"/>
    <w:rsid w:val="00E85F4F"/>
    <w:rsid w:val="00E94B80"/>
    <w:rsid w:val="00EA7BEE"/>
    <w:rsid w:val="00EB6849"/>
    <w:rsid w:val="00EB6E74"/>
    <w:rsid w:val="00ED0463"/>
    <w:rsid w:val="00ED1A74"/>
    <w:rsid w:val="00EE731E"/>
    <w:rsid w:val="00EF2037"/>
    <w:rsid w:val="00F05FAD"/>
    <w:rsid w:val="00F10BBA"/>
    <w:rsid w:val="00F31DF3"/>
    <w:rsid w:val="00F529BD"/>
    <w:rsid w:val="00F559E0"/>
    <w:rsid w:val="00F72183"/>
    <w:rsid w:val="00F969CC"/>
    <w:rsid w:val="00FA5BD0"/>
    <w:rsid w:val="00FA7D74"/>
    <w:rsid w:val="00FB46EE"/>
    <w:rsid w:val="00FD3E0B"/>
    <w:rsid w:val="00FF3C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F393"/>
  <w15:chartTrackingRefBased/>
  <w15:docId w15:val="{CA97ABB9-AAEC-41D7-9DCC-39CF17F6B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D28"/>
    <w:rPr>
      <w:rFonts w:ascii="Times New Roman" w:hAnsi="Times New Roman"/>
      <w:sz w:val="24"/>
    </w:rPr>
  </w:style>
  <w:style w:type="paragraph" w:styleId="Heading1">
    <w:name w:val="heading 1"/>
    <w:basedOn w:val="Normal"/>
    <w:next w:val="Normal"/>
    <w:link w:val="Heading1Char"/>
    <w:uiPriority w:val="9"/>
    <w:qFormat/>
    <w:rsid w:val="00882834"/>
    <w:pPr>
      <w:keepNext/>
      <w:keepLines/>
      <w:spacing w:before="240" w:after="0"/>
      <w:outlineLvl w:val="0"/>
    </w:pPr>
    <w:rPr>
      <w:rFonts w:eastAsiaTheme="majorEastAsia" w:cs="Times New Roman"/>
      <w:b/>
      <w:bCs/>
      <w:i/>
      <w:iCs/>
      <w:sz w:val="28"/>
      <w:szCs w:val="28"/>
    </w:rPr>
  </w:style>
  <w:style w:type="paragraph" w:styleId="Heading2">
    <w:name w:val="heading 2"/>
    <w:basedOn w:val="Normal"/>
    <w:next w:val="Normal"/>
    <w:link w:val="Heading2Char"/>
    <w:uiPriority w:val="9"/>
    <w:unhideWhenUsed/>
    <w:qFormat/>
    <w:rsid w:val="006E050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B7268"/>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834"/>
    <w:rPr>
      <w:rFonts w:ascii="Times New Roman" w:eastAsiaTheme="majorEastAsia" w:hAnsi="Times New Roman" w:cs="Times New Roman"/>
      <w:b/>
      <w:bCs/>
      <w:i/>
      <w:iCs/>
      <w:sz w:val="28"/>
      <w:szCs w:val="28"/>
    </w:rPr>
  </w:style>
  <w:style w:type="character" w:customStyle="1" w:styleId="Heading2Char">
    <w:name w:val="Heading 2 Char"/>
    <w:basedOn w:val="DefaultParagraphFont"/>
    <w:link w:val="Heading2"/>
    <w:uiPriority w:val="9"/>
    <w:rsid w:val="006E0506"/>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3F0A6E"/>
    <w:pPr>
      <w:spacing w:after="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F0A6E"/>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5B7268"/>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6825A7"/>
    <w:rPr>
      <w:rFonts w:cs="Times New Roman"/>
      <w:szCs w:val="24"/>
    </w:rPr>
  </w:style>
  <w:style w:type="paragraph" w:styleId="FootnoteText">
    <w:name w:val="footnote text"/>
    <w:basedOn w:val="Normal"/>
    <w:link w:val="FootnoteTextChar"/>
    <w:uiPriority w:val="99"/>
    <w:semiHidden/>
    <w:unhideWhenUsed/>
    <w:rsid w:val="007245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45EF"/>
    <w:rPr>
      <w:rFonts w:ascii="Times New Roman" w:hAnsi="Times New Roman"/>
      <w:sz w:val="20"/>
      <w:szCs w:val="20"/>
    </w:rPr>
  </w:style>
  <w:style w:type="character" w:styleId="FootnoteReference">
    <w:name w:val="footnote reference"/>
    <w:basedOn w:val="DefaultParagraphFont"/>
    <w:uiPriority w:val="99"/>
    <w:semiHidden/>
    <w:unhideWhenUsed/>
    <w:rsid w:val="007245EF"/>
    <w:rPr>
      <w:vertAlign w:val="superscript"/>
    </w:rPr>
  </w:style>
  <w:style w:type="paragraph" w:styleId="ListParagraph">
    <w:name w:val="List Paragraph"/>
    <w:basedOn w:val="Normal"/>
    <w:uiPriority w:val="34"/>
    <w:qFormat/>
    <w:rsid w:val="0013098D"/>
    <w:pPr>
      <w:ind w:left="720"/>
      <w:contextualSpacing/>
    </w:pPr>
  </w:style>
  <w:style w:type="paragraph" w:styleId="Header">
    <w:name w:val="header"/>
    <w:basedOn w:val="Normal"/>
    <w:link w:val="HeaderChar"/>
    <w:uiPriority w:val="99"/>
    <w:unhideWhenUsed/>
    <w:rsid w:val="007F5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DCD"/>
    <w:rPr>
      <w:rFonts w:ascii="Times New Roman" w:hAnsi="Times New Roman"/>
      <w:sz w:val="24"/>
    </w:rPr>
  </w:style>
  <w:style w:type="paragraph" w:styleId="Footer">
    <w:name w:val="footer"/>
    <w:basedOn w:val="Normal"/>
    <w:link w:val="FooterChar"/>
    <w:uiPriority w:val="99"/>
    <w:unhideWhenUsed/>
    <w:rsid w:val="007F5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DC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61246">
      <w:bodyDiv w:val="1"/>
      <w:marLeft w:val="0"/>
      <w:marRight w:val="0"/>
      <w:marTop w:val="0"/>
      <w:marBottom w:val="0"/>
      <w:divBdr>
        <w:top w:val="none" w:sz="0" w:space="0" w:color="auto"/>
        <w:left w:val="none" w:sz="0" w:space="0" w:color="auto"/>
        <w:bottom w:val="none" w:sz="0" w:space="0" w:color="auto"/>
        <w:right w:val="none" w:sz="0" w:space="0" w:color="auto"/>
      </w:divBdr>
    </w:div>
    <w:div w:id="234359564">
      <w:bodyDiv w:val="1"/>
      <w:marLeft w:val="0"/>
      <w:marRight w:val="0"/>
      <w:marTop w:val="0"/>
      <w:marBottom w:val="0"/>
      <w:divBdr>
        <w:top w:val="none" w:sz="0" w:space="0" w:color="auto"/>
        <w:left w:val="none" w:sz="0" w:space="0" w:color="auto"/>
        <w:bottom w:val="none" w:sz="0" w:space="0" w:color="auto"/>
        <w:right w:val="none" w:sz="0" w:space="0" w:color="auto"/>
      </w:divBdr>
    </w:div>
    <w:div w:id="554899821">
      <w:bodyDiv w:val="1"/>
      <w:marLeft w:val="0"/>
      <w:marRight w:val="0"/>
      <w:marTop w:val="0"/>
      <w:marBottom w:val="0"/>
      <w:divBdr>
        <w:top w:val="none" w:sz="0" w:space="0" w:color="auto"/>
        <w:left w:val="none" w:sz="0" w:space="0" w:color="auto"/>
        <w:bottom w:val="none" w:sz="0" w:space="0" w:color="auto"/>
        <w:right w:val="none" w:sz="0" w:space="0" w:color="auto"/>
      </w:divBdr>
    </w:div>
    <w:div w:id="112781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1540</Words>
  <Characters>8782</Characters>
  <Application>Microsoft Office Word</Application>
  <DocSecurity>0</DocSecurity>
  <Lines>73</Lines>
  <Paragraphs>20</Paragraphs>
  <ScaleCrop>false</ScaleCrop>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dabir ali</cp:lastModifiedBy>
  <cp:revision>2</cp:revision>
  <dcterms:created xsi:type="dcterms:W3CDTF">2023-03-10T21:24:00Z</dcterms:created>
  <dcterms:modified xsi:type="dcterms:W3CDTF">2023-03-10T21:24:00Z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e9c7b977-289f-4378-9ca8-7420b75b2c53</vt:lpwstr>
  </property>
</Properties>
</file>