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9FF71" w14:textId="7DE81395" w:rsidR="002779EE" w:rsidRDefault="00F23AEC">
      <w:r>
        <w:t>Student- Liam Emanuel</w:t>
      </w:r>
    </w:p>
    <w:p w14:paraId="116337B3" w14:textId="1AF423E8" w:rsidR="00F23AEC" w:rsidRDefault="00F23AEC">
      <w:r>
        <w:t>Student ID – 2222268</w:t>
      </w:r>
    </w:p>
    <w:p w14:paraId="07422D07" w14:textId="42E77DBF" w:rsidR="00F23AEC" w:rsidRDefault="00F23AEC">
      <w:r>
        <w:t>Submission date 27/05/24</w:t>
      </w:r>
    </w:p>
    <w:p w14:paraId="5185CF7E" w14:textId="77777777" w:rsidR="00F23AEC" w:rsidRDefault="00F23AEC"/>
    <w:p w14:paraId="6E562941" w14:textId="77777777" w:rsidR="00F23AEC" w:rsidRPr="00251357" w:rsidRDefault="00F23AEC" w:rsidP="00F23AEC">
      <w:pPr>
        <w:spacing w:after="0" w:line="360" w:lineRule="auto"/>
        <w:jc w:val="both"/>
        <w:rPr>
          <w:rFonts w:eastAsia="Times New Roman" w:cstheme="minorHAnsi"/>
          <w:b/>
          <w:kern w:val="0"/>
          <w:sz w:val="24"/>
          <w:szCs w:val="24"/>
          <w:highlight w:val="yellow"/>
          <w:lang w:eastAsia="zh-CN"/>
          <w14:ligatures w14:val="none"/>
        </w:rPr>
      </w:pPr>
      <w:r w:rsidRPr="00251357">
        <w:rPr>
          <w:rFonts w:eastAsia="Times New Roman" w:cstheme="minorHAnsi"/>
          <w:b/>
          <w:kern w:val="0"/>
          <w:sz w:val="24"/>
          <w:szCs w:val="24"/>
          <w:lang w:eastAsia="zh-CN"/>
          <w14:ligatures w14:val="none"/>
        </w:rPr>
        <w:t xml:space="preserve">Why might certain groups within society be reluctant to engage with police? How effective have current or recent neighbourhood policing strategies been as a means of improving community engagement? Your answer must be based on academic research, although you may make reference to relevant case </w:t>
      </w:r>
      <w:proofErr w:type="gramStart"/>
      <w:r w:rsidRPr="00251357">
        <w:rPr>
          <w:rFonts w:eastAsia="Times New Roman" w:cstheme="minorHAnsi"/>
          <w:b/>
          <w:kern w:val="0"/>
          <w:sz w:val="24"/>
          <w:szCs w:val="24"/>
          <w:lang w:eastAsia="zh-CN"/>
          <w14:ligatures w14:val="none"/>
        </w:rPr>
        <w:t>studies</w:t>
      </w:r>
      <w:proofErr w:type="gramEnd"/>
    </w:p>
    <w:p w14:paraId="7A798417" w14:textId="77777777" w:rsidR="00F23AEC" w:rsidRPr="00251357" w:rsidRDefault="00F23AEC" w:rsidP="00F23AEC">
      <w:pPr>
        <w:spacing w:after="240" w:line="360" w:lineRule="auto"/>
        <w:jc w:val="both"/>
        <w:rPr>
          <w:rFonts w:eastAsia="Times New Roman" w:cstheme="minorHAnsi"/>
          <w:kern w:val="0"/>
          <w:sz w:val="24"/>
          <w:szCs w:val="24"/>
          <w:lang w:eastAsia="en-GB"/>
          <w14:ligatures w14:val="none"/>
        </w:rPr>
      </w:pPr>
    </w:p>
    <w:p w14:paraId="22CD72B3" w14:textId="77777777" w:rsidR="00F23AEC" w:rsidRPr="00251357" w:rsidRDefault="00F23AEC" w:rsidP="00F23AEC">
      <w:pPr>
        <w:spacing w:after="240" w:line="360" w:lineRule="auto"/>
        <w:jc w:val="both"/>
        <w:rPr>
          <w:rFonts w:eastAsia="Times New Roman" w:cstheme="minorHAnsi"/>
          <w:kern w:val="0"/>
          <w:sz w:val="24"/>
          <w:szCs w:val="24"/>
          <w:lang w:eastAsia="en-GB"/>
          <w14:ligatures w14:val="none"/>
        </w:rPr>
      </w:pPr>
      <w:r w:rsidRPr="00251357">
        <w:rPr>
          <w:rFonts w:cstheme="minorHAnsi"/>
          <w:color w:val="0D0D0D"/>
          <w:sz w:val="24"/>
          <w:szCs w:val="24"/>
          <w:shd w:val="clear" w:color="auto" w:fill="FFFFFF"/>
        </w:rPr>
        <w:t xml:space="preserve">Certain groups within society in the UK might be reluctant to engage with the police for various reasons, many of which mirror issues seen globally but also include specific UK-centric factors. </w:t>
      </w:r>
      <w:r w:rsidRPr="00251357">
        <w:rPr>
          <w:rFonts w:eastAsia="Times New Roman" w:cstheme="minorHAnsi"/>
          <w:kern w:val="0"/>
          <w:sz w:val="24"/>
          <w:szCs w:val="24"/>
          <w:lang w:eastAsia="en-GB"/>
          <w14:ligatures w14:val="none"/>
        </w:rPr>
        <w:t>Cosgrove and Ramshaw (2013) state that there are significant barriers for Neighbourhood Policing Teams to overcome, including public indifference and disengagement. Numerous institutional, historical, and sociological elements that have influenced people's perceptions of and interactions with police officers might be blamed for reluctancy to engage with the police. To build trust, advance community policing, and solve fundamental problems with police, it is imperative to understand the underlying roots of this resistance to engage. This essay uses academic research and societal viewpoints to investigate the reasons why some groups are reluctant to cooperate with police enforcement. It will also assess how effective neighbourhood policing strategies have been as a means of improving community engagement.</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To fully comprehend the reluctance to engage with police, it is helpful to examine the historical background that explains why some groups are less likely to build relationships with the police. Different communities have been marginalised because of past injustices and systemic prejudices (Smith 2017).</w:t>
      </w:r>
    </w:p>
    <w:p w14:paraId="3EB5F8BF" w14:textId="0BD48228" w:rsidR="00F23AEC" w:rsidRPr="00251357" w:rsidRDefault="00F23AEC" w:rsidP="00F23AEC">
      <w:pPr>
        <w:spacing w:after="240" w:line="360" w:lineRule="auto"/>
        <w:jc w:val="both"/>
        <w:rPr>
          <w:rFonts w:eastAsia="Times New Roman" w:cstheme="minorHAnsi"/>
          <w:kern w:val="0"/>
          <w:sz w:val="24"/>
          <w:szCs w:val="24"/>
          <w:lang w:eastAsia="en-GB"/>
          <w14:ligatures w14:val="none"/>
        </w:rPr>
      </w:pPr>
      <w:r w:rsidRPr="00251357">
        <w:rPr>
          <w:rFonts w:eastAsia="Times New Roman" w:cstheme="minorHAnsi"/>
          <w:kern w:val="0"/>
          <w:sz w:val="24"/>
          <w:szCs w:val="24"/>
          <w:lang w:eastAsia="en-GB"/>
          <w14:ligatures w14:val="none"/>
        </w:rPr>
        <w:br/>
        <w:t>The widespread mistrust of police in the United Kingdom is the primary cause of people's unwillingness to interact with the police.</w:t>
      </w:r>
      <w:r>
        <w:rPr>
          <w:rFonts w:eastAsia="Times New Roman" w:cstheme="minorHAnsi"/>
          <w:kern w:val="0"/>
          <w:sz w:val="24"/>
          <w:szCs w:val="24"/>
          <w:lang w:eastAsia="en-GB"/>
          <w14:ligatures w14:val="none"/>
        </w:rPr>
        <w:t xml:space="preserve"> The police service would cease to function without the active support of the communities it serves (College of Policing 2024).</w:t>
      </w:r>
      <w:r w:rsidRPr="00251357">
        <w:rPr>
          <w:rFonts w:eastAsia="Times New Roman" w:cstheme="minorHAnsi"/>
          <w:kern w:val="0"/>
          <w:sz w:val="24"/>
          <w:szCs w:val="24"/>
          <w:lang w:eastAsia="en-GB"/>
          <w14:ligatures w14:val="none"/>
        </w:rPr>
        <w:t xml:space="preserve"> According to </w:t>
      </w:r>
      <w:r w:rsidRPr="00251357">
        <w:rPr>
          <w:rFonts w:eastAsia="Times New Roman" w:cstheme="minorHAnsi"/>
          <w:kern w:val="0"/>
          <w:sz w:val="24"/>
          <w:szCs w:val="24"/>
          <w:lang w:eastAsia="en-GB"/>
          <w14:ligatures w14:val="none"/>
        </w:rPr>
        <w:lastRenderedPageBreak/>
        <w:t xml:space="preserve">research, Black and Asian communities in particular frequently see enforcement actions as biassed and discriminatory (Bowling &amp; Phillips, 2007). Racial profilin/ race discrimination is the use of race or ethnicity as grounds for suspecting someone of having committed an offence. Events of racial profiling and the excessive use of stop and search powers have exacerbated the communities' emotions of alienation and hostility (Lambert et al., 2020). Furthermore, tensions have increased and public confidence in police has been damaged by instances of police misbehaviour and brutality, such as the 2011 killing of Mark Duggan (Marugg, 2018). The hostility that already exists towards law enforcement is exacerbated by the disproportionate number of arrests of specific ethnic communities (Tyler, 2019). Many people view interactions with police as aggressive or unpleasant, particularly when racial or ethnic bias is clearly present. Reluctancy to engage with the police is also influenced by socioeconomic differences since minority communities believe that police measures are intended to combat crime unfairly target them (Reiner, 2010). Therefore, the reluctance of certain communities in the United Kingdom to engage with police is a result of a complex interplay between racial dynamics, feelings of injustice, and socioeconomic factors.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Within communities with high crime rates, people may be reluctant to cooperate with police because they fear that criminals may take revenge. Considering these circumstances, engaging with the police could be viewed as putting people and their families in danger for little benefit (Nugent et al., 2020). Potential witnesses may be discouraged from coming forward by the fear of retaliation, which would negatively impact the investigation's progress and make it more difficult to successfully address illegal activity. Cosgrove and Ramshaw (2013) state that for police to effectively confront and prevent crime, these people are frequently the ones with whom they must actively engage with</w:t>
      </w:r>
      <w:r w:rsidRPr="00251357">
        <w:rPr>
          <w:rFonts w:eastAsia="Times New Roman" w:cstheme="minorHAnsi"/>
          <w:b/>
          <w:bCs/>
          <w:kern w:val="0"/>
          <w:sz w:val="24"/>
          <w:szCs w:val="24"/>
          <w:lang w:eastAsia="en-GB"/>
          <w14:ligatures w14:val="none"/>
        </w:rPr>
        <w:t>.</w:t>
      </w:r>
      <w:r w:rsidRPr="00251357">
        <w:rPr>
          <w:rFonts w:eastAsia="Times New Roman" w:cstheme="minorHAnsi"/>
          <w:kern w:val="0"/>
          <w:sz w:val="24"/>
          <w:szCs w:val="24"/>
          <w:lang w:eastAsia="en-GB"/>
          <w14:ligatures w14:val="none"/>
        </w:rPr>
        <w:t xml:space="preserve">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 xml:space="preserve">Socioeconomic considerations have a major role in shaping the reluctance of people to interact with police, especially in underprivileged communities. Studies show that low-income residents of poor neighbourhoods frequently experience higher levels of policing and enforcement than residents of other socioeconomic categories (Mauer &amp; Chesney-Lind, 2019). Bowling and Phillips (2007) claim that feelings of mistrust and hostility towards police increase when people believe that policing strategies exacerbate social injustices rather than promoting public safety. Furthermore, communities can view police as collaborators in </w:t>
      </w:r>
      <w:r w:rsidRPr="00251357">
        <w:rPr>
          <w:rFonts w:eastAsia="Times New Roman" w:cstheme="minorHAnsi"/>
          <w:kern w:val="0"/>
          <w:sz w:val="24"/>
          <w:szCs w:val="24"/>
          <w:lang w:eastAsia="en-GB"/>
          <w14:ligatures w14:val="none"/>
        </w:rPr>
        <w:lastRenderedPageBreak/>
        <w:t xml:space="preserve">resolving community needs as opposed to controlling what people do with force. When these people lack access to services and support systems, their perception deteriorates further, which decreases confidence in the police (Reiner, 2010). The public's impression of unfairness is influenced by the convergence of socioeconomic disparity and policing techniques, which also makes it more difficult for police to effectively engage with these communities.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As discussed, there are several factors that contribute to some communities' reluctance to interact with police, including societal biases, historical injustices, and economic inequalities. A comprehensive strategy that addresses the root causes of this resistance, such as racial stereotyping, socioeconomic inequality, fear of reprisals, and a lack of accountability, is needed to address it successfully. Police and communities must work together to repair trust and cultivate constructive relationships to improve community policing, public safety, and fairness and equality within the criminal justice system. Working together can help overcome these obstacles and move closer to a time when everyone feels respected, safe, and able to interact with police enforcement. For a variety of reasons, communities must interact with and have confidence in the police; these reasons are all essential to fostering social cohesion, upholding public safety, and guaranteeing efficient police procedures. Reducing the number of people who are reluctant to engage with police is essential for combating crime and building strong relationships with the general population. This will help to foster the values of</w:t>
      </w:r>
      <w:r>
        <w:rPr>
          <w:rFonts w:eastAsia="Times New Roman" w:cstheme="minorHAnsi"/>
          <w:kern w:val="0"/>
          <w:sz w:val="24"/>
          <w:szCs w:val="24"/>
          <w:lang w:eastAsia="en-GB"/>
          <w14:ligatures w14:val="none"/>
        </w:rPr>
        <w:t xml:space="preserve"> </w:t>
      </w:r>
      <w:r w:rsidRPr="00251357">
        <w:rPr>
          <w:rFonts w:eastAsia="Times New Roman" w:cstheme="minorHAnsi"/>
          <w:kern w:val="0"/>
          <w:sz w:val="24"/>
          <w:szCs w:val="24"/>
          <w:lang w:eastAsia="en-GB"/>
          <w14:ligatures w14:val="none"/>
        </w:rPr>
        <w:t xml:space="preserve">justice, integrity, and trust.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When executing community policing measures, it is imperative that there be a strong sense of trust and belief between the police and the community (</w:t>
      </w:r>
      <w:proofErr w:type="spellStart"/>
      <w:r w:rsidRPr="00251357">
        <w:rPr>
          <w:rFonts w:eastAsia="Times New Roman" w:cstheme="minorHAnsi"/>
          <w:kern w:val="0"/>
          <w:sz w:val="24"/>
          <w:szCs w:val="24"/>
          <w:lang w:eastAsia="en-GB"/>
          <w14:ligatures w14:val="none"/>
        </w:rPr>
        <w:t>Skogan</w:t>
      </w:r>
      <w:proofErr w:type="spellEnd"/>
      <w:r w:rsidRPr="00251357">
        <w:rPr>
          <w:rFonts w:eastAsia="Times New Roman" w:cstheme="minorHAnsi"/>
          <w:kern w:val="0"/>
          <w:sz w:val="24"/>
          <w:szCs w:val="24"/>
          <w:lang w:eastAsia="en-GB"/>
          <w14:ligatures w14:val="none"/>
        </w:rPr>
        <w:t xml:space="preserve"> &amp; Hartnett, 1997). By building mutual confidence and cooperation, police and the community may work together to identify and address local crime and safety issues. This results in the application of police protocols that are more time efficient and situation-specific (Tyler, 2019). Confidence between these two entities is necessary for the development of beneficial relationships, cooperation, and trust (</w:t>
      </w:r>
      <w:proofErr w:type="spellStart"/>
      <w:r w:rsidRPr="00251357">
        <w:rPr>
          <w:rFonts w:eastAsia="Times New Roman" w:cstheme="minorHAnsi"/>
          <w:kern w:val="0"/>
          <w:sz w:val="24"/>
          <w:szCs w:val="24"/>
          <w:lang w:eastAsia="en-GB"/>
          <w14:ligatures w14:val="none"/>
        </w:rPr>
        <w:t>Skogan</w:t>
      </w:r>
      <w:proofErr w:type="spellEnd"/>
      <w:r w:rsidRPr="00251357">
        <w:rPr>
          <w:rFonts w:eastAsia="Times New Roman" w:cstheme="minorHAnsi"/>
          <w:kern w:val="0"/>
          <w:sz w:val="24"/>
          <w:szCs w:val="24"/>
          <w:lang w:eastAsia="en-GB"/>
          <w14:ligatures w14:val="none"/>
        </w:rPr>
        <w:t xml:space="preserve"> &amp; Hartnett, 1997). Police and community members are more likely to work together to address local crime and safety issues when there is mutual trust and confidence between them (Tyler, 2019). Furthermore, the legitimacy of community policing activities is supported by a feeling of trust between police and the community, since locals view these programmes as authentic attempts to improve public safety instead of </w:t>
      </w:r>
      <w:r w:rsidRPr="00251357">
        <w:rPr>
          <w:rFonts w:eastAsia="Times New Roman" w:cstheme="minorHAnsi"/>
          <w:kern w:val="0"/>
          <w:sz w:val="24"/>
          <w:szCs w:val="24"/>
          <w:lang w:eastAsia="en-GB"/>
          <w14:ligatures w14:val="none"/>
        </w:rPr>
        <w:lastRenderedPageBreak/>
        <w:t xml:space="preserve">merely symbolic actions (Mazerolle et al., 2013). In the absence of mutual trust, community policing initiatives may encounter opposition or doubt from both sides, impeding their efficacy and endangering their sustainability in the long run. The building of safer and more resilient communities and the effectiveness of community policing initiatives depend on the establishment of trust between the public and the police.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In addition, the legitimacy of police is reinforced by the public's view of fairness and justice in police operations when those activities are visible and answerable to the community (Sunshine &amp; Tyler, 2003). Public trust in police promotes reporting of illegal activity, information sharing, and active participation in crime prevention initiatives, all of which contribute to improved crime control and reduction (</w:t>
      </w:r>
      <w:proofErr w:type="spellStart"/>
      <w:r w:rsidRPr="00251357">
        <w:rPr>
          <w:rFonts w:eastAsia="Times New Roman" w:cstheme="minorHAnsi"/>
          <w:kern w:val="0"/>
          <w:sz w:val="24"/>
          <w:szCs w:val="24"/>
          <w:lang w:eastAsia="en-GB"/>
          <w14:ligatures w14:val="none"/>
        </w:rPr>
        <w:t>Skogan</w:t>
      </w:r>
      <w:proofErr w:type="spellEnd"/>
      <w:r w:rsidRPr="00251357">
        <w:rPr>
          <w:rFonts w:eastAsia="Times New Roman" w:cstheme="minorHAnsi"/>
          <w:kern w:val="0"/>
          <w:sz w:val="24"/>
          <w:szCs w:val="24"/>
          <w:lang w:eastAsia="en-GB"/>
          <w14:ligatures w14:val="none"/>
        </w:rPr>
        <w:t xml:space="preserve"> &amp; Hartnett, 1997). By enabling the public to observe policing up close, visible policing improves transparency and accountability for police behaviour (Sunshine &amp; Tyler, 2003). Having police patrol specific areas regularly is an effective measure in making police presence flet and reassuring the public. Residents are more likely to view police activities as legitimate and consistent with their expectations of justice and fairness when they are carried out in an open and transparent manner (Tyler, 2019). </w:t>
      </w:r>
      <w:r w:rsidRPr="00251357">
        <w:rPr>
          <w:rFonts w:cstheme="minorHAnsi"/>
          <w:color w:val="0D0D0D"/>
          <w:sz w:val="24"/>
          <w:szCs w:val="24"/>
          <w:shd w:val="clear" w:color="auto" w:fill="FFFFFF"/>
        </w:rPr>
        <w:t xml:space="preserve">Neighbourhood policing measures such as "Neighbourhood Watch" and "Police Community Support Officers" (PCSOs) have played crucial roles in fostering community ties and trust. These partnerships have been successful in not only preventing crime but also in gathering valuable local </w:t>
      </w:r>
      <w:proofErr w:type="gramStart"/>
      <w:r w:rsidRPr="00251357">
        <w:rPr>
          <w:rFonts w:cstheme="minorHAnsi"/>
          <w:color w:val="0D0D0D"/>
          <w:sz w:val="24"/>
          <w:szCs w:val="24"/>
          <w:shd w:val="clear" w:color="auto" w:fill="FFFFFF"/>
        </w:rPr>
        <w:t>intelligence</w:t>
      </w:r>
      <w:proofErr w:type="gramEnd"/>
    </w:p>
    <w:p w14:paraId="6614884F" w14:textId="77777777" w:rsidR="00F23AEC" w:rsidRPr="00251357" w:rsidRDefault="00F23AEC" w:rsidP="00F23AEC">
      <w:pPr>
        <w:spacing w:after="240" w:line="360" w:lineRule="auto"/>
        <w:jc w:val="both"/>
        <w:rPr>
          <w:rFonts w:eastAsia="Times New Roman" w:cstheme="minorHAnsi"/>
          <w:kern w:val="0"/>
          <w:sz w:val="24"/>
          <w:szCs w:val="24"/>
          <w:lang w:eastAsia="en-GB"/>
          <w14:ligatures w14:val="none"/>
        </w:rPr>
      </w:pPr>
      <w:r w:rsidRPr="00251357">
        <w:rPr>
          <w:rFonts w:eastAsia="Times New Roman" w:cstheme="minorHAnsi"/>
          <w:kern w:val="0"/>
          <w:sz w:val="24"/>
          <w:szCs w:val="24"/>
          <w:lang w:eastAsia="en-GB"/>
          <w14:ligatures w14:val="none"/>
        </w:rPr>
        <w:t xml:space="preserve"> In addition, the opportunity to express opinions, convey concerns, and guarantee police officers' accountability promotes community members' empowerment and fosters a higher degree of faith and confidence in police (Mazerolle et al., 2013). Open and accountable police operations also foster community cooperation as the </w:t>
      </w:r>
      <w:proofErr w:type="gramStart"/>
      <w:r w:rsidRPr="00251357">
        <w:rPr>
          <w:rFonts w:eastAsia="Times New Roman" w:cstheme="minorHAnsi"/>
          <w:kern w:val="0"/>
          <w:sz w:val="24"/>
          <w:szCs w:val="24"/>
          <w:lang w:eastAsia="en-GB"/>
          <w14:ligatures w14:val="none"/>
        </w:rPr>
        <w:t>general public</w:t>
      </w:r>
      <w:proofErr w:type="gramEnd"/>
      <w:r w:rsidRPr="00251357">
        <w:rPr>
          <w:rFonts w:eastAsia="Times New Roman" w:cstheme="minorHAnsi"/>
          <w:kern w:val="0"/>
          <w:sz w:val="24"/>
          <w:szCs w:val="24"/>
          <w:lang w:eastAsia="en-GB"/>
          <w14:ligatures w14:val="none"/>
        </w:rPr>
        <w:t xml:space="preserve"> grows more conscious of the importance of their participation in setting policing goals and practices (</w:t>
      </w:r>
      <w:proofErr w:type="spellStart"/>
      <w:r w:rsidRPr="00251357">
        <w:rPr>
          <w:rFonts w:eastAsia="Times New Roman" w:cstheme="minorHAnsi"/>
          <w:kern w:val="0"/>
          <w:sz w:val="24"/>
          <w:szCs w:val="24"/>
          <w:lang w:eastAsia="en-GB"/>
          <w14:ligatures w14:val="none"/>
        </w:rPr>
        <w:t>Skogan</w:t>
      </w:r>
      <w:proofErr w:type="spellEnd"/>
      <w:r w:rsidRPr="00251357">
        <w:rPr>
          <w:rFonts w:eastAsia="Times New Roman" w:cstheme="minorHAnsi"/>
          <w:kern w:val="0"/>
          <w:sz w:val="24"/>
          <w:szCs w:val="24"/>
          <w:lang w:eastAsia="en-GB"/>
          <w14:ligatures w14:val="none"/>
        </w:rPr>
        <w:t xml:space="preserve"> &amp; Hartnett, 1997). More equal and impartial police operations that are both visible and accountable to the community result in improved community-police relations, heightened public trust, and ultimately safer and more resilient communities. Regular interactions between police officers and the public are typically a part of community policing initiatives, such as outreach programmes, neighbourhood patrols, and community gatherings. The purpose of these encounters is to build trust and familiarity between the local community </w:t>
      </w:r>
      <w:r w:rsidRPr="00251357">
        <w:rPr>
          <w:rFonts w:eastAsia="Times New Roman" w:cstheme="minorHAnsi"/>
          <w:kern w:val="0"/>
          <w:sz w:val="24"/>
          <w:szCs w:val="24"/>
          <w:lang w:eastAsia="en-GB"/>
          <w14:ligatures w14:val="none"/>
        </w:rPr>
        <w:lastRenderedPageBreak/>
        <w:t xml:space="preserve">and the police (Mazerolle et al., 2013).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 xml:space="preserve">Furthermore, Problem- oriented policing is a measure where specific issues are identified within communities, such as, Anti-Social Behaviour or local drug dealing, and the strategy focused method is used to solve these issues. Police can improve their capacity to address more general societal issues including drug abuse, mental health crises, and domestic abuse by putting support services and joint solutions into place. Police can adopt community-oriented policing strategies that prioritise the resolution of fundamental social issues like drug abuse, mental health disorders, and poverty by collaborating with social service providers and neighbourhood associations (Weisburd &amp; Eck, 2004). Building strong ties with communities is one way to accomplish this (Mazerolle et al., 2013). The strength of the relationship and trust that exists between police and the community is essential to the formation of robust societies, strong police legitimacy, and public safety. Communities develop trust and credibility when they believe that police officers are actively involved in resolving people's problems and promoting their welfare (Mazerolle et al., 2013). </w:t>
      </w:r>
    </w:p>
    <w:p w14:paraId="3CBE1F22" w14:textId="6F6BEB09" w:rsidR="00F23AEC" w:rsidRPr="00251357" w:rsidRDefault="00F23AEC" w:rsidP="00F23AEC">
      <w:pPr>
        <w:spacing w:after="240" w:line="360" w:lineRule="auto"/>
        <w:jc w:val="both"/>
        <w:rPr>
          <w:rFonts w:eastAsia="Times New Roman" w:cstheme="minorHAnsi"/>
          <w:kern w:val="0"/>
          <w:sz w:val="24"/>
          <w:szCs w:val="24"/>
          <w:lang w:eastAsia="en-GB"/>
          <w14:ligatures w14:val="none"/>
        </w:rPr>
      </w:pPr>
      <w:r w:rsidRPr="00251357">
        <w:rPr>
          <w:rFonts w:eastAsia="Times New Roman" w:cstheme="minorHAnsi"/>
          <w:kern w:val="0"/>
          <w:sz w:val="24"/>
          <w:szCs w:val="24"/>
          <w:lang w:eastAsia="en-GB"/>
          <w14:ligatures w14:val="none"/>
        </w:rPr>
        <w:br/>
        <w:t>Engaging with police is essential for all community members, especially those who lack confidence in the police procedures. The prevention of crime and the upkeep of a safe community are severely impacted by the lack of cooperation and communication between police</w:t>
      </w:r>
      <w:r>
        <w:rPr>
          <w:rFonts w:eastAsia="Times New Roman" w:cstheme="minorHAnsi"/>
          <w:kern w:val="0"/>
          <w:sz w:val="24"/>
          <w:szCs w:val="24"/>
          <w:lang w:eastAsia="en-GB"/>
          <w14:ligatures w14:val="none"/>
        </w:rPr>
        <w:t xml:space="preserve"> </w:t>
      </w:r>
      <w:r w:rsidRPr="00251357">
        <w:rPr>
          <w:rFonts w:eastAsia="Times New Roman" w:cstheme="minorHAnsi"/>
          <w:kern w:val="0"/>
          <w:sz w:val="24"/>
          <w:szCs w:val="24"/>
          <w:lang w:eastAsia="en-GB"/>
          <w14:ligatures w14:val="none"/>
        </w:rPr>
        <w:t xml:space="preserve">and all community members.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 xml:space="preserve">Additionally, putting procedural justice values into practice during police interactions—like impartiality, fairness, and respect—can strengthen community cooperation and confidence in the police's authority (Tyler, 2019). Research consistently shows that the perceived fairness of police techniques has a significant impact on public attitudes of law enforcement (Tyler, 2019). People are more likely to view police officers and the police in general as an appropriate regulatory agency if they believe that officers treat people with respect, pay attention to their concerns, and render unbiased decisions using objective criteria (Sunshine &amp; Tyler, 2003). Encouraging equity in police interactions increases community trust and </w:t>
      </w:r>
      <w:r w:rsidRPr="00251357">
        <w:rPr>
          <w:rFonts w:eastAsia="Times New Roman" w:cstheme="minorHAnsi"/>
          <w:kern w:val="0"/>
          <w:sz w:val="24"/>
          <w:szCs w:val="24"/>
          <w:lang w:eastAsia="en-GB"/>
          <w14:ligatures w14:val="none"/>
        </w:rPr>
        <w:lastRenderedPageBreak/>
        <w:t xml:space="preserve">cooperation, which in turn improves adherence to the law and people's willingness to interact with the police (Tyler, 2019). By giving procedural justice principles top priority in their dealings with the public, police officers can improve the public's opinion of the legitimacy and trustworthiness of the force.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br/>
        <w:t xml:space="preserve">Accountability and transparency-focused police agencies show that they are dedicated to following the law and protecting the interests of the community (Sunshine &amp; Tyler, 2003). According to research, the legitimacy of the police is significantly influenced by how justice and accountability are perceived within policing organisations (Tyler, 2019). Independent Office for Police Conduct (IOPC) exist to increase public confidence in the complaints system in England and Wales, ensuring that police work at a set high standard and are held accountable for their actions. Building an environment of transparency and accountability within police organisations increases community members' trust and confidence, which in turn increases their readiness to cooperate and interact with the police (Sunshine &amp; Tyler, 2003). </w:t>
      </w:r>
      <w:r w:rsidRPr="00251357">
        <w:rPr>
          <w:rFonts w:eastAsia="Times New Roman" w:cstheme="minorHAnsi"/>
          <w:kern w:val="0"/>
          <w:sz w:val="24"/>
          <w:szCs w:val="24"/>
          <w:lang w:eastAsia="en-GB"/>
          <w14:ligatures w14:val="none"/>
        </w:rPr>
        <w:br/>
        <w:t xml:space="preserve">Although the police can use tactics to deal with the issue of public disinterest and apathy, it is unlikely that these tactics will be sufficient on their own to end public mistrust of the police. There is a long-standing history of mistrust in certain communities towards the police, with many people believing that the force is biassed and unjust. While achieving a thorough resolution of this matter would be extremely difficult, implementing strategies to improve the relationship between law enforcement and the public at large is a step in the right direction. In general, by putting community policing tactics into practice, sustaining procedural justice standards, and encouraging accountability and transparency, the police can strengthen and preserve community unity, resulting in safer and more resilient communities. </w:t>
      </w:r>
    </w:p>
    <w:p w14:paraId="64BD2C6C" w14:textId="77777777" w:rsidR="00F23AEC" w:rsidRDefault="00F23AEC" w:rsidP="00F23AEC">
      <w:pPr>
        <w:spacing w:after="240" w:line="360" w:lineRule="auto"/>
        <w:jc w:val="both"/>
        <w:rPr>
          <w:rFonts w:eastAsia="Times New Roman" w:cstheme="minorHAnsi"/>
          <w:kern w:val="0"/>
          <w:sz w:val="24"/>
          <w:szCs w:val="24"/>
          <w:lang w:eastAsia="en-GB"/>
          <w14:ligatures w14:val="none"/>
        </w:rPr>
      </w:pPr>
      <w:r w:rsidRPr="00251357">
        <w:rPr>
          <w:rFonts w:eastAsia="Times New Roman" w:cstheme="minorHAnsi"/>
          <w:kern w:val="0"/>
          <w:sz w:val="24"/>
          <w:szCs w:val="24"/>
          <w:lang w:eastAsia="en-GB"/>
          <w14:ligatures w14:val="none"/>
        </w:rPr>
        <w:t xml:space="preserve">Despite efforts to improve community engagement, several challenges remain. Resource constraints consisting of budget cuts and resource limitation can negatively impact the sustainability and reach of community policing. To ensure long term improvements consistent application of community policing across the UK is essential, lack of consistency where some communities or areas experience more robust engagement than others will not be effective </w:t>
      </w:r>
      <w:proofErr w:type="spellStart"/>
      <w:r w:rsidRPr="00251357">
        <w:rPr>
          <w:rFonts w:eastAsia="Times New Roman" w:cstheme="minorHAnsi"/>
          <w:kern w:val="0"/>
          <w:sz w:val="24"/>
          <w:szCs w:val="24"/>
          <w:lang w:eastAsia="en-GB"/>
          <w14:ligatures w14:val="none"/>
        </w:rPr>
        <w:t>longterm</w:t>
      </w:r>
      <w:proofErr w:type="spellEnd"/>
      <w:r w:rsidRPr="00251357">
        <w:rPr>
          <w:rFonts w:eastAsia="Times New Roman" w:cstheme="minorHAnsi"/>
          <w:kern w:val="0"/>
          <w:sz w:val="24"/>
          <w:szCs w:val="24"/>
          <w:lang w:eastAsia="en-GB"/>
          <w14:ligatures w14:val="none"/>
        </w:rPr>
        <w:t xml:space="preserve">. </w:t>
      </w:r>
      <w:r w:rsidRPr="00251357">
        <w:rPr>
          <w:rFonts w:eastAsia="Times New Roman" w:cstheme="minorHAnsi"/>
          <w:kern w:val="0"/>
          <w:sz w:val="24"/>
          <w:szCs w:val="24"/>
          <w:lang w:eastAsia="en-GB"/>
          <w14:ligatures w14:val="none"/>
        </w:rPr>
        <w:br/>
      </w:r>
      <w:r w:rsidRPr="00251357">
        <w:rPr>
          <w:rFonts w:eastAsia="Times New Roman" w:cstheme="minorHAnsi"/>
          <w:kern w:val="0"/>
          <w:sz w:val="24"/>
          <w:szCs w:val="24"/>
          <w:lang w:eastAsia="en-GB"/>
          <w14:ligatures w14:val="none"/>
        </w:rPr>
        <w:lastRenderedPageBreak/>
        <w:br/>
        <w:t xml:space="preserve">Certain communities’ reluctance to engage with police stems from a complex interplay of historical occurrences, socioeconomic circumstances, and institutional components, including instances of prejudice, mistrust, and perceived injustice. People from minority ethnic and racial backgrounds and socioeconomically disadvantaged people often face challenges in establishing trust in the police and fear they will be objected to negative consequences if they engage. By fostering trust, promoting transparency, and implementing cooperative enforcement techniques, the police play a critical role in encouraging community engagement. By prioritising procedural justice, accountability, and community participation, police can foster beneficial relationships and increase public safety by effectively bridging the divide between police and marginalised groups and communities. Police and society at large must work together to build trust, remove systemic inequalities, and support fair, respectful and inclusive policing practices to effectively address the root causes of people's reluctance to engage with the police and promote a sense of unity within communities. </w:t>
      </w:r>
      <w:r w:rsidRPr="00251357">
        <w:rPr>
          <w:rFonts w:eastAsia="Times New Roman" w:cstheme="minorHAnsi"/>
          <w:kern w:val="0"/>
          <w:sz w:val="24"/>
          <w:szCs w:val="24"/>
          <w:lang w:eastAsia="en-GB"/>
          <w14:ligatures w14:val="none"/>
        </w:rPr>
        <w:br/>
      </w:r>
    </w:p>
    <w:p w14:paraId="485E199B" w14:textId="77777777" w:rsidR="00F23AEC" w:rsidRPr="00251357" w:rsidRDefault="00F23AEC" w:rsidP="00F23AEC">
      <w:pPr>
        <w:spacing w:after="240" w:line="360" w:lineRule="auto"/>
        <w:jc w:val="both"/>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Word count 2199</w:t>
      </w:r>
    </w:p>
    <w:p w14:paraId="5D091823" w14:textId="77777777" w:rsidR="00F23AEC" w:rsidRPr="00251357" w:rsidRDefault="00F23AEC" w:rsidP="00F23AEC">
      <w:pPr>
        <w:spacing w:after="240" w:line="360" w:lineRule="auto"/>
        <w:jc w:val="both"/>
        <w:rPr>
          <w:rFonts w:eastAsia="Times New Roman" w:cstheme="minorHAnsi"/>
          <w:kern w:val="0"/>
          <w:sz w:val="24"/>
          <w:szCs w:val="24"/>
          <w:lang w:eastAsia="en-GB"/>
          <w14:ligatures w14:val="none"/>
        </w:rPr>
      </w:pPr>
    </w:p>
    <w:p w14:paraId="40EFE5D5" w14:textId="77777777" w:rsidR="00F23AEC" w:rsidRPr="00251357" w:rsidRDefault="00F23AEC" w:rsidP="00F23AEC">
      <w:pPr>
        <w:spacing w:after="240" w:line="360" w:lineRule="auto"/>
        <w:jc w:val="both"/>
        <w:rPr>
          <w:rFonts w:eastAsia="Times New Roman" w:cstheme="minorHAnsi"/>
          <w:kern w:val="0"/>
          <w:sz w:val="24"/>
          <w:szCs w:val="24"/>
          <w:lang w:eastAsia="en-GB"/>
          <w14:ligatures w14:val="none"/>
        </w:rPr>
      </w:pPr>
    </w:p>
    <w:p w14:paraId="4E510487"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15279B51"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2B7E37F6"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2435A16D"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387E89E5"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697CF1FA"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795BF136"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5741AC50"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0D7C511B"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75403CB1"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3C6541DF" w14:textId="77777777" w:rsidR="00F23AEC" w:rsidRDefault="00F23AEC" w:rsidP="00F23AEC">
      <w:pPr>
        <w:spacing w:after="240" w:line="360" w:lineRule="auto"/>
        <w:jc w:val="both"/>
        <w:rPr>
          <w:rFonts w:eastAsia="Times New Roman" w:cstheme="minorHAnsi"/>
          <w:kern w:val="0"/>
          <w:sz w:val="24"/>
          <w:szCs w:val="24"/>
          <w:lang w:eastAsia="en-GB"/>
          <w14:ligatures w14:val="none"/>
        </w:rPr>
      </w:pPr>
    </w:p>
    <w:p w14:paraId="139CCD53" w14:textId="77777777" w:rsidR="00F23AEC" w:rsidRPr="00251357" w:rsidRDefault="00F23AEC" w:rsidP="00F23AEC">
      <w:pPr>
        <w:spacing w:after="240" w:line="360" w:lineRule="auto"/>
        <w:jc w:val="both"/>
        <w:rPr>
          <w:rFonts w:eastAsia="Times New Roman" w:cstheme="minorHAnsi"/>
          <w:kern w:val="0"/>
          <w:sz w:val="24"/>
          <w:szCs w:val="24"/>
          <w:lang w:eastAsia="en-GB"/>
          <w14:ligatures w14:val="none"/>
        </w:rPr>
      </w:pPr>
    </w:p>
    <w:p w14:paraId="017D9D4E" w14:textId="77777777" w:rsidR="00F23AEC" w:rsidRPr="00251357" w:rsidRDefault="00F23AEC" w:rsidP="00F23AEC">
      <w:pPr>
        <w:spacing w:after="0" w:line="360" w:lineRule="auto"/>
        <w:ind w:left="720"/>
        <w:rPr>
          <w:rFonts w:eastAsia="Times New Roman" w:cstheme="minorHAnsi"/>
          <w:b/>
          <w:kern w:val="0"/>
          <w:sz w:val="24"/>
          <w:szCs w:val="24"/>
          <w:lang w:eastAsia="zh-CN"/>
          <w14:ligatures w14:val="none"/>
        </w:rPr>
      </w:pPr>
      <w:r>
        <w:rPr>
          <w:rFonts w:eastAsia="Times New Roman" w:cstheme="minorHAnsi"/>
          <w:b/>
          <w:kern w:val="0"/>
          <w:sz w:val="24"/>
          <w:szCs w:val="24"/>
          <w:lang w:eastAsia="zh-CN"/>
          <w14:ligatures w14:val="none"/>
        </w:rPr>
        <w:t xml:space="preserve">References </w:t>
      </w:r>
    </w:p>
    <w:p w14:paraId="4B087CFF"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Bowling, B., &amp; Phillips, C. (2007). </w:t>
      </w:r>
      <w:r w:rsidRPr="00765349">
        <w:rPr>
          <w:rFonts w:eastAsia="Roboto" w:cstheme="minorHAnsi"/>
          <w:i/>
          <w:iCs/>
          <w:color w:val="0D0D0D"/>
          <w:kern w:val="0"/>
          <w:sz w:val="24"/>
          <w:szCs w:val="24"/>
          <w:highlight w:val="white"/>
          <w:lang w:eastAsia="zh-CN"/>
          <w14:ligatures w14:val="none"/>
        </w:rPr>
        <w:t>Disproportionate and discriminatory: Reviewing the evidence on police stop and search.</w:t>
      </w:r>
      <w:r w:rsidRPr="00251357">
        <w:rPr>
          <w:rFonts w:eastAsia="Roboto" w:cstheme="minorHAnsi"/>
          <w:color w:val="0D0D0D"/>
          <w:kern w:val="0"/>
          <w:sz w:val="24"/>
          <w:szCs w:val="24"/>
          <w:highlight w:val="white"/>
          <w:lang w:eastAsia="zh-CN"/>
          <w14:ligatures w14:val="none"/>
        </w:rPr>
        <w:t xml:space="preserve"> The Modern Law Review, 70(6), 936-961.</w:t>
      </w:r>
    </w:p>
    <w:p w14:paraId="1FB01D4E" w14:textId="77777777" w:rsidR="00F23AEC"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Pr>
          <w:rFonts w:eastAsia="Roboto" w:cstheme="minorHAnsi"/>
          <w:color w:val="0D0D0D"/>
          <w:kern w:val="0"/>
          <w:sz w:val="24"/>
          <w:szCs w:val="24"/>
          <w:highlight w:val="white"/>
          <w:lang w:eastAsia="zh-CN"/>
          <w14:ligatures w14:val="none"/>
        </w:rPr>
        <w:t xml:space="preserve">College of policing (2024) </w:t>
      </w:r>
      <w:r w:rsidRPr="00765349">
        <w:rPr>
          <w:rFonts w:eastAsia="Roboto" w:cstheme="minorHAnsi"/>
          <w:i/>
          <w:iCs/>
          <w:color w:val="0D0D0D"/>
          <w:kern w:val="0"/>
          <w:sz w:val="24"/>
          <w:szCs w:val="24"/>
          <w:highlight w:val="white"/>
          <w:lang w:eastAsia="zh-CN"/>
          <w14:ligatures w14:val="none"/>
        </w:rPr>
        <w:t>Engagement.</w:t>
      </w:r>
      <w:r>
        <w:rPr>
          <w:rFonts w:eastAsia="Roboto" w:cstheme="minorHAnsi"/>
          <w:color w:val="0D0D0D"/>
          <w:kern w:val="0"/>
          <w:sz w:val="24"/>
          <w:szCs w:val="24"/>
          <w:highlight w:val="white"/>
          <w:lang w:eastAsia="zh-CN"/>
          <w14:ligatures w14:val="none"/>
        </w:rPr>
        <w:t xml:space="preserve"> Available at </w:t>
      </w:r>
      <w:hyperlink r:id="rId4" w:history="1">
        <w:r w:rsidRPr="00D16F5C">
          <w:rPr>
            <w:rStyle w:val="Hyperlink"/>
            <w:rFonts w:eastAsia="Roboto" w:cstheme="minorHAnsi"/>
            <w:kern w:val="0"/>
            <w:sz w:val="24"/>
            <w:szCs w:val="24"/>
            <w:lang w:eastAsia="zh-CN"/>
            <w14:ligatures w14:val="none"/>
          </w:rPr>
          <w:t>https://www.college.police.uk/app/engagement-and-communication/engagement</w:t>
        </w:r>
      </w:hyperlink>
      <w:r>
        <w:rPr>
          <w:rFonts w:eastAsia="Roboto" w:cstheme="minorHAnsi"/>
          <w:color w:val="0D0D0D"/>
          <w:kern w:val="0"/>
          <w:sz w:val="24"/>
          <w:szCs w:val="24"/>
          <w:lang w:eastAsia="zh-CN"/>
          <w14:ligatures w14:val="none"/>
        </w:rPr>
        <w:t xml:space="preserve"> [Accessed May 2024]</w:t>
      </w:r>
    </w:p>
    <w:p w14:paraId="4260F009" w14:textId="77777777" w:rsidR="00F23AEC"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Griffiths, E., &amp; Valdez, N. (2018).</w:t>
      </w:r>
      <w:r w:rsidRPr="00765349">
        <w:rPr>
          <w:rFonts w:eastAsia="Roboto" w:cstheme="minorHAnsi"/>
          <w:i/>
          <w:iCs/>
          <w:color w:val="0D0D0D"/>
          <w:kern w:val="0"/>
          <w:sz w:val="24"/>
          <w:szCs w:val="24"/>
          <w:highlight w:val="white"/>
          <w:lang w:eastAsia="zh-CN"/>
          <w14:ligatures w14:val="none"/>
        </w:rPr>
        <w:t xml:space="preserve"> Police interactions and indigenous perceptions of racial profiling in Canada.</w:t>
      </w:r>
      <w:r w:rsidRPr="00251357">
        <w:rPr>
          <w:rFonts w:eastAsia="Roboto" w:cstheme="minorHAnsi"/>
          <w:color w:val="0D0D0D"/>
          <w:kern w:val="0"/>
          <w:sz w:val="24"/>
          <w:szCs w:val="24"/>
          <w:highlight w:val="white"/>
          <w:lang w:eastAsia="zh-CN"/>
          <w14:ligatures w14:val="none"/>
        </w:rPr>
        <w:t xml:space="preserve"> Race and Justice, 8(1), 46-69.</w:t>
      </w:r>
    </w:p>
    <w:p w14:paraId="1BE553AD"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Pr>
          <w:rFonts w:eastAsia="Roboto" w:cstheme="minorHAnsi"/>
          <w:color w:val="0D0D0D"/>
          <w:kern w:val="0"/>
          <w:sz w:val="24"/>
          <w:szCs w:val="24"/>
          <w:highlight w:val="white"/>
          <w:lang w:eastAsia="zh-CN"/>
          <w14:ligatures w14:val="none"/>
        </w:rPr>
        <w:t xml:space="preserve">Independent Office for police conduct (2023) Available at </w:t>
      </w:r>
      <w:hyperlink r:id="rId5" w:history="1">
        <w:r w:rsidRPr="00D16F5C">
          <w:rPr>
            <w:rStyle w:val="Hyperlink"/>
            <w:rFonts w:eastAsia="Roboto" w:cstheme="minorHAnsi"/>
            <w:kern w:val="0"/>
            <w:sz w:val="24"/>
            <w:szCs w:val="24"/>
            <w:lang w:eastAsia="zh-CN"/>
            <w14:ligatures w14:val="none"/>
          </w:rPr>
          <w:t>https://www.policeconduct.gov.uk/</w:t>
        </w:r>
      </w:hyperlink>
      <w:r>
        <w:rPr>
          <w:rFonts w:eastAsia="Roboto" w:cstheme="minorHAnsi"/>
          <w:color w:val="0D0D0D"/>
          <w:kern w:val="0"/>
          <w:sz w:val="24"/>
          <w:szCs w:val="24"/>
          <w:lang w:eastAsia="zh-CN"/>
          <w14:ligatures w14:val="none"/>
        </w:rPr>
        <w:t xml:space="preserve"> [Accessed May 2024]</w:t>
      </w:r>
    </w:p>
    <w:p w14:paraId="47C7D57C"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Lambert, E. G., Hogan, N. L., &amp; Barton-Bellessa, S. M. (2020). </w:t>
      </w:r>
      <w:r w:rsidRPr="00765349">
        <w:rPr>
          <w:rFonts w:eastAsia="Roboto" w:cstheme="minorHAnsi"/>
          <w:i/>
          <w:iCs/>
          <w:color w:val="0D0D0D"/>
          <w:kern w:val="0"/>
          <w:sz w:val="24"/>
          <w:szCs w:val="24"/>
          <w:highlight w:val="white"/>
          <w:lang w:eastAsia="zh-CN"/>
          <w14:ligatures w14:val="none"/>
        </w:rPr>
        <w:t>Police contact and perceptions of injustice: A race-based approach. Crime &amp; Delinquency</w:t>
      </w:r>
      <w:r w:rsidRPr="00251357">
        <w:rPr>
          <w:rFonts w:eastAsia="Roboto" w:cstheme="minorHAnsi"/>
          <w:color w:val="0D0D0D"/>
          <w:kern w:val="0"/>
          <w:sz w:val="24"/>
          <w:szCs w:val="24"/>
          <w:highlight w:val="white"/>
          <w:lang w:eastAsia="zh-CN"/>
          <w14:ligatures w14:val="none"/>
        </w:rPr>
        <w:t>, 66(8), 1157-1182.</w:t>
      </w:r>
    </w:p>
    <w:p w14:paraId="5855D461" w14:textId="77777777" w:rsidR="00F23AEC" w:rsidRPr="00765349"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b/>
          <w:bCs/>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Mauer, M., &amp; Chesney-Lind, M. (2019). </w:t>
      </w:r>
      <w:r w:rsidRPr="00765349">
        <w:rPr>
          <w:rFonts w:eastAsia="Roboto" w:cstheme="minorHAnsi"/>
          <w:i/>
          <w:iCs/>
          <w:color w:val="0D0D0D"/>
          <w:kern w:val="0"/>
          <w:sz w:val="24"/>
          <w:szCs w:val="24"/>
          <w:highlight w:val="white"/>
          <w:lang w:eastAsia="zh-CN"/>
          <w14:ligatures w14:val="none"/>
        </w:rPr>
        <w:t>Invisible punishment: The collateral consequences of mass imprisonment.</w:t>
      </w:r>
      <w:r w:rsidRPr="00251357">
        <w:rPr>
          <w:rFonts w:eastAsia="Roboto" w:cstheme="minorHAnsi"/>
          <w:color w:val="0D0D0D"/>
          <w:kern w:val="0"/>
          <w:sz w:val="24"/>
          <w:szCs w:val="24"/>
          <w:highlight w:val="white"/>
          <w:lang w:eastAsia="zh-CN"/>
          <w14:ligatures w14:val="none"/>
        </w:rPr>
        <w:t xml:space="preserve"> New Press.</w:t>
      </w:r>
      <w:r>
        <w:rPr>
          <w:rFonts w:eastAsia="Roboto" w:cstheme="minorHAnsi"/>
          <w:color w:val="0D0D0D"/>
          <w:kern w:val="0"/>
          <w:sz w:val="24"/>
          <w:szCs w:val="24"/>
          <w:highlight w:val="white"/>
          <w:lang w:eastAsia="zh-CN"/>
          <w14:ligatures w14:val="none"/>
        </w:rPr>
        <w:t xml:space="preserve"> Available at </w:t>
      </w:r>
      <w:hyperlink r:id="rId6" w:history="1">
        <w:r w:rsidRPr="00D16F5C">
          <w:rPr>
            <w:rStyle w:val="Hyperlink"/>
            <w:rFonts w:eastAsia="Roboto" w:cstheme="minorHAnsi"/>
            <w:kern w:val="0"/>
            <w:sz w:val="24"/>
            <w:szCs w:val="24"/>
            <w:lang w:eastAsia="zh-CN"/>
            <w14:ligatures w14:val="none"/>
          </w:rPr>
          <w:t>https://thenewpress.com/books/invisible-punishment</w:t>
        </w:r>
      </w:hyperlink>
      <w:r>
        <w:rPr>
          <w:rFonts w:eastAsia="Roboto" w:cstheme="minorHAnsi"/>
          <w:color w:val="0D0D0D"/>
          <w:kern w:val="0"/>
          <w:sz w:val="24"/>
          <w:szCs w:val="24"/>
          <w:lang w:eastAsia="zh-CN"/>
          <w14:ligatures w14:val="none"/>
        </w:rPr>
        <w:t xml:space="preserve"> [Accessed May 2024]</w:t>
      </w:r>
    </w:p>
    <w:p w14:paraId="6FC18160"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Marugg, S. A. (2018). </w:t>
      </w:r>
      <w:r w:rsidRPr="00765349">
        <w:rPr>
          <w:rFonts w:eastAsia="Roboto" w:cstheme="minorHAnsi"/>
          <w:i/>
          <w:iCs/>
          <w:color w:val="0D0D0D"/>
          <w:kern w:val="0"/>
          <w:sz w:val="24"/>
          <w:szCs w:val="24"/>
          <w:highlight w:val="white"/>
          <w:lang w:eastAsia="zh-CN"/>
          <w14:ligatures w14:val="none"/>
        </w:rPr>
        <w:t>What is Mark Duggan to me? Exploring community narratives and the role of race in police accountability</w:t>
      </w:r>
      <w:r w:rsidRPr="00251357">
        <w:rPr>
          <w:rFonts w:eastAsia="Roboto" w:cstheme="minorHAnsi"/>
          <w:color w:val="0D0D0D"/>
          <w:kern w:val="0"/>
          <w:sz w:val="24"/>
          <w:szCs w:val="24"/>
          <w:highlight w:val="white"/>
          <w:lang w:eastAsia="zh-CN"/>
          <w14:ligatures w14:val="none"/>
        </w:rPr>
        <w:t>. Ethnic and Racial Studies, 41(5), 888-905.</w:t>
      </w:r>
    </w:p>
    <w:p w14:paraId="6D8D2E8B"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Mazerolle, L., Bennett, S., Davis, J., Sargeant, E., &amp; Manning, M. (2013). P</w:t>
      </w:r>
      <w:r w:rsidRPr="00765349">
        <w:rPr>
          <w:rFonts w:eastAsia="Roboto" w:cstheme="minorHAnsi"/>
          <w:i/>
          <w:iCs/>
          <w:color w:val="0D0D0D"/>
          <w:kern w:val="0"/>
          <w:sz w:val="24"/>
          <w:szCs w:val="24"/>
          <w:highlight w:val="white"/>
          <w:lang w:eastAsia="zh-CN"/>
          <w14:ligatures w14:val="none"/>
        </w:rPr>
        <w:t xml:space="preserve">rocedural justice, routine encounters, and citizen perceptions of police: Main findings from the </w:t>
      </w:r>
      <w:r w:rsidRPr="00765349">
        <w:rPr>
          <w:rFonts w:eastAsia="Roboto" w:cstheme="minorHAnsi"/>
          <w:i/>
          <w:iCs/>
          <w:color w:val="0D0D0D"/>
          <w:kern w:val="0"/>
          <w:sz w:val="24"/>
          <w:szCs w:val="24"/>
          <w:highlight w:val="white"/>
          <w:lang w:eastAsia="zh-CN"/>
          <w14:ligatures w14:val="none"/>
        </w:rPr>
        <w:lastRenderedPageBreak/>
        <w:t>Queensland Community Engagement Trial</w:t>
      </w:r>
      <w:r w:rsidRPr="00251357">
        <w:rPr>
          <w:rFonts w:eastAsia="Roboto" w:cstheme="minorHAnsi"/>
          <w:color w:val="0D0D0D"/>
          <w:kern w:val="0"/>
          <w:sz w:val="24"/>
          <w:szCs w:val="24"/>
          <w:highlight w:val="white"/>
          <w:lang w:eastAsia="zh-CN"/>
          <w14:ligatures w14:val="none"/>
        </w:rPr>
        <w:t xml:space="preserve"> (QCET). Journal of Experimental Criminology, 9(2), 189-212.</w:t>
      </w:r>
      <w:r>
        <w:rPr>
          <w:rFonts w:eastAsia="Roboto" w:cstheme="minorHAnsi"/>
          <w:color w:val="0D0D0D"/>
          <w:kern w:val="0"/>
          <w:sz w:val="24"/>
          <w:szCs w:val="24"/>
          <w:highlight w:val="white"/>
          <w:lang w:eastAsia="zh-CN"/>
          <w14:ligatures w14:val="none"/>
        </w:rPr>
        <w:t xml:space="preserve"> Available at </w:t>
      </w:r>
      <w:hyperlink r:id="rId7" w:history="1">
        <w:r w:rsidRPr="00D16F5C">
          <w:rPr>
            <w:rStyle w:val="Hyperlink"/>
            <w:rFonts w:eastAsia="Roboto" w:cstheme="minorHAnsi"/>
            <w:kern w:val="0"/>
            <w:sz w:val="24"/>
            <w:szCs w:val="24"/>
            <w:lang w:eastAsia="zh-CN"/>
            <w14:ligatures w14:val="none"/>
          </w:rPr>
          <w:t>https://psycnet.apa.org/record/2012-33687-001</w:t>
        </w:r>
      </w:hyperlink>
      <w:r>
        <w:rPr>
          <w:rFonts w:eastAsia="Roboto" w:cstheme="minorHAnsi"/>
          <w:color w:val="0D0D0D"/>
          <w:kern w:val="0"/>
          <w:sz w:val="24"/>
          <w:szCs w:val="24"/>
          <w:lang w:eastAsia="zh-CN"/>
          <w14:ligatures w14:val="none"/>
        </w:rPr>
        <w:t xml:space="preserve"> [Accessed March 2024]</w:t>
      </w:r>
    </w:p>
    <w:p w14:paraId="5C3F6F46"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Nugent, W. R., Wolfe, S. E., &amp; Paradies, Y. (2020). </w:t>
      </w:r>
      <w:r w:rsidRPr="00765349">
        <w:rPr>
          <w:rFonts w:eastAsia="Roboto" w:cstheme="minorHAnsi"/>
          <w:i/>
          <w:iCs/>
          <w:color w:val="0D0D0D"/>
          <w:kern w:val="0"/>
          <w:sz w:val="24"/>
          <w:szCs w:val="24"/>
          <w:highlight w:val="white"/>
          <w:lang w:eastAsia="zh-CN"/>
          <w14:ligatures w14:val="none"/>
        </w:rPr>
        <w:t xml:space="preserve">Recalibrating the focus of anti-racism interventions in public health: Lessons from police violence prevention. Ethnicity &amp; Health, </w:t>
      </w:r>
      <w:r w:rsidRPr="00251357">
        <w:rPr>
          <w:rFonts w:eastAsia="Roboto" w:cstheme="minorHAnsi"/>
          <w:color w:val="0D0D0D"/>
          <w:kern w:val="0"/>
          <w:sz w:val="24"/>
          <w:szCs w:val="24"/>
          <w:highlight w:val="white"/>
          <w:lang w:eastAsia="zh-CN"/>
          <w14:ligatures w14:val="none"/>
        </w:rPr>
        <w:t>25(1), 136-144.</w:t>
      </w:r>
      <w:r>
        <w:rPr>
          <w:rFonts w:eastAsia="Roboto" w:cstheme="minorHAnsi"/>
          <w:color w:val="0D0D0D"/>
          <w:kern w:val="0"/>
          <w:sz w:val="24"/>
          <w:szCs w:val="24"/>
          <w:highlight w:val="white"/>
          <w:lang w:eastAsia="zh-CN"/>
          <w14:ligatures w14:val="none"/>
        </w:rPr>
        <w:t xml:space="preserve"> Available at </w:t>
      </w:r>
      <w:hyperlink r:id="rId8" w:history="1">
        <w:r w:rsidRPr="00D16F5C">
          <w:rPr>
            <w:rStyle w:val="Hyperlink"/>
            <w:rFonts w:eastAsia="Roboto" w:cstheme="minorHAnsi"/>
            <w:kern w:val="0"/>
            <w:sz w:val="24"/>
            <w:szCs w:val="24"/>
            <w:lang w:eastAsia="zh-CN"/>
            <w14:ligatures w14:val="none"/>
          </w:rPr>
          <w:t>https://pubmed.ncbi.nlm.nih.gov/38418232/</w:t>
        </w:r>
      </w:hyperlink>
      <w:r>
        <w:rPr>
          <w:rFonts w:eastAsia="Roboto" w:cstheme="minorHAnsi"/>
          <w:color w:val="0D0D0D"/>
          <w:kern w:val="0"/>
          <w:sz w:val="24"/>
          <w:szCs w:val="24"/>
          <w:lang w:eastAsia="zh-CN"/>
          <w14:ligatures w14:val="none"/>
        </w:rPr>
        <w:t xml:space="preserve"> [Accessed May 2024]</w:t>
      </w:r>
    </w:p>
    <w:p w14:paraId="089CB61C"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Reiner, R. (2010). </w:t>
      </w:r>
      <w:r w:rsidRPr="00765349">
        <w:rPr>
          <w:rFonts w:eastAsia="Roboto" w:cstheme="minorHAnsi"/>
          <w:i/>
          <w:iCs/>
          <w:color w:val="0D0D0D"/>
          <w:kern w:val="0"/>
          <w:sz w:val="24"/>
          <w:szCs w:val="24"/>
          <w:highlight w:val="white"/>
          <w:lang w:eastAsia="zh-CN"/>
          <w14:ligatures w14:val="none"/>
        </w:rPr>
        <w:t>The politics of the police</w:t>
      </w:r>
      <w:r w:rsidRPr="00251357">
        <w:rPr>
          <w:rFonts w:eastAsia="Roboto" w:cstheme="minorHAnsi"/>
          <w:color w:val="0D0D0D"/>
          <w:kern w:val="0"/>
          <w:sz w:val="24"/>
          <w:szCs w:val="24"/>
          <w:highlight w:val="white"/>
          <w:lang w:eastAsia="zh-CN"/>
          <w14:ligatures w14:val="none"/>
        </w:rPr>
        <w:t>. Oxford University Press.</w:t>
      </w:r>
    </w:p>
    <w:p w14:paraId="7F03164D"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Schafer, J. A. (2018). </w:t>
      </w:r>
      <w:r w:rsidRPr="00765349">
        <w:rPr>
          <w:rFonts w:eastAsia="Roboto" w:cstheme="minorHAnsi"/>
          <w:i/>
          <w:iCs/>
          <w:color w:val="0D0D0D"/>
          <w:kern w:val="0"/>
          <w:sz w:val="24"/>
          <w:szCs w:val="24"/>
          <w:highlight w:val="white"/>
          <w:lang w:eastAsia="zh-CN"/>
          <w14:ligatures w14:val="none"/>
        </w:rPr>
        <w:t>Racial profiling and perceptions of police legitimacy: A procedural justice perspective.</w:t>
      </w:r>
      <w:r w:rsidRPr="00251357">
        <w:rPr>
          <w:rFonts w:eastAsia="Roboto" w:cstheme="minorHAnsi"/>
          <w:color w:val="0D0D0D"/>
          <w:kern w:val="0"/>
          <w:sz w:val="24"/>
          <w:szCs w:val="24"/>
          <w:highlight w:val="white"/>
          <w:lang w:eastAsia="zh-CN"/>
          <w14:ligatures w14:val="none"/>
        </w:rPr>
        <w:t xml:space="preserve"> Journal of Contemporary Criminal Justice, 34(1), 3-24.</w:t>
      </w:r>
    </w:p>
    <w:p w14:paraId="347B88C7"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proofErr w:type="spellStart"/>
      <w:r w:rsidRPr="00251357">
        <w:rPr>
          <w:rFonts w:eastAsia="Roboto" w:cstheme="minorHAnsi"/>
          <w:color w:val="0D0D0D"/>
          <w:kern w:val="0"/>
          <w:sz w:val="24"/>
          <w:szCs w:val="24"/>
          <w:highlight w:val="white"/>
          <w:lang w:eastAsia="zh-CN"/>
          <w14:ligatures w14:val="none"/>
        </w:rPr>
        <w:t>Skogan</w:t>
      </w:r>
      <w:proofErr w:type="spellEnd"/>
      <w:r w:rsidRPr="00251357">
        <w:rPr>
          <w:rFonts w:eastAsia="Roboto" w:cstheme="minorHAnsi"/>
          <w:color w:val="0D0D0D"/>
          <w:kern w:val="0"/>
          <w:sz w:val="24"/>
          <w:szCs w:val="24"/>
          <w:highlight w:val="white"/>
          <w:lang w:eastAsia="zh-CN"/>
          <w14:ligatures w14:val="none"/>
        </w:rPr>
        <w:t xml:space="preserve">, W. G., &amp; Hartnett, S. M. (1997). </w:t>
      </w:r>
      <w:r w:rsidRPr="00765349">
        <w:rPr>
          <w:rFonts w:eastAsia="Roboto" w:cstheme="minorHAnsi"/>
          <w:i/>
          <w:iCs/>
          <w:color w:val="0D0D0D"/>
          <w:kern w:val="0"/>
          <w:sz w:val="24"/>
          <w:szCs w:val="24"/>
          <w:highlight w:val="white"/>
          <w:lang w:eastAsia="zh-CN"/>
          <w14:ligatures w14:val="none"/>
        </w:rPr>
        <w:t>Community policing</w:t>
      </w:r>
      <w:r w:rsidRPr="00251357">
        <w:rPr>
          <w:rFonts w:eastAsia="Roboto" w:cstheme="minorHAnsi"/>
          <w:color w:val="0D0D0D"/>
          <w:kern w:val="0"/>
          <w:sz w:val="24"/>
          <w:szCs w:val="24"/>
          <w:highlight w:val="white"/>
          <w:lang w:eastAsia="zh-CN"/>
          <w14:ligatures w14:val="none"/>
        </w:rPr>
        <w:t>, Chicago style. Oxford University Press.</w:t>
      </w:r>
    </w:p>
    <w:p w14:paraId="023AF710"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Smith, B. W. (2017). </w:t>
      </w:r>
      <w:r w:rsidRPr="00765349">
        <w:rPr>
          <w:rFonts w:eastAsia="Roboto" w:cstheme="minorHAnsi"/>
          <w:i/>
          <w:iCs/>
          <w:color w:val="0D0D0D"/>
          <w:kern w:val="0"/>
          <w:sz w:val="24"/>
          <w:szCs w:val="24"/>
          <w:highlight w:val="white"/>
          <w:lang w:eastAsia="zh-CN"/>
          <w14:ligatures w14:val="none"/>
        </w:rPr>
        <w:t xml:space="preserve">Race, police legitimacy, and the curfew: A case study of Ferguson, Missouri. </w:t>
      </w:r>
      <w:r w:rsidRPr="00251357">
        <w:rPr>
          <w:rFonts w:eastAsia="Roboto" w:cstheme="minorHAnsi"/>
          <w:color w:val="0D0D0D"/>
          <w:kern w:val="0"/>
          <w:sz w:val="24"/>
          <w:szCs w:val="24"/>
          <w:highlight w:val="white"/>
          <w:lang w:eastAsia="zh-CN"/>
          <w14:ligatures w14:val="none"/>
        </w:rPr>
        <w:t>Journal of Criminal Justice, 53, 80-90.</w:t>
      </w:r>
    </w:p>
    <w:p w14:paraId="2B24E034"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Sunshine, J., &amp; Tyler, T. R. (2003). </w:t>
      </w:r>
      <w:r w:rsidRPr="00765349">
        <w:rPr>
          <w:rFonts w:eastAsia="Roboto" w:cstheme="minorHAnsi"/>
          <w:i/>
          <w:iCs/>
          <w:color w:val="0D0D0D"/>
          <w:kern w:val="0"/>
          <w:sz w:val="24"/>
          <w:szCs w:val="24"/>
          <w:highlight w:val="white"/>
          <w:lang w:eastAsia="zh-CN"/>
          <w14:ligatures w14:val="none"/>
        </w:rPr>
        <w:t>The role of procedural justice and legitimacy in shaping public support for policing</w:t>
      </w:r>
      <w:r w:rsidRPr="00251357">
        <w:rPr>
          <w:rFonts w:eastAsia="Roboto" w:cstheme="minorHAnsi"/>
          <w:color w:val="0D0D0D"/>
          <w:kern w:val="0"/>
          <w:sz w:val="24"/>
          <w:szCs w:val="24"/>
          <w:highlight w:val="white"/>
          <w:lang w:eastAsia="zh-CN"/>
          <w14:ligatures w14:val="none"/>
        </w:rPr>
        <w:t>. Law &amp; Society Review, 37(3), 513-548.</w:t>
      </w:r>
    </w:p>
    <w:p w14:paraId="40B9F7FF" w14:textId="77777777" w:rsidR="00F23AEC" w:rsidRPr="00251357" w:rsidRDefault="00F23AEC" w:rsidP="00F23AEC">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0" w:line="360" w:lineRule="auto"/>
        <w:ind w:left="720"/>
        <w:jc w:val="both"/>
        <w:rPr>
          <w:rFonts w:eastAsia="Roboto" w:cstheme="minorHAnsi"/>
          <w:color w:val="0D0D0D"/>
          <w:kern w:val="0"/>
          <w:sz w:val="24"/>
          <w:szCs w:val="24"/>
          <w:highlight w:val="white"/>
          <w:lang w:eastAsia="zh-CN"/>
          <w14:ligatures w14:val="none"/>
        </w:rPr>
      </w:pPr>
      <w:r w:rsidRPr="00251357">
        <w:rPr>
          <w:rFonts w:eastAsia="Roboto" w:cstheme="minorHAnsi"/>
          <w:color w:val="0D0D0D"/>
          <w:kern w:val="0"/>
          <w:sz w:val="24"/>
          <w:szCs w:val="24"/>
          <w:highlight w:val="white"/>
          <w:lang w:eastAsia="zh-CN"/>
          <w14:ligatures w14:val="none"/>
        </w:rPr>
        <w:t xml:space="preserve">Tyler, T. R. (2019). </w:t>
      </w:r>
      <w:r w:rsidRPr="00765349">
        <w:rPr>
          <w:rFonts w:eastAsia="Roboto" w:cstheme="minorHAnsi"/>
          <w:i/>
          <w:iCs/>
          <w:color w:val="0D0D0D"/>
          <w:kern w:val="0"/>
          <w:sz w:val="24"/>
          <w:szCs w:val="24"/>
          <w:highlight w:val="white"/>
          <w:lang w:eastAsia="zh-CN"/>
          <w14:ligatures w14:val="none"/>
        </w:rPr>
        <w:t xml:space="preserve">Procedural justice and policing: A rush to </w:t>
      </w:r>
      <w:proofErr w:type="gramStart"/>
      <w:r w:rsidRPr="00765349">
        <w:rPr>
          <w:rFonts w:eastAsia="Roboto" w:cstheme="minorHAnsi"/>
          <w:i/>
          <w:iCs/>
          <w:color w:val="0D0D0D"/>
          <w:kern w:val="0"/>
          <w:sz w:val="24"/>
          <w:szCs w:val="24"/>
          <w:highlight w:val="white"/>
          <w:lang w:eastAsia="zh-CN"/>
          <w14:ligatures w14:val="none"/>
        </w:rPr>
        <w:t>judgment?.</w:t>
      </w:r>
      <w:proofErr w:type="gramEnd"/>
      <w:r w:rsidRPr="00251357">
        <w:rPr>
          <w:rFonts w:eastAsia="Roboto" w:cstheme="minorHAnsi"/>
          <w:color w:val="0D0D0D"/>
          <w:kern w:val="0"/>
          <w:sz w:val="24"/>
          <w:szCs w:val="24"/>
          <w:highlight w:val="white"/>
          <w:lang w:eastAsia="zh-CN"/>
          <w14:ligatures w14:val="none"/>
        </w:rPr>
        <w:t xml:space="preserve"> Annual Review of Law and Social Science, 15, 1-21.</w:t>
      </w:r>
    </w:p>
    <w:p w14:paraId="396BB898" w14:textId="77777777" w:rsidR="00F23AEC" w:rsidRPr="00251357" w:rsidRDefault="00F23AEC" w:rsidP="00F23AEC">
      <w:pPr>
        <w:spacing w:after="0" w:line="360" w:lineRule="auto"/>
        <w:jc w:val="both"/>
        <w:rPr>
          <w:rFonts w:eastAsia="Times New Roman" w:cstheme="minorHAnsi"/>
          <w:kern w:val="0"/>
          <w:sz w:val="24"/>
          <w:szCs w:val="24"/>
          <w:lang w:eastAsia="zh-CN"/>
          <w14:ligatures w14:val="none"/>
        </w:rPr>
      </w:pPr>
    </w:p>
    <w:p w14:paraId="74957994" w14:textId="77777777" w:rsidR="00F23AEC" w:rsidRPr="00251357" w:rsidRDefault="00F23AEC" w:rsidP="00F23AEC">
      <w:pPr>
        <w:spacing w:line="360" w:lineRule="auto"/>
        <w:jc w:val="both"/>
        <w:rPr>
          <w:rFonts w:cstheme="minorHAnsi"/>
          <w:sz w:val="24"/>
          <w:szCs w:val="24"/>
        </w:rPr>
      </w:pPr>
    </w:p>
    <w:p w14:paraId="6B8E8954" w14:textId="77777777" w:rsidR="00F23AEC" w:rsidRDefault="00F23AEC"/>
    <w:p w14:paraId="201D7A6B" w14:textId="77777777" w:rsidR="00F23AEC" w:rsidRDefault="00F23AEC"/>
    <w:p w14:paraId="3DC80308" w14:textId="77777777" w:rsidR="00F23AEC" w:rsidRDefault="00F23AEC"/>
    <w:p w14:paraId="6E52E7CC" w14:textId="77777777" w:rsidR="00F23AEC" w:rsidRDefault="00F23AEC"/>
    <w:p w14:paraId="1CEDC6D0" w14:textId="77777777" w:rsidR="00F23AEC" w:rsidRDefault="00F23AEC"/>
    <w:p w14:paraId="7C9A2066" w14:textId="77777777" w:rsidR="00F23AEC" w:rsidRDefault="00F23AEC"/>
    <w:p w14:paraId="26E48E92" w14:textId="77777777" w:rsidR="00F23AEC" w:rsidRDefault="00F23AEC"/>
    <w:p w14:paraId="2A537293" w14:textId="77777777" w:rsidR="00F23AEC" w:rsidRPr="00F23AEC" w:rsidRDefault="00F23AEC" w:rsidP="00F23AEC">
      <w:pPr>
        <w:spacing w:line="360" w:lineRule="auto"/>
        <w:jc w:val="both"/>
        <w:rPr>
          <w:rFonts w:ascii="Calibri" w:eastAsia="Aptos" w:hAnsi="Calibri" w:cs="Calibri"/>
          <w:b/>
          <w:i/>
          <w:iCs/>
          <w:kern w:val="0"/>
          <w:sz w:val="24"/>
          <w:szCs w:val="24"/>
          <w14:ligatures w14:val="none"/>
        </w:rPr>
      </w:pPr>
      <w:r w:rsidRPr="00F23AEC">
        <w:rPr>
          <w:rFonts w:ascii="Calibri" w:eastAsia="Aptos" w:hAnsi="Calibri" w:cs="Calibri"/>
          <w:b/>
          <w:i/>
          <w:iCs/>
          <w:kern w:val="0"/>
          <w:sz w:val="24"/>
          <w:szCs w:val="24"/>
          <w14:ligatures w14:val="none"/>
        </w:rPr>
        <w:t>Research conducted on behalf of HMICFRS found that if people do not believe that the police treat the public fairly and with respect, they are significantly less likely to report crime either as a victim or a witness (BMG Research, 2018).</w:t>
      </w:r>
    </w:p>
    <w:p w14:paraId="5E5F4A31" w14:textId="77777777" w:rsidR="00F23AEC" w:rsidRPr="00F23AEC" w:rsidRDefault="00F23AEC" w:rsidP="00F23AEC">
      <w:pPr>
        <w:spacing w:line="360" w:lineRule="auto"/>
        <w:jc w:val="both"/>
        <w:rPr>
          <w:rFonts w:ascii="Calibri" w:eastAsia="Aptos" w:hAnsi="Calibri" w:cs="Calibri"/>
          <w:b/>
          <w:i/>
          <w:iCs/>
          <w:kern w:val="0"/>
          <w:sz w:val="24"/>
          <w:szCs w:val="24"/>
          <w14:ligatures w14:val="none"/>
        </w:rPr>
      </w:pPr>
      <w:r w:rsidRPr="00F23AEC">
        <w:rPr>
          <w:rFonts w:ascii="Calibri" w:eastAsia="Aptos" w:hAnsi="Calibri" w:cs="Calibri"/>
          <w:b/>
          <w:i/>
          <w:iCs/>
          <w:kern w:val="0"/>
          <w:sz w:val="24"/>
          <w:szCs w:val="24"/>
          <w14:ligatures w14:val="none"/>
        </w:rPr>
        <w:t>What challenges does a poor public perception of policing pose for response policing? How effective are measures in place to ensure that officers treat the public fairly and with respect?</w:t>
      </w:r>
    </w:p>
    <w:p w14:paraId="08AE1D02" w14:textId="77777777" w:rsidR="00F23AEC" w:rsidRPr="00F23AEC" w:rsidRDefault="00F23AEC" w:rsidP="00F23AEC">
      <w:pPr>
        <w:spacing w:line="360" w:lineRule="auto"/>
        <w:jc w:val="both"/>
        <w:rPr>
          <w:rFonts w:ascii="Arial" w:eastAsia="Aptos" w:hAnsi="Arial" w:cs="Arial"/>
          <w:sz w:val="24"/>
          <w:szCs w:val="24"/>
        </w:rPr>
      </w:pPr>
      <w:r w:rsidRPr="00F23AEC">
        <w:rPr>
          <w:rFonts w:ascii="Aptos" w:eastAsia="Aptos" w:hAnsi="Aptos" w:cs="Times New Roman"/>
          <w:sz w:val="24"/>
          <w:szCs w:val="24"/>
        </w:rPr>
        <w:t>The public's o</w:t>
      </w:r>
      <w:r w:rsidRPr="00F23AEC">
        <w:rPr>
          <w:rFonts w:ascii="Arial" w:eastAsia="Aptos" w:hAnsi="Arial" w:cs="Arial"/>
          <w:sz w:val="24"/>
          <w:szCs w:val="24"/>
        </w:rPr>
        <w:t xml:space="preserve">pinion of the police has a crucial role in shaping the degree of trust and cooperation within the community. The research conducted by HMICFRS emphasises the substantial impact of public perception on the act of reporting crime. The level of public trust in the police is currently at a record low. The Institute for Government's report indicates that the public's positive impression of the police's performance has decreased from 62.7% in 2015/16 to 51% in 2023, </w:t>
      </w:r>
      <w:proofErr w:type="gramStart"/>
      <w:r w:rsidRPr="00F23AEC">
        <w:rPr>
          <w:rFonts w:ascii="Arial" w:eastAsia="Aptos" w:hAnsi="Arial" w:cs="Arial"/>
          <w:sz w:val="24"/>
          <w:szCs w:val="24"/>
        </w:rPr>
        <w:t>despite the fact that</w:t>
      </w:r>
      <w:proofErr w:type="gramEnd"/>
      <w:r w:rsidRPr="00F23AEC">
        <w:rPr>
          <w:rFonts w:ascii="Arial" w:eastAsia="Aptos" w:hAnsi="Arial" w:cs="Arial"/>
          <w:sz w:val="24"/>
          <w:szCs w:val="24"/>
        </w:rPr>
        <w:t xml:space="preserve"> overall crime rates are currently at a record low. Police accountability is essential in British policing, as it is founded on the principle of consent from the public. The efficacy of their functions relies on the public's endorsement of their presence, activities, and conduct (Institute for Government 2022). A study conducted by BMG Research in 2018 revealed that those who see the police as biassed and disdainful are far less inclined to report crimes, regardless of whether they are victims or witnesses. The establishment of public trust in the police relies heavily on the implementation of equitable and considerate treatment, as well as the use of sound judgement in decision-making (Jackson et al., 2012a). When the police treat individuals with fairness and respect, and this behaviour is consistent with their moral beliefs, people will view the police as having legitimate power. This, in turn, will result in public compliance and collaboration (Hough, 2012). </w:t>
      </w:r>
    </w:p>
    <w:p w14:paraId="1A9B9C16"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This essay analyses the challenges encountered by response policing due to a poor public perception of the police and evaluates the effectiveness of current approaches in ensuring fair and respectful treatment of the public by law enforcement.</w:t>
      </w:r>
    </w:p>
    <w:p w14:paraId="5EBFC0F9"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The police service has consistently had challenges in gaining and maintaining public trust and confidence. Multiple surveys have depicted a decline in popular confidence and satisfaction with the police in recent years. Positive community cohesion fosters </w:t>
      </w:r>
      <w:r w:rsidRPr="00F23AEC">
        <w:rPr>
          <w:rFonts w:ascii="Arial" w:eastAsia="Aptos" w:hAnsi="Arial" w:cs="Arial"/>
          <w:sz w:val="24"/>
          <w:szCs w:val="24"/>
        </w:rPr>
        <w:lastRenderedPageBreak/>
        <w:t xml:space="preserve">a sense of security among individuals in their local region, leading to a more favourable perception of others within the community and the organisations that serve them. Certain populations harbour a lack of trust in agencies like the police force due to personal experiences, second hand accounts from community members, or imaginary incidents. These factors will have a deleterious effect on the establishment of confidence and trust, ultimately damaging relationships between communities and the police department. </w:t>
      </w:r>
    </w:p>
    <w:p w14:paraId="7D5AE725"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Research has indicated that ethnic minority communities are more prone to experiencing a sense of unjust treatment and disrespect. Data from 2017 to 2020 reveals that individuals between the ages of 16 and 24 belonging to the black population exhibited a lower level of trust, at 63%, in their local police force, as opposed to white individuals at 79% and Asian individuals at 76%. According to the Office for National Statistics (2021), individuals who are 75 years and older who identify as white expressed the highest level of confidence in the police, with a percentage of 82%. This percentage was the highest among all ethnic and age groups. Research frequently emphasises past injustices, such as instances of police violence and discrimination against marginalised communities, that contribute to a deficiency in trust towards law enforcement (Tyler &amp; Huo, 2002). If individuals perceive law enforcement as exhibiting unfairness or prejudice, it may diminish their inclination to comply with legal regulations, thereby fostering a culture of noncompliance and disrespect for the law within communities. This not only weakens the overall safety of the public but also intensifies the conflicts between police and the general population, leading to obstacles in effective policing. </w:t>
      </w:r>
    </w:p>
    <w:p w14:paraId="23627CB7" w14:textId="77777777" w:rsidR="00F23AEC" w:rsidRPr="00F23AEC" w:rsidRDefault="00F23AEC" w:rsidP="00F23AEC">
      <w:pPr>
        <w:spacing w:line="360" w:lineRule="auto"/>
        <w:jc w:val="both"/>
        <w:rPr>
          <w:rFonts w:ascii="Arial" w:eastAsia="Aptos" w:hAnsi="Arial" w:cs="Arial"/>
          <w:sz w:val="24"/>
          <w:szCs w:val="24"/>
        </w:rPr>
      </w:pPr>
    </w:p>
    <w:p w14:paraId="14573F24"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An approach that has been implemented to enhance the perception of fair and respectful treatment by the police towards the public is the recruitment of police officers within ethnic minority groups and can therefore better relate to and understand the community they serve. The South Wales Police provide an opportunity for individuals from ethnic minority backgrounds to join their organisation through the implementation of their Positive Action scheme. Employer programmes aimed at actively encouraging individuals from under-represented groups to apply, within the boundaries of the law. The presence of genuine diversity among our police force brings forth a variety of </w:t>
      </w:r>
      <w:r w:rsidRPr="00F23AEC">
        <w:rPr>
          <w:rFonts w:ascii="Arial" w:eastAsia="Aptos" w:hAnsi="Arial" w:cs="Arial"/>
          <w:sz w:val="24"/>
          <w:szCs w:val="24"/>
        </w:rPr>
        <w:lastRenderedPageBreak/>
        <w:t xml:space="preserve">viewpoints, enabling us to have a deeper understanding of our communities (South Wales Police 2024). Increasing representation within the Black, Asian, and Minority Ethnic (BAME) community will provide reassurance and maybe improve communication, as individuals within this community have common origins and experiences. According to recent data, the number of police officers from BAME backgrounds in the UK is relatively low. As of December 2020, only 7.5% of police officers in England and Wales are from BAME backgrounds, with 1.2% being black, 3.2% Asian, 2.2% mixed ethnicity, and 0.8% from other ethnicities. This is significantly lower than the projected BAME population of 17.2% in the UK. These numbers clearly indicate that police forces in England and Wales have some level of representation, but it is insufficient. </w:t>
      </w:r>
    </w:p>
    <w:p w14:paraId="721E0691"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Statistics also indicate that recruiting poses a challenge, since individuals from ethnic minority backgrounds face greater difficulty in successfully passing the initial evaluation required to join the police force. The latest data from the Day One Assessment Centre trial reveals that the success rate for candidates from BAME backgrounds was 48%, but it was 81% for candidates of white British ethnicity (The Police Foundation, 2021</w:t>
      </w:r>
      <w:proofErr w:type="gramStart"/>
      <w:r w:rsidRPr="00F23AEC">
        <w:rPr>
          <w:rFonts w:ascii="Arial" w:eastAsia="Aptos" w:hAnsi="Arial" w:cs="Arial"/>
          <w:sz w:val="24"/>
          <w:szCs w:val="24"/>
        </w:rPr>
        <w:t>).This</w:t>
      </w:r>
      <w:proofErr w:type="gramEnd"/>
      <w:r w:rsidRPr="00F23AEC">
        <w:rPr>
          <w:rFonts w:ascii="Arial" w:eastAsia="Aptos" w:hAnsi="Arial" w:cs="Arial"/>
          <w:sz w:val="24"/>
          <w:szCs w:val="24"/>
        </w:rPr>
        <w:t xml:space="preserve"> underscores the recruitment challenges, as it reveals that white British candidates had nearly twice the likelihood of succeeding in the assessment centre. Despite the low numbers, the implementation of Positive Action Recruitment aims to increase the representation of applicants from BAME communities in the police service by identifying and supporting suitable candidates. Police agencies are tackling the difficulties around a representative workforce </w:t>
      </w:r>
      <w:proofErr w:type="gramStart"/>
      <w:r w:rsidRPr="00F23AEC">
        <w:rPr>
          <w:rFonts w:ascii="Arial" w:eastAsia="Aptos" w:hAnsi="Arial" w:cs="Arial"/>
          <w:sz w:val="24"/>
          <w:szCs w:val="24"/>
        </w:rPr>
        <w:t>in order to</w:t>
      </w:r>
      <w:proofErr w:type="gramEnd"/>
      <w:r w:rsidRPr="00F23AEC">
        <w:rPr>
          <w:rFonts w:ascii="Arial" w:eastAsia="Aptos" w:hAnsi="Arial" w:cs="Arial"/>
          <w:sz w:val="24"/>
          <w:szCs w:val="24"/>
        </w:rPr>
        <w:t xml:space="preserve"> enhance involvement and improve public perception. This approach aims to encourage individuals to come forward and report crimes. </w:t>
      </w:r>
    </w:p>
    <w:p w14:paraId="04EED540" w14:textId="77777777" w:rsidR="00F23AEC" w:rsidRPr="00F23AEC" w:rsidRDefault="00F23AEC" w:rsidP="00F23AEC">
      <w:pPr>
        <w:spacing w:line="360" w:lineRule="auto"/>
        <w:jc w:val="both"/>
        <w:rPr>
          <w:rFonts w:ascii="Arial" w:eastAsia="Aptos" w:hAnsi="Arial" w:cs="Arial"/>
          <w:sz w:val="24"/>
          <w:szCs w:val="24"/>
        </w:rPr>
      </w:pPr>
    </w:p>
    <w:p w14:paraId="5977B35E"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Personal experiences, such as a lack of assistance, can play a role in shaping the public's image of the police. Negative perceptions of inefficient law enforcement, such as delayed response times or failure to investigate alleged crimes, can result in disillusionment and hesitancy to interact with the police. (Cordner, 2014). Response police face intricate challenges due to the existence of an unfavourable view of policing. Primarily, it undermines the trust and cooperation within the community, which are essential elements for effective crime prevention and detection. When the public </w:t>
      </w:r>
      <w:r w:rsidRPr="00F23AEC">
        <w:rPr>
          <w:rFonts w:ascii="Arial" w:eastAsia="Aptos" w:hAnsi="Arial" w:cs="Arial"/>
          <w:sz w:val="24"/>
          <w:szCs w:val="24"/>
        </w:rPr>
        <w:lastRenderedPageBreak/>
        <w:t xml:space="preserve">lacks confidence in the police, their inclination to actively engage diminishes, impeding the flow of vital information necessary for investigations. This lack of desire to collaborate exacerbates the difficulties in solving crimes and maintaining public safety. Community Policing and Local Engagement is a strategy put in place to ensure public are treated fairly and with respectful. This strategy involves the deployment of Police Community Support Officers (PCSOs) who possess knowledge of the local region and can promptly respond to occurrences while also building more robust community connections. This facilitates the collection of information and enables the rapid resolution of local issues. Nevertheless, PCSOs possess limited authority in comparison to conventional police officers, hence constraining their efficacy in specific circumstances. They lack the jurisdiction to make arrests or conduct certain law enforcement operations, which can impede their capacity to promptly address more severe occurrences. The public may experience confusion regarding the function and capacities of PCSOs, which can result in either excessive expectations or a failure to fully utilise their services (Home Office, 2020). </w:t>
      </w:r>
    </w:p>
    <w:p w14:paraId="6029030D"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Smart Policing Initiatives, like the implementation of Mobile Data Terminals (MDTs), are additional safeguards in place to guarantee equitable treatment of the public. These devices are installed in police vehicles, enabling officers to get live updates, retrieve information from databases, and connect with control rooms while in motion (Police professionals, 2006). This method guarantees that calls are evaluated and enables response police to effectively respond to calls. The UK Police also utilise Body - worn cameras, which not only promote openness but also speed incident reporting. This enables officers to allocate more time to patrolling and less time to administrative tasks. A study by Ariel &amp; Sutherland (2016) stated that Body-worn cameras led to a 93% drop in complaints made against police by the public. These measures collectively enhance the ability of UK police forces to respond to incidents quickly and effectively, thereby improving public safety and trust in law enforcement agencies.  </w:t>
      </w:r>
    </w:p>
    <w:p w14:paraId="2066E4C3"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Operational measures to ensure public safety include stop and search practices. Despite efforts to increase transparency and accountability, stop and search practices still face criticism for racial profiling and disproportionate targeting of ethnic minorities. Ongoing reforms and better training are needed to address these issues effectively (Equality and Human Rights Commission, 2018). </w:t>
      </w:r>
    </w:p>
    <w:p w14:paraId="2662DAEB" w14:textId="77777777" w:rsidR="00F23AEC" w:rsidRPr="00F23AEC" w:rsidRDefault="00F23AEC" w:rsidP="00F23AEC">
      <w:pPr>
        <w:spacing w:line="360" w:lineRule="auto"/>
        <w:jc w:val="both"/>
        <w:rPr>
          <w:rFonts w:ascii="Arial" w:eastAsia="Aptos" w:hAnsi="Arial" w:cs="Arial"/>
          <w:sz w:val="24"/>
          <w:szCs w:val="24"/>
        </w:rPr>
      </w:pPr>
    </w:p>
    <w:p w14:paraId="39752730"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When the police treat individuals with fairness and respect, and this treatment is consistent with their moral beliefs, people will view the police as having legitimate power, resulting in public obedience and cooperation (Hough, 2012). Fair and respectful treatment and decision-making are key to public trust in the police (Hogh et al 2012). Accountability and oversight are crucial in policing effectively. Legal frameworks, such as the implementation of body-worn cameras and the establishment of independent oversight organisations, serve as safeguards against misconduct and ensure transparency in police procedures. These procedures guarantee the accountability of authorities for their behaviour and provide avenues for individuals to pursue justice or address situations involving perceived injustice or abuse of power.</w:t>
      </w:r>
    </w:p>
    <w:p w14:paraId="5E6D30A8"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 </w:t>
      </w:r>
    </w:p>
    <w:p w14:paraId="1DF07D2B"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Independent bodies are essential for ensuring the accountability of the police force and its officers. Their role is to guarantee that the public receives a high standard of support and protection, and that correct processes and guidelines are consistently followed. Additionally, these agencies ensure that members of the public are treated fairly and with respect. The Independent Office for Police Conduct (IOPC) has been instrumental in ensuring independent oversight of police misconduct. The IOPC has witnessed a substantial surge in demand, with referrals from police agencies escalating by more than 80% since 2018. However, the organisation's ability to carry out investigations has been limited by financial restrictions and decreasing funding, which impairs its efficiency in managing the increasing workload (IOPC, 2024). While it has improved accountability, its effectiveness in increasing public trust is sometimes questioned due to perceived delays and leniency in handling cases.</w:t>
      </w:r>
    </w:p>
    <w:p w14:paraId="2DFE8FD2"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Police have the powers to arrest, detain, stop, and search, investigate and interview detainees. These powers are covered by the Police and Criminal Evidence Act 1984 (PACE). Breach of these codes could result criminal or civil proceedings against the police officers. Police ethics and following professional standards ensures that there can be no ill-treatment or misconduct- holding officers accountable. Stop and Search can prevent crime and increase public safety. Since 2019, stop and search operations have led to the removal of 100,000 weapons from the streets and numerous arrests, which can enhance community safety and potentially increase public trust in the </w:t>
      </w:r>
      <w:r w:rsidRPr="00F23AEC">
        <w:rPr>
          <w:rFonts w:ascii="Arial" w:eastAsia="Aptos" w:hAnsi="Arial" w:cs="Arial"/>
          <w:sz w:val="24"/>
          <w:szCs w:val="24"/>
        </w:rPr>
        <w:lastRenderedPageBreak/>
        <w:t>police’s ability to protect them. Measures to enhance the equity of stop and search procedures involve the enforcement of Body Worn Video (BWV) and Community Scrutiny Panels. The purpose of these measures is to guarantee that stops are carried out in accordance with the law and to promote positive relationships between the police and the community. According to the Equality and Human Rights Commission (EHRC), stop and search tactics can undermine trust, particularly when they are viewed as unjust or prejudiced (Webster, 2021). The effectiveness of these measures in fostering trust greatly relies on their fair and open implementation, albeit they primarily aim to improve safety and offer useful crime prevention tools. Continuous efforts address the disproportionate impact on minority communities and to improve police-community relations are essential for these measures to effectively gain public trust.</w:t>
      </w:r>
    </w:p>
    <w:p w14:paraId="19E043C8"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Training and professional standards are also in place to ensure public are treated fairly and respectfully. The College of Policing's Code of Ethics sets out the principles and standards of professional behaviour for all police officers. The focus is on upholding integrity, fairness, respect, and accountability. The implementation of the Code of Ethics and diversity training has shown to be successful in fostering professional conduct and enhancing officers' understanding of equality matters. Police forces can establish deeper and more positive relationships with the communities they serve by ensuring that officers receive comprehensive training, possess cultural competence, and adhere to rigorous ethical standards. Transparency, accountability, and ongoing development are fundamental elements of these endeavours. However, the impact varies across different forces, with some showing better integration of these principles than others.  (</w:t>
      </w:r>
      <w:proofErr w:type="spellStart"/>
      <w:r w:rsidRPr="00F23AEC">
        <w:rPr>
          <w:rFonts w:ascii="Arial" w:eastAsia="Aptos" w:hAnsi="Arial" w:cs="Arial"/>
          <w:sz w:val="24"/>
          <w:szCs w:val="24"/>
        </w:rPr>
        <w:t>Uk</w:t>
      </w:r>
      <w:proofErr w:type="spellEnd"/>
      <w:r w:rsidRPr="00F23AEC">
        <w:rPr>
          <w:rFonts w:ascii="Arial" w:eastAsia="Aptos" w:hAnsi="Arial" w:cs="Arial"/>
          <w:sz w:val="24"/>
          <w:szCs w:val="24"/>
        </w:rPr>
        <w:t xml:space="preserve"> Parliament, 2021). </w:t>
      </w:r>
    </w:p>
    <w:p w14:paraId="4B9516FD"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To summarise, the perception of police by the public significantly influences the degree of trust, cooperation, and compliance with the legal system in a community. A negative impression of policing poses substantial challenges for response policing, reducing legitimacy, exacerbating social inequalities, and impeding efforts to maintain public safety. The effectiveness of measures aimed at promoting fair and respectful treatment of the public by Police relies on thorough training, active involvement with the community, and strong systems of accountability. Although the measures implemented by police to promote fair treatment of the public have shown positive outcomes in many areas, there remain notable obstacles and opportunities for enhancement. </w:t>
      </w:r>
      <w:proofErr w:type="gramStart"/>
      <w:r w:rsidRPr="00F23AEC">
        <w:rPr>
          <w:rFonts w:ascii="Arial" w:eastAsia="Aptos" w:hAnsi="Arial" w:cs="Arial"/>
          <w:sz w:val="24"/>
          <w:szCs w:val="24"/>
        </w:rPr>
        <w:t>In order to</w:t>
      </w:r>
      <w:proofErr w:type="gramEnd"/>
      <w:r w:rsidRPr="00F23AEC">
        <w:rPr>
          <w:rFonts w:ascii="Arial" w:eastAsia="Aptos" w:hAnsi="Arial" w:cs="Arial"/>
          <w:sz w:val="24"/>
          <w:szCs w:val="24"/>
        </w:rPr>
        <w:t xml:space="preserve"> </w:t>
      </w:r>
      <w:r w:rsidRPr="00F23AEC">
        <w:rPr>
          <w:rFonts w:ascii="Arial" w:eastAsia="Aptos" w:hAnsi="Arial" w:cs="Arial"/>
          <w:sz w:val="24"/>
          <w:szCs w:val="24"/>
        </w:rPr>
        <w:lastRenderedPageBreak/>
        <w:t>enhance the efficiency and credibility of response policing, our attention should be directed towards identifying and resolving the root causes of adverse perceptions. This can be accomplished by fostering trust and collaboration between police and the broader community.</w:t>
      </w:r>
    </w:p>
    <w:p w14:paraId="319FBEC1"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Word count 2198</w:t>
      </w:r>
    </w:p>
    <w:p w14:paraId="5865B998" w14:textId="77777777" w:rsidR="00F23AEC" w:rsidRPr="00F23AEC" w:rsidRDefault="00F23AEC" w:rsidP="00F23AEC">
      <w:pPr>
        <w:spacing w:line="360" w:lineRule="auto"/>
        <w:jc w:val="both"/>
        <w:rPr>
          <w:rFonts w:ascii="Arial" w:eastAsia="Aptos" w:hAnsi="Arial" w:cs="Arial"/>
          <w:sz w:val="24"/>
          <w:szCs w:val="24"/>
        </w:rPr>
      </w:pPr>
    </w:p>
    <w:p w14:paraId="518DE0FF" w14:textId="77777777" w:rsidR="00F23AEC" w:rsidRPr="00F23AEC" w:rsidRDefault="00F23AEC" w:rsidP="00F23AEC">
      <w:pPr>
        <w:spacing w:line="360" w:lineRule="auto"/>
        <w:jc w:val="both"/>
        <w:rPr>
          <w:rFonts w:ascii="Arial" w:eastAsia="Aptos" w:hAnsi="Arial" w:cs="Arial"/>
          <w:sz w:val="24"/>
          <w:szCs w:val="24"/>
        </w:rPr>
      </w:pPr>
    </w:p>
    <w:p w14:paraId="4AFD7C3D" w14:textId="77777777" w:rsidR="00F23AEC" w:rsidRPr="00F23AEC" w:rsidRDefault="00F23AEC" w:rsidP="00F23AEC">
      <w:pPr>
        <w:spacing w:line="360" w:lineRule="auto"/>
        <w:jc w:val="both"/>
        <w:rPr>
          <w:rFonts w:ascii="Arial" w:eastAsia="Aptos" w:hAnsi="Arial" w:cs="Arial"/>
          <w:sz w:val="24"/>
          <w:szCs w:val="24"/>
        </w:rPr>
      </w:pPr>
    </w:p>
    <w:p w14:paraId="799415AF" w14:textId="77777777" w:rsidR="00F23AEC" w:rsidRPr="00F23AEC" w:rsidRDefault="00F23AEC" w:rsidP="00F23AEC">
      <w:pPr>
        <w:spacing w:line="360" w:lineRule="auto"/>
        <w:jc w:val="both"/>
        <w:rPr>
          <w:rFonts w:ascii="Arial" w:eastAsia="Aptos" w:hAnsi="Arial" w:cs="Arial"/>
          <w:sz w:val="24"/>
          <w:szCs w:val="24"/>
        </w:rPr>
      </w:pPr>
    </w:p>
    <w:p w14:paraId="4110DF7F" w14:textId="77777777" w:rsidR="00F23AEC" w:rsidRPr="00F23AEC" w:rsidRDefault="00F23AEC" w:rsidP="00F23AEC">
      <w:pPr>
        <w:spacing w:line="360" w:lineRule="auto"/>
        <w:jc w:val="both"/>
        <w:rPr>
          <w:rFonts w:ascii="Arial" w:eastAsia="Aptos" w:hAnsi="Arial" w:cs="Arial"/>
          <w:sz w:val="24"/>
          <w:szCs w:val="24"/>
        </w:rPr>
      </w:pPr>
    </w:p>
    <w:p w14:paraId="3F5AEDF8" w14:textId="77777777" w:rsidR="00F23AEC" w:rsidRPr="00F23AEC" w:rsidRDefault="00F23AEC" w:rsidP="00F23AEC">
      <w:pPr>
        <w:spacing w:line="360" w:lineRule="auto"/>
        <w:jc w:val="both"/>
        <w:rPr>
          <w:rFonts w:ascii="Arial" w:eastAsia="Aptos" w:hAnsi="Arial" w:cs="Arial"/>
          <w:sz w:val="24"/>
          <w:szCs w:val="24"/>
        </w:rPr>
      </w:pPr>
    </w:p>
    <w:p w14:paraId="1E680CFA" w14:textId="77777777" w:rsidR="00F23AEC" w:rsidRPr="00F23AEC" w:rsidRDefault="00F23AEC" w:rsidP="00F23AEC">
      <w:pPr>
        <w:spacing w:line="360" w:lineRule="auto"/>
        <w:jc w:val="both"/>
        <w:rPr>
          <w:rFonts w:ascii="Arial" w:eastAsia="Aptos" w:hAnsi="Arial" w:cs="Arial"/>
          <w:sz w:val="24"/>
          <w:szCs w:val="24"/>
        </w:rPr>
      </w:pPr>
    </w:p>
    <w:p w14:paraId="18C68A0C" w14:textId="77777777" w:rsidR="00F23AEC" w:rsidRPr="00F23AEC" w:rsidRDefault="00F23AEC" w:rsidP="00F23AEC">
      <w:pPr>
        <w:spacing w:line="360" w:lineRule="auto"/>
        <w:jc w:val="both"/>
        <w:rPr>
          <w:rFonts w:ascii="Arial" w:eastAsia="Aptos" w:hAnsi="Arial" w:cs="Arial"/>
          <w:sz w:val="24"/>
          <w:szCs w:val="24"/>
        </w:rPr>
      </w:pPr>
    </w:p>
    <w:p w14:paraId="13AA9CD1" w14:textId="77777777" w:rsidR="00F23AEC" w:rsidRPr="00F23AEC" w:rsidRDefault="00F23AEC" w:rsidP="00F23AEC">
      <w:pPr>
        <w:spacing w:line="360" w:lineRule="auto"/>
        <w:jc w:val="both"/>
        <w:rPr>
          <w:rFonts w:ascii="Arial" w:eastAsia="Aptos" w:hAnsi="Arial" w:cs="Arial"/>
          <w:sz w:val="24"/>
          <w:szCs w:val="24"/>
        </w:rPr>
      </w:pPr>
    </w:p>
    <w:p w14:paraId="134EC915" w14:textId="77777777" w:rsidR="00F23AEC" w:rsidRPr="00F23AEC" w:rsidRDefault="00F23AEC" w:rsidP="00F23AEC">
      <w:pPr>
        <w:spacing w:line="360" w:lineRule="auto"/>
        <w:jc w:val="both"/>
        <w:rPr>
          <w:rFonts w:ascii="Arial" w:eastAsia="Aptos" w:hAnsi="Arial" w:cs="Arial"/>
          <w:sz w:val="24"/>
          <w:szCs w:val="24"/>
        </w:rPr>
      </w:pPr>
    </w:p>
    <w:p w14:paraId="5084E539" w14:textId="77777777" w:rsidR="00F23AEC" w:rsidRPr="00F23AEC" w:rsidRDefault="00F23AEC" w:rsidP="00F23AEC">
      <w:pPr>
        <w:spacing w:line="360" w:lineRule="auto"/>
        <w:jc w:val="both"/>
        <w:rPr>
          <w:rFonts w:ascii="Arial" w:eastAsia="Aptos" w:hAnsi="Arial" w:cs="Arial"/>
          <w:sz w:val="24"/>
          <w:szCs w:val="24"/>
        </w:rPr>
      </w:pPr>
    </w:p>
    <w:p w14:paraId="155A9733" w14:textId="77777777" w:rsidR="00F23AEC" w:rsidRPr="00F23AEC" w:rsidRDefault="00F23AEC" w:rsidP="00F23AEC">
      <w:pPr>
        <w:spacing w:line="360" w:lineRule="auto"/>
        <w:jc w:val="both"/>
        <w:rPr>
          <w:rFonts w:ascii="Arial" w:eastAsia="Aptos" w:hAnsi="Arial" w:cs="Arial"/>
          <w:sz w:val="24"/>
          <w:szCs w:val="24"/>
        </w:rPr>
      </w:pPr>
    </w:p>
    <w:p w14:paraId="4F672AAF" w14:textId="77777777" w:rsidR="00F23AEC" w:rsidRPr="00F23AEC" w:rsidRDefault="00F23AEC" w:rsidP="00F23AEC">
      <w:pPr>
        <w:spacing w:line="360" w:lineRule="auto"/>
        <w:jc w:val="both"/>
        <w:rPr>
          <w:rFonts w:ascii="Arial" w:eastAsia="Aptos" w:hAnsi="Arial" w:cs="Arial"/>
          <w:sz w:val="24"/>
          <w:szCs w:val="24"/>
        </w:rPr>
      </w:pPr>
    </w:p>
    <w:p w14:paraId="43DD6D64" w14:textId="77777777" w:rsidR="00F23AEC" w:rsidRPr="00F23AEC" w:rsidRDefault="00F23AEC" w:rsidP="00F23AEC">
      <w:pPr>
        <w:spacing w:line="360" w:lineRule="auto"/>
        <w:jc w:val="both"/>
        <w:rPr>
          <w:rFonts w:ascii="Arial" w:eastAsia="Aptos" w:hAnsi="Arial" w:cs="Arial"/>
          <w:sz w:val="24"/>
          <w:szCs w:val="24"/>
        </w:rPr>
      </w:pPr>
    </w:p>
    <w:p w14:paraId="20BA6BCC" w14:textId="77777777" w:rsidR="00F23AEC" w:rsidRPr="00F23AEC" w:rsidRDefault="00F23AEC" w:rsidP="00F23AEC">
      <w:pPr>
        <w:spacing w:line="360" w:lineRule="auto"/>
        <w:jc w:val="both"/>
        <w:rPr>
          <w:rFonts w:ascii="Arial" w:eastAsia="Aptos" w:hAnsi="Arial" w:cs="Arial"/>
          <w:sz w:val="24"/>
          <w:szCs w:val="24"/>
        </w:rPr>
      </w:pPr>
    </w:p>
    <w:p w14:paraId="2AC63C1D" w14:textId="77777777" w:rsidR="00F23AEC" w:rsidRPr="00F23AEC" w:rsidRDefault="00F23AEC" w:rsidP="00F23AEC">
      <w:pPr>
        <w:spacing w:line="360" w:lineRule="auto"/>
        <w:jc w:val="both"/>
        <w:rPr>
          <w:rFonts w:ascii="Arial" w:eastAsia="Aptos" w:hAnsi="Arial" w:cs="Arial"/>
          <w:sz w:val="24"/>
          <w:szCs w:val="24"/>
        </w:rPr>
      </w:pPr>
    </w:p>
    <w:p w14:paraId="11FCF78F" w14:textId="77777777" w:rsidR="00F23AEC" w:rsidRPr="00F23AEC" w:rsidRDefault="00F23AEC" w:rsidP="00F23AEC">
      <w:pPr>
        <w:spacing w:line="360" w:lineRule="auto"/>
        <w:jc w:val="both"/>
        <w:rPr>
          <w:rFonts w:ascii="Arial" w:eastAsia="Aptos" w:hAnsi="Arial" w:cs="Arial"/>
          <w:sz w:val="24"/>
          <w:szCs w:val="24"/>
        </w:rPr>
      </w:pPr>
    </w:p>
    <w:p w14:paraId="30B1E651" w14:textId="77777777" w:rsidR="00F23AEC" w:rsidRPr="00F23AEC" w:rsidRDefault="00F23AEC" w:rsidP="00F23AEC">
      <w:pPr>
        <w:spacing w:line="360" w:lineRule="auto"/>
        <w:jc w:val="both"/>
        <w:rPr>
          <w:rFonts w:ascii="Arial" w:eastAsia="Aptos" w:hAnsi="Arial" w:cs="Arial"/>
          <w:sz w:val="24"/>
          <w:szCs w:val="24"/>
        </w:rPr>
      </w:pPr>
    </w:p>
    <w:p w14:paraId="33DD8233" w14:textId="77777777" w:rsidR="00F23AEC" w:rsidRPr="00F23AEC" w:rsidRDefault="00F23AEC" w:rsidP="00F23AEC">
      <w:pPr>
        <w:spacing w:line="360" w:lineRule="auto"/>
        <w:jc w:val="both"/>
        <w:rPr>
          <w:rFonts w:ascii="Arial" w:eastAsia="Aptos" w:hAnsi="Arial" w:cs="Arial"/>
          <w:sz w:val="24"/>
          <w:szCs w:val="24"/>
        </w:rPr>
      </w:pPr>
    </w:p>
    <w:p w14:paraId="53D8B106" w14:textId="77777777" w:rsidR="00F23AEC" w:rsidRPr="00F23AEC" w:rsidRDefault="00F23AEC" w:rsidP="00F23AEC">
      <w:pPr>
        <w:spacing w:line="360" w:lineRule="auto"/>
        <w:jc w:val="both"/>
        <w:rPr>
          <w:rFonts w:ascii="Arial" w:eastAsia="Aptos" w:hAnsi="Arial" w:cs="Arial"/>
          <w:sz w:val="24"/>
          <w:szCs w:val="24"/>
        </w:rPr>
      </w:pPr>
    </w:p>
    <w:p w14:paraId="3B0C0C7F" w14:textId="77777777" w:rsidR="00F23AEC" w:rsidRPr="00F23AEC" w:rsidRDefault="00F23AEC" w:rsidP="00F23AEC">
      <w:pPr>
        <w:spacing w:line="360" w:lineRule="auto"/>
        <w:jc w:val="both"/>
        <w:rPr>
          <w:rFonts w:ascii="Arial" w:eastAsia="Aptos" w:hAnsi="Arial" w:cs="Arial"/>
          <w:sz w:val="24"/>
          <w:szCs w:val="24"/>
        </w:rPr>
      </w:pPr>
    </w:p>
    <w:p w14:paraId="58482B64"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 xml:space="preserve">References </w:t>
      </w:r>
    </w:p>
    <w:p w14:paraId="63B59190"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Ariel, B., Farrar, W. A., &amp; Sutherland, A. (2016). The Effect of Police Body-Worn Cameras on Use of Force and Citizens' Complaints Against the Police: A Randomized Controlled Trial. Journal of Quantitative Criminology.</w:t>
      </w:r>
    </w:p>
    <w:p w14:paraId="479E3347"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College of Policing (2019). Code of Ethics. Available at  </w:t>
      </w:r>
      <w:hyperlink r:id="rId9" w:history="1">
        <w:r w:rsidRPr="00F23AEC">
          <w:rPr>
            <w:rFonts w:ascii="Aptos" w:eastAsia="Aptos" w:hAnsi="Aptos" w:cs="Times New Roman"/>
            <w:color w:val="0000FF"/>
            <w:sz w:val="24"/>
            <w:szCs w:val="24"/>
            <w:u w:val="single"/>
          </w:rPr>
          <w:t>https://www.college.police.uk/ethics/code-of-ethics</w:t>
        </w:r>
      </w:hyperlink>
      <w:r w:rsidRPr="00F23AEC">
        <w:rPr>
          <w:rFonts w:ascii="Aptos" w:eastAsia="Aptos" w:hAnsi="Aptos" w:cs="Times New Roman"/>
          <w:sz w:val="24"/>
          <w:szCs w:val="24"/>
        </w:rPr>
        <w:t xml:space="preserve"> [Accessed April 2024]</w:t>
      </w:r>
    </w:p>
    <w:p w14:paraId="1B220F33" w14:textId="77777777" w:rsidR="00F23AEC" w:rsidRPr="00F23AEC" w:rsidRDefault="00F23AEC" w:rsidP="00F23AEC">
      <w:pPr>
        <w:spacing w:line="278" w:lineRule="auto"/>
        <w:rPr>
          <w:rFonts w:ascii="Aptos" w:eastAsia="Aptos" w:hAnsi="Aptos" w:cs="Times New Roman"/>
          <w:sz w:val="24"/>
          <w:szCs w:val="24"/>
        </w:rPr>
      </w:pPr>
      <w:proofErr w:type="spellStart"/>
      <w:proofErr w:type="gramStart"/>
      <w:r w:rsidRPr="00F23AEC">
        <w:rPr>
          <w:rFonts w:ascii="Aptos" w:eastAsia="Aptos" w:hAnsi="Aptos" w:cs="Times New Roman"/>
          <w:sz w:val="24"/>
          <w:szCs w:val="24"/>
        </w:rPr>
        <w:t>Cordner,G</w:t>
      </w:r>
      <w:proofErr w:type="spellEnd"/>
      <w:r w:rsidRPr="00F23AEC">
        <w:rPr>
          <w:rFonts w:ascii="Aptos" w:eastAsia="Aptos" w:hAnsi="Aptos" w:cs="Times New Roman"/>
          <w:sz w:val="24"/>
          <w:szCs w:val="24"/>
        </w:rPr>
        <w:t>.</w:t>
      </w:r>
      <w:proofErr w:type="gramEnd"/>
      <w:r w:rsidRPr="00F23AEC">
        <w:rPr>
          <w:rFonts w:ascii="Aptos" w:eastAsia="Aptos" w:hAnsi="Aptos" w:cs="Times New Roman"/>
          <w:sz w:val="24"/>
          <w:szCs w:val="24"/>
        </w:rPr>
        <w:t xml:space="preserve"> (2014) Community Policing. Available at </w:t>
      </w:r>
      <w:hyperlink r:id="rId10" w:history="1">
        <w:r w:rsidRPr="00F23AEC">
          <w:rPr>
            <w:rFonts w:ascii="Aptos" w:eastAsia="Aptos" w:hAnsi="Aptos" w:cs="Times New Roman"/>
            <w:color w:val="0000FF"/>
            <w:sz w:val="24"/>
            <w:szCs w:val="24"/>
            <w:u w:val="single"/>
          </w:rPr>
          <w:t>https://philpapers.org/rec/CORCP-4</w:t>
        </w:r>
      </w:hyperlink>
      <w:r w:rsidRPr="00F23AEC">
        <w:rPr>
          <w:rFonts w:ascii="Aptos" w:eastAsia="Aptos" w:hAnsi="Aptos" w:cs="Times New Roman"/>
          <w:sz w:val="24"/>
          <w:szCs w:val="24"/>
        </w:rPr>
        <w:t xml:space="preserve"> [Accessed March 2024]</w:t>
      </w:r>
    </w:p>
    <w:p w14:paraId="04ADDA4B" w14:textId="77777777" w:rsidR="00F23AEC" w:rsidRPr="00F23AEC" w:rsidRDefault="00F23AEC" w:rsidP="00F23AEC">
      <w:pPr>
        <w:spacing w:line="278" w:lineRule="auto"/>
        <w:rPr>
          <w:rFonts w:ascii="Aptos" w:eastAsia="Aptos" w:hAnsi="Aptos" w:cs="Times New Roman"/>
          <w:sz w:val="24"/>
          <w:szCs w:val="24"/>
        </w:rPr>
      </w:pPr>
      <w:bookmarkStart w:id="0" w:name="_Hlk167211892"/>
      <w:r w:rsidRPr="00F23AEC">
        <w:rPr>
          <w:rFonts w:ascii="Aptos" w:eastAsia="Aptos" w:hAnsi="Aptos" w:cs="Times New Roman"/>
          <w:sz w:val="24"/>
          <w:szCs w:val="24"/>
        </w:rPr>
        <w:t xml:space="preserve">Equality and Human Rights Commission (2018). Disproportionate use of stop and search powers in the UK. Available at </w:t>
      </w:r>
      <w:hyperlink r:id="rId11" w:history="1">
        <w:r w:rsidRPr="00F23AEC">
          <w:rPr>
            <w:rFonts w:ascii="Aptos" w:eastAsia="Aptos" w:hAnsi="Aptos" w:cs="Times New Roman"/>
            <w:color w:val="0000FF"/>
            <w:sz w:val="24"/>
            <w:szCs w:val="24"/>
            <w:u w:val="single"/>
          </w:rPr>
          <w:t>https://www.equalityhumanrights.com/sites/default/files/ehrc_stop_and_search_report.pdf</w:t>
        </w:r>
      </w:hyperlink>
      <w:r w:rsidRPr="00F23AEC">
        <w:rPr>
          <w:rFonts w:ascii="Aptos" w:eastAsia="Aptos" w:hAnsi="Aptos" w:cs="Times New Roman"/>
          <w:sz w:val="24"/>
          <w:szCs w:val="24"/>
        </w:rPr>
        <w:t xml:space="preserve"> [Accessed March 2024]</w:t>
      </w:r>
    </w:p>
    <w:bookmarkEnd w:id="0"/>
    <w:p w14:paraId="1C9C1CA8"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Gov.uk (2023). Police Powers: Stop and Search. Available at </w:t>
      </w:r>
      <w:hyperlink r:id="rId12" w:history="1">
        <w:r w:rsidRPr="00F23AEC">
          <w:rPr>
            <w:rFonts w:ascii="Aptos" w:eastAsia="Aptos" w:hAnsi="Aptos" w:cs="Times New Roman"/>
            <w:color w:val="0000FF"/>
            <w:sz w:val="24"/>
            <w:szCs w:val="24"/>
            <w:u w:val="single"/>
          </w:rPr>
          <w:t>https://homeofficemedia.blog.gov.uk/2023/06/23/police-powers-stop-and-search/</w:t>
        </w:r>
      </w:hyperlink>
      <w:r w:rsidRPr="00F23AEC">
        <w:rPr>
          <w:rFonts w:ascii="Aptos" w:eastAsia="Aptos" w:hAnsi="Aptos" w:cs="Times New Roman"/>
          <w:sz w:val="24"/>
          <w:szCs w:val="24"/>
        </w:rPr>
        <w:t xml:space="preserve"> [Accessed March 2024]</w:t>
      </w:r>
    </w:p>
    <w:p w14:paraId="2C040F5B"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Home Office (2020). Community Policing Strategy. Available at </w:t>
      </w:r>
      <w:hyperlink r:id="rId13" w:history="1">
        <w:r w:rsidRPr="00F23AEC">
          <w:rPr>
            <w:rFonts w:ascii="Aptos" w:eastAsia="Aptos" w:hAnsi="Aptos" w:cs="Times New Roman"/>
            <w:color w:val="0000FF"/>
            <w:sz w:val="24"/>
            <w:szCs w:val="24"/>
            <w:u w:val="single"/>
          </w:rPr>
          <w:t>https://www.gov.uk/government/publications/anti-social-behaviour-action-plan/anti-social-behaviour-action-plan</w:t>
        </w:r>
      </w:hyperlink>
      <w:r w:rsidRPr="00F23AEC">
        <w:rPr>
          <w:rFonts w:ascii="Aptos" w:eastAsia="Aptos" w:hAnsi="Aptos" w:cs="Times New Roman"/>
          <w:sz w:val="24"/>
          <w:szCs w:val="24"/>
        </w:rPr>
        <w:t xml:space="preserve"> [Accessed May 2024]</w:t>
      </w:r>
    </w:p>
    <w:p w14:paraId="32CDE3FC"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Hough M. (2012) Policing by consent: understanding the dynamics of police power and legitimacy. Available at </w:t>
      </w:r>
      <w:hyperlink r:id="rId14" w:history="1">
        <w:r w:rsidRPr="00F23AEC">
          <w:rPr>
            <w:rFonts w:ascii="Aptos" w:eastAsia="Aptos" w:hAnsi="Aptos" w:cs="Times New Roman"/>
            <w:color w:val="0000FF"/>
            <w:sz w:val="24"/>
            <w:szCs w:val="24"/>
            <w:u w:val="single"/>
          </w:rPr>
          <w:t>https://eprints.lse.ac.uk/47220/1/Policing%20by%20consent%28lsero%29.pdf</w:t>
        </w:r>
      </w:hyperlink>
      <w:r w:rsidRPr="00F23AEC">
        <w:rPr>
          <w:rFonts w:ascii="Aptos" w:eastAsia="Aptos" w:hAnsi="Aptos" w:cs="Times New Roman"/>
          <w:sz w:val="24"/>
          <w:szCs w:val="24"/>
        </w:rPr>
        <w:t xml:space="preserve"> [Accessed May 2024]</w:t>
      </w:r>
    </w:p>
    <w:p w14:paraId="1FB010CB"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HMICFRS (2021). State of Policing: The Annual Assessment of Policing in England and Wales. Available at </w:t>
      </w:r>
      <w:hyperlink r:id="rId15" w:history="1">
        <w:r w:rsidRPr="00F23AEC">
          <w:rPr>
            <w:rFonts w:ascii="Aptos" w:eastAsia="Aptos" w:hAnsi="Aptos" w:cs="Times New Roman"/>
            <w:color w:val="0000FF"/>
            <w:sz w:val="24"/>
            <w:szCs w:val="24"/>
            <w:u w:val="single"/>
          </w:rPr>
          <w:t>https://hmicfrs.justiceinspectorates.gov.uk/publications/state-of-policing-the-annual-assessment-of-policing-in-england-and-wales-2021/</w:t>
        </w:r>
      </w:hyperlink>
      <w:r w:rsidRPr="00F23AEC">
        <w:rPr>
          <w:rFonts w:ascii="Aptos" w:eastAsia="Aptos" w:hAnsi="Aptos" w:cs="Times New Roman"/>
          <w:sz w:val="24"/>
          <w:szCs w:val="24"/>
        </w:rPr>
        <w:t xml:space="preserve"> [Accessed April 2024]</w:t>
      </w:r>
    </w:p>
    <w:p w14:paraId="4080F1D8"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IOPS (2024) IOPC responds to </w:t>
      </w:r>
      <w:proofErr w:type="gramStart"/>
      <w:r w:rsidRPr="00F23AEC">
        <w:rPr>
          <w:rFonts w:ascii="Aptos" w:eastAsia="Aptos" w:hAnsi="Aptos" w:cs="Times New Roman"/>
          <w:sz w:val="24"/>
          <w:szCs w:val="24"/>
        </w:rPr>
        <w:t>Home</w:t>
      </w:r>
      <w:proofErr w:type="gramEnd"/>
      <w:r w:rsidRPr="00F23AEC">
        <w:rPr>
          <w:rFonts w:ascii="Aptos" w:eastAsia="Aptos" w:hAnsi="Aptos" w:cs="Times New Roman"/>
          <w:sz w:val="24"/>
          <w:szCs w:val="24"/>
        </w:rPr>
        <w:t xml:space="preserve"> Office reviews and new Director General announcement. Available at </w:t>
      </w:r>
      <w:hyperlink r:id="rId16" w:history="1">
        <w:r w:rsidRPr="00F23AEC">
          <w:rPr>
            <w:rFonts w:ascii="Aptos" w:eastAsia="Aptos" w:hAnsi="Aptos" w:cs="Times New Roman"/>
            <w:color w:val="0000FF"/>
            <w:sz w:val="24"/>
            <w:szCs w:val="24"/>
            <w:u w:val="single"/>
          </w:rPr>
          <w:t>https://www.policeconduct.gov.uk/news/iopc-responds-home-office-reviews-and-new-director-general-announcement</w:t>
        </w:r>
      </w:hyperlink>
      <w:r w:rsidRPr="00F23AEC">
        <w:rPr>
          <w:rFonts w:ascii="Aptos" w:eastAsia="Aptos" w:hAnsi="Aptos" w:cs="Times New Roman"/>
          <w:sz w:val="24"/>
          <w:szCs w:val="24"/>
        </w:rPr>
        <w:t xml:space="preserve"> [Accessed March 2024]</w:t>
      </w:r>
    </w:p>
    <w:p w14:paraId="2DCACADB"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Ipsos MORI (2021). Public Perception of Policing in England and Wales. Available at </w:t>
      </w:r>
      <w:hyperlink r:id="rId17" w:history="1">
        <w:r w:rsidRPr="00F23AEC">
          <w:rPr>
            <w:rFonts w:ascii="Aptos" w:eastAsia="Aptos" w:hAnsi="Aptos" w:cs="Times New Roman"/>
            <w:color w:val="0000FF"/>
            <w:sz w:val="24"/>
            <w:szCs w:val="24"/>
            <w:u w:val="single"/>
          </w:rPr>
          <w:t>https://www.ipsos.com/sites/default/files/ct/news/documents/2022-05/uk-public-perceptions-of-local-policing-and-the-police-ipsos-april-2022.pdf</w:t>
        </w:r>
      </w:hyperlink>
      <w:r w:rsidRPr="00F23AEC">
        <w:rPr>
          <w:rFonts w:ascii="Aptos" w:eastAsia="Aptos" w:hAnsi="Aptos" w:cs="Times New Roman"/>
          <w:sz w:val="24"/>
          <w:szCs w:val="24"/>
        </w:rPr>
        <w:t xml:space="preserve"> {Accessed May 2024]</w:t>
      </w:r>
    </w:p>
    <w:p w14:paraId="57D4EFCD"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lastRenderedPageBreak/>
        <w:t xml:space="preserve">Independent Office for Police Conduct (2020). Annual Report. Available at </w:t>
      </w:r>
      <w:hyperlink r:id="rId18" w:history="1">
        <w:r w:rsidRPr="00F23AEC">
          <w:rPr>
            <w:rFonts w:ascii="Aptos" w:eastAsia="Aptos" w:hAnsi="Aptos" w:cs="Times New Roman"/>
            <w:color w:val="0000FF"/>
            <w:sz w:val="24"/>
            <w:szCs w:val="24"/>
            <w:u w:val="single"/>
          </w:rPr>
          <w:t>https://www.policeconduct.gov.uk/about-us/our-strategy-and-performance/annual-report</w:t>
        </w:r>
      </w:hyperlink>
      <w:r w:rsidRPr="00F23AEC">
        <w:rPr>
          <w:rFonts w:ascii="Aptos" w:eastAsia="Aptos" w:hAnsi="Aptos" w:cs="Times New Roman"/>
          <w:sz w:val="24"/>
          <w:szCs w:val="24"/>
        </w:rPr>
        <w:t xml:space="preserve"> [Accessed March 2024]</w:t>
      </w:r>
    </w:p>
    <w:p w14:paraId="1F0066D0" w14:textId="77777777" w:rsidR="00F23AEC" w:rsidRPr="00F23AEC" w:rsidRDefault="00F23AEC" w:rsidP="00F23AEC">
      <w:pPr>
        <w:spacing w:line="278" w:lineRule="auto"/>
        <w:rPr>
          <w:rFonts w:ascii="Aptos" w:eastAsia="Aptos" w:hAnsi="Aptos" w:cs="Times New Roman"/>
          <w:color w:val="0000FF"/>
          <w:sz w:val="24"/>
          <w:szCs w:val="24"/>
          <w:u w:val="single"/>
        </w:rPr>
      </w:pPr>
      <w:r w:rsidRPr="00F23AEC">
        <w:rPr>
          <w:rFonts w:ascii="Aptos" w:eastAsia="Aptos" w:hAnsi="Aptos" w:cs="Times New Roman"/>
          <w:sz w:val="24"/>
          <w:szCs w:val="24"/>
        </w:rPr>
        <w:t>Jackson et al 2012a and Hough 2012</w:t>
      </w:r>
      <w:hyperlink w:history="1">
        <w:r w:rsidRPr="00F23AEC">
          <w:rPr>
            <w:rFonts w:ascii="Aptos" w:eastAsia="Aptos" w:hAnsi="Aptos" w:cs="Times New Roman"/>
            <w:color w:val="0000FF"/>
            <w:sz w:val="24"/>
            <w:szCs w:val="24"/>
            <w:u w:val="single"/>
          </w:rPr>
          <w:t>Public perceptions of policing: A review of research and literature - GOV.UK (www.gov.uk)</w:t>
        </w:r>
      </w:hyperlink>
    </w:p>
    <w:p w14:paraId="6D74FD25"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Police professionals (2006). Data terminals for all Met </w:t>
      </w:r>
      <w:proofErr w:type="gramStart"/>
      <w:r w:rsidRPr="00F23AEC">
        <w:rPr>
          <w:rFonts w:ascii="Aptos" w:eastAsia="Aptos" w:hAnsi="Aptos" w:cs="Times New Roman"/>
          <w:sz w:val="24"/>
          <w:szCs w:val="24"/>
        </w:rPr>
        <w:t>vehicles .</w:t>
      </w:r>
      <w:proofErr w:type="gramEnd"/>
      <w:r w:rsidRPr="00F23AEC">
        <w:rPr>
          <w:rFonts w:ascii="Aptos" w:eastAsia="Aptos" w:hAnsi="Aptos" w:cs="Times New Roman"/>
          <w:sz w:val="24"/>
          <w:szCs w:val="24"/>
        </w:rPr>
        <w:t xml:space="preserve"> Available at </w:t>
      </w:r>
      <w:hyperlink r:id="rId19" w:history="1">
        <w:r w:rsidRPr="00F23AEC">
          <w:rPr>
            <w:rFonts w:ascii="Aptos" w:eastAsia="Aptos" w:hAnsi="Aptos" w:cs="Times New Roman"/>
            <w:color w:val="0000FF"/>
            <w:sz w:val="24"/>
            <w:szCs w:val="24"/>
            <w:u w:val="single"/>
          </w:rPr>
          <w:t>https://policeprofessional.com/news/data-terminals-for-all-met-vehicles/</w:t>
        </w:r>
      </w:hyperlink>
      <w:r w:rsidRPr="00F23AEC">
        <w:rPr>
          <w:rFonts w:ascii="Aptos" w:eastAsia="Aptos" w:hAnsi="Aptos" w:cs="Times New Roman"/>
          <w:sz w:val="24"/>
          <w:szCs w:val="24"/>
        </w:rPr>
        <w:t xml:space="preserve"> [Accessed April 2024]</w:t>
      </w:r>
    </w:p>
    <w:p w14:paraId="3C206E80"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Police Foundation (2021) Radical reform is required if the police service is to look like the society it serves. Available at </w:t>
      </w:r>
      <w:hyperlink r:id="rId20" w:history="1">
        <w:r w:rsidRPr="00F23AEC">
          <w:rPr>
            <w:rFonts w:ascii="Aptos" w:eastAsia="Aptos" w:hAnsi="Aptos" w:cs="Times New Roman"/>
            <w:color w:val="0000FF"/>
            <w:sz w:val="24"/>
            <w:szCs w:val="24"/>
            <w:u w:val="single"/>
          </w:rPr>
          <w:t>https://www.police-foundation.org.uk/2021/02/radical-reform-is-required-if-the-police-service-is-to-look-like-the-society-it-serves/</w:t>
        </w:r>
      </w:hyperlink>
      <w:r w:rsidRPr="00F23AEC">
        <w:rPr>
          <w:rFonts w:ascii="Aptos" w:eastAsia="Aptos" w:hAnsi="Aptos" w:cs="Times New Roman"/>
          <w:sz w:val="24"/>
          <w:szCs w:val="24"/>
        </w:rPr>
        <w:t xml:space="preserve"> [Accessed May 2024]</w:t>
      </w:r>
    </w:p>
    <w:p w14:paraId="433BFA4B"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South Wales Police, (2024). Positive Action Support. Available at </w:t>
      </w:r>
      <w:hyperlink r:id="rId21" w:anchor=":~:text=Positive%20action%20refers%20to%20a,us%20better%20understand%20our%20communities" w:history="1">
        <w:r w:rsidRPr="00F23AEC">
          <w:rPr>
            <w:rFonts w:ascii="Aptos" w:eastAsia="Aptos" w:hAnsi="Aptos" w:cs="Times New Roman"/>
            <w:color w:val="0000FF"/>
            <w:sz w:val="24"/>
            <w:szCs w:val="24"/>
            <w:u w:val="single"/>
          </w:rPr>
          <w:t>https://www.south-wales.police.uk/police-forces/south-wales-police/areas/careers/careers/positive-action/#:~:text=Positive%20action%20refers%20to%20a,us%20better%20understand%20our%20communities</w:t>
        </w:r>
      </w:hyperlink>
      <w:r w:rsidRPr="00F23AEC">
        <w:rPr>
          <w:rFonts w:ascii="Aptos" w:eastAsia="Aptos" w:hAnsi="Aptos" w:cs="Times New Roman"/>
          <w:sz w:val="24"/>
          <w:szCs w:val="24"/>
        </w:rPr>
        <w:t>. [Accessed March 2024]</w:t>
      </w:r>
    </w:p>
    <w:p w14:paraId="6EFDE842" w14:textId="77777777" w:rsidR="00F23AEC" w:rsidRPr="00F23AEC" w:rsidRDefault="00F23AEC" w:rsidP="00F23AEC">
      <w:pPr>
        <w:spacing w:line="360" w:lineRule="auto"/>
        <w:jc w:val="both"/>
        <w:rPr>
          <w:rFonts w:ascii="Arial" w:eastAsia="Aptos" w:hAnsi="Arial" w:cs="Arial"/>
          <w:sz w:val="24"/>
          <w:szCs w:val="24"/>
        </w:rPr>
      </w:pPr>
      <w:proofErr w:type="spellStart"/>
      <w:r w:rsidRPr="00F23AEC">
        <w:rPr>
          <w:rFonts w:ascii="Arial" w:eastAsia="Aptos" w:hAnsi="Arial" w:cs="Arial"/>
          <w:sz w:val="24"/>
          <w:szCs w:val="24"/>
        </w:rPr>
        <w:t>Uk</w:t>
      </w:r>
      <w:proofErr w:type="spellEnd"/>
      <w:r w:rsidRPr="00F23AEC">
        <w:rPr>
          <w:rFonts w:ascii="Arial" w:eastAsia="Aptos" w:hAnsi="Arial" w:cs="Arial"/>
          <w:sz w:val="24"/>
          <w:szCs w:val="24"/>
        </w:rPr>
        <w:t xml:space="preserve"> Parliament (2022) Police conduct and complaints: Government Response to the Committee’s Sixth Report. Available at </w:t>
      </w:r>
      <w:hyperlink r:id="rId22" w:history="1">
        <w:r w:rsidRPr="00F23AEC">
          <w:rPr>
            <w:rFonts w:ascii="Arial" w:eastAsia="Aptos" w:hAnsi="Arial" w:cs="Arial"/>
            <w:color w:val="0000FF"/>
            <w:sz w:val="24"/>
            <w:szCs w:val="24"/>
            <w:u w:val="single"/>
          </w:rPr>
          <w:t>https://committees.parliament.uk/publications/22040/documents/165761/default/</w:t>
        </w:r>
      </w:hyperlink>
      <w:r w:rsidRPr="00F23AEC">
        <w:rPr>
          <w:rFonts w:ascii="Arial" w:eastAsia="Aptos" w:hAnsi="Arial" w:cs="Arial"/>
          <w:sz w:val="24"/>
          <w:szCs w:val="24"/>
        </w:rPr>
        <w:t xml:space="preserve"> [Accessed May 2024]</w:t>
      </w:r>
    </w:p>
    <w:p w14:paraId="1DC42417" w14:textId="77777777" w:rsidR="00F23AEC" w:rsidRPr="00F23AEC" w:rsidRDefault="00F23AEC" w:rsidP="00F23AEC">
      <w:pPr>
        <w:spacing w:line="360" w:lineRule="auto"/>
        <w:jc w:val="both"/>
        <w:rPr>
          <w:rFonts w:ascii="Arial" w:eastAsia="Aptos" w:hAnsi="Arial" w:cs="Arial"/>
          <w:sz w:val="24"/>
          <w:szCs w:val="24"/>
        </w:rPr>
      </w:pPr>
      <w:r w:rsidRPr="00F23AEC">
        <w:rPr>
          <w:rFonts w:ascii="Arial" w:eastAsia="Aptos" w:hAnsi="Arial" w:cs="Arial"/>
          <w:sz w:val="24"/>
          <w:szCs w:val="24"/>
        </w:rPr>
        <w:t>Tyler, T. R., &amp; Huo, Y. J. (2002). Trust in the law: Encouraging public cooperation with the police and courts. Russell Sage Foundation.</w:t>
      </w:r>
    </w:p>
    <w:p w14:paraId="08A9406E"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Tyler, T. R. (2004). Enhancing Police Legitimacy. The Annals of the American Academy of Political and Social Science.</w:t>
      </w:r>
    </w:p>
    <w:p w14:paraId="601966AB"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 xml:space="preserve">Webster, </w:t>
      </w:r>
      <w:proofErr w:type="gramStart"/>
      <w:r w:rsidRPr="00F23AEC">
        <w:rPr>
          <w:rFonts w:ascii="Aptos" w:eastAsia="Aptos" w:hAnsi="Aptos" w:cs="Times New Roman"/>
          <w:sz w:val="24"/>
          <w:szCs w:val="24"/>
        </w:rPr>
        <w:t>R,.</w:t>
      </w:r>
      <w:proofErr w:type="gramEnd"/>
      <w:r w:rsidRPr="00F23AEC">
        <w:rPr>
          <w:rFonts w:ascii="Aptos" w:eastAsia="Aptos" w:hAnsi="Aptos" w:cs="Times New Roman"/>
          <w:sz w:val="24"/>
          <w:szCs w:val="24"/>
        </w:rPr>
        <w:t xml:space="preserve"> (2023) The Latest (2023) Stop </w:t>
      </w:r>
      <w:proofErr w:type="gramStart"/>
      <w:r w:rsidRPr="00F23AEC">
        <w:rPr>
          <w:rFonts w:ascii="Aptos" w:eastAsia="Aptos" w:hAnsi="Aptos" w:cs="Times New Roman"/>
          <w:sz w:val="24"/>
          <w:szCs w:val="24"/>
        </w:rPr>
        <w:t>And</w:t>
      </w:r>
      <w:proofErr w:type="gramEnd"/>
      <w:r w:rsidRPr="00F23AEC">
        <w:rPr>
          <w:rFonts w:ascii="Aptos" w:eastAsia="Aptos" w:hAnsi="Aptos" w:cs="Times New Roman"/>
          <w:sz w:val="24"/>
          <w:szCs w:val="24"/>
        </w:rPr>
        <w:t xml:space="preserve"> Search And Arrest Trends. Available at </w:t>
      </w:r>
      <w:hyperlink r:id="rId23" w:history="1">
        <w:r w:rsidRPr="00F23AEC">
          <w:rPr>
            <w:rFonts w:ascii="Aptos" w:eastAsia="Aptos" w:hAnsi="Aptos" w:cs="Times New Roman"/>
            <w:color w:val="0000FF"/>
            <w:sz w:val="24"/>
            <w:szCs w:val="24"/>
            <w:u w:val="single"/>
          </w:rPr>
          <w:t>https://www.russellwebster.com/just-one-in-seven-of-half-a-million-police-searches-result-in-arrests/</w:t>
        </w:r>
      </w:hyperlink>
      <w:r w:rsidRPr="00F23AEC">
        <w:rPr>
          <w:rFonts w:ascii="Aptos" w:eastAsia="Aptos" w:hAnsi="Aptos" w:cs="Times New Roman"/>
          <w:sz w:val="24"/>
          <w:szCs w:val="24"/>
        </w:rPr>
        <w:t xml:space="preserve"> [Accessed March 2024]</w:t>
      </w:r>
    </w:p>
    <w:p w14:paraId="49849C7D" w14:textId="77777777" w:rsidR="00F23AEC" w:rsidRPr="00F23AEC" w:rsidRDefault="00F23AEC" w:rsidP="00F23AEC">
      <w:pPr>
        <w:spacing w:line="278" w:lineRule="auto"/>
        <w:rPr>
          <w:rFonts w:ascii="Aptos" w:eastAsia="Aptos" w:hAnsi="Aptos" w:cs="Times New Roman"/>
          <w:sz w:val="24"/>
          <w:szCs w:val="24"/>
        </w:rPr>
      </w:pPr>
      <w:r w:rsidRPr="00F23AEC">
        <w:rPr>
          <w:rFonts w:ascii="Aptos" w:eastAsia="Aptos" w:hAnsi="Aptos" w:cs="Times New Roman"/>
          <w:sz w:val="24"/>
          <w:szCs w:val="24"/>
        </w:rPr>
        <w:t>White, M. D., &amp; Malm, A. (2020). Cops, Cameras, and Crisis: The Potential and the Perils of Police Body-Worn Cameras. Policing: An International Journal.</w:t>
      </w:r>
    </w:p>
    <w:p w14:paraId="7F74569A" w14:textId="77777777" w:rsidR="00F23AEC" w:rsidRPr="00F23AEC" w:rsidRDefault="00F23AEC" w:rsidP="00F23AEC">
      <w:pPr>
        <w:spacing w:line="360" w:lineRule="auto"/>
        <w:jc w:val="both"/>
        <w:rPr>
          <w:rFonts w:ascii="Arial" w:eastAsia="Aptos" w:hAnsi="Arial" w:cs="Arial"/>
          <w:sz w:val="24"/>
          <w:szCs w:val="24"/>
        </w:rPr>
      </w:pPr>
    </w:p>
    <w:p w14:paraId="515C36D7" w14:textId="77777777" w:rsidR="00F23AEC" w:rsidRDefault="00F23AEC"/>
    <w:sectPr w:rsidR="00F23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AEC"/>
    <w:rsid w:val="002779EE"/>
    <w:rsid w:val="00F23AEC"/>
    <w:rsid w:val="00F91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E5827"/>
  <w15:chartTrackingRefBased/>
  <w15:docId w15:val="{29DEDF8D-EFB7-4CA5-85F8-E0FA045B2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A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8418232/" TargetMode="External"/><Relationship Id="rId13" Type="http://schemas.openxmlformats.org/officeDocument/2006/relationships/hyperlink" Target="https://www.gov.uk/government/publications/anti-social-behaviour-action-plan/anti-social-behaviour-action-plan" TargetMode="External"/><Relationship Id="rId18" Type="http://schemas.openxmlformats.org/officeDocument/2006/relationships/hyperlink" Target="https://www.policeconduct.gov.uk/about-us/our-strategy-and-performance/annual-report" TargetMode="External"/><Relationship Id="rId3" Type="http://schemas.openxmlformats.org/officeDocument/2006/relationships/webSettings" Target="webSettings.xml"/><Relationship Id="rId21" Type="http://schemas.openxmlformats.org/officeDocument/2006/relationships/hyperlink" Target="https://www.south-wales.police.uk/police-forces/south-wales-police/areas/careers/careers/positive-action/" TargetMode="External"/><Relationship Id="rId7" Type="http://schemas.openxmlformats.org/officeDocument/2006/relationships/hyperlink" Target="https://psycnet.apa.org/record/2012-33687-001" TargetMode="External"/><Relationship Id="rId12" Type="http://schemas.openxmlformats.org/officeDocument/2006/relationships/hyperlink" Target="https://homeofficemedia.blog.gov.uk/2023/06/23/police-powers-stop-and-search/" TargetMode="External"/><Relationship Id="rId17" Type="http://schemas.openxmlformats.org/officeDocument/2006/relationships/hyperlink" Target="https://www.ipsos.com/sites/default/files/ct/news/documents/2022-05/uk-public-perceptions-of-local-policing-and-the-police-ipsos-april-2022.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policeconduct.gov.uk/news/iopc-responds-home-office-reviews-and-new-director-general-announcement" TargetMode="External"/><Relationship Id="rId20" Type="http://schemas.openxmlformats.org/officeDocument/2006/relationships/hyperlink" Target="https://www.police-foundation.org.uk/2021/02/radical-reform-is-required-if-the-police-service-is-to-look-like-the-society-it-serves/" TargetMode="External"/><Relationship Id="rId1" Type="http://schemas.openxmlformats.org/officeDocument/2006/relationships/styles" Target="styles.xml"/><Relationship Id="rId6" Type="http://schemas.openxmlformats.org/officeDocument/2006/relationships/hyperlink" Target="https://thenewpress.com/books/invisible-punishment" TargetMode="External"/><Relationship Id="rId11" Type="http://schemas.openxmlformats.org/officeDocument/2006/relationships/hyperlink" Target="https://www.equalityhumanrights.com/sites/default/files/ehrc_stop_and_search_report.pdf" TargetMode="External"/><Relationship Id="rId24" Type="http://schemas.openxmlformats.org/officeDocument/2006/relationships/fontTable" Target="fontTable.xml"/><Relationship Id="rId5" Type="http://schemas.openxmlformats.org/officeDocument/2006/relationships/hyperlink" Target="https://www.policeconduct.gov.uk/" TargetMode="External"/><Relationship Id="rId15" Type="http://schemas.openxmlformats.org/officeDocument/2006/relationships/hyperlink" Target="https://hmicfrs.justiceinspectorates.gov.uk/publications/state-of-policing-the-annual-assessment-of-policing-in-england-and-wales-2021/" TargetMode="External"/><Relationship Id="rId23" Type="http://schemas.openxmlformats.org/officeDocument/2006/relationships/hyperlink" Target="https://www.russellwebster.com/just-one-in-seven-of-half-a-million-police-searches-result-in-arrests/" TargetMode="External"/><Relationship Id="rId10" Type="http://schemas.openxmlformats.org/officeDocument/2006/relationships/hyperlink" Target="https://philpapers.org/rec/CORCP-4" TargetMode="External"/><Relationship Id="rId19" Type="http://schemas.openxmlformats.org/officeDocument/2006/relationships/hyperlink" Target="https://policeprofessional.com/news/data-terminals-for-all-met-vehicles/" TargetMode="External"/><Relationship Id="rId4" Type="http://schemas.openxmlformats.org/officeDocument/2006/relationships/hyperlink" Target="https://www.college.police.uk/app/engagement-and-communication/engagement" TargetMode="External"/><Relationship Id="rId9" Type="http://schemas.openxmlformats.org/officeDocument/2006/relationships/hyperlink" Target="https://www.college.police.uk/ethics/code-of-ethics" TargetMode="External"/><Relationship Id="rId14" Type="http://schemas.openxmlformats.org/officeDocument/2006/relationships/hyperlink" Target="https://eprints.lse.ac.uk/47220/1/Policing%20by%20consent%28lsero%29.pdf" TargetMode="External"/><Relationship Id="rId22" Type="http://schemas.openxmlformats.org/officeDocument/2006/relationships/hyperlink" Target="https://committees.parliament.uk/publications/22040/documents/165761/def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5924</Words>
  <Characters>33773</Characters>
  <Application>Microsoft Office Word</Application>
  <DocSecurity>0</DocSecurity>
  <Lines>281</Lines>
  <Paragraphs>79</Paragraphs>
  <ScaleCrop>false</ScaleCrop>
  <Company>South Wales Police</Company>
  <LinksUpToDate>false</LinksUpToDate>
  <CharactersWithSpaces>39618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Emanuel,Liam swp8394</dc:creator>
  <cp:keywords/>
  <dc:description/>
  <cp:lastModifiedBy>Emanuel,Liam swp8394</cp:lastModifiedBy>
  <cp:revision>1</cp:revision>
  <dcterms:created xsi:type="dcterms:W3CDTF">2024-05-23T01:48:00Z</dcterms:created>
  <dcterms:modified xsi:type="dcterms:W3CDTF">2024-05-23T01:52:00Z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2024-05-23T01:52:56Z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e832e9b3-b6ff-45e4-b20d-8d3b330d042c</vt:lpwstr>
  </property>
  <property fmtid="{D5CDD505-2E9C-101B-9397-08002B2CF9AE}" pid="8" name="MSIP_Label_66cf8fe5-b7b7-4df7-b38d-1c61ac2f6639_ContentBits">
    <vt:lpwstr>0</vt:lpwstr>
  </property>
</Properties>
</file>