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D9F83D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A0387">
              <w:rPr>
                <w:rFonts w:ascii="Times New Roman" w:hAnsi="Times New Roman" w:cs="Times New Roman"/>
                <w:b/>
                <w:color w:val="auto"/>
                <w:sz w:val="48"/>
              </w:rPr>
              <w:t xml:space="preserve">Leah Fuge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94F44C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A0387">
              <w:rPr>
                <w:rFonts w:ascii="Times New Roman" w:hAnsi="Times New Roman" w:cs="Times New Roman"/>
                <w:b/>
                <w:color w:val="auto"/>
                <w:sz w:val="48"/>
              </w:rPr>
              <w:t xml:space="preserve"> leah.fuge@swansea.gov.uk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13B24FD" w14:textId="77777777" w:rsidR="006D7BB2" w:rsidRDefault="0085230E" w:rsidP="006D7BB2">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D7BB2">
              <w:rPr>
                <w:rFonts w:ascii="Times New Roman" w:hAnsi="Times New Roman" w:cs="Times New Roman"/>
                <w:b/>
                <w:color w:val="auto"/>
                <w:sz w:val="48"/>
              </w:rPr>
              <w:t xml:space="preserve"> </w:t>
            </w:r>
          </w:p>
          <w:p w14:paraId="40AB5E99" w14:textId="1DF23DD7" w:rsidR="006D7BB2" w:rsidRPr="005D3F07" w:rsidRDefault="006D7BB2" w:rsidP="006D7BB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rPr>
              <w:t>2518606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575AAD09" w14:textId="77777777" w:rsidR="00B94E5D" w:rsidRDefault="00B94E5D" w:rsidP="00FF7EBB">
            <w:pPr>
              <w:jc w:val="both"/>
              <w:rPr>
                <w:sz w:val="24"/>
                <w:szCs w:val="24"/>
              </w:rPr>
            </w:pPr>
          </w:p>
          <w:p w14:paraId="510D0160" w14:textId="7E25DD24" w:rsidR="00C40C52" w:rsidRDefault="003B4DB2" w:rsidP="00C40C52">
            <w:pPr>
              <w:rPr>
                <w:sz w:val="24"/>
                <w:szCs w:val="24"/>
              </w:rPr>
            </w:pPr>
            <w:r>
              <w:rPr>
                <w:sz w:val="24"/>
                <w:szCs w:val="24"/>
              </w:rPr>
              <w:t>S</w:t>
            </w:r>
            <w:r w:rsidR="00C40C52">
              <w:rPr>
                <w:sz w:val="24"/>
                <w:szCs w:val="24"/>
              </w:rPr>
              <w:t>ocial workers</w:t>
            </w:r>
            <w:r>
              <w:rPr>
                <w:sz w:val="24"/>
                <w:szCs w:val="24"/>
              </w:rPr>
              <w:t xml:space="preserve"> require</w:t>
            </w:r>
            <w:r w:rsidR="007E7B79">
              <w:rPr>
                <w:sz w:val="24"/>
                <w:szCs w:val="24"/>
              </w:rPr>
              <w:t xml:space="preserve"> </w:t>
            </w:r>
            <w:r w:rsidR="00C40C52">
              <w:rPr>
                <w:sz w:val="24"/>
                <w:szCs w:val="24"/>
              </w:rPr>
              <w:t>a good knowledge of safeguarding in respect of both children and adults</w:t>
            </w:r>
            <w:r w:rsidR="00FC7FC8">
              <w:rPr>
                <w:sz w:val="24"/>
                <w:szCs w:val="24"/>
              </w:rPr>
              <w:t xml:space="preserve"> </w:t>
            </w:r>
            <w:proofErr w:type="gramStart"/>
            <w:r w:rsidR="00FC7FC8">
              <w:rPr>
                <w:sz w:val="24"/>
                <w:szCs w:val="24"/>
              </w:rPr>
              <w:t>in order to</w:t>
            </w:r>
            <w:proofErr w:type="gramEnd"/>
            <w:r w:rsidR="00FC7FC8">
              <w:rPr>
                <w:sz w:val="24"/>
                <w:szCs w:val="24"/>
              </w:rPr>
              <w:t xml:space="preserve"> inform their practice</w:t>
            </w:r>
            <w:r w:rsidR="00C40C52">
              <w:rPr>
                <w:sz w:val="24"/>
                <w:szCs w:val="24"/>
              </w:rPr>
              <w:t xml:space="preserve">. In respect of children, there is a statutory duty for social workers and other professionals to endeavour to work to </w:t>
            </w:r>
            <w:r w:rsidR="00FC7FC8">
              <w:rPr>
                <w:sz w:val="24"/>
                <w:szCs w:val="24"/>
              </w:rPr>
              <w:t>promote</w:t>
            </w:r>
            <w:r w:rsidR="00C40C52">
              <w:rPr>
                <w:sz w:val="24"/>
                <w:szCs w:val="24"/>
              </w:rPr>
              <w:t xml:space="preserve"> the safety and welfare of children and young people.</w:t>
            </w:r>
            <w:r w:rsidR="00D45776">
              <w:rPr>
                <w:sz w:val="24"/>
                <w:szCs w:val="24"/>
              </w:rPr>
              <w:t xml:space="preserve"> To</w:t>
            </w:r>
            <w:r w:rsidR="00C40C52">
              <w:rPr>
                <w:sz w:val="24"/>
                <w:szCs w:val="24"/>
              </w:rPr>
              <w:t xml:space="preserve"> protect children at risk of abuse and neglect there are</w:t>
            </w:r>
            <w:r w:rsidR="004168D0">
              <w:rPr>
                <w:sz w:val="24"/>
                <w:szCs w:val="24"/>
              </w:rPr>
              <w:t xml:space="preserve"> currently</w:t>
            </w:r>
            <w:r w:rsidR="00C40C52">
              <w:rPr>
                <w:sz w:val="24"/>
                <w:szCs w:val="24"/>
              </w:rPr>
              <w:t xml:space="preserve"> legal frameworks and statutory procedures to inform social work practice, including the Social Services and Well-being (Wales) Act 2014 </w:t>
            </w:r>
            <w:r w:rsidR="0038274A">
              <w:rPr>
                <w:sz w:val="24"/>
                <w:szCs w:val="24"/>
              </w:rPr>
              <w:t>(</w:t>
            </w:r>
            <w:r w:rsidR="00C40C52">
              <w:rPr>
                <w:sz w:val="24"/>
                <w:szCs w:val="24"/>
              </w:rPr>
              <w:t>SSWBA</w:t>
            </w:r>
            <w:r w:rsidR="0038274A">
              <w:rPr>
                <w:sz w:val="24"/>
                <w:szCs w:val="24"/>
              </w:rPr>
              <w:t>)</w:t>
            </w:r>
            <w:r w:rsidR="00C40C52">
              <w:rPr>
                <w:sz w:val="24"/>
                <w:szCs w:val="24"/>
              </w:rPr>
              <w:t xml:space="preserve"> and Section 47 of the Children Act 1989. </w:t>
            </w:r>
          </w:p>
          <w:p w14:paraId="7AFAA0FB" w14:textId="77777777" w:rsidR="00C40C52" w:rsidRDefault="00C40C52" w:rsidP="00C40C52">
            <w:pPr>
              <w:rPr>
                <w:sz w:val="24"/>
                <w:szCs w:val="24"/>
              </w:rPr>
            </w:pPr>
          </w:p>
          <w:p w14:paraId="7BFEA69B" w14:textId="5F922F7B" w:rsidR="00C40C52" w:rsidRDefault="00C40C52" w:rsidP="00C40C52">
            <w:pPr>
              <w:rPr>
                <w:sz w:val="24"/>
                <w:szCs w:val="24"/>
              </w:rPr>
            </w:pPr>
            <w:r>
              <w:rPr>
                <w:sz w:val="24"/>
                <w:szCs w:val="24"/>
              </w:rPr>
              <w:t>The SSWBA promotes early intervention and preventative measure</w:t>
            </w:r>
            <w:r w:rsidR="00DA79DE">
              <w:rPr>
                <w:sz w:val="24"/>
                <w:szCs w:val="24"/>
              </w:rPr>
              <w:t>s</w:t>
            </w:r>
            <w:r>
              <w:rPr>
                <w:sz w:val="24"/>
                <w:szCs w:val="24"/>
              </w:rPr>
              <w:t xml:space="preserve"> to reduce the risk of crisis.  In addition to this, </w:t>
            </w:r>
            <w:r w:rsidR="00CD4053">
              <w:rPr>
                <w:sz w:val="24"/>
                <w:szCs w:val="24"/>
              </w:rPr>
              <w:t>t</w:t>
            </w:r>
            <w:r>
              <w:rPr>
                <w:sz w:val="24"/>
                <w:szCs w:val="24"/>
              </w:rPr>
              <w:t xml:space="preserve">he Wales Safeguarding Procedures </w:t>
            </w:r>
            <w:r w:rsidR="00126A7B">
              <w:rPr>
                <w:sz w:val="24"/>
                <w:szCs w:val="24"/>
              </w:rPr>
              <w:t>(</w:t>
            </w:r>
            <w:r>
              <w:rPr>
                <w:sz w:val="24"/>
                <w:szCs w:val="24"/>
              </w:rPr>
              <w:t>2019</w:t>
            </w:r>
            <w:r w:rsidR="00126A7B">
              <w:rPr>
                <w:sz w:val="24"/>
                <w:szCs w:val="24"/>
              </w:rPr>
              <w:t>)</w:t>
            </w:r>
            <w:r>
              <w:rPr>
                <w:sz w:val="24"/>
                <w:szCs w:val="24"/>
              </w:rPr>
              <w:t xml:space="preserve"> guide professionals by describing the responsibilities and roles for practitioners in ensuring individuals are safeguarded from risk of abuse or neglect</w:t>
            </w:r>
            <w:r w:rsidR="009B329D">
              <w:rPr>
                <w:sz w:val="24"/>
                <w:szCs w:val="24"/>
              </w:rPr>
              <w:t>.</w:t>
            </w:r>
            <w:r>
              <w:rPr>
                <w:sz w:val="24"/>
                <w:szCs w:val="24"/>
              </w:rPr>
              <w:t xml:space="preserve"> Section 3 of the Wales Safeguarding Procedures </w:t>
            </w:r>
            <w:r w:rsidR="009B329D">
              <w:rPr>
                <w:sz w:val="24"/>
                <w:szCs w:val="24"/>
              </w:rPr>
              <w:t>(</w:t>
            </w:r>
            <w:r>
              <w:rPr>
                <w:sz w:val="24"/>
                <w:szCs w:val="24"/>
              </w:rPr>
              <w:t>2019</w:t>
            </w:r>
            <w:r w:rsidR="009B329D">
              <w:rPr>
                <w:sz w:val="24"/>
                <w:szCs w:val="24"/>
              </w:rPr>
              <w:t>)</w:t>
            </w:r>
            <w:r>
              <w:rPr>
                <w:sz w:val="24"/>
                <w:szCs w:val="24"/>
              </w:rPr>
              <w:t xml:space="preserve"> includes information </w:t>
            </w:r>
            <w:r w:rsidR="00CE4573">
              <w:rPr>
                <w:sz w:val="24"/>
                <w:szCs w:val="24"/>
              </w:rPr>
              <w:t>surrounding the</w:t>
            </w:r>
            <w:r>
              <w:rPr>
                <w:sz w:val="24"/>
                <w:szCs w:val="24"/>
              </w:rPr>
              <w:t xml:space="preserve"> role and responsibilit</w:t>
            </w:r>
            <w:r w:rsidR="00CE4573">
              <w:rPr>
                <w:sz w:val="24"/>
                <w:szCs w:val="24"/>
              </w:rPr>
              <w:t>ies</w:t>
            </w:r>
            <w:r>
              <w:rPr>
                <w:sz w:val="24"/>
                <w:szCs w:val="24"/>
              </w:rPr>
              <w:t xml:space="preserve"> of practitioners following receipt of a report by social services about a child at risk of harm.</w:t>
            </w:r>
          </w:p>
          <w:p w14:paraId="734A7806" w14:textId="77777777" w:rsidR="00C40C52" w:rsidRDefault="00C40C52" w:rsidP="00C40C52">
            <w:pPr>
              <w:rPr>
                <w:sz w:val="24"/>
                <w:szCs w:val="24"/>
              </w:rPr>
            </w:pPr>
          </w:p>
          <w:p w14:paraId="0AEB77CB" w14:textId="130B9DA1" w:rsidR="00C40C52" w:rsidRDefault="00C40C52" w:rsidP="00C40C52">
            <w:pPr>
              <w:rPr>
                <w:sz w:val="24"/>
                <w:szCs w:val="24"/>
              </w:rPr>
            </w:pPr>
            <w:r>
              <w:rPr>
                <w:sz w:val="24"/>
                <w:szCs w:val="24"/>
              </w:rPr>
              <w:t xml:space="preserve">It is </w:t>
            </w:r>
            <w:r w:rsidR="0077575B">
              <w:rPr>
                <w:sz w:val="24"/>
                <w:szCs w:val="24"/>
              </w:rPr>
              <w:t>essential</w:t>
            </w:r>
            <w:r>
              <w:rPr>
                <w:sz w:val="24"/>
                <w:szCs w:val="24"/>
              </w:rPr>
              <w:t xml:space="preserve"> that social workers</w:t>
            </w:r>
            <w:r w:rsidR="00074CD8">
              <w:rPr>
                <w:sz w:val="24"/>
                <w:szCs w:val="24"/>
              </w:rPr>
              <w:t xml:space="preserve"> </w:t>
            </w:r>
            <w:r w:rsidR="00061178">
              <w:rPr>
                <w:sz w:val="24"/>
                <w:szCs w:val="24"/>
              </w:rPr>
              <w:t>understand</w:t>
            </w:r>
            <w:r>
              <w:rPr>
                <w:sz w:val="24"/>
                <w:szCs w:val="24"/>
              </w:rPr>
              <w:t xml:space="preserve"> the Children Act 1989.  This is th</w:t>
            </w:r>
            <w:r w:rsidR="00630329">
              <w:rPr>
                <w:sz w:val="24"/>
                <w:szCs w:val="24"/>
              </w:rPr>
              <w:t xml:space="preserve">e </w:t>
            </w:r>
            <w:r w:rsidR="00C35CE0">
              <w:rPr>
                <w:sz w:val="24"/>
                <w:szCs w:val="24"/>
              </w:rPr>
              <w:t>principal</w:t>
            </w:r>
            <w:r>
              <w:rPr>
                <w:sz w:val="24"/>
                <w:szCs w:val="24"/>
              </w:rPr>
              <w:t xml:space="preserve"> legislation </w:t>
            </w:r>
            <w:r w:rsidR="00630329">
              <w:rPr>
                <w:sz w:val="24"/>
                <w:szCs w:val="24"/>
              </w:rPr>
              <w:t>with</w:t>
            </w:r>
            <w:r>
              <w:rPr>
                <w:sz w:val="24"/>
                <w:szCs w:val="24"/>
              </w:rPr>
              <w:t xml:space="preserve">in </w:t>
            </w:r>
            <w:r w:rsidR="00630329">
              <w:rPr>
                <w:sz w:val="24"/>
                <w:szCs w:val="24"/>
              </w:rPr>
              <w:t xml:space="preserve">England and Wales </w:t>
            </w:r>
            <w:r>
              <w:rPr>
                <w:sz w:val="24"/>
                <w:szCs w:val="24"/>
              </w:rPr>
              <w:t xml:space="preserve">that </w:t>
            </w:r>
            <w:r w:rsidR="00061178">
              <w:rPr>
                <w:sz w:val="24"/>
                <w:szCs w:val="24"/>
              </w:rPr>
              <w:t>relates to</w:t>
            </w:r>
            <w:r>
              <w:rPr>
                <w:sz w:val="24"/>
                <w:szCs w:val="24"/>
              </w:rPr>
              <w:t xml:space="preserve"> </w:t>
            </w:r>
            <w:r w:rsidR="00B7776D">
              <w:rPr>
                <w:sz w:val="24"/>
                <w:szCs w:val="24"/>
              </w:rPr>
              <w:t>c</w:t>
            </w:r>
            <w:r>
              <w:rPr>
                <w:sz w:val="24"/>
                <w:szCs w:val="24"/>
              </w:rPr>
              <w:t xml:space="preserve">hild protection and </w:t>
            </w:r>
            <w:r w:rsidR="00B7776D">
              <w:rPr>
                <w:sz w:val="24"/>
                <w:szCs w:val="24"/>
              </w:rPr>
              <w:t>s</w:t>
            </w:r>
            <w:r>
              <w:rPr>
                <w:sz w:val="24"/>
                <w:szCs w:val="24"/>
              </w:rPr>
              <w:t xml:space="preserve">afeguarding.  When a report is </w:t>
            </w:r>
            <w:r w:rsidR="002703EC">
              <w:rPr>
                <w:sz w:val="24"/>
                <w:szCs w:val="24"/>
              </w:rPr>
              <w:t>received</w:t>
            </w:r>
            <w:r>
              <w:rPr>
                <w:sz w:val="24"/>
                <w:szCs w:val="24"/>
              </w:rPr>
              <w:t xml:space="preserve"> whereby there are concerns about a child who is at risk of harm, abuse or neglect, the local authority social services </w:t>
            </w:r>
            <w:r w:rsidR="00293B9C">
              <w:rPr>
                <w:sz w:val="24"/>
                <w:szCs w:val="24"/>
              </w:rPr>
              <w:t>gather</w:t>
            </w:r>
            <w:r>
              <w:rPr>
                <w:sz w:val="24"/>
                <w:szCs w:val="24"/>
              </w:rPr>
              <w:t xml:space="preserve"> information to determine the action that should follow.  Practitioners from other agencies may also be approached to provide information, they too have a duty to co-operate and provide information under section 164 of the SSWBA.</w:t>
            </w:r>
          </w:p>
          <w:p w14:paraId="065F52BC" w14:textId="77777777" w:rsidR="00C40C52" w:rsidRDefault="00C40C52" w:rsidP="00C40C52">
            <w:pPr>
              <w:rPr>
                <w:sz w:val="24"/>
                <w:szCs w:val="24"/>
              </w:rPr>
            </w:pPr>
          </w:p>
          <w:p w14:paraId="11F59B51" w14:textId="5A8460DB" w:rsidR="00C40C52" w:rsidRDefault="00C40C52" w:rsidP="00C40C52">
            <w:pPr>
              <w:rPr>
                <w:sz w:val="24"/>
                <w:szCs w:val="24"/>
              </w:rPr>
            </w:pPr>
            <w:r>
              <w:rPr>
                <w:sz w:val="24"/>
                <w:szCs w:val="24"/>
              </w:rPr>
              <w:t xml:space="preserve">If discussions and information gathered provide evidence that indicates a child is at risk of significant harm this will trigger </w:t>
            </w:r>
            <w:r w:rsidR="00B234A6">
              <w:rPr>
                <w:sz w:val="24"/>
                <w:szCs w:val="24"/>
              </w:rPr>
              <w:t>S</w:t>
            </w:r>
            <w:r>
              <w:rPr>
                <w:sz w:val="24"/>
                <w:szCs w:val="24"/>
              </w:rPr>
              <w:t>ection 47 enquir</w:t>
            </w:r>
            <w:r w:rsidR="00C92F07">
              <w:rPr>
                <w:sz w:val="24"/>
                <w:szCs w:val="24"/>
              </w:rPr>
              <w:t>i</w:t>
            </w:r>
            <w:r>
              <w:rPr>
                <w:sz w:val="24"/>
                <w:szCs w:val="24"/>
              </w:rPr>
              <w:t xml:space="preserve">es (Children Act 1989). Section 47 of the Children Act 1989 legally requires a local authority to investigate when there is a reasonable cause to suspect a child is suffering, or is likely to suffer, “significant harm”.  </w:t>
            </w:r>
          </w:p>
          <w:p w14:paraId="16541B90" w14:textId="77777777" w:rsidR="00C40C52" w:rsidRDefault="00C40C52" w:rsidP="00C40C52">
            <w:pPr>
              <w:rPr>
                <w:sz w:val="24"/>
                <w:szCs w:val="24"/>
              </w:rPr>
            </w:pPr>
          </w:p>
          <w:p w14:paraId="33B23270" w14:textId="367B0C9E" w:rsidR="00C40C52" w:rsidRPr="008F58DB" w:rsidRDefault="00C40C52" w:rsidP="00C40C52">
            <w:pPr>
              <w:rPr>
                <w:sz w:val="24"/>
                <w:szCs w:val="24"/>
              </w:rPr>
            </w:pPr>
            <w:r>
              <w:rPr>
                <w:sz w:val="24"/>
                <w:szCs w:val="24"/>
              </w:rPr>
              <w:lastRenderedPageBreak/>
              <w:t xml:space="preserve">Section 31 (9) of the Children Act 1989 states that </w:t>
            </w:r>
            <w:r w:rsidRPr="00816305">
              <w:rPr>
                <w:i/>
                <w:iCs/>
                <w:sz w:val="24"/>
                <w:szCs w:val="24"/>
              </w:rPr>
              <w:t>‘Where the question of whether harm is significant turns on the child’s health or development, the child’s health or development is to be compared with that which could reasonably be expected of a similar child’</w:t>
            </w:r>
            <w:r w:rsidR="00347098">
              <w:rPr>
                <w:i/>
                <w:iCs/>
                <w:sz w:val="24"/>
                <w:szCs w:val="24"/>
              </w:rPr>
              <w:t xml:space="preserve"> </w:t>
            </w:r>
            <w:r w:rsidR="008F58DB">
              <w:rPr>
                <w:sz w:val="24"/>
                <w:szCs w:val="24"/>
              </w:rPr>
              <w:t>(Children Act 1989)</w:t>
            </w:r>
            <w:r w:rsidR="00077A00">
              <w:rPr>
                <w:sz w:val="24"/>
                <w:szCs w:val="24"/>
              </w:rPr>
              <w:t>.</w:t>
            </w:r>
          </w:p>
          <w:p w14:paraId="5645C555" w14:textId="77777777" w:rsidR="00C40C52" w:rsidRDefault="00C40C52" w:rsidP="00C40C52">
            <w:pPr>
              <w:rPr>
                <w:sz w:val="24"/>
                <w:szCs w:val="24"/>
              </w:rPr>
            </w:pPr>
          </w:p>
          <w:p w14:paraId="4DB03521" w14:textId="0624075C" w:rsidR="00C40C52" w:rsidRDefault="00C40C52" w:rsidP="00C40C52">
            <w:pPr>
              <w:rPr>
                <w:sz w:val="24"/>
                <w:szCs w:val="24"/>
              </w:rPr>
            </w:pPr>
            <w:r w:rsidRPr="001822B5">
              <w:rPr>
                <w:sz w:val="24"/>
                <w:szCs w:val="24"/>
              </w:rPr>
              <w:t>The Children Act</w:t>
            </w:r>
            <w:r>
              <w:rPr>
                <w:sz w:val="24"/>
                <w:szCs w:val="24"/>
              </w:rPr>
              <w:t xml:space="preserve"> 1989</w:t>
            </w:r>
            <w:r w:rsidR="00DD5393">
              <w:rPr>
                <w:sz w:val="24"/>
                <w:szCs w:val="24"/>
              </w:rPr>
              <w:t xml:space="preserve"> </w:t>
            </w:r>
            <w:r>
              <w:rPr>
                <w:sz w:val="24"/>
                <w:szCs w:val="24"/>
              </w:rPr>
              <w:t>was</w:t>
            </w:r>
            <w:r w:rsidRPr="001822B5">
              <w:rPr>
                <w:sz w:val="24"/>
                <w:szCs w:val="24"/>
              </w:rPr>
              <w:t xml:space="preserve"> amended </w:t>
            </w:r>
            <w:r>
              <w:rPr>
                <w:sz w:val="24"/>
                <w:szCs w:val="24"/>
              </w:rPr>
              <w:t>by the Children Act 2004,</w:t>
            </w:r>
            <w:r w:rsidRPr="001822B5">
              <w:rPr>
                <w:sz w:val="24"/>
                <w:szCs w:val="24"/>
              </w:rPr>
              <w:t xml:space="preserve"> which further </w:t>
            </w:r>
            <w:r>
              <w:rPr>
                <w:sz w:val="24"/>
                <w:szCs w:val="24"/>
              </w:rPr>
              <w:t>highlighted</w:t>
            </w:r>
            <w:r w:rsidRPr="001822B5">
              <w:rPr>
                <w:sz w:val="24"/>
                <w:szCs w:val="24"/>
              </w:rPr>
              <w:t xml:space="preserve"> the </w:t>
            </w:r>
            <w:r w:rsidR="001B3664">
              <w:rPr>
                <w:sz w:val="24"/>
                <w:szCs w:val="24"/>
              </w:rPr>
              <w:t>essence</w:t>
            </w:r>
            <w:r w:rsidRPr="001822B5">
              <w:rPr>
                <w:sz w:val="24"/>
                <w:szCs w:val="24"/>
              </w:rPr>
              <w:t xml:space="preserve"> of multi-agency working and recommended a joined-up approach to safeguarding. This followed serious case reviews (HM Government, 2004).</w:t>
            </w:r>
          </w:p>
          <w:p w14:paraId="7BF3185D" w14:textId="77777777" w:rsidR="00C40C52" w:rsidRDefault="00C40C52" w:rsidP="00C40C52">
            <w:pPr>
              <w:rPr>
                <w:sz w:val="24"/>
                <w:szCs w:val="24"/>
              </w:rPr>
            </w:pPr>
          </w:p>
          <w:p w14:paraId="37FA9EC6" w14:textId="76EE602E" w:rsidR="00C40C52" w:rsidRDefault="00203BED" w:rsidP="00C40C52">
            <w:pPr>
              <w:rPr>
                <w:sz w:val="24"/>
                <w:szCs w:val="24"/>
              </w:rPr>
            </w:pPr>
            <w:r>
              <w:rPr>
                <w:sz w:val="24"/>
                <w:szCs w:val="24"/>
              </w:rPr>
              <w:t xml:space="preserve">In addition, </w:t>
            </w:r>
            <w:r w:rsidR="000B4B79">
              <w:rPr>
                <w:sz w:val="24"/>
                <w:szCs w:val="24"/>
              </w:rPr>
              <w:t>t</w:t>
            </w:r>
            <w:r>
              <w:rPr>
                <w:sz w:val="24"/>
                <w:szCs w:val="24"/>
              </w:rPr>
              <w:t>he</w:t>
            </w:r>
            <w:r w:rsidR="00C40C52">
              <w:rPr>
                <w:sz w:val="24"/>
                <w:szCs w:val="24"/>
              </w:rPr>
              <w:t xml:space="preserve"> United Nations Convention on the Rights of the Child (UNCRC) is relevant to children as it is the international framework.  Article 19 of the UNCRC </w:t>
            </w:r>
            <w:r w:rsidR="00C40C52" w:rsidRPr="00BD0430">
              <w:rPr>
                <w:sz w:val="24"/>
                <w:szCs w:val="24"/>
              </w:rPr>
              <w:t>guarantees every child the right to be protected from all forms of physical or mental violence, injury, abuse, neglect, maltreatment, or exploitation while in the care of parents, legal guardians, or any other caregiver</w:t>
            </w:r>
            <w:r w:rsidR="00C40C52">
              <w:rPr>
                <w:sz w:val="24"/>
                <w:szCs w:val="24"/>
              </w:rPr>
              <w:t xml:space="preserve"> (United Nations, 1989). </w:t>
            </w:r>
          </w:p>
          <w:p w14:paraId="24A9D67E" w14:textId="77777777" w:rsidR="00C40C52" w:rsidRDefault="00C40C52" w:rsidP="00C40C52">
            <w:pPr>
              <w:rPr>
                <w:sz w:val="24"/>
                <w:szCs w:val="24"/>
              </w:rPr>
            </w:pPr>
          </w:p>
          <w:p w14:paraId="47946C4B" w14:textId="77777777" w:rsidR="005A1DBD" w:rsidRDefault="005A1DBD" w:rsidP="00C40C52">
            <w:pPr>
              <w:rPr>
                <w:sz w:val="24"/>
                <w:szCs w:val="24"/>
              </w:rPr>
            </w:pPr>
          </w:p>
          <w:p w14:paraId="22965AF8" w14:textId="30AD1B71" w:rsidR="00C40C52" w:rsidRPr="001822B5" w:rsidRDefault="005A1DBD" w:rsidP="00C40C52">
            <w:pPr>
              <w:rPr>
                <w:color w:val="FF0000"/>
                <w:sz w:val="24"/>
                <w:szCs w:val="24"/>
              </w:rPr>
            </w:pPr>
            <w:r w:rsidRPr="005A1DBD">
              <w:rPr>
                <w:sz w:val="24"/>
                <w:szCs w:val="24"/>
              </w:rPr>
              <w:t>The Wales Safeguarding Procedures (2019) identify categories of abuse and neglect, including physical abuse, sexual abuse, emotional or psychological abuse, and neglect. These categories</w:t>
            </w:r>
            <w:r w:rsidR="00DD392B">
              <w:rPr>
                <w:sz w:val="24"/>
                <w:szCs w:val="24"/>
              </w:rPr>
              <w:t xml:space="preserve"> </w:t>
            </w:r>
            <w:r w:rsidR="00C40C52">
              <w:rPr>
                <w:sz w:val="24"/>
                <w:szCs w:val="24"/>
              </w:rPr>
              <w:t xml:space="preserve">guide practitioners in recognising signs of harm and acknowledging when there is a duty to report under the Wales Safeguarding </w:t>
            </w:r>
            <w:r w:rsidR="00C01BC9">
              <w:rPr>
                <w:sz w:val="24"/>
                <w:szCs w:val="24"/>
              </w:rPr>
              <w:t>P</w:t>
            </w:r>
            <w:r w:rsidR="00C40C52">
              <w:rPr>
                <w:sz w:val="24"/>
                <w:szCs w:val="24"/>
              </w:rPr>
              <w:t>rocedures (2019) for further investigation to ensure the safety and well-being of children.</w:t>
            </w:r>
          </w:p>
          <w:p w14:paraId="3564AB07" w14:textId="1CB821FA" w:rsidR="00C40C52" w:rsidRDefault="00C40C52" w:rsidP="00FF7EBB">
            <w:pPr>
              <w:jc w:val="both"/>
              <w:rPr>
                <w:sz w:val="24"/>
                <w:szCs w:val="24"/>
              </w:rPr>
            </w:pPr>
          </w:p>
          <w:p w14:paraId="60D8C669" w14:textId="6CD787C7" w:rsidR="00FC0334" w:rsidRDefault="00C40C52" w:rsidP="00FF7EBB">
            <w:pPr>
              <w:jc w:val="both"/>
              <w:rPr>
                <w:sz w:val="24"/>
                <w:szCs w:val="24"/>
              </w:rPr>
            </w:pPr>
            <w:r>
              <w:rPr>
                <w:sz w:val="24"/>
                <w:szCs w:val="24"/>
              </w:rPr>
              <w:t>Word Count 51</w:t>
            </w:r>
            <w:r w:rsidR="00005A37">
              <w:rPr>
                <w:sz w:val="24"/>
                <w:szCs w:val="24"/>
              </w:rPr>
              <w:t>9</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5C89BB71" w14:textId="77777777" w:rsidR="007A2993" w:rsidRDefault="00A56B68" w:rsidP="00A56B68">
            <w:pPr>
              <w:rPr>
                <w:sz w:val="24"/>
                <w:szCs w:val="24"/>
              </w:rPr>
            </w:pPr>
            <w:r w:rsidRPr="007A2993">
              <w:rPr>
                <w:sz w:val="24"/>
                <w:szCs w:val="24"/>
              </w:rPr>
              <w:t xml:space="preserve">It is important to recognise that although approaches are similar, there are differences in safeguarding in respect of adults’ and children. An important difference is the legislation that governs the safeguarding procedures. </w:t>
            </w:r>
          </w:p>
          <w:p w14:paraId="4E25A413" w14:textId="2EBB2511" w:rsidR="00A56B68" w:rsidRPr="007A2993" w:rsidRDefault="00A56B68" w:rsidP="00A56B68">
            <w:pPr>
              <w:rPr>
                <w:sz w:val="24"/>
                <w:szCs w:val="24"/>
              </w:rPr>
            </w:pPr>
            <w:r w:rsidRPr="007A2993">
              <w:rPr>
                <w:sz w:val="24"/>
                <w:szCs w:val="24"/>
              </w:rPr>
              <w:t xml:space="preserve"> </w:t>
            </w:r>
          </w:p>
          <w:p w14:paraId="1514501C" w14:textId="77777777" w:rsidR="00A56B68" w:rsidRDefault="00A56B68" w:rsidP="00A56B68">
            <w:pPr>
              <w:rPr>
                <w:sz w:val="24"/>
                <w:szCs w:val="24"/>
              </w:rPr>
            </w:pPr>
            <w:r w:rsidRPr="007A2993">
              <w:rPr>
                <w:sz w:val="24"/>
                <w:szCs w:val="24"/>
              </w:rPr>
              <w:t xml:space="preserve">The Social Services and Well-being (Wales) Act 2014 (SSWBA) and Section 47 of the Children Act 1989 set out key safeguarding legal responsibilities and duties in Wales in respect of safeguarding and protecting children.  Safeguarding adults differs as it is primarily governed by the SSWBA, which provides key principles in relation to protecting vulnerable adults at risk of harm.   </w:t>
            </w:r>
          </w:p>
          <w:p w14:paraId="3C901B40" w14:textId="77777777" w:rsidR="007A2993" w:rsidRPr="007A2993" w:rsidRDefault="007A2993" w:rsidP="00A56B68">
            <w:pPr>
              <w:rPr>
                <w:sz w:val="24"/>
                <w:szCs w:val="24"/>
              </w:rPr>
            </w:pPr>
          </w:p>
          <w:p w14:paraId="47520888" w14:textId="40AC4E7F" w:rsidR="00A56B68" w:rsidRDefault="00A56B68" w:rsidP="00A56B68">
            <w:pPr>
              <w:rPr>
                <w:sz w:val="24"/>
                <w:szCs w:val="24"/>
              </w:rPr>
            </w:pPr>
            <w:r w:rsidRPr="007A2993">
              <w:rPr>
                <w:sz w:val="24"/>
                <w:szCs w:val="24"/>
              </w:rPr>
              <w:t xml:space="preserve">Another difference between adult and children safeguarding is the aspect of gaining consent.  Within adult services, consent </w:t>
            </w:r>
            <w:r w:rsidR="00293CAA">
              <w:rPr>
                <w:sz w:val="24"/>
                <w:szCs w:val="24"/>
              </w:rPr>
              <w:t xml:space="preserve">should normally </w:t>
            </w:r>
            <w:r w:rsidRPr="007A2993">
              <w:rPr>
                <w:sz w:val="24"/>
                <w:szCs w:val="24"/>
              </w:rPr>
              <w:t xml:space="preserve">be sought by the person concerned prior to any safeguarding interventions taking place.  The Mental Capacity Act 2005 (MCA) outlines that adults have the right to make unwise decisions and therefore can decide to remain in an </w:t>
            </w:r>
            <w:r w:rsidRPr="007A2993">
              <w:rPr>
                <w:sz w:val="24"/>
                <w:szCs w:val="24"/>
              </w:rPr>
              <w:lastRenderedPageBreak/>
              <w:t>unsafe situation providing they have capacity to do so.  Where a person is deemed to lack capacity to safeguarding interventions the key principles within the MCA must be adhered to, to ensure practitioners are working in the persons best interests.  Within children services Section 126 (2) o</w:t>
            </w:r>
            <w:r w:rsidR="004A4549">
              <w:rPr>
                <w:sz w:val="24"/>
                <w:szCs w:val="24"/>
              </w:rPr>
              <w:t>f</w:t>
            </w:r>
            <w:r w:rsidRPr="007A2993">
              <w:rPr>
                <w:sz w:val="24"/>
                <w:szCs w:val="24"/>
              </w:rPr>
              <w:t xml:space="preserve"> the SSWBA states that ‘if a local authority has reasonable cause to suspect a person within its area is at risk, it must make whatever enquiries it thinks necessary to enable it to decide whether any action should be taken’. Parental consent within children services can be overridden if there are child protection concerns due </w:t>
            </w:r>
            <w:r w:rsidR="004A4549">
              <w:rPr>
                <w:sz w:val="24"/>
                <w:szCs w:val="24"/>
              </w:rPr>
              <w:t xml:space="preserve">to </w:t>
            </w:r>
            <w:r w:rsidRPr="007A2993">
              <w:rPr>
                <w:sz w:val="24"/>
                <w:szCs w:val="24"/>
              </w:rPr>
              <w:t xml:space="preserve">the local </w:t>
            </w:r>
            <w:r w:rsidR="004A4549" w:rsidRPr="007A2993">
              <w:rPr>
                <w:sz w:val="24"/>
                <w:szCs w:val="24"/>
              </w:rPr>
              <w:t>authority’s</w:t>
            </w:r>
            <w:r w:rsidRPr="007A2993">
              <w:rPr>
                <w:sz w:val="24"/>
                <w:szCs w:val="24"/>
              </w:rPr>
              <w:t xml:space="preserve"> legal responsibility to protect children at risk of harm.  </w:t>
            </w:r>
          </w:p>
          <w:p w14:paraId="5DA9DD2C" w14:textId="77777777" w:rsidR="007A2993" w:rsidRPr="007A2993" w:rsidRDefault="007A2993" w:rsidP="00A56B68">
            <w:pPr>
              <w:rPr>
                <w:sz w:val="24"/>
                <w:szCs w:val="24"/>
              </w:rPr>
            </w:pPr>
          </w:p>
          <w:p w14:paraId="311E1263" w14:textId="77777777" w:rsidR="00A56B68" w:rsidRDefault="00A56B68" w:rsidP="00A56B68">
            <w:pPr>
              <w:rPr>
                <w:sz w:val="24"/>
                <w:szCs w:val="24"/>
              </w:rPr>
            </w:pPr>
            <w:r w:rsidRPr="007A2993">
              <w:rPr>
                <w:sz w:val="24"/>
                <w:szCs w:val="24"/>
              </w:rPr>
              <w:t xml:space="preserve">The MCA recognises that adults have the right to make unwise decisions and within this adults may make decisions that may put them at risk of self-neglect, however in relation to children it is a parent’s responsibility to be meeting the child’s needs and therefore a child cannot be seen to be self-neglecting, this would more be considered as neglect from a parent to a child.   </w:t>
            </w:r>
          </w:p>
          <w:p w14:paraId="2B3EEEAB" w14:textId="77777777" w:rsidR="007A2993" w:rsidRPr="007A2993" w:rsidRDefault="007A2993" w:rsidP="00A56B68">
            <w:pPr>
              <w:rPr>
                <w:sz w:val="24"/>
                <w:szCs w:val="24"/>
              </w:rPr>
            </w:pPr>
          </w:p>
          <w:p w14:paraId="3966AC7E" w14:textId="366C9586" w:rsidR="005B59A0" w:rsidRPr="005B59A0" w:rsidRDefault="00A56B68" w:rsidP="005B59A0">
            <w:pPr>
              <w:spacing w:after="160" w:line="259" w:lineRule="auto"/>
              <w:rPr>
                <w:sz w:val="24"/>
                <w:szCs w:val="24"/>
              </w:rPr>
            </w:pPr>
            <w:r w:rsidRPr="007A2993">
              <w:rPr>
                <w:sz w:val="24"/>
                <w:szCs w:val="24"/>
              </w:rPr>
              <w:t xml:space="preserve">Within the local authority I work, another difference I have noted is how safeguarding teams are structured.  Within adult services there is a dedicated safeguarding team and Mental Capacity Act (MCA) team whereby practitioners can book consultations for further advice and guidance around safeguarding concerns and best </w:t>
            </w:r>
            <w:proofErr w:type="gramStart"/>
            <w:r w:rsidRPr="007A2993">
              <w:rPr>
                <w:sz w:val="24"/>
                <w:szCs w:val="24"/>
              </w:rPr>
              <w:t>interests</w:t>
            </w:r>
            <w:proofErr w:type="gramEnd"/>
            <w:r w:rsidRPr="007A2993">
              <w:rPr>
                <w:sz w:val="24"/>
                <w:szCs w:val="24"/>
              </w:rPr>
              <w:t xml:space="preserve"> decisions.  Within children services safeguarding procedures lie with the allocated social worker and are managed by the local social work team in </w:t>
            </w:r>
            <w:r w:rsidR="005B59A0">
              <w:rPr>
                <w:sz w:val="24"/>
                <w:szCs w:val="24"/>
              </w:rPr>
              <w:t>accordance with the</w:t>
            </w:r>
            <w:r w:rsidR="005B59A0" w:rsidRPr="005B59A0">
              <w:rPr>
                <w:rFonts w:ascii="Segoe UI" w:hAnsi="Segoe UI" w:cs="Segoe UI"/>
                <w:color w:val="auto"/>
                <w:sz w:val="21"/>
                <w:szCs w:val="21"/>
              </w:rPr>
              <w:t xml:space="preserve"> </w:t>
            </w:r>
            <w:r w:rsidR="005B59A0" w:rsidRPr="005B59A0">
              <w:rPr>
                <w:sz w:val="24"/>
                <w:szCs w:val="24"/>
              </w:rPr>
              <w:t>Wales Safeguarding Procedures (2019) and statutory child protection duties</w:t>
            </w:r>
            <w:r w:rsidR="005B59A0">
              <w:rPr>
                <w:sz w:val="24"/>
                <w:szCs w:val="24"/>
              </w:rPr>
              <w:t>.</w:t>
            </w:r>
          </w:p>
          <w:p w14:paraId="69B436A8" w14:textId="32F42C60" w:rsidR="00A56B68" w:rsidRPr="007A2993" w:rsidRDefault="00A56B68" w:rsidP="00A56B68">
            <w:pPr>
              <w:spacing w:after="160" w:line="259" w:lineRule="auto"/>
              <w:rPr>
                <w:sz w:val="24"/>
                <w:szCs w:val="24"/>
              </w:rPr>
            </w:pPr>
          </w:p>
          <w:p w14:paraId="438BF787" w14:textId="1F4C8872" w:rsidR="00FC0334" w:rsidRDefault="007A2993" w:rsidP="00FC0334">
            <w:pPr>
              <w:jc w:val="both"/>
              <w:rPr>
                <w:sz w:val="24"/>
                <w:szCs w:val="24"/>
              </w:rPr>
            </w:pPr>
            <w:r>
              <w:rPr>
                <w:sz w:val="24"/>
                <w:szCs w:val="24"/>
              </w:rPr>
              <w:t>Word Count 4</w:t>
            </w:r>
            <w:r w:rsidR="00623647">
              <w:rPr>
                <w:sz w:val="24"/>
                <w:szCs w:val="24"/>
              </w:rPr>
              <w:t>10</w:t>
            </w:r>
          </w:p>
          <w:p w14:paraId="08BDA5D1" w14:textId="77777777" w:rsidR="007A2993" w:rsidRPr="006108C9" w:rsidRDefault="007A2993"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EB739" w14:textId="77777777" w:rsidR="001A112E" w:rsidRDefault="001A112E">
      <w:r>
        <w:separator/>
      </w:r>
    </w:p>
  </w:endnote>
  <w:endnote w:type="continuationSeparator" w:id="0">
    <w:p w14:paraId="20A87159" w14:textId="77777777" w:rsidR="001A112E" w:rsidRDefault="001A1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69E97" w14:textId="77777777" w:rsidR="001A112E" w:rsidRDefault="001A112E">
      <w:r>
        <w:separator/>
      </w:r>
    </w:p>
  </w:footnote>
  <w:footnote w:type="continuationSeparator" w:id="0">
    <w:p w14:paraId="5B7804BA" w14:textId="77777777" w:rsidR="001A112E" w:rsidRDefault="001A1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5A37"/>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1178"/>
    <w:rsid w:val="00062E39"/>
    <w:rsid w:val="00064063"/>
    <w:rsid w:val="0006581A"/>
    <w:rsid w:val="00074461"/>
    <w:rsid w:val="00074CD8"/>
    <w:rsid w:val="000766EC"/>
    <w:rsid w:val="00077A00"/>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4B79"/>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6A7B"/>
    <w:rsid w:val="00130119"/>
    <w:rsid w:val="00132812"/>
    <w:rsid w:val="001347F8"/>
    <w:rsid w:val="001359EE"/>
    <w:rsid w:val="00137BB5"/>
    <w:rsid w:val="00137E05"/>
    <w:rsid w:val="001447F6"/>
    <w:rsid w:val="00147DE3"/>
    <w:rsid w:val="00150794"/>
    <w:rsid w:val="00151DA6"/>
    <w:rsid w:val="0015753E"/>
    <w:rsid w:val="001608C4"/>
    <w:rsid w:val="00164832"/>
    <w:rsid w:val="00167F7D"/>
    <w:rsid w:val="00171418"/>
    <w:rsid w:val="001772BF"/>
    <w:rsid w:val="001772DE"/>
    <w:rsid w:val="0019496C"/>
    <w:rsid w:val="001961CF"/>
    <w:rsid w:val="001A0387"/>
    <w:rsid w:val="001A112E"/>
    <w:rsid w:val="001A59BB"/>
    <w:rsid w:val="001A607E"/>
    <w:rsid w:val="001A6A51"/>
    <w:rsid w:val="001A79C4"/>
    <w:rsid w:val="001B331A"/>
    <w:rsid w:val="001B3664"/>
    <w:rsid w:val="001C0237"/>
    <w:rsid w:val="001C0E74"/>
    <w:rsid w:val="001C4DB8"/>
    <w:rsid w:val="001C50B8"/>
    <w:rsid w:val="001D229F"/>
    <w:rsid w:val="001E2EB6"/>
    <w:rsid w:val="001F4552"/>
    <w:rsid w:val="002019EB"/>
    <w:rsid w:val="00203BED"/>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03EC"/>
    <w:rsid w:val="0027147E"/>
    <w:rsid w:val="002761F4"/>
    <w:rsid w:val="002775E1"/>
    <w:rsid w:val="00277979"/>
    <w:rsid w:val="00291ADD"/>
    <w:rsid w:val="002920DF"/>
    <w:rsid w:val="00292F3D"/>
    <w:rsid w:val="00293B9C"/>
    <w:rsid w:val="00293CAA"/>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7098"/>
    <w:rsid w:val="003536CB"/>
    <w:rsid w:val="00354B6D"/>
    <w:rsid w:val="00355210"/>
    <w:rsid w:val="00355CFD"/>
    <w:rsid w:val="00361FFC"/>
    <w:rsid w:val="00365DF9"/>
    <w:rsid w:val="0037066E"/>
    <w:rsid w:val="00372DB4"/>
    <w:rsid w:val="00373A36"/>
    <w:rsid w:val="0037419E"/>
    <w:rsid w:val="00375AF5"/>
    <w:rsid w:val="003761BD"/>
    <w:rsid w:val="00377448"/>
    <w:rsid w:val="00377884"/>
    <w:rsid w:val="003826BD"/>
    <w:rsid w:val="0038274A"/>
    <w:rsid w:val="00385414"/>
    <w:rsid w:val="00390074"/>
    <w:rsid w:val="00392F73"/>
    <w:rsid w:val="00393600"/>
    <w:rsid w:val="0039762B"/>
    <w:rsid w:val="003A0C37"/>
    <w:rsid w:val="003A1B6B"/>
    <w:rsid w:val="003A46C0"/>
    <w:rsid w:val="003A600E"/>
    <w:rsid w:val="003A6513"/>
    <w:rsid w:val="003B16C7"/>
    <w:rsid w:val="003B3115"/>
    <w:rsid w:val="003B4DB2"/>
    <w:rsid w:val="003C0E03"/>
    <w:rsid w:val="003C19F1"/>
    <w:rsid w:val="003C3C67"/>
    <w:rsid w:val="003C4186"/>
    <w:rsid w:val="003C534D"/>
    <w:rsid w:val="003C6185"/>
    <w:rsid w:val="003D0D2D"/>
    <w:rsid w:val="003D1885"/>
    <w:rsid w:val="003D1BC0"/>
    <w:rsid w:val="003D20F1"/>
    <w:rsid w:val="003D4710"/>
    <w:rsid w:val="003E16D7"/>
    <w:rsid w:val="003E197E"/>
    <w:rsid w:val="003E373E"/>
    <w:rsid w:val="003E4B70"/>
    <w:rsid w:val="003E54CF"/>
    <w:rsid w:val="003E5FBA"/>
    <w:rsid w:val="003F1233"/>
    <w:rsid w:val="003F67A4"/>
    <w:rsid w:val="00400786"/>
    <w:rsid w:val="00401FDA"/>
    <w:rsid w:val="004046F0"/>
    <w:rsid w:val="0040668F"/>
    <w:rsid w:val="00411EF7"/>
    <w:rsid w:val="00412677"/>
    <w:rsid w:val="004168D0"/>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45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1DBD"/>
    <w:rsid w:val="005A545C"/>
    <w:rsid w:val="005B271A"/>
    <w:rsid w:val="005B3A2D"/>
    <w:rsid w:val="005B59A0"/>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3647"/>
    <w:rsid w:val="00630329"/>
    <w:rsid w:val="006326D1"/>
    <w:rsid w:val="00632E0A"/>
    <w:rsid w:val="00633165"/>
    <w:rsid w:val="006447DE"/>
    <w:rsid w:val="00644889"/>
    <w:rsid w:val="0065276E"/>
    <w:rsid w:val="00654329"/>
    <w:rsid w:val="00654CEC"/>
    <w:rsid w:val="00655507"/>
    <w:rsid w:val="00656555"/>
    <w:rsid w:val="006579FD"/>
    <w:rsid w:val="006635E3"/>
    <w:rsid w:val="006669F3"/>
    <w:rsid w:val="006712A7"/>
    <w:rsid w:val="00672CED"/>
    <w:rsid w:val="00674FC2"/>
    <w:rsid w:val="00676E35"/>
    <w:rsid w:val="00677E42"/>
    <w:rsid w:val="00682334"/>
    <w:rsid w:val="00684732"/>
    <w:rsid w:val="00684B16"/>
    <w:rsid w:val="00687016"/>
    <w:rsid w:val="006872A0"/>
    <w:rsid w:val="0069305D"/>
    <w:rsid w:val="0069625A"/>
    <w:rsid w:val="00696A88"/>
    <w:rsid w:val="00696F65"/>
    <w:rsid w:val="00697572"/>
    <w:rsid w:val="006B4496"/>
    <w:rsid w:val="006B5E67"/>
    <w:rsid w:val="006B6612"/>
    <w:rsid w:val="006C2EB5"/>
    <w:rsid w:val="006D18A3"/>
    <w:rsid w:val="006D5970"/>
    <w:rsid w:val="006D7BB2"/>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575B"/>
    <w:rsid w:val="0078112D"/>
    <w:rsid w:val="007872F2"/>
    <w:rsid w:val="007873F9"/>
    <w:rsid w:val="007908E0"/>
    <w:rsid w:val="00793EB3"/>
    <w:rsid w:val="00794205"/>
    <w:rsid w:val="0079422A"/>
    <w:rsid w:val="007A1F6A"/>
    <w:rsid w:val="007A2993"/>
    <w:rsid w:val="007A628F"/>
    <w:rsid w:val="007B0DE3"/>
    <w:rsid w:val="007B1BFD"/>
    <w:rsid w:val="007B7191"/>
    <w:rsid w:val="007B7B89"/>
    <w:rsid w:val="007C1D94"/>
    <w:rsid w:val="007C556F"/>
    <w:rsid w:val="007C5ABE"/>
    <w:rsid w:val="007C6A87"/>
    <w:rsid w:val="007D0A07"/>
    <w:rsid w:val="007D0F11"/>
    <w:rsid w:val="007D133D"/>
    <w:rsid w:val="007D3EB4"/>
    <w:rsid w:val="007D3F16"/>
    <w:rsid w:val="007E7B79"/>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129A"/>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58DB"/>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29D"/>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17EF9"/>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6B68"/>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67B6"/>
    <w:rsid w:val="00B17FA0"/>
    <w:rsid w:val="00B2292C"/>
    <w:rsid w:val="00B22C3C"/>
    <w:rsid w:val="00B234A6"/>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7776D"/>
    <w:rsid w:val="00B82CC2"/>
    <w:rsid w:val="00B84A89"/>
    <w:rsid w:val="00B9256C"/>
    <w:rsid w:val="00B92BEF"/>
    <w:rsid w:val="00B94443"/>
    <w:rsid w:val="00B94E5D"/>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BC9"/>
    <w:rsid w:val="00C01D14"/>
    <w:rsid w:val="00C01D97"/>
    <w:rsid w:val="00C025B4"/>
    <w:rsid w:val="00C02611"/>
    <w:rsid w:val="00C029EC"/>
    <w:rsid w:val="00C161FD"/>
    <w:rsid w:val="00C17C9F"/>
    <w:rsid w:val="00C23F17"/>
    <w:rsid w:val="00C246F2"/>
    <w:rsid w:val="00C26D0D"/>
    <w:rsid w:val="00C27C95"/>
    <w:rsid w:val="00C300D2"/>
    <w:rsid w:val="00C3270F"/>
    <w:rsid w:val="00C3278B"/>
    <w:rsid w:val="00C33375"/>
    <w:rsid w:val="00C34C23"/>
    <w:rsid w:val="00C35CE0"/>
    <w:rsid w:val="00C368FA"/>
    <w:rsid w:val="00C40C52"/>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324"/>
    <w:rsid w:val="00C87A74"/>
    <w:rsid w:val="00C92C71"/>
    <w:rsid w:val="00C92F07"/>
    <w:rsid w:val="00C93F8F"/>
    <w:rsid w:val="00CA0894"/>
    <w:rsid w:val="00CA3593"/>
    <w:rsid w:val="00CA5726"/>
    <w:rsid w:val="00CA7E6A"/>
    <w:rsid w:val="00CB258E"/>
    <w:rsid w:val="00CB3C8F"/>
    <w:rsid w:val="00CC02F1"/>
    <w:rsid w:val="00CC1122"/>
    <w:rsid w:val="00CC11A6"/>
    <w:rsid w:val="00CC135E"/>
    <w:rsid w:val="00CC7226"/>
    <w:rsid w:val="00CD0735"/>
    <w:rsid w:val="00CD4053"/>
    <w:rsid w:val="00CD45E3"/>
    <w:rsid w:val="00CD4771"/>
    <w:rsid w:val="00CD5089"/>
    <w:rsid w:val="00CD5D3F"/>
    <w:rsid w:val="00CD7E1F"/>
    <w:rsid w:val="00CE18BB"/>
    <w:rsid w:val="00CE4573"/>
    <w:rsid w:val="00CE4BC4"/>
    <w:rsid w:val="00CE7DA2"/>
    <w:rsid w:val="00CF2F8A"/>
    <w:rsid w:val="00CF3DB3"/>
    <w:rsid w:val="00D0274B"/>
    <w:rsid w:val="00D0503D"/>
    <w:rsid w:val="00D052BC"/>
    <w:rsid w:val="00D07026"/>
    <w:rsid w:val="00D129D5"/>
    <w:rsid w:val="00D146AE"/>
    <w:rsid w:val="00D22C8F"/>
    <w:rsid w:val="00D3203C"/>
    <w:rsid w:val="00D33491"/>
    <w:rsid w:val="00D3442D"/>
    <w:rsid w:val="00D36F00"/>
    <w:rsid w:val="00D44B67"/>
    <w:rsid w:val="00D44F8E"/>
    <w:rsid w:val="00D45776"/>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A79DE"/>
    <w:rsid w:val="00DB2767"/>
    <w:rsid w:val="00DC1B10"/>
    <w:rsid w:val="00DC2924"/>
    <w:rsid w:val="00DC4729"/>
    <w:rsid w:val="00DD31C5"/>
    <w:rsid w:val="00DD392B"/>
    <w:rsid w:val="00DD5020"/>
    <w:rsid w:val="00DD5393"/>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3912"/>
    <w:rsid w:val="00F254D1"/>
    <w:rsid w:val="00F32B82"/>
    <w:rsid w:val="00F34C86"/>
    <w:rsid w:val="00F35DFD"/>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7FC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69</TotalTime>
  <Pages>4</Pages>
  <Words>1152</Words>
  <Characters>6211</Characters>
  <Application>Microsoft Office Word</Application>
  <DocSecurity>0</DocSecurity>
  <Lines>144</Lines>
  <Paragraphs>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Leah Fuge</cp:lastModifiedBy>
  <cp:revision>40</cp:revision>
  <cp:lastPrinted>2020-02-11T19:20:00Z</cp:lastPrinted>
  <dcterms:created xsi:type="dcterms:W3CDTF">2026-09-25T10:21:00Z</dcterms:created>
  <dcterms:modified xsi:type="dcterms:W3CDTF">2026-10-06T13:47:00Z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