
<file path=[Content_Types].xml><?xml version="1.0" encoding="utf-8"?>
<Types xmlns="http://schemas.openxmlformats.org/package/2006/content-types">
  <Default Extension="bin" ContentType="application/vnd.openxmlformats-officedocument.oleObject"/>
  <Default Extension="emf" ContentType="image/x-emf"/>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AE003C1" w14:textId="715EDD2E" w:rsidR="00A74AE7" w:rsidRDefault="00A74AE7">
      <w:pPr>
        <w:spacing w:after="160" w:line="279" w:lineRule="auto"/>
        <w:jc w:val="center"/>
        <w:rPr>
          <w:rFonts w:ascii="Aptos" w:eastAsia="Aptos" w:hAnsi="Aptos" w:cs="Aptos"/>
          <w:sz w:val="24"/>
          <w:szCs w:val="24"/>
        </w:rPr>
      </w:pPr>
    </w:p>
    <w:p w14:paraId="3EFCCCEB" w14:textId="490A6732" w:rsidR="00A74AE7" w:rsidRDefault="00A74AE7">
      <w:pPr>
        <w:spacing w:after="160" w:line="279" w:lineRule="auto"/>
        <w:jc w:val="center"/>
        <w:rPr>
          <w:sz w:val="42"/>
          <w:szCs w:val="42"/>
        </w:rPr>
      </w:pPr>
    </w:p>
    <w:p w14:paraId="51B53A23" w14:textId="3EE528E0" w:rsidR="00A74AE7" w:rsidRDefault="00A74AE7" w:rsidP="00840FD1">
      <w:pPr>
        <w:spacing w:after="160" w:line="279" w:lineRule="auto"/>
        <w:jc w:val="center"/>
        <w:rPr>
          <w:sz w:val="42"/>
          <w:szCs w:val="42"/>
        </w:rPr>
      </w:pPr>
    </w:p>
    <w:p w14:paraId="30842F6D" w14:textId="22FE4D60" w:rsidR="00A74AE7" w:rsidRPr="00840FD1" w:rsidRDefault="00840FD1">
      <w:pPr>
        <w:spacing w:after="160" w:line="279" w:lineRule="auto"/>
        <w:jc w:val="center"/>
        <w:rPr>
          <w:b/>
          <w:bCs/>
          <w:sz w:val="36"/>
          <w:szCs w:val="36"/>
        </w:rPr>
      </w:pPr>
      <w:r w:rsidRPr="00293A09">
        <w:rPr>
          <w:b/>
          <w:bCs/>
          <w:color w:val="1F497D" w:themeColor="text2"/>
          <w:sz w:val="36"/>
          <w:szCs w:val="36"/>
        </w:rPr>
        <w:t>STUDENT NAME</w:t>
      </w:r>
      <w:r w:rsidRPr="00840FD1">
        <w:rPr>
          <w:b/>
          <w:bCs/>
          <w:sz w:val="36"/>
          <w:szCs w:val="36"/>
        </w:rPr>
        <w:t>: ASIA BAKARI</w:t>
      </w:r>
    </w:p>
    <w:p w14:paraId="2628B0D1" w14:textId="27025116" w:rsidR="00840FD1" w:rsidRPr="00840FD1" w:rsidRDefault="00840FD1">
      <w:pPr>
        <w:spacing w:after="160" w:line="279" w:lineRule="auto"/>
        <w:jc w:val="center"/>
        <w:rPr>
          <w:b/>
          <w:bCs/>
          <w:sz w:val="36"/>
          <w:szCs w:val="36"/>
        </w:rPr>
      </w:pPr>
      <w:r w:rsidRPr="00293A09">
        <w:rPr>
          <w:b/>
          <w:bCs/>
          <w:color w:val="1F497D" w:themeColor="text2"/>
          <w:sz w:val="36"/>
          <w:szCs w:val="36"/>
        </w:rPr>
        <w:t>STUDENT NUMBER</w:t>
      </w:r>
      <w:r w:rsidRPr="00840FD1">
        <w:rPr>
          <w:b/>
          <w:bCs/>
          <w:sz w:val="36"/>
          <w:szCs w:val="36"/>
        </w:rPr>
        <w:t>: 2419862</w:t>
      </w:r>
    </w:p>
    <w:p w14:paraId="182469B6" w14:textId="629385B3" w:rsidR="00840FD1" w:rsidRPr="00840FD1" w:rsidRDefault="00840FD1">
      <w:pPr>
        <w:spacing w:after="160" w:line="279" w:lineRule="auto"/>
        <w:jc w:val="center"/>
        <w:rPr>
          <w:b/>
          <w:bCs/>
          <w:sz w:val="36"/>
          <w:szCs w:val="36"/>
        </w:rPr>
      </w:pPr>
      <w:r w:rsidRPr="00293A09">
        <w:rPr>
          <w:b/>
          <w:bCs/>
          <w:color w:val="1F497D" w:themeColor="text2"/>
          <w:sz w:val="36"/>
          <w:szCs w:val="36"/>
        </w:rPr>
        <w:t>MODULE CODE</w:t>
      </w:r>
      <w:r w:rsidRPr="00840FD1">
        <w:rPr>
          <w:b/>
          <w:bCs/>
          <w:sz w:val="36"/>
          <w:szCs w:val="36"/>
        </w:rPr>
        <w:t>: BMHP5014</w:t>
      </w:r>
    </w:p>
    <w:p w14:paraId="6AEAAF10" w14:textId="5A2FBE20" w:rsidR="00840FD1" w:rsidRPr="00840FD1" w:rsidRDefault="00840FD1">
      <w:pPr>
        <w:spacing w:after="160" w:line="279" w:lineRule="auto"/>
        <w:jc w:val="center"/>
        <w:rPr>
          <w:b/>
          <w:bCs/>
          <w:sz w:val="36"/>
          <w:szCs w:val="36"/>
        </w:rPr>
      </w:pPr>
      <w:r w:rsidRPr="00293A09">
        <w:rPr>
          <w:b/>
          <w:bCs/>
          <w:color w:val="1F497D" w:themeColor="text2"/>
          <w:sz w:val="36"/>
          <w:szCs w:val="36"/>
        </w:rPr>
        <w:t>MODULE TITLE</w:t>
      </w:r>
      <w:r w:rsidRPr="00840FD1">
        <w:rPr>
          <w:b/>
          <w:bCs/>
          <w:sz w:val="36"/>
          <w:szCs w:val="36"/>
        </w:rPr>
        <w:t>:CHANGEMAKERS,CREATIVITY AND VALUE CREATION</w:t>
      </w:r>
    </w:p>
    <w:p w14:paraId="67886F48" w14:textId="4A4EFECB" w:rsidR="00840FD1" w:rsidRPr="00840FD1" w:rsidRDefault="00840FD1">
      <w:pPr>
        <w:spacing w:after="160" w:line="279" w:lineRule="auto"/>
        <w:jc w:val="center"/>
        <w:rPr>
          <w:b/>
          <w:bCs/>
          <w:sz w:val="36"/>
          <w:szCs w:val="36"/>
        </w:rPr>
      </w:pPr>
      <w:r w:rsidRPr="00293A09">
        <w:rPr>
          <w:b/>
          <w:bCs/>
          <w:color w:val="1F497D" w:themeColor="text2"/>
          <w:sz w:val="36"/>
          <w:szCs w:val="36"/>
        </w:rPr>
        <w:t>LECTURER’S NAME</w:t>
      </w:r>
      <w:r w:rsidRPr="00840FD1">
        <w:rPr>
          <w:b/>
          <w:bCs/>
          <w:sz w:val="36"/>
          <w:szCs w:val="36"/>
        </w:rPr>
        <w:t>: ZARAH AHMED</w:t>
      </w:r>
    </w:p>
    <w:p w14:paraId="0FD5FFFD" w14:textId="73DDCF97" w:rsidR="00840FD1" w:rsidRPr="00840FD1" w:rsidRDefault="00840FD1">
      <w:pPr>
        <w:spacing w:after="160" w:line="279" w:lineRule="auto"/>
        <w:jc w:val="center"/>
        <w:rPr>
          <w:b/>
          <w:bCs/>
          <w:sz w:val="36"/>
          <w:szCs w:val="36"/>
        </w:rPr>
      </w:pPr>
      <w:r w:rsidRPr="00293A09">
        <w:rPr>
          <w:b/>
          <w:bCs/>
          <w:color w:val="1F497D" w:themeColor="text2"/>
          <w:sz w:val="36"/>
          <w:szCs w:val="36"/>
        </w:rPr>
        <w:t>ASSIGNMENT TITLE</w:t>
      </w:r>
      <w:r w:rsidRPr="00840FD1">
        <w:rPr>
          <w:b/>
          <w:bCs/>
          <w:sz w:val="36"/>
          <w:szCs w:val="36"/>
        </w:rPr>
        <w:t>: COMPONENT 1 ONLINEPORTFOLIO OF SET EXERCISE</w:t>
      </w:r>
    </w:p>
    <w:p w14:paraId="5A1C32DA" w14:textId="77777777" w:rsidR="00A74AE7" w:rsidRDefault="00000000">
      <w:pPr>
        <w:spacing w:after="160" w:line="279" w:lineRule="auto"/>
        <w:rPr>
          <w:b/>
          <w:bCs/>
          <w:sz w:val="28"/>
          <w:szCs w:val="28"/>
        </w:rPr>
      </w:pPr>
      <w:r>
        <w:br w:type="page"/>
      </w:r>
    </w:p>
    <w:p w14:paraId="06D7AF43" w14:textId="77777777" w:rsidR="00A74AE7" w:rsidRDefault="00000000">
      <w:pPr>
        <w:spacing w:after="160" w:line="279" w:lineRule="auto"/>
        <w:jc w:val="center"/>
        <w:rPr>
          <w:b/>
          <w:bCs/>
          <w:sz w:val="28"/>
          <w:szCs w:val="28"/>
        </w:rPr>
      </w:pPr>
      <w:r>
        <w:rPr>
          <w:b/>
          <w:bCs/>
          <w:sz w:val="28"/>
          <w:szCs w:val="28"/>
        </w:rPr>
        <w:lastRenderedPageBreak/>
        <w:t>TABLE OF CONTENTS</w:t>
      </w:r>
    </w:p>
    <w:sdt>
      <w:sdtPr>
        <w:id w:val="-1369712915"/>
        <w:docPartObj>
          <w:docPartGallery w:val="Table of Contents"/>
          <w:docPartUnique/>
        </w:docPartObj>
      </w:sdtPr>
      <w:sdtContent>
        <w:p w14:paraId="1B6B5D8E" w14:textId="77777777" w:rsidR="00A74AE7" w:rsidRDefault="00000000">
          <w:pPr>
            <w:pStyle w:val="TOC1"/>
            <w:rPr>
              <w:rFonts w:asciiTheme="minorHAnsi" w:eastAsiaTheme="minorEastAsia" w:hAnsiTheme="minorHAnsi" w:cstheme="minorBidi"/>
              <w:kern w:val="2"/>
              <w:sz w:val="24"/>
              <w:szCs w:val="21"/>
              <w:lang w:val="en-IN" w:bidi="hi-IN"/>
              <w14:ligatures w14:val="standardContextual"/>
            </w:rPr>
          </w:pPr>
          <w:r>
            <w:fldChar w:fldCharType="begin"/>
          </w:r>
          <w:r>
            <w:instrText xml:space="preserve"> TOC \h \u \z \t "Heading 1,1,Heading 2,2,Heading 3,3,Heading 4,4,Heading 5,5,Heading 6,6,"</w:instrText>
          </w:r>
          <w:r>
            <w:fldChar w:fldCharType="separate"/>
          </w:r>
          <w:hyperlink w:anchor="_Toc233395054" w:history="1">
            <w:r>
              <w:rPr>
                <w:rStyle w:val="Hyperlink"/>
              </w:rPr>
              <w:t>Task 1 – Concept Map</w:t>
            </w:r>
            <w:r>
              <w:tab/>
            </w:r>
            <w:r>
              <w:fldChar w:fldCharType="begin"/>
            </w:r>
            <w:r>
              <w:instrText xml:space="preserve"> PAGEREF _Toc233395054 \h </w:instrText>
            </w:r>
            <w:r>
              <w:fldChar w:fldCharType="separate"/>
            </w:r>
            <w:r>
              <w:t>4</w:t>
            </w:r>
            <w:r>
              <w:fldChar w:fldCharType="end"/>
            </w:r>
          </w:hyperlink>
        </w:p>
        <w:p w14:paraId="00F0DD9E" w14:textId="77777777" w:rsidR="00A74AE7" w:rsidRDefault="00000000">
          <w:pPr>
            <w:pStyle w:val="TOC1"/>
            <w:rPr>
              <w:rFonts w:asciiTheme="minorHAnsi" w:eastAsiaTheme="minorEastAsia" w:hAnsiTheme="minorHAnsi" w:cstheme="minorBidi"/>
              <w:kern w:val="2"/>
              <w:sz w:val="24"/>
              <w:szCs w:val="21"/>
              <w:lang w:val="en-IN" w:bidi="hi-IN"/>
              <w14:ligatures w14:val="standardContextual"/>
            </w:rPr>
          </w:pPr>
          <w:hyperlink w:anchor="_Toc233395056" w:history="1">
            <w:r>
              <w:rPr>
                <w:rStyle w:val="Hyperlink"/>
              </w:rPr>
              <w:t>Task 2 - Self-Reflection of Group Activity</w:t>
            </w:r>
            <w:r>
              <w:tab/>
            </w:r>
            <w:r>
              <w:fldChar w:fldCharType="begin"/>
            </w:r>
            <w:r>
              <w:instrText xml:space="preserve"> PAGEREF _Toc233395056 \h </w:instrText>
            </w:r>
            <w:r>
              <w:fldChar w:fldCharType="separate"/>
            </w:r>
            <w:r>
              <w:t>6</w:t>
            </w:r>
            <w:r>
              <w:fldChar w:fldCharType="end"/>
            </w:r>
          </w:hyperlink>
        </w:p>
        <w:p w14:paraId="33729F63" w14:textId="77777777" w:rsidR="00A74AE7" w:rsidRDefault="00000000">
          <w:pPr>
            <w:pStyle w:val="TOC1"/>
            <w:rPr>
              <w:rFonts w:asciiTheme="minorHAnsi" w:eastAsiaTheme="minorEastAsia" w:hAnsiTheme="minorHAnsi" w:cstheme="minorBidi"/>
              <w:kern w:val="2"/>
              <w:sz w:val="24"/>
              <w:szCs w:val="21"/>
              <w:lang w:val="en-IN" w:bidi="hi-IN"/>
              <w14:ligatures w14:val="standardContextual"/>
            </w:rPr>
          </w:pPr>
          <w:hyperlink w:anchor="_Toc233395057" w:history="1">
            <w:r>
              <w:rPr>
                <w:rStyle w:val="Hyperlink"/>
                <w:lang w:val="en-IN"/>
              </w:rPr>
              <w:t>Task 3 – Case Study of a UK Innovation</w:t>
            </w:r>
            <w:r>
              <w:tab/>
            </w:r>
            <w:r>
              <w:fldChar w:fldCharType="begin"/>
            </w:r>
            <w:r>
              <w:instrText xml:space="preserve"> PAGEREF _Toc233395057 \h </w:instrText>
            </w:r>
            <w:r>
              <w:fldChar w:fldCharType="separate"/>
            </w:r>
            <w:r>
              <w:t>8</w:t>
            </w:r>
            <w:r>
              <w:fldChar w:fldCharType="end"/>
            </w:r>
          </w:hyperlink>
        </w:p>
        <w:p w14:paraId="4F595A27" w14:textId="77777777" w:rsidR="00A74AE7" w:rsidRDefault="00000000">
          <w:pPr>
            <w:pStyle w:val="TOC1"/>
            <w:rPr>
              <w:rFonts w:asciiTheme="minorHAnsi" w:eastAsiaTheme="minorEastAsia" w:hAnsiTheme="minorHAnsi" w:cstheme="minorBidi"/>
              <w:kern w:val="2"/>
              <w:sz w:val="24"/>
              <w:szCs w:val="21"/>
              <w:lang w:val="en-IN" w:bidi="hi-IN"/>
              <w14:ligatures w14:val="standardContextual"/>
            </w:rPr>
          </w:pPr>
          <w:hyperlink w:anchor="_Toc233395058" w:history="1">
            <w:r>
              <w:rPr>
                <w:rStyle w:val="Hyperlink"/>
                <w:lang w:val="en-IN"/>
              </w:rPr>
              <w:t>Task 4 – Research Task</w:t>
            </w:r>
            <w:r>
              <w:tab/>
            </w:r>
            <w:r>
              <w:fldChar w:fldCharType="begin"/>
            </w:r>
            <w:r>
              <w:instrText xml:space="preserve"> PAGEREF _Toc233395058 \h </w:instrText>
            </w:r>
            <w:r>
              <w:fldChar w:fldCharType="separate"/>
            </w:r>
            <w:r>
              <w:t>9</w:t>
            </w:r>
            <w:r>
              <w:fldChar w:fldCharType="end"/>
            </w:r>
          </w:hyperlink>
        </w:p>
        <w:p w14:paraId="31E4708F" w14:textId="77777777" w:rsidR="00A74AE7" w:rsidRDefault="00000000">
          <w:pPr>
            <w:pStyle w:val="TOC1"/>
            <w:rPr>
              <w:rFonts w:asciiTheme="minorHAnsi" w:eastAsiaTheme="minorEastAsia" w:hAnsiTheme="minorHAnsi" w:cstheme="minorBidi"/>
              <w:kern w:val="2"/>
              <w:sz w:val="24"/>
              <w:szCs w:val="21"/>
              <w:lang w:val="en-IN" w:bidi="hi-IN"/>
              <w14:ligatures w14:val="standardContextual"/>
            </w:rPr>
          </w:pPr>
          <w:hyperlink w:anchor="_Toc233395059" w:history="1">
            <w:r>
              <w:rPr>
                <w:rStyle w:val="Hyperlink"/>
                <w:lang w:val="en-IN"/>
              </w:rPr>
              <w:t>Task 5: Podcast</w:t>
            </w:r>
            <w:r>
              <w:tab/>
            </w:r>
            <w:r>
              <w:fldChar w:fldCharType="begin"/>
            </w:r>
            <w:r>
              <w:instrText xml:space="preserve"> PAGEREF _Toc233395059 \h </w:instrText>
            </w:r>
            <w:r>
              <w:fldChar w:fldCharType="separate"/>
            </w:r>
            <w:r>
              <w:t>10</w:t>
            </w:r>
            <w:r>
              <w:fldChar w:fldCharType="end"/>
            </w:r>
          </w:hyperlink>
        </w:p>
        <w:p w14:paraId="23BEECC7" w14:textId="77777777" w:rsidR="00A74AE7" w:rsidRDefault="00000000">
          <w:pPr>
            <w:pStyle w:val="TOC1"/>
            <w:rPr>
              <w:rFonts w:asciiTheme="minorHAnsi" w:eastAsiaTheme="minorEastAsia" w:hAnsiTheme="minorHAnsi" w:cstheme="minorBidi"/>
              <w:kern w:val="2"/>
              <w:sz w:val="24"/>
              <w:szCs w:val="21"/>
              <w:lang w:val="en-IN" w:bidi="hi-IN"/>
              <w14:ligatures w14:val="standardContextual"/>
            </w:rPr>
          </w:pPr>
          <w:hyperlink w:anchor="_Toc233395060" w:history="1">
            <w:r>
              <w:rPr>
                <w:rStyle w:val="Hyperlink"/>
                <w:lang w:val="en-IN"/>
              </w:rPr>
              <w:t>Task 6 – NHS Leadership Framework Analysis</w:t>
            </w:r>
            <w:r>
              <w:tab/>
            </w:r>
            <w:r>
              <w:fldChar w:fldCharType="begin"/>
            </w:r>
            <w:r>
              <w:instrText xml:space="preserve"> PAGEREF _Toc233395060 \h </w:instrText>
            </w:r>
            <w:r>
              <w:fldChar w:fldCharType="separate"/>
            </w:r>
            <w:r>
              <w:t>11</w:t>
            </w:r>
            <w:r>
              <w:fldChar w:fldCharType="end"/>
            </w:r>
          </w:hyperlink>
        </w:p>
        <w:p w14:paraId="6E8E4510" w14:textId="77777777" w:rsidR="00A74AE7" w:rsidRDefault="00000000">
          <w:pPr>
            <w:pStyle w:val="TOC1"/>
            <w:rPr>
              <w:rFonts w:asciiTheme="minorHAnsi" w:eastAsiaTheme="minorEastAsia" w:hAnsiTheme="minorHAnsi" w:cstheme="minorBidi"/>
              <w:kern w:val="2"/>
              <w:sz w:val="24"/>
              <w:szCs w:val="21"/>
              <w:lang w:val="en-IN" w:bidi="hi-IN"/>
              <w14:ligatures w14:val="standardContextual"/>
            </w:rPr>
          </w:pPr>
          <w:hyperlink w:anchor="_Toc233395061" w:history="1">
            <w:r>
              <w:rPr>
                <w:rStyle w:val="Hyperlink"/>
              </w:rPr>
              <w:t>Task 7 – Self-Reflection Journal Entry</w:t>
            </w:r>
            <w:r>
              <w:tab/>
            </w:r>
            <w:r>
              <w:fldChar w:fldCharType="begin"/>
            </w:r>
            <w:r>
              <w:instrText xml:space="preserve"> PAGEREF _Toc233395061 \h </w:instrText>
            </w:r>
            <w:r>
              <w:fldChar w:fldCharType="separate"/>
            </w:r>
            <w:r>
              <w:t>12</w:t>
            </w:r>
            <w:r>
              <w:fldChar w:fldCharType="end"/>
            </w:r>
          </w:hyperlink>
        </w:p>
        <w:p w14:paraId="62FC6E8C" w14:textId="77777777" w:rsidR="00A74AE7" w:rsidRDefault="00000000">
          <w:pPr>
            <w:pStyle w:val="TOC1"/>
            <w:rPr>
              <w:rFonts w:asciiTheme="minorHAnsi" w:eastAsiaTheme="minorEastAsia" w:hAnsiTheme="minorHAnsi" w:cstheme="minorBidi"/>
              <w:kern w:val="2"/>
              <w:sz w:val="24"/>
              <w:szCs w:val="21"/>
              <w:lang w:val="en-IN" w:bidi="hi-IN"/>
              <w14:ligatures w14:val="standardContextual"/>
            </w:rPr>
          </w:pPr>
          <w:hyperlink w:anchor="_Toc233395062" w:history="1">
            <w:r>
              <w:rPr>
                <w:rStyle w:val="Hyperlink"/>
                <w:b/>
                <w:bCs/>
              </w:rPr>
              <w:t>Reference List</w:t>
            </w:r>
            <w:r>
              <w:tab/>
            </w:r>
            <w:r>
              <w:fldChar w:fldCharType="begin"/>
            </w:r>
            <w:r>
              <w:instrText xml:space="preserve"> PAGEREF _Toc233395062 \h </w:instrText>
            </w:r>
            <w:r>
              <w:fldChar w:fldCharType="separate"/>
            </w:r>
            <w:r>
              <w:t>13</w:t>
            </w:r>
            <w:r>
              <w:fldChar w:fldCharType="end"/>
            </w:r>
          </w:hyperlink>
        </w:p>
        <w:p w14:paraId="0929D4E4" w14:textId="77777777" w:rsidR="00A74AE7" w:rsidRDefault="00000000">
          <w:pPr>
            <w:widowControl w:val="0"/>
            <w:tabs>
              <w:tab w:val="right" w:leader="dot" w:pos="9025"/>
            </w:tabs>
            <w:spacing w:line="360" w:lineRule="auto"/>
            <w:rPr>
              <w:b/>
              <w:bCs/>
              <w:color w:val="000000"/>
            </w:rPr>
          </w:pPr>
          <w:r>
            <w:fldChar w:fldCharType="end"/>
          </w:r>
        </w:p>
      </w:sdtContent>
    </w:sdt>
    <w:p w14:paraId="24D8F51D" w14:textId="77777777" w:rsidR="00A74AE7" w:rsidRDefault="00000000">
      <w:pPr>
        <w:spacing w:after="160" w:line="279" w:lineRule="auto"/>
        <w:rPr>
          <w:b/>
          <w:bCs/>
          <w:sz w:val="28"/>
          <w:szCs w:val="28"/>
        </w:rPr>
      </w:pPr>
      <w:r>
        <w:br w:type="page"/>
      </w:r>
    </w:p>
    <w:p w14:paraId="32401B8C" w14:textId="77777777" w:rsidR="00A74AE7" w:rsidRDefault="00000000">
      <w:pPr>
        <w:spacing w:after="160" w:line="279" w:lineRule="auto"/>
        <w:jc w:val="center"/>
        <w:rPr>
          <w:b/>
          <w:bCs/>
          <w:sz w:val="28"/>
          <w:szCs w:val="28"/>
        </w:rPr>
      </w:pPr>
      <w:r>
        <w:rPr>
          <w:b/>
          <w:bCs/>
          <w:sz w:val="28"/>
          <w:szCs w:val="28"/>
        </w:rPr>
        <w:lastRenderedPageBreak/>
        <w:t>LIST OF FIGURES</w:t>
      </w:r>
    </w:p>
    <w:p w14:paraId="606DA4AC" w14:textId="77777777" w:rsidR="00A74AE7" w:rsidRDefault="00000000">
      <w:pPr>
        <w:widowControl w:val="0"/>
        <w:tabs>
          <w:tab w:val="right" w:leader="dot" w:pos="9025"/>
        </w:tabs>
        <w:spacing w:before="60" w:line="240" w:lineRule="auto"/>
      </w:pPr>
      <w:hyperlink w:anchor="_hom0zwq4ryij">
        <w:r>
          <w:t>Fig 1: Concept Map</w:t>
        </w:r>
        <w:r>
          <w:tab/>
          <w:t>4</w:t>
        </w:r>
      </w:hyperlink>
    </w:p>
    <w:p w14:paraId="69533A04" w14:textId="77777777" w:rsidR="00A74AE7" w:rsidRDefault="00A74AE7">
      <w:pPr>
        <w:spacing w:after="160" w:line="279" w:lineRule="auto"/>
        <w:rPr>
          <w:b/>
          <w:bCs/>
          <w:sz w:val="28"/>
          <w:szCs w:val="28"/>
        </w:rPr>
      </w:pPr>
    </w:p>
    <w:p w14:paraId="38E59BFF" w14:textId="77777777" w:rsidR="00A74AE7" w:rsidRDefault="00A74AE7">
      <w:pPr>
        <w:spacing w:after="160" w:line="279" w:lineRule="auto"/>
        <w:jc w:val="center"/>
        <w:rPr>
          <w:sz w:val="72"/>
          <w:szCs w:val="72"/>
        </w:rPr>
      </w:pPr>
    </w:p>
    <w:p w14:paraId="5B9E58BB" w14:textId="77777777" w:rsidR="00A74AE7" w:rsidRDefault="00A74AE7">
      <w:pPr>
        <w:spacing w:after="160" w:line="279" w:lineRule="auto"/>
        <w:jc w:val="center"/>
        <w:rPr>
          <w:sz w:val="72"/>
          <w:szCs w:val="72"/>
        </w:rPr>
      </w:pPr>
    </w:p>
    <w:p w14:paraId="64BEE8A1" w14:textId="77777777" w:rsidR="00A74AE7" w:rsidRDefault="00A74AE7">
      <w:pPr>
        <w:spacing w:after="160" w:line="279" w:lineRule="auto"/>
        <w:jc w:val="center"/>
        <w:rPr>
          <w:sz w:val="72"/>
          <w:szCs w:val="72"/>
        </w:rPr>
      </w:pPr>
    </w:p>
    <w:p w14:paraId="0AEF5B82" w14:textId="77777777" w:rsidR="00A74AE7" w:rsidRDefault="00A74AE7">
      <w:pPr>
        <w:spacing w:after="160" w:line="279" w:lineRule="auto"/>
        <w:jc w:val="center"/>
        <w:rPr>
          <w:sz w:val="72"/>
          <w:szCs w:val="72"/>
        </w:rPr>
      </w:pPr>
    </w:p>
    <w:p w14:paraId="1B9636BD" w14:textId="77777777" w:rsidR="00A74AE7" w:rsidRDefault="00A74AE7">
      <w:pPr>
        <w:spacing w:after="160" w:line="279" w:lineRule="auto"/>
        <w:jc w:val="center"/>
        <w:rPr>
          <w:sz w:val="72"/>
          <w:szCs w:val="72"/>
        </w:rPr>
      </w:pPr>
    </w:p>
    <w:p w14:paraId="6CBEA016" w14:textId="77777777" w:rsidR="00A74AE7" w:rsidRDefault="00A74AE7">
      <w:pPr>
        <w:spacing w:after="160" w:line="279" w:lineRule="auto"/>
        <w:jc w:val="center"/>
        <w:rPr>
          <w:sz w:val="72"/>
          <w:szCs w:val="72"/>
        </w:rPr>
      </w:pPr>
    </w:p>
    <w:p w14:paraId="68106B5E" w14:textId="77777777" w:rsidR="00A74AE7" w:rsidRDefault="00A74AE7">
      <w:pPr>
        <w:spacing w:after="160" w:line="279" w:lineRule="auto"/>
        <w:rPr>
          <w:sz w:val="72"/>
          <w:szCs w:val="72"/>
        </w:rPr>
      </w:pPr>
    </w:p>
    <w:p w14:paraId="58F3ED42" w14:textId="77777777" w:rsidR="00A74AE7" w:rsidRDefault="00A74AE7">
      <w:pPr>
        <w:spacing w:after="160" w:line="279" w:lineRule="auto"/>
        <w:rPr>
          <w:sz w:val="72"/>
          <w:szCs w:val="72"/>
        </w:rPr>
      </w:pPr>
    </w:p>
    <w:p w14:paraId="20E1DD56" w14:textId="77777777" w:rsidR="00A74AE7" w:rsidRDefault="00000000">
      <w:pPr>
        <w:pStyle w:val="Heading1"/>
        <w:spacing w:before="360" w:after="80" w:line="279" w:lineRule="auto"/>
        <w:jc w:val="both"/>
        <w:rPr>
          <w:sz w:val="44"/>
          <w:szCs w:val="44"/>
        </w:rPr>
      </w:pPr>
      <w:bookmarkStart w:id="0" w:name="_1pe76op5zcdr" w:colFirst="0" w:colLast="0"/>
      <w:bookmarkEnd w:id="0"/>
      <w:r>
        <w:br w:type="page"/>
      </w:r>
    </w:p>
    <w:p w14:paraId="13F4F659" w14:textId="77777777" w:rsidR="00A74AE7" w:rsidRDefault="00000000">
      <w:pPr>
        <w:pStyle w:val="Heading1"/>
        <w:spacing w:before="0" w:after="0" w:line="360" w:lineRule="auto"/>
        <w:jc w:val="both"/>
        <w:rPr>
          <w:sz w:val="44"/>
          <w:szCs w:val="44"/>
        </w:rPr>
      </w:pPr>
      <w:bookmarkStart w:id="1" w:name="_Toc233395054"/>
      <w:r>
        <w:rPr>
          <w:sz w:val="44"/>
          <w:szCs w:val="44"/>
        </w:rPr>
        <w:lastRenderedPageBreak/>
        <w:t>Task 1 – Concept Map</w:t>
      </w:r>
      <w:bookmarkEnd w:id="1"/>
    </w:p>
    <w:p w14:paraId="379B8076" w14:textId="291927E2" w:rsidR="00A74AE7" w:rsidRDefault="00A74AE7">
      <w:pPr>
        <w:spacing w:line="360" w:lineRule="auto"/>
        <w:jc w:val="both"/>
        <w:rPr>
          <w:i/>
          <w:iCs/>
          <w:sz w:val="24"/>
          <w:szCs w:val="24"/>
        </w:rPr>
      </w:pPr>
    </w:p>
    <w:p w14:paraId="639BF752" w14:textId="77777777" w:rsidR="00A74AE7" w:rsidRDefault="00000000">
      <w:pPr>
        <w:spacing w:line="360" w:lineRule="auto"/>
        <w:jc w:val="both"/>
        <w:rPr>
          <w:b/>
          <w:bCs/>
        </w:rPr>
      </w:pPr>
      <w:r>
        <w:rPr>
          <w:b/>
          <w:bCs/>
        </w:rPr>
        <w:t>Concept Map</w:t>
      </w:r>
    </w:p>
    <w:p w14:paraId="716BF76D" w14:textId="77777777" w:rsidR="00A74AE7" w:rsidRDefault="00000000">
      <w:pPr>
        <w:spacing w:line="360" w:lineRule="auto"/>
        <w:jc w:val="center"/>
      </w:pPr>
      <w:r>
        <w:rPr>
          <w:noProof/>
        </w:rPr>
        <w:drawing>
          <wp:inline distT="114300" distB="114300" distL="114300" distR="114300" wp14:anchorId="0D08219F" wp14:editId="0BFE8E6E">
            <wp:extent cx="5454015" cy="4084955"/>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2" name="image2.png"/>
                    <pic:cNvPicPr preferRelativeResize="0"/>
                  </pic:nvPicPr>
                  <pic:blipFill>
                    <a:blip r:embed="rId11"/>
                    <a:srcRect/>
                    <a:stretch>
                      <a:fillRect/>
                    </a:stretch>
                  </pic:blipFill>
                  <pic:spPr>
                    <a:xfrm>
                      <a:off x="0" y="0"/>
                      <a:ext cx="5454555" cy="4085568"/>
                    </a:xfrm>
                    <a:prstGeom prst="rect">
                      <a:avLst/>
                    </a:prstGeom>
                  </pic:spPr>
                </pic:pic>
              </a:graphicData>
            </a:graphic>
          </wp:inline>
        </w:drawing>
      </w:r>
    </w:p>
    <w:p w14:paraId="56000D5A" w14:textId="77777777" w:rsidR="00A74AE7" w:rsidRDefault="00000000">
      <w:pPr>
        <w:pStyle w:val="Heading2"/>
        <w:spacing w:before="0" w:after="0" w:line="360" w:lineRule="auto"/>
        <w:jc w:val="center"/>
        <w:rPr>
          <w:b/>
          <w:bCs/>
          <w:sz w:val="22"/>
          <w:szCs w:val="22"/>
        </w:rPr>
      </w:pPr>
      <w:bookmarkStart w:id="2" w:name="_hom0zwq4ryij" w:colFirst="0" w:colLast="0"/>
      <w:bookmarkStart w:id="3" w:name="_Toc233395055"/>
      <w:bookmarkStart w:id="4" w:name="_Toc233305604"/>
      <w:bookmarkEnd w:id="2"/>
      <w:r>
        <w:rPr>
          <w:b/>
          <w:bCs/>
          <w:sz w:val="22"/>
          <w:szCs w:val="22"/>
        </w:rPr>
        <w:t>Fig 1: Concept Map</w:t>
      </w:r>
      <w:bookmarkEnd w:id="3"/>
      <w:bookmarkEnd w:id="4"/>
    </w:p>
    <w:p w14:paraId="5B0D202B" w14:textId="77777777" w:rsidR="00A74AE7" w:rsidRDefault="00000000">
      <w:pPr>
        <w:spacing w:line="360" w:lineRule="auto"/>
        <w:jc w:val="center"/>
      </w:pPr>
      <w:r>
        <w:t>(Source: Self-Developed)</w:t>
      </w:r>
    </w:p>
    <w:p w14:paraId="2197EFBC" w14:textId="77777777" w:rsidR="00A74AE7" w:rsidRDefault="00000000">
      <w:pPr>
        <w:spacing w:line="360" w:lineRule="auto"/>
        <w:jc w:val="both"/>
        <w:rPr>
          <w:b/>
          <w:bCs/>
        </w:rPr>
      </w:pPr>
      <w:r>
        <w:rPr>
          <w:b/>
          <w:bCs/>
        </w:rPr>
        <w:t>Interaction of the Concepts</w:t>
      </w:r>
    </w:p>
    <w:p w14:paraId="5CD4B82B" w14:textId="77777777" w:rsidR="00A74AE7" w:rsidRDefault="00000000">
      <w:pPr>
        <w:spacing w:line="360" w:lineRule="auto"/>
        <w:jc w:val="both"/>
      </w:pPr>
      <w:r>
        <w:t>Health and social care services are innovated based on creativity. It involves the invention of novel ideas, perspectives, and approaches to handle complicated problems experienced by the service users, carers, families, and professionals (Kennel and Lowndes, 2023). Healthcare practitioners can use creative thinking to come up with novel solutions that would enhance service delivery, communication, and positive patient experiences.</w:t>
      </w:r>
    </w:p>
    <w:p w14:paraId="67AA1E4A" w14:textId="77777777" w:rsidR="00A74AE7" w:rsidRDefault="00000000">
      <w:pPr>
        <w:spacing w:line="360" w:lineRule="auto"/>
        <w:jc w:val="both"/>
      </w:pPr>
      <w:r>
        <w:t xml:space="preserve">When put into practice, the creative ideas introduce a sense of value to existence. The health and social care organisations that will operate in a way that will lead to better outcomes with the available resources in a more efficient and effective way create value (Ganga </w:t>
      </w:r>
      <w:r>
        <w:rPr>
          <w:i/>
          <w:iCs/>
        </w:rPr>
        <w:t xml:space="preserve">et al., </w:t>
      </w:r>
      <w:r>
        <w:t>2025). Digital appointment systems are an example that can reduce waiting time and increase access to the site, improve communication, and increase patient satisfaction (Kennel and Lowndes, 2023). The benefits generate value for the patients and health providers, carers, and organisations.</w:t>
      </w:r>
    </w:p>
    <w:p w14:paraId="0458E077" w14:textId="77777777" w:rsidR="00A74AE7" w:rsidRDefault="00000000">
      <w:pPr>
        <w:spacing w:line="360" w:lineRule="auto"/>
        <w:jc w:val="both"/>
      </w:pPr>
      <w:r>
        <w:lastRenderedPageBreak/>
        <w:t>The created value in the process of innovation leads to the improvement of health and social care. Improved services bring about safer care, well-being, operational effectiveness, and improved health outcomes. Moreover, continuous improvement promotes the culture of learning, reflection, collaboration, and innovativeness in organisations that helps them respond to the evolving needs (Ruhati</w:t>
      </w:r>
      <w:r>
        <w:rPr>
          <w:i/>
          <w:iCs/>
        </w:rPr>
        <w:t xml:space="preserve"> et al.,</w:t>
      </w:r>
      <w:r>
        <w:t xml:space="preserve"> 2025).</w:t>
      </w:r>
    </w:p>
    <w:p w14:paraId="60A7F811" w14:textId="77777777" w:rsidR="00A74AE7" w:rsidRDefault="00000000">
      <w:pPr>
        <w:spacing w:line="360" w:lineRule="auto"/>
        <w:jc w:val="both"/>
      </w:pPr>
      <w:r>
        <w:t>Creativity, value creation, and improvement are highly interrelated and reinforcing as per the modern theories on health and social care improvement, which have been discussed in Week 1. Innovation is generated by creativity, value is created by innovation, and sustainable service improvements are propelled by value. The continuous cycle allows providing person-centred care and facilitating organisations to prepare themselves to meet the evolving healthcare needs and expectations over time (Carlini</w:t>
      </w:r>
      <w:r>
        <w:rPr>
          <w:i/>
          <w:iCs/>
        </w:rPr>
        <w:t xml:space="preserve"> et al., </w:t>
      </w:r>
      <w:r>
        <w:t>2024).</w:t>
      </w:r>
    </w:p>
    <w:p w14:paraId="26E47EEA" w14:textId="77777777" w:rsidR="00A74AE7" w:rsidRDefault="00A74AE7">
      <w:pPr>
        <w:spacing w:line="360" w:lineRule="auto"/>
        <w:jc w:val="both"/>
        <w:rPr>
          <w:sz w:val="24"/>
          <w:szCs w:val="24"/>
        </w:rPr>
      </w:pPr>
    </w:p>
    <w:p w14:paraId="26E5AF93" w14:textId="77777777" w:rsidR="00A74AE7" w:rsidRDefault="00A74AE7">
      <w:pPr>
        <w:spacing w:line="360" w:lineRule="auto"/>
        <w:rPr>
          <w:i/>
          <w:iCs/>
          <w:color w:val="FF0000"/>
          <w:sz w:val="24"/>
          <w:szCs w:val="24"/>
        </w:rPr>
      </w:pPr>
    </w:p>
    <w:p w14:paraId="548D68B4" w14:textId="77777777" w:rsidR="00A74AE7" w:rsidRDefault="00A74AE7">
      <w:pPr>
        <w:spacing w:line="360" w:lineRule="auto"/>
        <w:rPr>
          <w:i/>
          <w:iCs/>
          <w:sz w:val="24"/>
          <w:szCs w:val="24"/>
        </w:rPr>
      </w:pPr>
    </w:p>
    <w:p w14:paraId="4FF6941C" w14:textId="77777777" w:rsidR="00A74AE7" w:rsidRDefault="00A74AE7">
      <w:pPr>
        <w:spacing w:line="360" w:lineRule="auto"/>
        <w:rPr>
          <w:i/>
          <w:iCs/>
          <w:sz w:val="24"/>
          <w:szCs w:val="24"/>
        </w:rPr>
      </w:pPr>
    </w:p>
    <w:p w14:paraId="419CE464" w14:textId="77777777" w:rsidR="00A74AE7" w:rsidRDefault="00A74AE7">
      <w:pPr>
        <w:spacing w:line="360" w:lineRule="auto"/>
        <w:rPr>
          <w:i/>
          <w:iCs/>
          <w:sz w:val="24"/>
          <w:szCs w:val="24"/>
        </w:rPr>
      </w:pPr>
    </w:p>
    <w:p w14:paraId="3AF2B196" w14:textId="77777777" w:rsidR="00A74AE7" w:rsidRDefault="00A74AE7">
      <w:pPr>
        <w:spacing w:line="360" w:lineRule="auto"/>
        <w:rPr>
          <w:i/>
          <w:iCs/>
          <w:sz w:val="24"/>
          <w:szCs w:val="24"/>
        </w:rPr>
      </w:pPr>
    </w:p>
    <w:p w14:paraId="0B93987E" w14:textId="77777777" w:rsidR="00A74AE7" w:rsidRDefault="00A74AE7">
      <w:pPr>
        <w:spacing w:line="360" w:lineRule="auto"/>
        <w:rPr>
          <w:i/>
          <w:iCs/>
          <w:sz w:val="24"/>
          <w:szCs w:val="24"/>
        </w:rPr>
      </w:pPr>
    </w:p>
    <w:p w14:paraId="384DDAD0" w14:textId="77777777" w:rsidR="00A74AE7" w:rsidRDefault="00A74AE7">
      <w:pPr>
        <w:spacing w:line="360" w:lineRule="auto"/>
        <w:rPr>
          <w:i/>
          <w:iCs/>
          <w:sz w:val="24"/>
          <w:szCs w:val="24"/>
        </w:rPr>
      </w:pPr>
    </w:p>
    <w:p w14:paraId="1DD02A84" w14:textId="77777777" w:rsidR="00A74AE7" w:rsidRDefault="00A74AE7">
      <w:pPr>
        <w:spacing w:line="360" w:lineRule="auto"/>
        <w:rPr>
          <w:i/>
          <w:iCs/>
          <w:sz w:val="24"/>
          <w:szCs w:val="24"/>
        </w:rPr>
      </w:pPr>
    </w:p>
    <w:p w14:paraId="55FBD255" w14:textId="77777777" w:rsidR="00A74AE7" w:rsidRDefault="00A74AE7">
      <w:pPr>
        <w:spacing w:line="360" w:lineRule="auto"/>
        <w:rPr>
          <w:i/>
          <w:iCs/>
          <w:sz w:val="24"/>
          <w:szCs w:val="24"/>
        </w:rPr>
      </w:pPr>
    </w:p>
    <w:p w14:paraId="38C0F28D" w14:textId="77777777" w:rsidR="00A74AE7" w:rsidRDefault="00A74AE7">
      <w:pPr>
        <w:spacing w:line="360" w:lineRule="auto"/>
        <w:rPr>
          <w:i/>
          <w:iCs/>
          <w:sz w:val="24"/>
          <w:szCs w:val="24"/>
        </w:rPr>
      </w:pPr>
    </w:p>
    <w:p w14:paraId="5D25E5BC" w14:textId="77777777" w:rsidR="00A74AE7" w:rsidRDefault="00A74AE7">
      <w:pPr>
        <w:spacing w:line="360" w:lineRule="auto"/>
        <w:rPr>
          <w:i/>
          <w:iCs/>
          <w:sz w:val="24"/>
          <w:szCs w:val="24"/>
        </w:rPr>
      </w:pPr>
    </w:p>
    <w:p w14:paraId="11EB4753" w14:textId="77777777" w:rsidR="00A74AE7" w:rsidRDefault="00A74AE7">
      <w:pPr>
        <w:spacing w:line="360" w:lineRule="auto"/>
        <w:rPr>
          <w:i/>
          <w:iCs/>
          <w:sz w:val="24"/>
          <w:szCs w:val="24"/>
        </w:rPr>
      </w:pPr>
    </w:p>
    <w:p w14:paraId="0A1BEF75" w14:textId="77777777" w:rsidR="00A74AE7" w:rsidRDefault="00A74AE7">
      <w:pPr>
        <w:spacing w:line="360" w:lineRule="auto"/>
        <w:rPr>
          <w:i/>
          <w:iCs/>
          <w:sz w:val="24"/>
          <w:szCs w:val="24"/>
        </w:rPr>
      </w:pPr>
    </w:p>
    <w:p w14:paraId="6CBE06BC" w14:textId="77777777" w:rsidR="00A74AE7" w:rsidRDefault="00A74AE7">
      <w:pPr>
        <w:spacing w:line="360" w:lineRule="auto"/>
        <w:rPr>
          <w:i/>
          <w:iCs/>
          <w:sz w:val="24"/>
          <w:szCs w:val="24"/>
        </w:rPr>
      </w:pPr>
    </w:p>
    <w:p w14:paraId="51155315" w14:textId="77777777" w:rsidR="00A74AE7" w:rsidRDefault="00A74AE7">
      <w:pPr>
        <w:spacing w:line="360" w:lineRule="auto"/>
        <w:rPr>
          <w:i/>
          <w:iCs/>
          <w:sz w:val="24"/>
          <w:szCs w:val="24"/>
        </w:rPr>
      </w:pPr>
    </w:p>
    <w:p w14:paraId="3A211EFA" w14:textId="77777777" w:rsidR="00A74AE7" w:rsidRDefault="00A74AE7">
      <w:pPr>
        <w:spacing w:line="360" w:lineRule="auto"/>
        <w:rPr>
          <w:i/>
          <w:iCs/>
          <w:sz w:val="24"/>
          <w:szCs w:val="24"/>
        </w:rPr>
      </w:pPr>
    </w:p>
    <w:p w14:paraId="23AE2833" w14:textId="77777777" w:rsidR="00A74AE7" w:rsidRDefault="00A74AE7">
      <w:pPr>
        <w:spacing w:line="360" w:lineRule="auto"/>
        <w:rPr>
          <w:i/>
          <w:iCs/>
          <w:sz w:val="24"/>
          <w:szCs w:val="24"/>
        </w:rPr>
      </w:pPr>
    </w:p>
    <w:p w14:paraId="6B48FC06" w14:textId="77777777" w:rsidR="00A74AE7" w:rsidRDefault="00A74AE7">
      <w:pPr>
        <w:spacing w:line="360" w:lineRule="auto"/>
        <w:rPr>
          <w:i/>
          <w:iCs/>
          <w:sz w:val="24"/>
          <w:szCs w:val="24"/>
        </w:rPr>
      </w:pPr>
    </w:p>
    <w:p w14:paraId="69F967AA" w14:textId="77777777" w:rsidR="00A74AE7" w:rsidRDefault="00A74AE7">
      <w:pPr>
        <w:spacing w:line="360" w:lineRule="auto"/>
        <w:rPr>
          <w:i/>
          <w:iCs/>
          <w:sz w:val="24"/>
          <w:szCs w:val="24"/>
        </w:rPr>
      </w:pPr>
    </w:p>
    <w:p w14:paraId="200ADDC5" w14:textId="77777777" w:rsidR="00A74AE7" w:rsidRDefault="00A74AE7">
      <w:pPr>
        <w:spacing w:line="360" w:lineRule="auto"/>
        <w:rPr>
          <w:i/>
          <w:iCs/>
          <w:sz w:val="24"/>
          <w:szCs w:val="24"/>
        </w:rPr>
      </w:pPr>
    </w:p>
    <w:p w14:paraId="5BEA8F74" w14:textId="77777777" w:rsidR="00A74AE7" w:rsidRDefault="00000000">
      <w:pPr>
        <w:pStyle w:val="Heading1"/>
        <w:spacing w:before="0" w:after="0" w:line="360" w:lineRule="auto"/>
        <w:jc w:val="both"/>
        <w:rPr>
          <w:sz w:val="44"/>
          <w:szCs w:val="44"/>
        </w:rPr>
      </w:pPr>
      <w:bookmarkStart w:id="5" w:name="_Toc233395056"/>
      <w:r>
        <w:rPr>
          <w:sz w:val="44"/>
          <w:szCs w:val="44"/>
        </w:rPr>
        <w:t>Task 2 - Self-Reflection of Group Activity</w:t>
      </w:r>
      <w:bookmarkEnd w:id="5"/>
    </w:p>
    <w:p w14:paraId="508E3A85" w14:textId="0FE52E72" w:rsidR="00A74AE7" w:rsidRDefault="00000000">
      <w:pPr>
        <w:spacing w:line="360" w:lineRule="auto"/>
        <w:jc w:val="both"/>
        <w:rPr>
          <w:i/>
          <w:iCs/>
          <w:color w:val="FF0000"/>
          <w:sz w:val="24"/>
          <w:szCs w:val="24"/>
        </w:rPr>
      </w:pPr>
      <w:r>
        <w:rPr>
          <w:i/>
          <w:iCs/>
          <w:sz w:val="24"/>
          <w:szCs w:val="24"/>
        </w:rPr>
        <w:t xml:space="preserve"> </w:t>
      </w:r>
      <w:r w:rsidR="005B62A8">
        <w:rPr>
          <w:i/>
          <w:iCs/>
          <w:sz w:val="24"/>
          <w:szCs w:val="24"/>
        </w:rPr>
        <w:t xml:space="preserve"> </w:t>
      </w:r>
    </w:p>
    <w:p w14:paraId="7B67D0F0" w14:textId="77777777" w:rsidR="00A74AE7" w:rsidRDefault="00000000">
      <w:pPr>
        <w:spacing w:line="360" w:lineRule="auto"/>
        <w:jc w:val="both"/>
      </w:pPr>
      <w:r>
        <w:rPr>
          <w:b/>
          <w:bCs/>
        </w:rPr>
        <w:lastRenderedPageBreak/>
        <w:t>Self-Reflection Using Gibbs' Reflective Cycle</w:t>
      </w:r>
      <w:r>
        <w:t xml:space="preserve"> </w:t>
      </w:r>
    </w:p>
    <w:p w14:paraId="58C7721C" w14:textId="77777777" w:rsidR="00A74AE7" w:rsidRDefault="00000000">
      <w:pPr>
        <w:spacing w:line="360" w:lineRule="auto"/>
        <w:jc w:val="both"/>
        <w:rPr>
          <w:b/>
          <w:bCs/>
        </w:rPr>
      </w:pPr>
      <w:r>
        <w:rPr>
          <w:lang w:val="en-IN"/>
        </w:rPr>
        <w:t>Divergent thinking is the process of having a lot of creative ideas and exploring possibilities without judgment at that time. Convergent thinking will then require evaluating and eliminating these ideas to find the most practical and effective solution. They both complement each other in fostering creativity, critical thinking, and problem-solving. Divergent thinking was employed to brainstorm a range of uses for a paperclip, and convergent thinking was employed to narrow them down to the most useful and realistic ideas (</w:t>
      </w:r>
      <w:r>
        <w:t>Razumnikova, 2020)</w:t>
      </w:r>
      <w:r>
        <w:rPr>
          <w:lang w:val="en-IN"/>
        </w:rPr>
        <w:t>.</w:t>
      </w:r>
    </w:p>
    <w:p w14:paraId="76717DCD" w14:textId="77777777" w:rsidR="00A74AE7" w:rsidRDefault="00000000">
      <w:pPr>
        <w:numPr>
          <w:ilvl w:val="0"/>
          <w:numId w:val="1"/>
        </w:numPr>
        <w:spacing w:line="360" w:lineRule="auto"/>
        <w:jc w:val="both"/>
        <w:rPr>
          <w:b/>
          <w:bCs/>
        </w:rPr>
      </w:pPr>
      <w:r>
        <w:rPr>
          <w:b/>
          <w:bCs/>
        </w:rPr>
        <w:t>Description</w:t>
      </w:r>
    </w:p>
    <w:p w14:paraId="7AF4154F" w14:textId="77777777" w:rsidR="00A74AE7" w:rsidRDefault="00000000">
      <w:pPr>
        <w:spacing w:line="360" w:lineRule="auto"/>
        <w:jc w:val="both"/>
      </w:pPr>
      <w:r>
        <w:t>The creative thinking in solving problems was provoked by the convergent and divergent paperclip thinking exercise, as it involved the participants thinking of as many alternative applications of a paperclip as possible and then filtering the ideas to decide which ones could be the most practical, creative, and valuable solutions to the problems.</w:t>
      </w:r>
    </w:p>
    <w:p w14:paraId="00E27103" w14:textId="77777777" w:rsidR="00A74AE7" w:rsidRDefault="00000000">
      <w:pPr>
        <w:numPr>
          <w:ilvl w:val="0"/>
          <w:numId w:val="2"/>
        </w:numPr>
        <w:spacing w:line="360" w:lineRule="auto"/>
        <w:jc w:val="both"/>
        <w:rPr>
          <w:b/>
          <w:bCs/>
        </w:rPr>
      </w:pPr>
      <w:r>
        <w:rPr>
          <w:b/>
          <w:bCs/>
        </w:rPr>
        <w:t>Feelings</w:t>
      </w:r>
    </w:p>
    <w:p w14:paraId="0A163691" w14:textId="77777777" w:rsidR="00A74AE7" w:rsidRDefault="00000000">
      <w:pPr>
        <w:spacing w:line="360" w:lineRule="auto"/>
        <w:jc w:val="both"/>
      </w:pPr>
      <w:r>
        <w:t>I initially felt uncertain because I focused on the traditional application of the paperclip. I got more involved and confident as the activity went on. Creative, Innovative Thinking was fun, and the experience promoted receptiveness to new ideas and ways of thinking.</w:t>
      </w:r>
    </w:p>
    <w:p w14:paraId="11380E2E" w14:textId="77777777" w:rsidR="00A74AE7" w:rsidRDefault="00000000">
      <w:pPr>
        <w:numPr>
          <w:ilvl w:val="0"/>
          <w:numId w:val="3"/>
        </w:numPr>
        <w:spacing w:line="360" w:lineRule="auto"/>
        <w:jc w:val="both"/>
        <w:rPr>
          <w:b/>
          <w:bCs/>
        </w:rPr>
      </w:pPr>
      <w:r>
        <w:rPr>
          <w:b/>
          <w:bCs/>
        </w:rPr>
        <w:t>Evaluation</w:t>
      </w:r>
    </w:p>
    <w:p w14:paraId="2E84ADDA" w14:textId="77777777" w:rsidR="00A74AE7" w:rsidRDefault="00000000">
      <w:pPr>
        <w:spacing w:line="360" w:lineRule="auto"/>
        <w:jc w:val="both"/>
      </w:pPr>
      <w:r>
        <w:t>The exercise was fun and helpful in enhancing creative problem-solving skills. It demonstrated the value in creating and evaluating ideas. Nevertheless, it took practice and open-mindedness to get over the initial dependence on the obvious solutions (Praveena et al., 2025).</w:t>
      </w:r>
    </w:p>
    <w:p w14:paraId="330E49B1" w14:textId="77777777" w:rsidR="00A74AE7" w:rsidRDefault="00000000">
      <w:pPr>
        <w:numPr>
          <w:ilvl w:val="0"/>
          <w:numId w:val="4"/>
        </w:numPr>
        <w:spacing w:line="360" w:lineRule="auto"/>
        <w:jc w:val="both"/>
        <w:rPr>
          <w:b/>
          <w:bCs/>
        </w:rPr>
      </w:pPr>
      <w:r>
        <w:rPr>
          <w:b/>
          <w:bCs/>
        </w:rPr>
        <w:t>Analysis</w:t>
      </w:r>
    </w:p>
    <w:p w14:paraId="462DE40E" w14:textId="77777777" w:rsidR="00A74AE7" w:rsidRDefault="00000000">
      <w:pPr>
        <w:spacing w:line="360" w:lineRule="auto"/>
        <w:jc w:val="both"/>
      </w:pPr>
      <w:r>
        <w:t>The experiment showed that divergent and convergent thinking are complementary to each other as regards effective problem solving. By coming up with a variety of ideas, creativity was stimulated, and culling their viability facilitated critical thinking. This is particularly the case in the health and social care, where the innovation ought to be safe and effective.</w:t>
      </w:r>
    </w:p>
    <w:p w14:paraId="6992B99F" w14:textId="77777777" w:rsidR="00A74AE7" w:rsidRDefault="00000000">
      <w:pPr>
        <w:numPr>
          <w:ilvl w:val="0"/>
          <w:numId w:val="5"/>
        </w:numPr>
        <w:spacing w:line="360" w:lineRule="auto"/>
        <w:jc w:val="both"/>
        <w:rPr>
          <w:b/>
          <w:bCs/>
        </w:rPr>
      </w:pPr>
      <w:r>
        <w:rPr>
          <w:b/>
          <w:bCs/>
        </w:rPr>
        <w:t>Conclusion</w:t>
      </w:r>
    </w:p>
    <w:p w14:paraId="3CE80AB0" w14:textId="77777777" w:rsidR="00A74AE7" w:rsidRDefault="00000000">
      <w:pPr>
        <w:spacing w:line="360" w:lineRule="auto"/>
        <w:jc w:val="both"/>
      </w:pPr>
      <w:r>
        <w:t>This experience has shown me that creativity can be learned through practice and thinking outside the box. To make an assumption based on what is being argued is one way to attain innovation and critical thinking, and it is one way of making sure that ideas that are viable, useful, and efficient are retained in order to make further improvement.</w:t>
      </w:r>
    </w:p>
    <w:p w14:paraId="2CEEDA6E" w14:textId="77777777" w:rsidR="00A74AE7" w:rsidRDefault="00000000">
      <w:pPr>
        <w:numPr>
          <w:ilvl w:val="0"/>
          <w:numId w:val="6"/>
        </w:numPr>
        <w:spacing w:line="360" w:lineRule="auto"/>
        <w:jc w:val="both"/>
        <w:rPr>
          <w:b/>
          <w:bCs/>
        </w:rPr>
      </w:pPr>
      <w:r>
        <w:rPr>
          <w:b/>
          <w:bCs/>
        </w:rPr>
        <w:t>Action Plan</w:t>
      </w:r>
    </w:p>
    <w:p w14:paraId="623E754A" w14:textId="77777777" w:rsidR="00A74AE7" w:rsidRDefault="00000000">
      <w:pPr>
        <w:spacing w:line="360" w:lineRule="auto"/>
        <w:jc w:val="both"/>
      </w:pPr>
      <w:r>
        <w:t>I will, in the future, purposefully employ divergent and convergent thinking in solving problems. I will contribute some of the solutions that are possible, be open to various ideas, and cooperate with other members of staff. Such moves will enhance innovation and problem-solving ability and reinforce innovation in practice.</w:t>
      </w:r>
    </w:p>
    <w:p w14:paraId="11269517" w14:textId="77777777" w:rsidR="00A74AE7" w:rsidRDefault="00000000">
      <w:r>
        <w:br w:type="page"/>
      </w:r>
    </w:p>
    <w:p w14:paraId="10325AD7" w14:textId="77777777" w:rsidR="00A74AE7" w:rsidRDefault="00000000">
      <w:pPr>
        <w:pStyle w:val="Heading1"/>
        <w:rPr>
          <w:lang w:val="en-IN"/>
        </w:rPr>
      </w:pPr>
      <w:bookmarkStart w:id="6" w:name="_Toc233395057"/>
      <w:r>
        <w:rPr>
          <w:lang w:val="en-IN"/>
        </w:rPr>
        <w:lastRenderedPageBreak/>
        <w:t>Task 3 – Case Study of a UK Innovation</w:t>
      </w:r>
      <w:bookmarkEnd w:id="6"/>
    </w:p>
    <w:p w14:paraId="76D3A885" w14:textId="77777777" w:rsidR="00A74AE7" w:rsidRDefault="00000000">
      <w:pPr>
        <w:spacing w:line="360" w:lineRule="auto"/>
        <w:jc w:val="both"/>
        <w:rPr>
          <w:b/>
          <w:bCs/>
          <w:lang w:val="en-IN"/>
        </w:rPr>
      </w:pPr>
      <w:r>
        <w:rPr>
          <w:b/>
          <w:bCs/>
          <w:lang w:val="en-IN"/>
        </w:rPr>
        <w:t>NHS App: A Digital Innovation Transforming Healthcare Delivery in the UK</w:t>
      </w:r>
    </w:p>
    <w:p w14:paraId="30F4DBEC" w14:textId="77777777" w:rsidR="00A74AE7" w:rsidRDefault="00000000">
      <w:pPr>
        <w:spacing w:line="360" w:lineRule="auto"/>
        <w:jc w:val="both"/>
        <w:rPr>
          <w:lang w:val="en-IN"/>
        </w:rPr>
      </w:pPr>
      <w:r>
        <w:rPr>
          <w:lang w:val="en-IN"/>
        </w:rPr>
        <w:t>The NHS App is one of the biggest innovations to come into the National Health Service (NHS). The app was developed to increase access to healthcare services and patient engagement using digital technology and was released nationally in 2019. It offers patients a seamless digital experience to book appointments, request repeat prescriptions, view medical records, access health information, and connect with healthcare services (</w:t>
      </w:r>
      <w:r>
        <w:t>Faulkner-Gurstein and Wyatt 2023</w:t>
      </w:r>
      <w:r>
        <w:rPr>
          <w:lang w:val="en-IN"/>
        </w:rPr>
        <w:t>).</w:t>
      </w:r>
    </w:p>
    <w:p w14:paraId="3CA5ABE6" w14:textId="77777777" w:rsidR="00A74AE7" w:rsidRDefault="00000000">
      <w:pPr>
        <w:spacing w:line="360" w:lineRule="auto"/>
        <w:jc w:val="both"/>
        <w:rPr>
          <w:lang w:val="en-IN"/>
        </w:rPr>
      </w:pPr>
      <w:r>
        <w:rPr>
          <w:lang w:val="en-IN"/>
        </w:rPr>
        <w:t>The NHS App development was a major success due to creativity. Traditional healthcare systems needed patients to call in, attend GP surgeries in person or wait for a lengthy time to access services. Recognising the increasing use of smartphones and digital technologies in everyday life, and adapting healthcare delivery in a creative way to meet the changing expectations of the public. The NHS was able to manage several aspects of healthcare on a single, easy-to-use platform, making services more accessible and efficient for millions of users.</w:t>
      </w:r>
    </w:p>
    <w:p w14:paraId="3AC0751D" w14:textId="77777777" w:rsidR="00A74AE7" w:rsidRDefault="00000000">
      <w:pPr>
        <w:spacing w:line="360" w:lineRule="auto"/>
        <w:jc w:val="both"/>
        <w:rPr>
          <w:lang w:val="en-IN"/>
        </w:rPr>
      </w:pPr>
      <w:r>
        <w:rPr>
          <w:lang w:val="en-IN"/>
        </w:rPr>
        <w:t>The innovation generated added value for the patient and the healthcare provider. The app enhances the convenience, access and autonomy of patients. People can manage appointments, confirm prescriptions, and get health care information anytime without calling health care providers directly. This is especially helpful for seniors, for those who are not very mobile and for those who live in rural areas.</w:t>
      </w:r>
    </w:p>
    <w:p w14:paraId="0459BC38" w14:textId="77777777" w:rsidR="00A74AE7" w:rsidRDefault="00000000">
      <w:pPr>
        <w:spacing w:line="360" w:lineRule="auto"/>
        <w:jc w:val="both"/>
        <w:rPr>
          <w:lang w:val="en-IN"/>
        </w:rPr>
      </w:pPr>
      <w:r>
        <w:rPr>
          <w:lang w:val="en-IN"/>
        </w:rPr>
        <w:t>The NHS App has streamlined healthcare processes and helped to eliminate wasted appointments, which has improved operational efficiency for healthcare organisations. Digital services help healthcare providers spend more time with their patients instead of on tedious administrative work. The NHS App also played a crucial role in enabling public health efforts by making vaccination records and health advice accessible during the COVID-19 pandemic, showcasing its flexibility and relevance in times of national crisis (</w:t>
      </w:r>
      <w:r>
        <w:t>NIH, 2025</w:t>
      </w:r>
      <w:r>
        <w:rPr>
          <w:lang w:val="en-IN"/>
        </w:rPr>
        <w:t>).</w:t>
      </w:r>
    </w:p>
    <w:p w14:paraId="01966C4A" w14:textId="77777777" w:rsidR="00A74AE7" w:rsidRDefault="00000000">
      <w:pPr>
        <w:spacing w:line="360" w:lineRule="auto"/>
        <w:jc w:val="both"/>
        <w:rPr>
          <w:lang w:val="en-IN"/>
        </w:rPr>
      </w:pPr>
      <w:r>
        <w:rPr>
          <w:lang w:val="en-IN"/>
        </w:rPr>
        <w:t>The NHS App embodies the principles of innovation and value creation that are highlighted in health and social care. It highlights the power of creative thinking in recognising current service gaps and finding practical solutions that enhance the patient experience and health outcomes. While access issues like digital exclusion and technology literacy persist, the app has certainly increased access to healthcare services. It has been successful in demonstrating how digital transformation can be used in the NHS (</w:t>
      </w:r>
      <w:r>
        <w:t>Tewolde et al. 2022</w:t>
      </w:r>
      <w:r>
        <w:rPr>
          <w:lang w:val="en-IN"/>
        </w:rPr>
        <w:t>).</w:t>
      </w:r>
    </w:p>
    <w:p w14:paraId="02C5125A" w14:textId="77777777" w:rsidR="00A74AE7" w:rsidRDefault="00000000">
      <w:pPr>
        <w:spacing w:line="360" w:lineRule="auto"/>
        <w:jc w:val="both"/>
        <w:rPr>
          <w:lang w:val="en-IN"/>
        </w:rPr>
      </w:pPr>
      <w:r>
        <w:rPr>
          <w:lang w:val="en-IN"/>
        </w:rPr>
        <w:t>The overall value of the NHS App is a testament to the power of creativity and innovation to drive efficiency, enhance patient engagement, and deliver person-centred care throughout the United Kingdom.</w:t>
      </w:r>
    </w:p>
    <w:p w14:paraId="5D5DB467" w14:textId="77777777" w:rsidR="00A74AE7" w:rsidRDefault="00000000">
      <w:pPr>
        <w:rPr>
          <w:lang w:val="en-IN"/>
        </w:rPr>
      </w:pPr>
      <w:r>
        <w:rPr>
          <w:lang w:val="en-IN"/>
        </w:rPr>
        <w:br w:type="page"/>
      </w:r>
    </w:p>
    <w:p w14:paraId="6EDEB11C" w14:textId="77777777" w:rsidR="00A74AE7" w:rsidRDefault="00000000">
      <w:pPr>
        <w:pStyle w:val="Heading1"/>
        <w:rPr>
          <w:lang w:val="en-IN"/>
        </w:rPr>
      </w:pPr>
      <w:bookmarkStart w:id="7" w:name="_Toc233395058"/>
      <w:r>
        <w:rPr>
          <w:lang w:val="en-IN"/>
        </w:rPr>
        <w:lastRenderedPageBreak/>
        <w:t>Task 4 – Research Task</w:t>
      </w:r>
      <w:bookmarkEnd w:id="7"/>
    </w:p>
    <w:p w14:paraId="703D8105" w14:textId="77777777" w:rsidR="00A74AE7" w:rsidRDefault="00000000">
      <w:pPr>
        <w:spacing w:line="360" w:lineRule="auto"/>
        <w:jc w:val="both"/>
        <w:rPr>
          <w:b/>
          <w:bCs/>
          <w:lang w:val="en-IN"/>
        </w:rPr>
      </w:pPr>
      <w:r>
        <w:rPr>
          <w:b/>
          <w:bCs/>
          <w:lang w:val="en-IN"/>
        </w:rPr>
        <w:t>Current Issue in Health and Social Care: Delayed Detection and Low Awareness of Prostate Cancer</w:t>
      </w:r>
    </w:p>
    <w:p w14:paraId="028B94C8" w14:textId="77777777" w:rsidR="00A74AE7" w:rsidRDefault="00000000">
      <w:pPr>
        <w:spacing w:line="360" w:lineRule="auto"/>
        <w:jc w:val="both"/>
        <w:rPr>
          <w:lang w:val="en-IN"/>
        </w:rPr>
      </w:pPr>
      <w:r>
        <w:rPr>
          <w:lang w:val="en-IN"/>
        </w:rPr>
        <w:t>Prostate cancer remains one of the most common cancers affecting men in the United Kingdom. Despite improvements in healthcare services and treatment options, many men continue to receive diagnoses at later stages of the disease because of limited awareness, fear of diagnosis, social stigma and low participation in screening and preventive healthcare services. Delayed diagnosis can reduce treatment effectiveness, negatively affect quality of life and increase pressure on health and social care services.</w:t>
      </w:r>
    </w:p>
    <w:p w14:paraId="3FD768CA" w14:textId="77777777" w:rsidR="00A74AE7" w:rsidRDefault="00000000">
      <w:pPr>
        <w:spacing w:line="360" w:lineRule="auto"/>
        <w:jc w:val="both"/>
        <w:rPr>
          <w:lang w:val="en-IN"/>
        </w:rPr>
      </w:pPr>
      <w:r>
        <w:rPr>
          <w:lang w:val="en-IN"/>
        </w:rPr>
        <w:t>Wray et al. (2022) examined community-based interventions designed to promote informed decision-making about prostate cancer screening among high-risk men. The study found that limited knowledge about prostate cancer symptoms and screening options contributes significantly to delayed help-seeking behaviour. The researchers highlighted that culturally appropriate education programmes and community engagement activities can improve awareness and encourage men to access healthcare services earlier.</w:t>
      </w:r>
    </w:p>
    <w:p w14:paraId="45DBE6B3" w14:textId="77777777" w:rsidR="00A74AE7" w:rsidRDefault="00000000">
      <w:pPr>
        <w:spacing w:line="360" w:lineRule="auto"/>
        <w:jc w:val="both"/>
        <w:rPr>
          <w:lang w:val="en-IN"/>
        </w:rPr>
      </w:pPr>
      <w:r>
        <w:rPr>
          <w:lang w:val="fr-CA"/>
        </w:rPr>
        <w:t xml:space="preserve">Similarly, Christie-de Jong et al. </w:t>
      </w:r>
      <w:r>
        <w:rPr>
          <w:lang w:val="en-IN"/>
        </w:rPr>
        <w:t>(2025) evaluated a peer-led intervention aimed at increasing early diagnosis of prostate cancer among men from underserved communities. The findings showed that peer support and community-based awareness campaigns helped reduce stigma and improve men's confidence in discussing prostate health concerns. The study emphasised that collaborative approaches involving healthcare professionals, community organisations and service users can increase participation in screening and early intervention initiatives.</w:t>
      </w:r>
    </w:p>
    <w:p w14:paraId="202E3F4A" w14:textId="77777777" w:rsidR="00A74AE7" w:rsidRDefault="00000000">
      <w:pPr>
        <w:spacing w:line="360" w:lineRule="auto"/>
        <w:jc w:val="both"/>
        <w:rPr>
          <w:lang w:val="en-IN"/>
        </w:rPr>
      </w:pPr>
      <w:r>
        <w:rPr>
          <w:lang w:val="en-IN"/>
        </w:rPr>
        <w:t>Together, these studies demonstrate that low awareness and social barriers continue to hinder early detection of prostate cancer. Addressing these issues requires coordinated action from healthcare providers, policymakers, social workers and community organisations. Increasing public awareness, improving access to information and promoting early help-seeking behaviours can contribute to earlier diagnosis, improved health outcomes and reduced health inequalities.</w:t>
      </w:r>
    </w:p>
    <w:p w14:paraId="293EC0B1" w14:textId="77777777" w:rsidR="00A74AE7" w:rsidRDefault="00000000">
      <w:pPr>
        <w:rPr>
          <w:lang w:val="en-IN"/>
        </w:rPr>
      </w:pPr>
      <w:r>
        <w:rPr>
          <w:lang w:val="en-IN"/>
        </w:rPr>
        <w:br w:type="page"/>
      </w:r>
    </w:p>
    <w:p w14:paraId="677312BA" w14:textId="77777777" w:rsidR="00A74AE7" w:rsidRDefault="00000000">
      <w:pPr>
        <w:pStyle w:val="Heading1"/>
        <w:rPr>
          <w:lang w:val="en-IN"/>
        </w:rPr>
      </w:pPr>
      <w:bookmarkStart w:id="8" w:name="_Toc233395059"/>
      <w:r>
        <w:rPr>
          <w:lang w:val="en-IN"/>
        </w:rPr>
        <w:lastRenderedPageBreak/>
        <w:t>Task 5: Podcast</w:t>
      </w:r>
      <w:bookmarkEnd w:id="8"/>
    </w:p>
    <w:p w14:paraId="44A24DE6" w14:textId="77777777" w:rsidR="00A74AE7" w:rsidRDefault="00000000">
      <w:pPr>
        <w:spacing w:line="360" w:lineRule="auto"/>
        <w:jc w:val="both"/>
        <w:rPr>
          <w:b/>
          <w:lang w:val="en-IN"/>
        </w:rPr>
      </w:pPr>
      <w:r>
        <w:rPr>
          <w:b/>
          <w:lang w:val="en-IN"/>
        </w:rPr>
        <w:object w:dxaOrig="1524" w:dyaOrig="996" w14:anchorId="3FAAD83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6.2pt;height:49.8pt" o:ole="">
            <v:imagedata r:id="rId12" o:title=""/>
          </v:shape>
          <o:OLEObject Type="Embed" ProgID="Package" ShapeID="_x0000_i1025" DrawAspect="Icon" ObjectID="_1844794816" r:id="rId13"/>
        </w:object>
      </w:r>
    </w:p>
    <w:p w14:paraId="219352B7" w14:textId="77777777" w:rsidR="00A74AE7" w:rsidRDefault="00000000">
      <w:r>
        <w:br w:type="page"/>
      </w:r>
    </w:p>
    <w:p w14:paraId="2BD8E802" w14:textId="77777777" w:rsidR="00A74AE7" w:rsidRDefault="00000000">
      <w:pPr>
        <w:pStyle w:val="Heading1"/>
        <w:rPr>
          <w:lang w:val="en-IN"/>
        </w:rPr>
      </w:pPr>
      <w:bookmarkStart w:id="9" w:name="_Toc233395060"/>
      <w:r>
        <w:rPr>
          <w:lang w:val="en-IN"/>
        </w:rPr>
        <w:lastRenderedPageBreak/>
        <w:t>Task 6 – NHS Leadership Framework Analysis</w:t>
      </w:r>
      <w:bookmarkEnd w:id="9"/>
    </w:p>
    <w:p w14:paraId="3B49710A" w14:textId="77777777" w:rsidR="00A74AE7" w:rsidRDefault="00000000">
      <w:pPr>
        <w:spacing w:line="360" w:lineRule="auto"/>
        <w:jc w:val="both"/>
        <w:rPr>
          <w:lang w:val="en-IN"/>
        </w:rPr>
      </w:pPr>
      <w:r>
        <w:rPr>
          <w:b/>
          <w:bCs/>
          <w:lang w:val="en-IN"/>
        </w:rPr>
        <w:t xml:space="preserve">Key Components of the NHS Leadership Framework </w:t>
      </w:r>
    </w:p>
    <w:p w14:paraId="0B825E15" w14:textId="77777777" w:rsidR="00A74AE7" w:rsidRDefault="00000000">
      <w:pPr>
        <w:spacing w:line="360" w:lineRule="auto"/>
        <w:jc w:val="both"/>
        <w:rPr>
          <w:lang w:val="en-IN"/>
        </w:rPr>
      </w:pPr>
      <w:r>
        <w:rPr>
          <w:lang w:val="en-IN"/>
        </w:rPr>
        <w:t>The NHS Leadership Framework (also known as the Healthcare Leadership Model) sets out a structure for understanding good leadership in health and social care in England. The NHS Leadership Academy has developed the model and comprises nine dimensions, which, when combined, describe the behaviours and qualities of effective leaders at any level within the organisation (</w:t>
      </w:r>
      <w:r>
        <w:t>Kosiol et al. 2024</w:t>
      </w:r>
      <w:r>
        <w:rPr>
          <w:lang w:val="en-IN"/>
        </w:rPr>
        <w:t>).</w:t>
      </w:r>
    </w:p>
    <w:p w14:paraId="2360101E" w14:textId="77777777" w:rsidR="00A74AE7" w:rsidRDefault="00000000">
      <w:pPr>
        <w:spacing w:line="360" w:lineRule="auto"/>
        <w:jc w:val="both"/>
        <w:rPr>
          <w:lang w:val="en-IN"/>
        </w:rPr>
      </w:pPr>
      <w:r>
        <w:rPr>
          <w:lang w:val="en-IN"/>
        </w:rPr>
        <w:t>There are nine dimensions: Inspiring Shared Purpose, Leading with Care, Evaluating Information, Connecting Our Service, Sharing the Vision, Engaging the Team, Holding to Account, Developing Capability and Influencing for Results. These dimensions are not hierarchical; they are interdependent and mutually reinforcing, acknowledging that good NHS leadership demands a combination of personal attributes, social skills and strategic thinking (</w:t>
      </w:r>
      <w:r>
        <w:t>Barr and Nathenson, 2022</w:t>
      </w:r>
      <w:r>
        <w:rPr>
          <w:lang w:val="en-IN"/>
        </w:rPr>
        <w:t>).</w:t>
      </w:r>
    </w:p>
    <w:p w14:paraId="37570320" w14:textId="77777777" w:rsidR="00A74AE7" w:rsidRDefault="00000000">
      <w:pPr>
        <w:spacing w:line="360" w:lineRule="auto"/>
        <w:jc w:val="both"/>
        <w:rPr>
          <w:lang w:val="en-IN"/>
        </w:rPr>
      </w:pPr>
      <w:r>
        <w:rPr>
          <w:lang w:val="en-IN"/>
        </w:rPr>
        <w:t>The framework has a person-centred approach with the patient/service user at the heart of the process, as the NHS is committed to person-centred care. It also focuses on self-awareness and reflective practice, enabling leaders to learn about their own impact on others continually. The model acknowledges that leadership is not restricted to those in senior management and is the responsibility of all who work in health and social care. The framework gives a common language and benchmark for leadership development across the NHS through the key dimensions outlined.</w:t>
      </w:r>
    </w:p>
    <w:p w14:paraId="201FAD41" w14:textId="77777777" w:rsidR="00A74AE7" w:rsidRDefault="00000000">
      <w:pPr>
        <w:spacing w:line="360" w:lineRule="auto"/>
        <w:jc w:val="both"/>
        <w:rPr>
          <w:b/>
          <w:bCs/>
          <w:lang w:val="en-IN"/>
        </w:rPr>
      </w:pPr>
      <w:r>
        <w:rPr>
          <w:b/>
          <w:bCs/>
          <w:lang w:val="en-IN"/>
        </w:rPr>
        <w:t xml:space="preserve">Chosen Component: Developing Capability – Encouraging Creativity and Improving Care </w:t>
      </w:r>
    </w:p>
    <w:p w14:paraId="7A466D27" w14:textId="77777777" w:rsidR="00A74AE7" w:rsidRDefault="00000000">
      <w:pPr>
        <w:spacing w:line="360" w:lineRule="auto"/>
        <w:jc w:val="both"/>
        <w:rPr>
          <w:lang w:val="en-IN"/>
        </w:rPr>
      </w:pPr>
      <w:r>
        <w:rPr>
          <w:lang w:val="en-IN"/>
        </w:rPr>
        <w:t>Developing Capability is especially pertinent to the NHS in supporting creativity. This cornerstone focuses on a leader's drive to develop their staff's skills, knowledge and confidence to maintain and enhance service delivery (</w:t>
      </w:r>
      <w:r>
        <w:t>Barr and Dowding, 2022</w:t>
      </w:r>
      <w:r>
        <w:rPr>
          <w:lang w:val="en-IN"/>
        </w:rPr>
        <w:t xml:space="preserve">). A leader who actively builds capability will foster an environment where staff can take initiative, try new things and make contributions to service improvement. </w:t>
      </w:r>
      <w:r>
        <w:t>By investing in continuous learning and encouraging staff to develop new skills, leaders create a culture where innovation becomes part of everyday practice. This enables teams to adapt to changing patient needs while delivering safer, higher-quality care</w:t>
      </w:r>
    </w:p>
    <w:p w14:paraId="7AD66980" w14:textId="42A0C3DB" w:rsidR="00A74AE7" w:rsidRDefault="00000000">
      <w:pPr>
        <w:spacing w:line="360" w:lineRule="auto"/>
        <w:jc w:val="both"/>
        <w:rPr>
          <w:lang w:val="en-IN"/>
        </w:rPr>
      </w:pPr>
      <w:r>
        <w:rPr>
          <w:lang w:val="en-IN"/>
        </w:rPr>
        <w:t xml:space="preserve">Protected time for learning about innovation, reflection on current practice or involvement in quality improvement projects could be used, for example, by an NHS ward manager. Through staff development and the recognition of innovative practice, the leader demonstrates that it is welcome and not to be feared. Building capability within teams is important for ongoing improvements in health and social care so that creative solutions become ingrained in the </w:t>
      </w:r>
      <w:r>
        <w:rPr>
          <w:lang w:val="en-IN"/>
        </w:rPr>
        <w:lastRenderedPageBreak/>
        <w:t>team culture, rather than relying on one person (</w:t>
      </w:r>
      <w:r>
        <w:t>Schaub et al. 2022</w:t>
      </w:r>
      <w:r>
        <w:rPr>
          <w:lang w:val="en-IN"/>
        </w:rPr>
        <w:t xml:space="preserve">). </w:t>
      </w:r>
      <w:r w:rsidR="000459EE">
        <w:rPr>
          <w:lang w:val="en-IN"/>
        </w:rPr>
        <w:t xml:space="preserve">This </w:t>
      </w:r>
      <w:r w:rsidR="001A5C2F">
        <w:rPr>
          <w:lang w:val="en-IN"/>
        </w:rPr>
        <w:t>reflects tra</w:t>
      </w:r>
      <w:r w:rsidR="00D9317E">
        <w:rPr>
          <w:lang w:val="en-IN"/>
        </w:rPr>
        <w:t>nsformational leadership.</w:t>
      </w:r>
    </w:p>
    <w:p w14:paraId="0E9A48EA" w14:textId="77777777" w:rsidR="00A74AE7" w:rsidRDefault="00000000">
      <w:pPr>
        <w:pStyle w:val="Heading1"/>
      </w:pPr>
      <w:bookmarkStart w:id="10" w:name="_Toc233395061"/>
      <w:r>
        <w:t xml:space="preserve">Task 7 – </w:t>
      </w:r>
      <w:bookmarkEnd w:id="10"/>
      <w:r>
        <w:t>Self-Reflection Journal Entry (Situational Leadership Framework: Working with Others)</w:t>
      </w:r>
    </w:p>
    <w:p w14:paraId="4FEC04C2" w14:textId="77777777" w:rsidR="00A74AE7" w:rsidRDefault="00000000">
      <w:pPr>
        <w:spacing w:line="360" w:lineRule="auto"/>
        <w:jc w:val="both"/>
      </w:pPr>
      <w:r>
        <w:t>This module has really helped me to gain a wealth of understanding of creativity and value creation in health and social care. Through the lens of the Situational Leadership model, specifically the domain of working with others, I have identified the need for leaders to adjust their style based on the needs, confidence, and capabilities of their team members. I now recognise that creativity isn't just about coming up with new ideas. It's about fostering collaboration and finding workable solutions that enhance patient care and service provision.</w:t>
      </w:r>
    </w:p>
    <w:p w14:paraId="2C7F78D2" w14:textId="77777777" w:rsidR="00A74AE7" w:rsidRDefault="00000000">
      <w:pPr>
        <w:spacing w:line="360" w:lineRule="auto"/>
        <w:jc w:val="both"/>
      </w:pPr>
      <w:r>
        <w:t>Throughout the module, activities such as analysing the NHS App, exploring innovation in healthcare and participating in reflective exercises demonstrated that successful value creation depends on open communication, shared responsibility and collaboration among healthcare professionals. These experiences enabled them to understand that different situations will call for different types of leadership to help team members get the most out of each other and accomplish the same objectives.</w:t>
      </w:r>
    </w:p>
    <w:p w14:paraId="314ACACF" w14:textId="77777777" w:rsidR="00A74AE7" w:rsidRDefault="00000000">
      <w:pPr>
        <w:spacing w:line="360" w:lineRule="auto"/>
        <w:jc w:val="both"/>
      </w:pPr>
      <w:r>
        <w:t>Professional practice has been influenced by this learning because it has inspired me to be more communicative, accepting of others' views and have a positive role on multidisciplinary teams. Moving forward, I will consider the principles of Situational Leadership and adjust my leadership approach to help colleagues, encourage creativity and enhance working collaboratively. This will help to deliver value in person-centred, innovative and high-quality health and social care services and good relationships in the workplace.</w:t>
      </w:r>
      <w:r>
        <w:br w:type="page"/>
      </w:r>
    </w:p>
    <w:p w14:paraId="1D533BB9" w14:textId="77777777" w:rsidR="00A74AE7" w:rsidRDefault="00000000">
      <w:pPr>
        <w:pStyle w:val="Heading1"/>
        <w:spacing w:before="0" w:after="0" w:line="360" w:lineRule="auto"/>
        <w:jc w:val="both"/>
        <w:rPr>
          <w:b/>
          <w:bCs/>
          <w:sz w:val="28"/>
          <w:szCs w:val="28"/>
        </w:rPr>
      </w:pPr>
      <w:bookmarkStart w:id="11" w:name="_Toc233395062"/>
      <w:r>
        <w:rPr>
          <w:b/>
          <w:bCs/>
          <w:sz w:val="28"/>
          <w:szCs w:val="28"/>
        </w:rPr>
        <w:lastRenderedPageBreak/>
        <w:t>Reference List</w:t>
      </w:r>
      <w:bookmarkEnd w:id="11"/>
    </w:p>
    <w:p w14:paraId="1D26D77D" w14:textId="77777777" w:rsidR="00A74AE7" w:rsidRDefault="00A74AE7">
      <w:pPr>
        <w:spacing w:line="360" w:lineRule="auto"/>
        <w:jc w:val="both"/>
      </w:pPr>
    </w:p>
    <w:p w14:paraId="7625A17C" w14:textId="77777777" w:rsidR="00A74AE7" w:rsidRDefault="00000000">
      <w:pPr>
        <w:spacing w:line="360" w:lineRule="auto"/>
        <w:jc w:val="both"/>
      </w:pPr>
      <w:r>
        <w:t xml:space="preserve">Barr, J. and Dowding, L. (2022). Leadership in health care. </w:t>
      </w:r>
      <w:hyperlink r:id="rId14" w:history="1">
        <w:r>
          <w:rPr>
            <w:rStyle w:val="Hyperlink"/>
          </w:rPr>
          <w:t>https://www.torrossa.com/gs/resourceProxy?an=5409523&amp;publisher=FZ7200</w:t>
        </w:r>
      </w:hyperlink>
      <w:r>
        <w:t xml:space="preserve">  </w:t>
      </w:r>
    </w:p>
    <w:p w14:paraId="1CB11267" w14:textId="77777777" w:rsidR="00A74AE7" w:rsidRDefault="00000000">
      <w:pPr>
        <w:spacing w:line="360" w:lineRule="auto"/>
        <w:jc w:val="both"/>
      </w:pPr>
      <w:r>
        <w:t xml:space="preserve">Barr, T.L. and Nathenson, S.L. (2022). A holistic transcendental leadership model for enhancing innovation, creativity and well-being in health care. Journal of Holistic Nursing, 40(2), pp.157-168. </w:t>
      </w:r>
      <w:hyperlink r:id="rId15" w:history="1">
        <w:r>
          <w:rPr>
            <w:rStyle w:val="Hyperlink"/>
          </w:rPr>
          <w:t>https://journals.sagepub.com/doi/abs/10.1177/08980101211024799</w:t>
        </w:r>
      </w:hyperlink>
      <w:r>
        <w:t xml:space="preserve">  </w:t>
      </w:r>
    </w:p>
    <w:p w14:paraId="501BB2BD" w14:textId="77777777" w:rsidR="00A74AE7" w:rsidRDefault="00000000">
      <w:pPr>
        <w:spacing w:line="360" w:lineRule="auto"/>
        <w:jc w:val="both"/>
      </w:pPr>
      <w:r>
        <w:rPr>
          <w:color w:val="222222"/>
        </w:rPr>
        <w:t xml:space="preserve">Carlini, J., Muir, R., McLaren-Kennedy, A. and Grealish, L. (2024). Transforming health-care service through consumer co-creation: directions for service design. </w:t>
      </w:r>
      <w:r>
        <w:rPr>
          <w:i/>
          <w:iCs/>
          <w:color w:val="222222"/>
        </w:rPr>
        <w:t>Journal of Services Marketing</w:t>
      </w:r>
      <w:r>
        <w:rPr>
          <w:color w:val="222222"/>
        </w:rPr>
        <w:t xml:space="preserve">, </w:t>
      </w:r>
      <w:r>
        <w:rPr>
          <w:i/>
          <w:iCs/>
          <w:color w:val="222222"/>
        </w:rPr>
        <w:t>38</w:t>
      </w:r>
      <w:r>
        <w:rPr>
          <w:color w:val="222222"/>
        </w:rPr>
        <w:t>(3), pp.326-343.</w:t>
      </w:r>
      <w:r>
        <w:t xml:space="preserve"> </w:t>
      </w:r>
      <w:hyperlink r:id="rId16">
        <w:r>
          <w:rPr>
            <w:color w:val="1155CC"/>
            <w:u w:val="single"/>
          </w:rPr>
          <w:t>https://doi.org/10.1108/JSM-12-2022-0373</w:t>
        </w:r>
      </w:hyperlink>
      <w:r>
        <w:t xml:space="preserve"> </w:t>
      </w:r>
    </w:p>
    <w:p w14:paraId="51A4D4C6" w14:textId="77777777" w:rsidR="00A74AE7" w:rsidRDefault="00000000">
      <w:pPr>
        <w:spacing w:line="360" w:lineRule="auto"/>
        <w:jc w:val="both"/>
        <w:rPr>
          <w:lang w:val="en-IN"/>
        </w:rPr>
      </w:pPr>
      <w:r>
        <w:rPr>
          <w:lang w:val="en-IN"/>
        </w:rPr>
        <w:t xml:space="preserve">Christie-de Jong, F., Eberhardt, J., Oyeniyi, O.S., Ratcliffe, E., Kabuye, J., Kalemba, M., Nnyanzi, L.A., Murphy, M.K. and Robb, K.A. (2025). </w:t>
      </w:r>
      <w:r>
        <w:rPr>
          <w:i/>
          <w:iCs/>
          <w:lang w:val="en-IN"/>
        </w:rPr>
        <w:t>A mixed-methods evaluation of a peer-led, co-produced, asset-based intervention for early diagnosis of prostate cancer for Black men: the PROCAN-B study</w:t>
      </w:r>
      <w:r>
        <w:rPr>
          <w:lang w:val="en-IN"/>
        </w:rPr>
        <w:t xml:space="preserve">. BMJ Open, 15(11), e105803. </w:t>
      </w:r>
      <w:hyperlink r:id="rId17" w:history="1">
        <w:r>
          <w:rPr>
            <w:rStyle w:val="Hyperlink"/>
            <w:lang w:val="en-IN"/>
          </w:rPr>
          <w:t>https://bmjopen.bmj.com/content/15/11/e105803.abstract</w:t>
        </w:r>
      </w:hyperlink>
      <w:r>
        <w:rPr>
          <w:lang w:val="en-IN"/>
        </w:rPr>
        <w:t xml:space="preserve"> </w:t>
      </w:r>
    </w:p>
    <w:p w14:paraId="3B83A126" w14:textId="77777777" w:rsidR="00A74AE7" w:rsidRDefault="00000000">
      <w:pPr>
        <w:spacing w:line="360" w:lineRule="auto"/>
        <w:jc w:val="both"/>
      </w:pPr>
      <w:r>
        <w:t>Faulkner-Gurstein, R. and Wyatt, D. (2023) Platform NHS: reconfiguring a public service in the age of digital capitalism. </w:t>
      </w:r>
      <w:r>
        <w:rPr>
          <w:i/>
          <w:iCs/>
        </w:rPr>
        <w:t>Science, Technology, &amp; Human Values</w:t>
      </w:r>
      <w:r>
        <w:t>, </w:t>
      </w:r>
      <w:r>
        <w:rPr>
          <w:i/>
          <w:iCs/>
        </w:rPr>
        <w:t>48</w:t>
      </w:r>
      <w:r>
        <w:t xml:space="preserve">(4), pp.888-908. </w:t>
      </w:r>
      <w:hyperlink r:id="rId18" w:history="1">
        <w:r>
          <w:rPr>
            <w:rStyle w:val="Hyperlink"/>
          </w:rPr>
          <w:t>https://journals.sagepub.com/doi/abs/10.1177/01622439211055697</w:t>
        </w:r>
      </w:hyperlink>
      <w:r>
        <w:t xml:space="preserve"> </w:t>
      </w:r>
    </w:p>
    <w:p w14:paraId="43C9F3E3" w14:textId="77777777" w:rsidR="00A74AE7" w:rsidRDefault="00000000">
      <w:pPr>
        <w:spacing w:line="360" w:lineRule="auto"/>
        <w:jc w:val="both"/>
      </w:pPr>
      <w:r>
        <w:rPr>
          <w:color w:val="222222"/>
        </w:rPr>
        <w:t>Ganga, R.N., Davies, L., Wilson, K. and Musella, M. (2025). The social value of place</w:t>
      </w:r>
      <w:r>
        <w:rPr>
          <w:rFonts w:ascii="Cambria Math" w:hAnsi="Cambria Math" w:cs="Cambria Math"/>
          <w:color w:val="222222"/>
        </w:rPr>
        <w:t>‐</w:t>
      </w:r>
      <w:r>
        <w:rPr>
          <w:color w:val="222222"/>
        </w:rPr>
        <w:t xml:space="preserve">based creative wellbeing: A rapid review and evidence synthesis. </w:t>
      </w:r>
      <w:r>
        <w:rPr>
          <w:i/>
          <w:iCs/>
          <w:color w:val="222222"/>
        </w:rPr>
        <w:t>Sociology of Health &amp; Illness</w:t>
      </w:r>
      <w:r>
        <w:rPr>
          <w:color w:val="222222"/>
        </w:rPr>
        <w:t xml:space="preserve">, </w:t>
      </w:r>
      <w:r>
        <w:rPr>
          <w:i/>
          <w:iCs/>
          <w:color w:val="222222"/>
        </w:rPr>
        <w:t>47</w:t>
      </w:r>
      <w:r>
        <w:rPr>
          <w:color w:val="222222"/>
        </w:rPr>
        <w:t>(1), p.e13827.</w:t>
      </w:r>
      <w:r>
        <w:t xml:space="preserve"> </w:t>
      </w:r>
      <w:hyperlink r:id="rId19">
        <w:r>
          <w:rPr>
            <w:color w:val="1155CC"/>
            <w:u w:val="single"/>
          </w:rPr>
          <w:t>https://doi.org/10.1111/1467-9566.13827</w:t>
        </w:r>
      </w:hyperlink>
      <w:r>
        <w:t xml:space="preserve"> </w:t>
      </w:r>
    </w:p>
    <w:p w14:paraId="359E3770" w14:textId="77777777" w:rsidR="00A74AE7" w:rsidRDefault="00000000">
      <w:pPr>
        <w:spacing w:line="360" w:lineRule="auto"/>
        <w:jc w:val="both"/>
      </w:pPr>
      <w:r>
        <w:rPr>
          <w:color w:val="222222"/>
        </w:rPr>
        <w:t xml:space="preserve">Kennel, V. and Lowndes, B.R. (2023). Creativity in health care. In </w:t>
      </w:r>
      <w:r>
        <w:rPr>
          <w:i/>
          <w:iCs/>
          <w:color w:val="222222"/>
        </w:rPr>
        <w:t>Handbook of organisational creativity</w:t>
      </w:r>
      <w:r>
        <w:rPr>
          <w:color w:val="222222"/>
        </w:rPr>
        <w:t xml:space="preserve"> (pp. 343-360). Academic Press.</w:t>
      </w:r>
      <w:r>
        <w:t xml:space="preserve"> </w:t>
      </w:r>
      <w:hyperlink r:id="rId20">
        <w:r>
          <w:rPr>
            <w:color w:val="1155CC"/>
            <w:u w:val="single"/>
          </w:rPr>
          <w:t>https://doi.org/10.1016/B978-0-323-91841-1.00021-X</w:t>
        </w:r>
      </w:hyperlink>
      <w:r>
        <w:t xml:space="preserve"> </w:t>
      </w:r>
    </w:p>
    <w:p w14:paraId="11C193B7" w14:textId="77777777" w:rsidR="00A74AE7" w:rsidRDefault="00000000">
      <w:pPr>
        <w:spacing w:line="360" w:lineRule="auto"/>
        <w:jc w:val="both"/>
      </w:pPr>
      <w:r>
        <w:t xml:space="preserve">Kosiol, J., Silvester, T., Cooper, H., Alford, S. and Fraser, L. (2024). Revolutionising health and social care: innovative solutions for a brighter tomorrow–a systematic review of the literature. BMC Health Services Research, 24(1), p.809. </w:t>
      </w:r>
      <w:hyperlink r:id="rId21" w:history="1">
        <w:r>
          <w:rPr>
            <w:rStyle w:val="Hyperlink"/>
          </w:rPr>
          <w:t>https://link.springer.com/article/10.1186/s12913-024-11099-5</w:t>
        </w:r>
      </w:hyperlink>
      <w:r>
        <w:t xml:space="preserve">  </w:t>
      </w:r>
    </w:p>
    <w:p w14:paraId="4A4C86A8" w14:textId="77777777" w:rsidR="00A74AE7" w:rsidRDefault="00000000">
      <w:pPr>
        <w:spacing w:line="360" w:lineRule="auto"/>
        <w:jc w:val="both"/>
      </w:pPr>
      <w:r>
        <w:t xml:space="preserve">NHS England (2024) NHS App. Available at: </w:t>
      </w:r>
      <w:hyperlink r:id="rId22" w:history="1">
        <w:r>
          <w:rPr>
            <w:rStyle w:val="Hyperlink"/>
          </w:rPr>
          <w:t>https://www.nhs.uk/nhs-app/</w:t>
        </w:r>
      </w:hyperlink>
      <w:r>
        <w:t>. Accessed on 09-06-2026.</w:t>
      </w:r>
    </w:p>
    <w:p w14:paraId="74D6B731" w14:textId="77777777" w:rsidR="00A74AE7" w:rsidRDefault="00000000">
      <w:pPr>
        <w:spacing w:line="360" w:lineRule="auto"/>
        <w:jc w:val="both"/>
      </w:pPr>
      <w:r>
        <w:t xml:space="preserve">NIH, (2025). Accessed from &lt; </w:t>
      </w:r>
      <w:hyperlink r:id="rId23" w:history="1">
        <w:r>
          <w:rPr>
            <w:rStyle w:val="Hyperlink"/>
          </w:rPr>
          <w:t>https://pmc.ncbi.nlm.nih.gov/articles/PMC11752663/</w:t>
        </w:r>
      </w:hyperlink>
      <w:r>
        <w:t xml:space="preserve"> &gt;. Accessed on 22/06/2026.</w:t>
      </w:r>
    </w:p>
    <w:p w14:paraId="6C3EBCAC" w14:textId="77777777" w:rsidR="00A74AE7" w:rsidRDefault="00000000">
      <w:pPr>
        <w:spacing w:line="360" w:lineRule="auto"/>
        <w:jc w:val="both"/>
      </w:pPr>
      <w:r>
        <w:t>Praveena, K.S., Juslin, F., Patil, C.M. and Bhargavi, K. (2025). Using Gibbs ' reflective model approach for enhancing project-based learning among students through reflective assessment. Journal of Engineering Education Transformations, pp.148-155.</w:t>
      </w:r>
      <w:hyperlink r:id="rId24">
        <w:r>
          <w:rPr>
            <w:color w:val="1155CC"/>
            <w:u w:val="single"/>
          </w:rPr>
          <w:t>https://doi.org/10.16920/jeet/2025/v38is2/25018</w:t>
        </w:r>
      </w:hyperlink>
      <w:r>
        <w:t xml:space="preserve"> </w:t>
      </w:r>
    </w:p>
    <w:p w14:paraId="3DD905A6" w14:textId="77777777" w:rsidR="00A74AE7" w:rsidRDefault="00000000">
      <w:pPr>
        <w:spacing w:line="360" w:lineRule="auto"/>
        <w:jc w:val="both"/>
      </w:pPr>
      <w:r>
        <w:lastRenderedPageBreak/>
        <w:t>Razumnikova, O.M., 2020. Divergent versus convergent thinking. In </w:t>
      </w:r>
      <w:r>
        <w:rPr>
          <w:i/>
          <w:iCs/>
        </w:rPr>
        <w:t>Encyclopedia of creativity, invention, innovation and entrepreneurship</w:t>
      </w:r>
      <w:r>
        <w:t xml:space="preserve"> (pp. 759-765). Cham: Springer International Publishing. </w:t>
      </w:r>
      <w:hyperlink r:id="rId25" w:history="1">
        <w:r>
          <w:rPr>
            <w:rStyle w:val="Hyperlink"/>
          </w:rPr>
          <w:t>https://link.springer.com/content/pdf/10.1007/978-3-319-15347-6_362.pdf</w:t>
        </w:r>
      </w:hyperlink>
      <w:r>
        <w:t xml:space="preserve"> </w:t>
      </w:r>
    </w:p>
    <w:p w14:paraId="49BA9230" w14:textId="77777777" w:rsidR="00A74AE7" w:rsidRDefault="00000000">
      <w:pPr>
        <w:spacing w:line="360" w:lineRule="auto"/>
        <w:jc w:val="both"/>
      </w:pPr>
      <w:r>
        <w:rPr>
          <w:color w:val="222222"/>
        </w:rPr>
        <w:t xml:space="preserve">Ruhati, D., Soemartono, T., Effendy, K. and Rachmatsyah, T.H. (2025). CO-CREATION AND THE CREATIVE ECONOMY: REDEFINING PUBLIC SERVICE DELIVERY FOR INCLUSIVE INNOVATION. </w:t>
      </w:r>
      <w:r>
        <w:rPr>
          <w:i/>
          <w:iCs/>
          <w:color w:val="222222"/>
        </w:rPr>
        <w:t>Journal of Management: Small and Medium Enterprises (SMEs)</w:t>
      </w:r>
      <w:r>
        <w:rPr>
          <w:color w:val="222222"/>
        </w:rPr>
        <w:t xml:space="preserve">, </w:t>
      </w:r>
      <w:r>
        <w:rPr>
          <w:i/>
          <w:iCs/>
          <w:color w:val="222222"/>
        </w:rPr>
        <w:t>18</w:t>
      </w:r>
      <w:r>
        <w:rPr>
          <w:color w:val="222222"/>
        </w:rPr>
        <w:t>(3), pp.2195-2211.</w:t>
      </w:r>
      <w:r>
        <w:t xml:space="preserve"> </w:t>
      </w:r>
      <w:hyperlink r:id="rId26">
        <w:r>
          <w:rPr>
            <w:color w:val="1155CC"/>
            <w:u w:val="single"/>
          </w:rPr>
          <w:t>https://ejurnal.undana.ac.id/index.php/JEM/article/view/26084</w:t>
        </w:r>
      </w:hyperlink>
      <w:r>
        <w:t xml:space="preserve"> </w:t>
      </w:r>
    </w:p>
    <w:p w14:paraId="15870FF6" w14:textId="77777777" w:rsidR="00A74AE7" w:rsidRDefault="00000000">
      <w:pPr>
        <w:spacing w:line="360" w:lineRule="auto"/>
        <w:jc w:val="both"/>
      </w:pPr>
      <w:r>
        <w:t xml:space="preserve">Schaub, J., Hewison, A., Haworth, S. and Miller, R. (2022). A leadership model for social work: Drawing on health care to inform social work leadership. The British Journal of Social Work, 52(5), pp.2911-2930. </w:t>
      </w:r>
      <w:hyperlink r:id="rId27" w:history="1">
        <w:r>
          <w:rPr>
            <w:rStyle w:val="Hyperlink"/>
          </w:rPr>
          <w:t>https://academic.oup.com/bjsw/article-abstract/52/5/2911/6396998</w:t>
        </w:r>
      </w:hyperlink>
      <w:r>
        <w:t xml:space="preserve">  </w:t>
      </w:r>
    </w:p>
    <w:p w14:paraId="797BFFA5" w14:textId="77777777" w:rsidR="00A74AE7" w:rsidRDefault="00000000">
      <w:pPr>
        <w:spacing w:line="360" w:lineRule="auto"/>
        <w:jc w:val="both"/>
      </w:pPr>
      <w:r>
        <w:t>Tewolde, S., Costelloe, C., Powell, J., Papoutsi, C., Reidy, C., Gudgin, B., Shenton, C. and Greaves, F. (2022). An observational study of uptake and adoption of the NHS App in England. </w:t>
      </w:r>
      <w:r>
        <w:rPr>
          <w:i/>
          <w:iCs/>
        </w:rPr>
        <w:t>medRxiv</w:t>
      </w:r>
      <w:r>
        <w:t xml:space="preserve">, pp.2022-03. </w:t>
      </w:r>
      <w:hyperlink r:id="rId28" w:history="1">
        <w:r>
          <w:rPr>
            <w:rStyle w:val="Hyperlink"/>
          </w:rPr>
          <w:t>https://www.medrxiv.org/content/10.1101/2022.03.16.22272200.abstract</w:t>
        </w:r>
      </w:hyperlink>
      <w:r>
        <w:t xml:space="preserve"> </w:t>
      </w:r>
    </w:p>
    <w:p w14:paraId="250B4E63" w14:textId="77777777" w:rsidR="00A74AE7" w:rsidRDefault="00000000">
      <w:pPr>
        <w:spacing w:line="360" w:lineRule="auto"/>
        <w:jc w:val="both"/>
      </w:pPr>
      <w:r>
        <w:t xml:space="preserve">The King's Fund (2023) Digital technology and innovation in healthcare. Available at: </w:t>
      </w:r>
      <w:hyperlink r:id="rId29" w:history="1">
        <w:r>
          <w:rPr>
            <w:rStyle w:val="Hyperlink"/>
          </w:rPr>
          <w:t>https://www.kingsfund.org.uk</w:t>
        </w:r>
      </w:hyperlink>
      <w:r>
        <w:t>. Accessed on 09-06-2026.</w:t>
      </w:r>
    </w:p>
    <w:p w14:paraId="3DCADFBE" w14:textId="77777777" w:rsidR="00A74AE7" w:rsidRDefault="00000000">
      <w:pPr>
        <w:spacing w:line="360" w:lineRule="auto"/>
        <w:jc w:val="both"/>
        <w:rPr>
          <w:lang w:val="en-IN"/>
        </w:rPr>
      </w:pPr>
      <w:r>
        <w:rPr>
          <w:lang w:val="en-IN"/>
        </w:rPr>
        <w:t xml:space="preserve">Wray, R.J., Nicks, S.E., Adsul, P., Elliot, M., Enard, K., Jupka, K., Trainer, A.K., Hansen, N., Shahid, M., Wright-Jones, R. and Siddiqui, S. (2022). </w:t>
      </w:r>
      <w:r>
        <w:rPr>
          <w:i/>
          <w:iCs/>
          <w:lang w:val="en-IN"/>
        </w:rPr>
        <w:t>Promoting informed prostate cancer screening decision-making for African American men in a community-based setting</w:t>
      </w:r>
      <w:r>
        <w:rPr>
          <w:lang w:val="en-IN"/>
        </w:rPr>
        <w:t xml:space="preserve">. Cancer Causes &amp; Control, 33(4), pp.503–514. </w:t>
      </w:r>
      <w:hyperlink r:id="rId30" w:history="1">
        <w:r>
          <w:rPr>
            <w:rStyle w:val="Hyperlink"/>
            <w:lang w:val="en-IN"/>
          </w:rPr>
          <w:t>https://link.springer.com/article/10.1007/s10552-021-01544-9</w:t>
        </w:r>
      </w:hyperlink>
      <w:r>
        <w:rPr>
          <w:lang w:val="en-IN"/>
        </w:rPr>
        <w:t xml:space="preserve"> </w:t>
      </w:r>
    </w:p>
    <w:sectPr w:rsidR="00A74AE7">
      <w:footerReference w:type="default" r:id="rId31"/>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9D27C66" w14:textId="77777777" w:rsidR="0042617B" w:rsidRDefault="0042617B">
      <w:pPr>
        <w:spacing w:line="240" w:lineRule="auto"/>
      </w:pPr>
      <w:r>
        <w:separator/>
      </w:r>
    </w:p>
  </w:endnote>
  <w:endnote w:type="continuationSeparator" w:id="0">
    <w:p w14:paraId="23B57CAC" w14:textId="77777777" w:rsidR="0042617B" w:rsidRDefault="0042617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embedRegular r:id="rId1" w:fontKey="{9ECF32B7-5298-4CF0-A842-967692D8C7BC}"/>
  </w:font>
  <w:font w:name="Cambria">
    <w:panose1 w:val="02040503050406030204"/>
    <w:charset w:val="00"/>
    <w:family w:val="roman"/>
    <w:pitch w:val="variable"/>
    <w:sig w:usb0="E00006FF" w:usb1="420024FF" w:usb2="02000000" w:usb3="00000000" w:csb0="0000019F" w:csb1="00000000"/>
    <w:embedRegular r:id="rId2" w:fontKey="{745A42FB-5FF2-47D8-B979-CEFE6CEB7BF5}"/>
  </w:font>
  <w:font w:name="SimSun">
    <w:altName w:val="宋体"/>
    <w:panose1 w:val="02010600030101010101"/>
    <w:charset w:val="86"/>
    <w:family w:val="auto"/>
    <w:pitch w:val="variable"/>
    <w:sig w:usb0="00000203" w:usb1="288F0000" w:usb2="00000016" w:usb3="00000000" w:csb0="00040001" w:csb1="00000000"/>
  </w:font>
  <w:font w:name="Mangal">
    <w:panose1 w:val="00000400000000000000"/>
    <w:charset w:val="00"/>
    <w:family w:val="roman"/>
    <w:pitch w:val="variable"/>
    <w:sig w:usb0="00008003" w:usb1="00000000" w:usb2="00000000" w:usb3="00000000" w:csb0="00000001" w:csb1="00000000"/>
  </w:font>
  <w:font w:name="Cambria Math">
    <w:panose1 w:val="02040503050406030204"/>
    <w:charset w:val="00"/>
    <w:family w:val="roman"/>
    <w:pitch w:val="variable"/>
    <w:sig w:usb0="E00006FF" w:usb1="420024FF" w:usb2="02000000" w:usb3="00000000" w:csb0="0000019F" w:csb1="00000000"/>
    <w:embedRegular r:id="rId3" w:fontKey="{57F253C0-2293-4F5B-A50D-494AA1CDB47A}"/>
  </w:font>
  <w:font w:name="Calibri">
    <w:panose1 w:val="020F0502020204030204"/>
    <w:charset w:val="00"/>
    <w:family w:val="swiss"/>
    <w:pitch w:val="variable"/>
    <w:sig w:usb0="E4002EFF" w:usb1="C200247B" w:usb2="00000009" w:usb3="00000000" w:csb0="000001FF" w:csb1="00000000"/>
    <w:embedRegular r:id="rId4" w:fontKey="{7B64796B-3CF0-410F-B3D4-0172C8D5BF5B}"/>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CEFDA51" w14:textId="77777777" w:rsidR="00A74AE7" w:rsidRDefault="00000000">
    <w:pPr>
      <w:jc w:val="right"/>
      <w:rPr>
        <w:b/>
        <w:bCs/>
        <w:sz w:val="20"/>
        <w:szCs w:val="20"/>
      </w:rPr>
    </w:pPr>
    <w:r>
      <w:rPr>
        <w:b/>
        <w:bCs/>
        <w:sz w:val="20"/>
        <w:szCs w:val="20"/>
      </w:rPr>
      <w:fldChar w:fldCharType="begin"/>
    </w:r>
    <w:r>
      <w:rPr>
        <w:b/>
        <w:bCs/>
        <w:sz w:val="20"/>
        <w:szCs w:val="20"/>
      </w:rPr>
      <w:instrText>PAGE</w:instrText>
    </w:r>
    <w:r>
      <w:rPr>
        <w:b/>
        <w:bCs/>
        <w:sz w:val="20"/>
        <w:szCs w:val="20"/>
      </w:rPr>
      <w:fldChar w:fldCharType="separate"/>
    </w:r>
    <w:r>
      <w:rPr>
        <w:b/>
        <w:bCs/>
        <w:sz w:val="20"/>
        <w:szCs w:val="20"/>
      </w:rPr>
      <w:t>1</w:t>
    </w:r>
    <w:r>
      <w:rPr>
        <w:b/>
        <w:bCs/>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8017EAC" w14:textId="77777777" w:rsidR="0042617B" w:rsidRDefault="0042617B">
      <w:r>
        <w:separator/>
      </w:r>
    </w:p>
  </w:footnote>
  <w:footnote w:type="continuationSeparator" w:id="0">
    <w:p w14:paraId="127EDB9D" w14:textId="77777777" w:rsidR="0042617B" w:rsidRDefault="0042617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1D252E1"/>
    <w:multiLevelType w:val="multilevel"/>
    <w:tmpl w:val="11D252E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21F14974"/>
    <w:multiLevelType w:val="multilevel"/>
    <w:tmpl w:val="21F1497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359262AD"/>
    <w:multiLevelType w:val="multilevel"/>
    <w:tmpl w:val="359262AD"/>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50A474E2"/>
    <w:multiLevelType w:val="multilevel"/>
    <w:tmpl w:val="50A474E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64B36164"/>
    <w:multiLevelType w:val="multilevel"/>
    <w:tmpl w:val="64B3616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70CB5B7E"/>
    <w:multiLevelType w:val="multilevel"/>
    <w:tmpl w:val="70CB5B7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333680590">
    <w:abstractNumId w:val="3"/>
  </w:num>
  <w:num w:numId="2" w16cid:durableId="1039431220">
    <w:abstractNumId w:val="5"/>
  </w:num>
  <w:num w:numId="3" w16cid:durableId="231307414">
    <w:abstractNumId w:val="1"/>
  </w:num>
  <w:num w:numId="4" w16cid:durableId="2124349477">
    <w:abstractNumId w:val="4"/>
  </w:num>
  <w:num w:numId="5" w16cid:durableId="1199201898">
    <w:abstractNumId w:val="2"/>
  </w:num>
  <w:num w:numId="6" w16cid:durableId="202913954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B4550"/>
    <w:rsid w:val="000459EE"/>
    <w:rsid w:val="0005266F"/>
    <w:rsid w:val="0006210A"/>
    <w:rsid w:val="000E2319"/>
    <w:rsid w:val="000E640E"/>
    <w:rsid w:val="000F42C9"/>
    <w:rsid w:val="001A5C2F"/>
    <w:rsid w:val="002328AD"/>
    <w:rsid w:val="00293A09"/>
    <w:rsid w:val="002A1E00"/>
    <w:rsid w:val="0042617B"/>
    <w:rsid w:val="004B2EE3"/>
    <w:rsid w:val="00504428"/>
    <w:rsid w:val="0050578F"/>
    <w:rsid w:val="0053069F"/>
    <w:rsid w:val="0056383A"/>
    <w:rsid w:val="005B62A8"/>
    <w:rsid w:val="00674712"/>
    <w:rsid w:val="006B4550"/>
    <w:rsid w:val="00712E9A"/>
    <w:rsid w:val="00726030"/>
    <w:rsid w:val="00742347"/>
    <w:rsid w:val="007722B5"/>
    <w:rsid w:val="007B5AC5"/>
    <w:rsid w:val="007F13CB"/>
    <w:rsid w:val="00826315"/>
    <w:rsid w:val="00840FD1"/>
    <w:rsid w:val="00857834"/>
    <w:rsid w:val="008B0AFB"/>
    <w:rsid w:val="009548C0"/>
    <w:rsid w:val="009A2348"/>
    <w:rsid w:val="00A71076"/>
    <w:rsid w:val="00A74AE7"/>
    <w:rsid w:val="00C004DE"/>
    <w:rsid w:val="00C04827"/>
    <w:rsid w:val="00C33DAC"/>
    <w:rsid w:val="00CB1A2E"/>
    <w:rsid w:val="00D21645"/>
    <w:rsid w:val="00D32F14"/>
    <w:rsid w:val="00D60733"/>
    <w:rsid w:val="00D9317E"/>
    <w:rsid w:val="00DD56B7"/>
    <w:rsid w:val="00DE5049"/>
    <w:rsid w:val="00E04F57"/>
    <w:rsid w:val="00E21FCE"/>
    <w:rsid w:val="00F02E90"/>
    <w:rsid w:val="00FA4363"/>
    <w:rsid w:val="4FDC0ED9"/>
  </w:rsids>
  <m:mathPr>
    <m:mathFont m:val="Cambria Math"/>
    <m:brkBin m:val="before"/>
    <m:brkBinSub m:val="--"/>
    <m:smallFrac m:val="0"/>
    <m:dispDef/>
    <m:lMargin m:val="0"/>
    <m:rMargin m:val="0"/>
    <m:defJc m:val="centerGroup"/>
    <m:wrapIndent m:val="1440"/>
    <m:intLim m:val="subSup"/>
    <m:naryLim m:val="undOvr"/>
  </m:mathPr>
  <w:themeFontLang w:val="en-IN" w:eastAsia="zh-CN"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E87207"/>
  <w15:docId w15:val="{747E590F-9996-4CA6-BD2F-EDB780BF2F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qFormat="1"/>
    <w:lsdException w:name="toc 2" w:uiPriority="39" w:unhideWhenUsed="1" w:qFormat="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qFormat="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qFormat="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semiHidden="1" w:unhideWhenUsed="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line="276" w:lineRule="auto"/>
    </w:pPr>
    <w:rPr>
      <w:sz w:val="22"/>
      <w:szCs w:val="22"/>
      <w:lang w:eastAsia="en-IN"/>
    </w:rPr>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qFormat/>
    <w:rPr>
      <w:color w:val="0000FF" w:themeColor="hyperlink"/>
      <w:u w:val="single"/>
    </w:rPr>
  </w:style>
  <w:style w:type="paragraph" w:styleId="Subtitle">
    <w:name w:val="Subtitle"/>
    <w:basedOn w:val="Normal"/>
    <w:next w:val="Normal"/>
    <w:uiPriority w:val="11"/>
    <w:qFormat/>
    <w:pPr>
      <w:keepNext/>
      <w:keepLines/>
      <w:spacing w:after="320"/>
    </w:pPr>
    <w:rPr>
      <w:color w:val="666666"/>
      <w:sz w:val="30"/>
      <w:szCs w:val="30"/>
    </w:rPr>
  </w:style>
  <w:style w:type="paragraph" w:styleId="Title">
    <w:name w:val="Title"/>
    <w:basedOn w:val="Normal"/>
    <w:next w:val="Normal"/>
    <w:uiPriority w:val="10"/>
    <w:qFormat/>
    <w:pPr>
      <w:keepNext/>
      <w:keepLines/>
      <w:spacing w:after="60"/>
    </w:pPr>
    <w:rPr>
      <w:sz w:val="52"/>
      <w:szCs w:val="52"/>
    </w:rPr>
  </w:style>
  <w:style w:type="paragraph" w:styleId="TOC1">
    <w:name w:val="toc 1"/>
    <w:basedOn w:val="Normal"/>
    <w:next w:val="Normal"/>
    <w:autoRedefine/>
    <w:uiPriority w:val="39"/>
    <w:unhideWhenUsed/>
    <w:qFormat/>
    <w:pPr>
      <w:tabs>
        <w:tab w:val="right" w:leader="dot" w:pos="9019"/>
      </w:tabs>
      <w:spacing w:after="100"/>
    </w:pPr>
  </w:style>
  <w:style w:type="paragraph" w:styleId="TOC2">
    <w:name w:val="toc 2"/>
    <w:basedOn w:val="Normal"/>
    <w:next w:val="Normal"/>
    <w:autoRedefine/>
    <w:uiPriority w:val="39"/>
    <w:unhideWhenUsed/>
    <w:qFormat/>
    <w:pPr>
      <w:spacing w:after="100"/>
      <w:ind w:left="220"/>
    </w:pPr>
  </w:style>
  <w:style w:type="table" w:customStyle="1" w:styleId="TableNormal0">
    <w:name w:val="TableNormal"/>
    <w:qFormat/>
    <w:tblPr>
      <w:tblCellMar>
        <w:top w:w="100" w:type="dxa"/>
        <w:left w:w="100" w:type="dxa"/>
        <w:bottom w:w="100" w:type="dxa"/>
        <w:right w:w="100" w:type="dxa"/>
      </w:tblCellMar>
    </w:tblPr>
  </w:style>
  <w:style w:type="character" w:customStyle="1" w:styleId="UnresolvedMention1">
    <w:name w:val="Unresolved Mention1"/>
    <w:basedOn w:val="DefaultParagraphFont"/>
    <w:uiPriority w:val="99"/>
    <w:semiHidden/>
    <w:unhideWhenUsed/>
    <w:qFormat/>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oleObject" Target="embeddings/oleObject1.bin"/><Relationship Id="rId18" Type="http://schemas.openxmlformats.org/officeDocument/2006/relationships/hyperlink" Target="https://journals.sagepub.com/doi/abs/10.1177/01622439211055697" TargetMode="External"/><Relationship Id="rId26" Type="http://schemas.openxmlformats.org/officeDocument/2006/relationships/hyperlink" Target="https://ejurnal.undana.ac.id/index.php/JEM/article/view/26084" TargetMode="External"/><Relationship Id="rId3" Type="http://schemas.openxmlformats.org/officeDocument/2006/relationships/customXml" Target="../customXml/item3.xml"/><Relationship Id="rId21" Type="http://schemas.openxmlformats.org/officeDocument/2006/relationships/hyperlink" Target="https://link.springer.com/article/10.1186/s12913-024-11099-5" TargetMode="External"/><Relationship Id="rId7" Type="http://schemas.openxmlformats.org/officeDocument/2006/relationships/settings" Target="settings.xml"/><Relationship Id="rId12" Type="http://schemas.openxmlformats.org/officeDocument/2006/relationships/image" Target="media/image2.emf"/><Relationship Id="rId17" Type="http://schemas.openxmlformats.org/officeDocument/2006/relationships/hyperlink" Target="https://bmjopen.bmj.com/content/15/11/e105803.abstract" TargetMode="External"/><Relationship Id="rId25" Type="http://schemas.openxmlformats.org/officeDocument/2006/relationships/hyperlink" Target="https://link.springer.com/content/pdf/10.1007/978-3-319-15347-6_362.pdf" TargetMode="External"/><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doi.org/10.1108/JSM-12-2022-0373" TargetMode="External"/><Relationship Id="rId20" Type="http://schemas.openxmlformats.org/officeDocument/2006/relationships/hyperlink" Target="https://doi.org/10.1016/B978-0-323-91841-1.00021-X" TargetMode="External"/><Relationship Id="rId29" Type="http://schemas.openxmlformats.org/officeDocument/2006/relationships/hyperlink" Target="https://www.kingsfund.org.uk"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doi.org/10.16920/jeet/2025/v38is2/25018" TargetMode="External"/><Relationship Id="rId32"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journals.sagepub.com/doi/abs/10.1177/08980101211024799" TargetMode="External"/><Relationship Id="rId23" Type="http://schemas.openxmlformats.org/officeDocument/2006/relationships/hyperlink" Target="https://pmc.ncbi.nlm.nih.gov/articles/PMC11752663/" TargetMode="External"/><Relationship Id="rId28" Type="http://schemas.openxmlformats.org/officeDocument/2006/relationships/hyperlink" Target="https://www.medrxiv.org/content/10.1101/2022.03.16.22272200.abstract" TargetMode="External"/><Relationship Id="rId10" Type="http://schemas.openxmlformats.org/officeDocument/2006/relationships/endnotes" Target="endnotes.xml"/><Relationship Id="rId19" Type="http://schemas.openxmlformats.org/officeDocument/2006/relationships/hyperlink" Target="https://doi.org/10.1111/1467-9566.13827" TargetMode="External"/><Relationship Id="rId31"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torrossa.com/gs/resourceProxy?an=5409523&amp;publisher=FZ7200" TargetMode="External"/><Relationship Id="rId22" Type="http://schemas.openxmlformats.org/officeDocument/2006/relationships/hyperlink" Target="https://www.nhs.uk/nhs-app/" TargetMode="External"/><Relationship Id="rId27" Type="http://schemas.openxmlformats.org/officeDocument/2006/relationships/hyperlink" Target="https://academic.oup.com/bjsw/article-abstract/52/5/2911/6396998" TargetMode="External"/><Relationship Id="rId30" Type="http://schemas.openxmlformats.org/officeDocument/2006/relationships/hyperlink" Target="https://link.springer.com/article/10.1007/s10552-021-01544-9" TargetMode="External"/><Relationship Id="rId8" Type="http://schemas.openxmlformats.org/officeDocument/2006/relationships/webSettings" Target="webSettings.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810DDF4EC27A54C9626255B384F637A" ma:contentTypeVersion="6" ma:contentTypeDescription="Create a new document." ma:contentTypeScope="" ma:versionID="40ef65b69dff2a7afa9ecb967a62093c">
  <xsd:schema xmlns:xsd="http://www.w3.org/2001/XMLSchema" xmlns:xs="http://www.w3.org/2001/XMLSchema" xmlns:p="http://schemas.microsoft.com/office/2006/metadata/properties" xmlns:ns3="ccfc14db-0f45-423b-b2f5-752f8f8a0ada" targetNamespace="http://schemas.microsoft.com/office/2006/metadata/properties" ma:root="true" ma:fieldsID="5c3691cac19e742d457d995cf065bcfe" ns3:_="">
    <xsd:import namespace="ccfc14db-0f45-423b-b2f5-752f8f8a0ada"/>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cfc14db-0f45-423b-b2f5-752f8f8a0ada"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ccfc14db-0f45-423b-b2f5-752f8f8a0ada"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7B50E9B-A0A7-4868-A36F-7C8A916F900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cfc14db-0f45-423b-b2f5-752f8f8a0ad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B76AE87-22EE-479A-A8CB-EE284B4928AA}">
  <ds:schemaRefs>
    <ds:schemaRef ds:uri="http://schemas.microsoft.com/sharepoint/v3/contenttype/forms"/>
  </ds:schemaRefs>
</ds:datastoreItem>
</file>

<file path=customXml/itemProps3.xml><?xml version="1.0" encoding="utf-8"?>
<ds:datastoreItem xmlns:ds="http://schemas.openxmlformats.org/officeDocument/2006/customXml" ds:itemID="{986FA77D-5E9E-4A7D-96E9-BE496A7955F8}">
  <ds:schemaRefs>
    <ds:schemaRef ds:uri="http://schemas.microsoft.com/office/2006/metadata/properties"/>
    <ds:schemaRef ds:uri="http://schemas.microsoft.com/office/infopath/2007/PartnerControls"/>
    <ds:schemaRef ds:uri="ccfc14db-0f45-423b-b2f5-752f8f8a0ada"/>
  </ds:schemaRefs>
</ds:datastoreItem>
</file>

<file path=customXml/itemProps4.xml><?xml version="1.0" encoding="utf-8"?>
<ds:datastoreItem xmlns:ds="http://schemas.openxmlformats.org/officeDocument/2006/customXml" ds:itemID="{4C10E3B9-4202-48D1-961F-207608F939E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13</Pages>
  <Words>3105</Words>
  <Characters>17704</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20768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Asia Bakari</cp:lastModifiedBy>
  <cp:revision>6</cp:revision>
  <dcterms:created xsi:type="dcterms:W3CDTF">2026-07-05T21:07:00Z</dcterms:created>
  <dcterms:modified xsi:type="dcterms:W3CDTF">2026-07-05T21:14:00Z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b920c1a6-87f2-41be-940d-a3f4977d30c8</vt:lpwstr>
  </property>
  <property fmtid="{D5CDD505-2E9C-101B-9397-08002B2CF9AE}" pid="3" name="KSOTemplateDocerSaveRecord">
    <vt:lpwstr>eyJoZGlkIjoiZGU4MjQ5MmE3MGU5ZTI5ZTg2ZTlkZWExMWQwNjA1NWMiLCJ1c2VySWQiOiI1Njc1OTE2MjQ5NzkifQ==</vt:lpwstr>
  </property>
  <property fmtid="{D5CDD505-2E9C-101B-9397-08002B2CF9AE}" pid="4" name="KSOProductBuildVer">
    <vt:lpwstr>1033-12.1.0.26369</vt:lpwstr>
  </property>
  <property fmtid="{D5CDD505-2E9C-101B-9397-08002B2CF9AE}" pid="5" name="ICV">
    <vt:lpwstr>C0325318100E4DFDBE82016E71CF50D1_13</vt:lpwstr>
  </property>
  <property fmtid="{D5CDD505-2E9C-101B-9397-08002B2CF9AE}" pid="6" name="ContentTypeId">
    <vt:lpwstr>0x0101007810DDF4EC27A54C9626255B384F637A</vt:lpwstr>
  </property>
</Properties>
</file>