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5511B0" w14:textId="6A3E888B" w:rsidR="00540319" w:rsidRPr="00AC7398" w:rsidRDefault="006C02F3">
      <w:pPr>
        <w:rPr>
          <w:b/>
          <w:bCs/>
          <w:sz w:val="28"/>
          <w:szCs w:val="28"/>
        </w:rPr>
      </w:pPr>
      <w:r>
        <w:rPr>
          <w:b/>
          <w:bCs/>
          <w:sz w:val="28"/>
          <w:szCs w:val="28"/>
        </w:rPr>
        <w:t>Employment Relationship Management</w:t>
      </w:r>
    </w:p>
    <w:p w14:paraId="2836FF5F" w14:textId="5DAE01AE" w:rsidR="00C53E75" w:rsidRDefault="00540319" w:rsidP="006C02F3">
      <w:pPr>
        <w:rPr>
          <w:sz w:val="24"/>
          <w:szCs w:val="24"/>
          <w:u w:val="single"/>
        </w:rPr>
      </w:pPr>
      <w:r w:rsidRPr="00AC7398">
        <w:rPr>
          <w:sz w:val="24"/>
          <w:szCs w:val="24"/>
          <w:u w:val="single"/>
        </w:rPr>
        <w:t>Task 1</w:t>
      </w:r>
    </w:p>
    <w:p w14:paraId="4916E10A" w14:textId="397C436A" w:rsidR="006C02F3" w:rsidRPr="0013007B" w:rsidRDefault="000605DE" w:rsidP="006C02F3">
      <w:r w:rsidRPr="007B6809">
        <w:rPr>
          <w:b/>
          <w:bCs/>
        </w:rPr>
        <w:t>(AC 1.1)</w:t>
      </w:r>
      <w:r w:rsidR="00AB19AF">
        <w:rPr>
          <w:sz w:val="24"/>
          <w:szCs w:val="24"/>
        </w:rPr>
        <w:t xml:space="preserve"> </w:t>
      </w:r>
      <w:r w:rsidR="00C53E75" w:rsidRPr="0013007B">
        <w:t xml:space="preserve">Employee relations is the relationship between an employer and its employee; both as an individual as well as collectively as a team and department. </w:t>
      </w:r>
    </w:p>
    <w:p w14:paraId="0B7DE45C" w14:textId="2958884F" w:rsidR="00C53E75" w:rsidRPr="0013007B" w:rsidRDefault="00C53E75" w:rsidP="006C02F3">
      <w:r w:rsidRPr="0013007B">
        <w:t xml:space="preserve">There are great benefits to experience when all employees have a say in the way that the Organisation is conducting business. When employees have a say in what roles and responsibilities they are expected to carry out and be involved in the decision making of the department and the wider organisation, the more productive they will become. There has been research conducted in this area and the findings are that the more the employees are involved, the more included they feel and are being listened to. With the voices not only </w:t>
      </w:r>
      <w:r w:rsidR="006F0552">
        <w:t xml:space="preserve">being </w:t>
      </w:r>
      <w:r w:rsidRPr="0013007B">
        <w:t>heard, but acted upon, gives a boost to morale</w:t>
      </w:r>
      <w:r w:rsidR="006F0552">
        <w:t xml:space="preserve">, </w:t>
      </w:r>
      <w:r w:rsidRPr="0013007B">
        <w:t xml:space="preserve">this in turn increases the overall wellbeing of </w:t>
      </w:r>
      <w:r w:rsidR="006F0552">
        <w:t xml:space="preserve">both </w:t>
      </w:r>
      <w:r w:rsidRPr="0013007B">
        <w:t>the employee and the organisation as a whole. The involvement of all employees will increase the productivity of the workplace and this in turn will reduce the conflict that is experienced in the workplace.</w:t>
      </w:r>
      <w:r w:rsidR="00B643E7" w:rsidRPr="0013007B">
        <w:t xml:space="preserve"> </w:t>
      </w:r>
      <w:sdt>
        <w:sdtPr>
          <w:id w:val="-803620742"/>
          <w:citation/>
        </w:sdtPr>
        <w:sdtContent>
          <w:r w:rsidR="00B643E7" w:rsidRPr="0013007B">
            <w:fldChar w:fldCharType="begin"/>
          </w:r>
          <w:r w:rsidR="00B643E7" w:rsidRPr="0013007B">
            <w:instrText xml:space="preserve"> CITATION Han21 \l 2057 </w:instrText>
          </w:r>
          <w:r w:rsidR="00B643E7" w:rsidRPr="0013007B">
            <w:fldChar w:fldCharType="separate"/>
          </w:r>
          <w:r w:rsidR="00B643E7" w:rsidRPr="0013007B">
            <w:rPr>
              <w:noProof/>
            </w:rPr>
            <w:t>(Handbook on HR Process Research., 2021)</w:t>
          </w:r>
          <w:r w:rsidR="00B643E7" w:rsidRPr="0013007B">
            <w:fldChar w:fldCharType="end"/>
          </w:r>
        </w:sdtContent>
      </w:sdt>
    </w:p>
    <w:p w14:paraId="6A38337E" w14:textId="2173557B" w:rsidR="00B643E7" w:rsidRPr="0013007B" w:rsidRDefault="00B643E7" w:rsidP="006C02F3">
      <w:r w:rsidRPr="0013007B">
        <w:t xml:space="preserve">In previous times, </w:t>
      </w:r>
      <w:r w:rsidR="006F0552">
        <w:t>evidence suggests</w:t>
      </w:r>
      <w:r w:rsidRPr="0013007B">
        <w:t xml:space="preserve"> that the messages </w:t>
      </w:r>
      <w:r w:rsidR="006F0552">
        <w:t>coming</w:t>
      </w:r>
      <w:r w:rsidRPr="0013007B">
        <w:t xml:space="preserve"> from Human Resources were that employees were nothing more than a </w:t>
      </w:r>
      <w:r w:rsidR="006F0552" w:rsidRPr="0013007B">
        <w:t>number</w:t>
      </w:r>
      <w:r w:rsidR="006F0552">
        <w:t>, driving</w:t>
      </w:r>
      <w:r w:rsidRPr="0013007B">
        <w:t xml:space="preserve"> down morale and innovative way</w:t>
      </w:r>
      <w:r w:rsidR="006F0552">
        <w:t>s</w:t>
      </w:r>
      <w:r w:rsidRPr="0013007B">
        <w:t xml:space="preserve"> in working</w:t>
      </w:r>
      <w:r w:rsidR="006F0552">
        <w:t xml:space="preserve">, </w:t>
      </w:r>
      <w:r w:rsidRPr="0013007B">
        <w:t>many employees would only undertake the work that was expected – it would not matter what time this took as there was no benefit to the employee to conduct their business in any other terms than that of what was expected and instructed. This would leave employees feel</w:t>
      </w:r>
      <w:r w:rsidR="006F0552">
        <w:t>ing</w:t>
      </w:r>
      <w:r w:rsidRPr="0013007B">
        <w:t xml:space="preserve"> undervalued and exploited. (Hart, 1993; Thompson, 2011).</w:t>
      </w:r>
    </w:p>
    <w:p w14:paraId="08B05034" w14:textId="28A246B0" w:rsidR="00B643E7" w:rsidRPr="0013007B" w:rsidRDefault="00B643E7" w:rsidP="006C02F3">
      <w:r w:rsidRPr="0013007B">
        <w:t xml:space="preserve">By encouraging this working relationship where people come before policy, strengthens the resilience that the organisation experiences and will see employees </w:t>
      </w:r>
      <w:r w:rsidR="006574ED">
        <w:t xml:space="preserve">being </w:t>
      </w:r>
      <w:r w:rsidRPr="0013007B">
        <w:t>supporti</w:t>
      </w:r>
      <w:r w:rsidR="006574ED">
        <w:t>ve</w:t>
      </w:r>
      <w:r w:rsidRPr="0013007B">
        <w:t xml:space="preserve"> during times of uncertainty and change, whether this is caused by internal factors or that of external controls. In many cases, it</w:t>
      </w:r>
      <w:r w:rsidR="006574ED">
        <w:t>’</w:t>
      </w:r>
      <w:r w:rsidRPr="0013007B">
        <w:t>s the employees that become aware of the challenges that the organisation face before it comes to fruition.</w:t>
      </w:r>
    </w:p>
    <w:p w14:paraId="15A3EEA0" w14:textId="4D061B82" w:rsidR="00AB19AF" w:rsidRDefault="00AB19AF" w:rsidP="006C02F3">
      <w:pPr>
        <w:rPr>
          <w:sz w:val="24"/>
          <w:szCs w:val="24"/>
        </w:rPr>
      </w:pPr>
    </w:p>
    <w:p w14:paraId="7E5A2A95" w14:textId="5CE687E6" w:rsidR="00AB19AF" w:rsidRPr="0013007B" w:rsidRDefault="000605DE" w:rsidP="006C02F3">
      <w:r w:rsidRPr="007B6809">
        <w:rPr>
          <w:b/>
          <w:bCs/>
        </w:rPr>
        <w:t>(AC 1.2)</w:t>
      </w:r>
      <w:r w:rsidR="00AB19AF">
        <w:rPr>
          <w:sz w:val="24"/>
          <w:szCs w:val="24"/>
        </w:rPr>
        <w:t xml:space="preserve"> </w:t>
      </w:r>
      <w:r w:rsidR="00AB19AF" w:rsidRPr="0013007B">
        <w:t>One of the main differences between employee participation and employee involvement is that</w:t>
      </w:r>
      <w:r w:rsidR="00AB19AF" w:rsidRPr="0013007B">
        <w:rPr>
          <w:b/>
          <w:bCs/>
        </w:rPr>
        <w:t> participation refers to the actual business activities that employees perform</w:t>
      </w:r>
      <w:r w:rsidR="00AB19AF" w:rsidRPr="0013007B">
        <w:t xml:space="preserve">, whereas involvement is about the level of input in decision-making that employees have regarding which business activities they perform. </w:t>
      </w:r>
    </w:p>
    <w:p w14:paraId="373AC37C" w14:textId="12F8768C" w:rsidR="00AB19AF" w:rsidRPr="0013007B" w:rsidRDefault="00AB19AF" w:rsidP="006C02F3">
      <w:r w:rsidRPr="006574ED">
        <w:rPr>
          <w:i/>
          <w:iCs/>
        </w:rPr>
        <w:t>Employee participation refers to employees having a part to collectively play in company operations to attain a shared goal</w:t>
      </w:r>
      <w:r w:rsidRPr="0013007B">
        <w:t xml:space="preserve"> </w:t>
      </w:r>
      <w:sdt>
        <w:sdtPr>
          <w:id w:val="-1397511173"/>
          <w:citation/>
        </w:sdtPr>
        <w:sdtContent>
          <w:r w:rsidRPr="0013007B">
            <w:fldChar w:fldCharType="begin"/>
          </w:r>
          <w:r w:rsidRPr="0013007B">
            <w:instrText xml:space="preserve"> CITATION Bai19 \l 2057 </w:instrText>
          </w:r>
          <w:r w:rsidRPr="0013007B">
            <w:fldChar w:fldCharType="separate"/>
          </w:r>
          <w:r w:rsidRPr="0013007B">
            <w:rPr>
              <w:noProof/>
            </w:rPr>
            <w:t>(Bai, Y., Lin, L. and Liu, J.T, 2019)</w:t>
          </w:r>
          <w:r w:rsidRPr="0013007B">
            <w:fldChar w:fldCharType="end"/>
          </w:r>
        </w:sdtContent>
      </w:sdt>
      <w:r w:rsidRPr="0013007B">
        <w:t>.</w:t>
      </w:r>
    </w:p>
    <w:p w14:paraId="67546E2B" w14:textId="149671CA" w:rsidR="00AB19AF" w:rsidRPr="0013007B" w:rsidRDefault="000605DE" w:rsidP="000605DE">
      <w:r w:rsidRPr="0013007B">
        <w:t xml:space="preserve">An example of this within my organisation is </w:t>
      </w:r>
      <w:r w:rsidR="006574ED">
        <w:t>the</w:t>
      </w:r>
      <w:r w:rsidRPr="0013007B">
        <w:t xml:space="preserve"> introduction of a Code of Ethics Committee where a diverse group of employees</w:t>
      </w:r>
      <w:r w:rsidR="00B46FA4">
        <w:t xml:space="preserve"> from across the width and breadth of the organisation (at all levels of rank and position)</w:t>
      </w:r>
      <w:r w:rsidRPr="0013007B">
        <w:t xml:space="preserve"> and external independent members come together to discuss issues that have been referred to the Ethics Database by employees in order to scrutinise the scenarios as to whether there are </w:t>
      </w:r>
      <w:r w:rsidR="00B46FA4">
        <w:t xml:space="preserve">ethical dilemmas within the </w:t>
      </w:r>
      <w:r w:rsidRPr="0013007B">
        <w:t>procedures and policies that</w:t>
      </w:r>
      <w:r w:rsidR="00B46FA4">
        <w:t xml:space="preserve"> are being conducted and whether there is a</w:t>
      </w:r>
      <w:r w:rsidRPr="0013007B">
        <w:t xml:space="preserve"> need to be amended to be more inclusive, open and transparent. Every employee is encouraged to utilise the referral system with issues that the organisation face that could jeopardise the compliance with the Code of Ethics policy and framework as well as other guidelines that are in place. This platform is a good place to be able to direct work that needs to be undertaken and </w:t>
      </w:r>
      <w:r w:rsidRPr="0013007B">
        <w:lastRenderedPageBreak/>
        <w:t xml:space="preserve">considered by the organisation and can signpost any performance issues to the appropriate board panels. </w:t>
      </w:r>
    </w:p>
    <w:p w14:paraId="74BED102" w14:textId="52C8EEB9" w:rsidR="000605DE" w:rsidRPr="00AB19AF" w:rsidRDefault="006574ED" w:rsidP="000605DE">
      <w:r>
        <w:t>H</w:t>
      </w:r>
      <w:r w:rsidR="000605DE" w:rsidRPr="0013007B">
        <w:t>aving this system in place</w:t>
      </w:r>
      <w:r>
        <w:t xml:space="preserve"> </w:t>
      </w:r>
      <w:r w:rsidR="000605DE" w:rsidRPr="0013007B">
        <w:t xml:space="preserve">allows every </w:t>
      </w:r>
      <w:r>
        <w:t xml:space="preserve">employee </w:t>
      </w:r>
      <w:r w:rsidR="000605DE" w:rsidRPr="0013007B">
        <w:t xml:space="preserve">to voice concerns and be able to be part of ongoing suggestions for improving standards and practices. This is turn gives the autonomy to individuals to feed in their concerns and to see that their ideas and innovative ways of thinking are being utilised and progressed across the organisation. By being involved in this process, it boosts morale which then aids the organisation as the performance that employees undertake is enhanced. </w:t>
      </w:r>
    </w:p>
    <w:p w14:paraId="0CE5B415" w14:textId="626CE9F8" w:rsidR="00615DEB" w:rsidRDefault="00615DEB" w:rsidP="00184F72">
      <w:pPr>
        <w:rPr>
          <w:rFonts w:ascii="Open Sans" w:eastAsia="Times New Roman" w:hAnsi="Open Sans" w:cs="Open Sans"/>
          <w:color w:val="000000"/>
          <w:sz w:val="24"/>
          <w:szCs w:val="24"/>
          <w:lang w:eastAsia="en-GB"/>
        </w:rPr>
      </w:pPr>
    </w:p>
    <w:p w14:paraId="0758C961" w14:textId="017B0694" w:rsidR="00EE0FA8" w:rsidRPr="0013007B" w:rsidRDefault="00EE0FA8" w:rsidP="00184F72">
      <w:r w:rsidRPr="007B6809">
        <w:rPr>
          <w:b/>
          <w:bCs/>
        </w:rPr>
        <w:t>(AC 1.3)</w:t>
      </w:r>
      <w:r>
        <w:rPr>
          <w:b/>
          <w:bCs/>
          <w:sz w:val="24"/>
          <w:szCs w:val="24"/>
        </w:rPr>
        <w:t xml:space="preserve"> </w:t>
      </w:r>
      <w:r w:rsidRPr="0013007B">
        <w:t xml:space="preserve">There are a number of ways which organisations can use tools to </w:t>
      </w:r>
      <w:r w:rsidR="00033054" w:rsidRPr="0013007B">
        <w:t>obtain</w:t>
      </w:r>
      <w:r w:rsidRPr="0013007B">
        <w:t xml:space="preserve"> the employee voice to ensure that all thoughts and opinions are captured. The easiest</w:t>
      </w:r>
      <w:r w:rsidR="00033054" w:rsidRPr="0013007B">
        <w:t xml:space="preserve"> and quickest</w:t>
      </w:r>
      <w:r w:rsidRPr="0013007B">
        <w:t xml:space="preserve"> way to do this is through the use of employee surveys</w:t>
      </w:r>
      <w:r w:rsidR="00033054" w:rsidRPr="0013007B">
        <w:t xml:space="preserve">.  </w:t>
      </w:r>
      <w:r w:rsidRPr="0013007B">
        <w:t xml:space="preserve"> </w:t>
      </w:r>
      <w:r w:rsidR="00033054" w:rsidRPr="00EE0FA8">
        <w:rPr>
          <w:i/>
          <w:iCs/>
        </w:rPr>
        <w:t>Employee engagement surveys assess employees’ dedication, motivation, a feeling of purpose, and enthusiasm for their jobs and employers</w:t>
      </w:r>
      <w:r w:rsidR="00033054" w:rsidRPr="00EE0FA8">
        <w:t xml:space="preserve"> </w:t>
      </w:r>
      <w:sdt>
        <w:sdtPr>
          <w:id w:val="-85154610"/>
          <w:citation/>
        </w:sdtPr>
        <w:sdtContent>
          <w:r w:rsidR="00033054" w:rsidRPr="0013007B">
            <w:fldChar w:fldCharType="begin"/>
          </w:r>
          <w:r w:rsidR="00033054" w:rsidRPr="0013007B">
            <w:instrText xml:space="preserve">CITATION Sak \l 2057 </w:instrText>
          </w:r>
          <w:r w:rsidR="00033054" w:rsidRPr="0013007B">
            <w:fldChar w:fldCharType="separate"/>
          </w:r>
          <w:r w:rsidR="00033054" w:rsidRPr="0013007B">
            <w:rPr>
              <w:noProof/>
            </w:rPr>
            <w:t>(Saks, A.M, 2019)</w:t>
          </w:r>
          <w:r w:rsidR="00033054" w:rsidRPr="0013007B">
            <w:fldChar w:fldCharType="end"/>
          </w:r>
        </w:sdtContent>
      </w:sdt>
      <w:r w:rsidR="00033054" w:rsidRPr="0013007B">
        <w:t xml:space="preserve">.  </w:t>
      </w:r>
    </w:p>
    <w:p w14:paraId="30037402" w14:textId="5BF6CE79" w:rsidR="00033054" w:rsidRPr="0013007B" w:rsidRDefault="00033054" w:rsidP="00184F72">
      <w:r w:rsidRPr="0013007B">
        <w:t>By utilising surveys, there</w:t>
      </w:r>
      <w:r w:rsidR="006574ED">
        <w:t>’</w:t>
      </w:r>
      <w:r w:rsidRPr="0013007B">
        <w:t xml:space="preserve">s a variety of responses that the organisation can gather in order to evaluate the perceptions and views of their employees. Examples of this can be to evaluate changes that have been implemented, processes that are being considered, strategies that are being developed and future opportunity scoping. The only thing to consider is that if surveys are the only tool that is being utilised to involve employees, there may be a lack of participation if there is ‘survey overload’ or the fact that employees do not see the results of their submissions come to fruition. </w:t>
      </w:r>
    </w:p>
    <w:p w14:paraId="59EA9015" w14:textId="2BEE0C63" w:rsidR="00033054" w:rsidRPr="0013007B" w:rsidRDefault="00033054" w:rsidP="00184F72">
      <w:r w:rsidRPr="0013007B">
        <w:t>Other approaches could be through the staff associations or trade unions in order to gather the views and opinions of staff. Other ways that employee engagement could be adopted is through scheme</w:t>
      </w:r>
      <w:r w:rsidR="006574ED">
        <w:t>s</w:t>
      </w:r>
      <w:r w:rsidRPr="0013007B">
        <w:t xml:space="preserve"> to include reward and culture. When there is a process in place for performance reward, it can offer bonuses, incremental pay increases, extra annual leave allowance, extended sick leave payments or improved staff perks (such as discount cards, dental care, private health care). </w:t>
      </w:r>
      <w:sdt>
        <w:sdtPr>
          <w:id w:val="466858298"/>
          <w:citation/>
        </w:sdtPr>
        <w:sdtContent>
          <w:r w:rsidRPr="0013007B">
            <w:fldChar w:fldCharType="begin"/>
          </w:r>
          <w:r w:rsidRPr="0013007B">
            <w:instrText xml:space="preserve"> CITATION Hol18 \l 2057 </w:instrText>
          </w:r>
          <w:r w:rsidRPr="0013007B">
            <w:fldChar w:fldCharType="separate"/>
          </w:r>
          <w:r w:rsidRPr="0013007B">
            <w:rPr>
              <w:noProof/>
            </w:rPr>
            <w:t>(Holbeche, 2018)</w:t>
          </w:r>
          <w:r w:rsidRPr="0013007B">
            <w:fldChar w:fldCharType="end"/>
          </w:r>
        </w:sdtContent>
      </w:sdt>
      <w:r w:rsidR="009F793A" w:rsidRPr="0013007B">
        <w:t xml:space="preserve"> </w:t>
      </w:r>
    </w:p>
    <w:p w14:paraId="54B3610C" w14:textId="665DF254" w:rsidR="009F793A" w:rsidRPr="0013007B" w:rsidRDefault="009F793A" w:rsidP="00184F72">
      <w:proofErr w:type="gramStart"/>
      <w:r w:rsidRPr="0013007B">
        <w:t>By offering these, there</w:t>
      </w:r>
      <w:proofErr w:type="gramEnd"/>
      <w:r w:rsidRPr="0013007B">
        <w:t xml:space="preserve"> will be more goal orientated and performance priority for staff to aim for the benefits that are on offer and can increase the productivity within the organisation – therefore morale will be boosted, and staff are more likely to be attracted to long term employment with the organisation when they feel included and that the leaders are approachable and accessible, and the organisational stance and vision is clear and inclusive.</w:t>
      </w:r>
    </w:p>
    <w:p w14:paraId="7A078E2B" w14:textId="3B9A10D1" w:rsidR="006C02F3" w:rsidRDefault="006C02F3" w:rsidP="00184F72"/>
    <w:p w14:paraId="2083E7D6" w14:textId="6CFDCA6B" w:rsidR="00EE0FA8" w:rsidRDefault="009F793A" w:rsidP="00184F72">
      <w:r>
        <w:rPr>
          <w:b/>
          <w:bCs/>
        </w:rPr>
        <w:t xml:space="preserve">(AC 1.4) </w:t>
      </w:r>
      <w:r w:rsidR="0013007B">
        <w:t xml:space="preserve">When utilised correctly, the voice of the employee can assist in growth, </w:t>
      </w:r>
      <w:proofErr w:type="gramStart"/>
      <w:r w:rsidR="0013007B">
        <w:t>development</w:t>
      </w:r>
      <w:proofErr w:type="gramEnd"/>
      <w:r w:rsidR="0013007B">
        <w:t xml:space="preserve"> and conflict resolution matters within the organisation. If the changes are implemented from the viewpoint of the employee who has the operational knowledge and experience to identify risks and unforeseen circumstances in a more efficient manner, the safety of the organisation can be protected. As the employee on the ground has the first-hand experience to identify these issues, they will report them in a manner that is critical to the organisation, leaders are not in a position to identify this i</w:t>
      </w:r>
      <w:r w:rsidR="006574ED">
        <w:t>n</w:t>
      </w:r>
      <w:r w:rsidR="0013007B">
        <w:t xml:space="preserve"> the same timescales and therefore must accommodate the communication and openness for the employees to feel valued to voice their concerns when it arises. The changes that are needed within organisations often start with the bottom rung of the ladder in the authoritative sense of the word, and to ensure inclusivity in this nature, it is paramount that the employee feels listened to and valued for their contributions. The working environment must be open to the opportunity for employees to speak up, be heard and be counted. </w:t>
      </w:r>
      <w:sdt>
        <w:sdtPr>
          <w:id w:val="156510563"/>
          <w:citation/>
        </w:sdtPr>
        <w:sdtContent>
          <w:r w:rsidR="0013007B">
            <w:fldChar w:fldCharType="begin"/>
          </w:r>
          <w:r w:rsidR="0013007B">
            <w:instrText xml:space="preserve"> CITATION Bai19 \l 2057 </w:instrText>
          </w:r>
          <w:r w:rsidR="0013007B">
            <w:fldChar w:fldCharType="separate"/>
          </w:r>
          <w:r w:rsidR="0013007B">
            <w:rPr>
              <w:noProof/>
            </w:rPr>
            <w:t>(Bai, Y., Lin, L. and Liu, J.T, 2019)</w:t>
          </w:r>
          <w:r w:rsidR="0013007B">
            <w:fldChar w:fldCharType="end"/>
          </w:r>
        </w:sdtContent>
      </w:sdt>
      <w:r w:rsidR="00DF7E0B">
        <w:t xml:space="preserve"> </w:t>
      </w:r>
    </w:p>
    <w:p w14:paraId="5DA49F0B" w14:textId="1AE943A6" w:rsidR="00DF7E0B" w:rsidRDefault="00DF7E0B" w:rsidP="00184F72">
      <w:r>
        <w:lastRenderedPageBreak/>
        <w:t>Not only will this enhance the reputation of the organisation attract</w:t>
      </w:r>
      <w:r w:rsidR="006574ED">
        <w:t>ing</w:t>
      </w:r>
      <w:r>
        <w:t xml:space="preserve"> the best talent to the workforce, but also </w:t>
      </w:r>
      <w:r w:rsidR="006574ED">
        <w:t>retaining</w:t>
      </w:r>
      <w:r>
        <w:t xml:space="preserve"> the employees that are currently there. When employees feel heard and that they have a voice, the grievance process will be utilised in a more informal manner as they already feel satisfied that the organisation listens and acts upon concerns that are raised and are dealt with in a timely manner. This in turn will increase the wellbeing of the staff and again, a benefit for the organisation as the sickness absences will be decreased due to job satisfaction and ability to speak to the leaders within the organisation. With this in mind, the retention levels increase and the costs to replace staff won’t be an issue – the loss of corporate knowledge and skills will be maintained in this ethos as well. </w:t>
      </w:r>
      <w:sdt>
        <w:sdtPr>
          <w:id w:val="-180898600"/>
          <w:citation/>
        </w:sdtPr>
        <w:sdtContent>
          <w:r>
            <w:fldChar w:fldCharType="begin"/>
          </w:r>
          <w:r>
            <w:instrText xml:space="preserve"> CITATION Bai19 \l 2057 </w:instrText>
          </w:r>
          <w:r>
            <w:fldChar w:fldCharType="separate"/>
          </w:r>
          <w:r>
            <w:rPr>
              <w:noProof/>
            </w:rPr>
            <w:t>(Bai, Y., Lin, L. and Liu, J.T, 2019)</w:t>
          </w:r>
          <w:r>
            <w:fldChar w:fldCharType="end"/>
          </w:r>
        </w:sdtContent>
      </w:sdt>
    </w:p>
    <w:p w14:paraId="2BFAF77F" w14:textId="56CED054" w:rsidR="00DF7E0B" w:rsidRDefault="00DF7E0B" w:rsidP="00184F72"/>
    <w:p w14:paraId="571AFD82" w14:textId="6E792105" w:rsidR="00DF7E0B" w:rsidRDefault="00DF7E0B" w:rsidP="00184F72">
      <w:r>
        <w:rPr>
          <w:b/>
          <w:bCs/>
        </w:rPr>
        <w:t xml:space="preserve">(AC 1.5) </w:t>
      </w:r>
      <w:r>
        <w:t xml:space="preserve">A healthy work-life balance is that of calm in both personal and professional life. Albeit that there is overlap between one and the other as what affects an individual outside of work will affect them inside work and vice versa. </w:t>
      </w:r>
      <w:r w:rsidR="00347270">
        <w:t xml:space="preserve">Organisations are more in tune with the fact that the balance in an individual’s life increases the performance that is displayed within the work environment. If there </w:t>
      </w:r>
      <w:proofErr w:type="gramStart"/>
      <w:r w:rsidR="00347270">
        <w:t>is</w:t>
      </w:r>
      <w:proofErr w:type="gramEnd"/>
      <w:r w:rsidR="00347270">
        <w:t xml:space="preserve"> unduly excessive work requirements placed on an employee, there will inevitably be frustrated, upset and stressed members of staff which can affect their wellbeing and their health – this will have a detrimental result on the organisation as they will see that there are more staff on sick leave, a decrease in performance and possible resignations from the organisation. </w:t>
      </w:r>
      <w:sdt>
        <w:sdtPr>
          <w:id w:val="1628962437"/>
          <w:citation/>
        </w:sdtPr>
        <w:sdtContent>
          <w:r w:rsidR="00347270">
            <w:fldChar w:fldCharType="begin"/>
          </w:r>
          <w:r w:rsidR="00347270">
            <w:instrText xml:space="preserve"> CITATION Jia18 \l 2057 </w:instrText>
          </w:r>
          <w:r w:rsidR="00347270">
            <w:fldChar w:fldCharType="separate"/>
          </w:r>
          <w:r w:rsidR="00347270">
            <w:rPr>
              <w:noProof/>
            </w:rPr>
            <w:t>(Jiang, H. and Luo, Y., , 2018.)</w:t>
          </w:r>
          <w:r w:rsidR="00347270">
            <w:fldChar w:fldCharType="end"/>
          </w:r>
        </w:sdtContent>
      </w:sdt>
    </w:p>
    <w:p w14:paraId="37F49F46" w14:textId="6F89373F" w:rsidR="00347270" w:rsidRDefault="00347270" w:rsidP="00184F72">
      <w:r>
        <w:t xml:space="preserve">There are practices that can be adopted by organisations in order to support the healthy work life balance for employees – these can include providing facilities such as gyms and childcare creches. </w:t>
      </w:r>
    </w:p>
    <w:p w14:paraId="7E196CC3" w14:textId="33ABE3E0" w:rsidR="00347270" w:rsidRPr="00EA16D1" w:rsidRDefault="00347270" w:rsidP="00184F72">
      <w:pPr>
        <w:rPr>
          <w:i/>
          <w:iCs/>
        </w:rPr>
      </w:pPr>
      <w:r>
        <w:t xml:space="preserve">Flexible and agile working is a trend that is recurring at the moment, which organisations have been forced to review with the unforeseen pandemic that </w:t>
      </w:r>
      <w:r w:rsidR="00EA16D1">
        <w:t xml:space="preserve">has been with us across the world for over two years. There is less strictness with when work must commence and must finish, </w:t>
      </w:r>
      <w:r w:rsidR="006574ED">
        <w:t>giving</w:t>
      </w:r>
      <w:r w:rsidR="00EA16D1">
        <w:t xml:space="preserve"> flexibility to staff and can attract a higher talent pool to the organisation. Again, the wellbeing of the employee is increased as these practices will reduce stress and encourages a healthy work life balance. Care must be taken to ensure the Code of Practice in relation to professional standards is adhered to in these instances, as </w:t>
      </w:r>
      <w:r w:rsidR="00EA16D1" w:rsidRPr="00DF7E0B">
        <w:rPr>
          <w:i/>
          <w:iCs/>
        </w:rPr>
        <w:t>employees who work for companies that operate on a highly “loose” basis may take advantage of the employer’s benevolence, yielding negligence and indiscipline</w:t>
      </w:r>
      <w:r w:rsidR="00EA16D1">
        <w:rPr>
          <w:i/>
          <w:iCs/>
        </w:rPr>
        <w:t xml:space="preserve">. </w:t>
      </w:r>
      <w:sdt>
        <w:sdtPr>
          <w:rPr>
            <w:i/>
            <w:iCs/>
          </w:rPr>
          <w:id w:val="-807623960"/>
          <w:citation/>
        </w:sdtPr>
        <w:sdtContent>
          <w:r w:rsidR="00EA16D1">
            <w:rPr>
              <w:i/>
              <w:iCs/>
            </w:rPr>
            <w:fldChar w:fldCharType="begin"/>
          </w:r>
          <w:r w:rsidR="00EA16D1">
            <w:rPr>
              <w:i/>
              <w:iCs/>
            </w:rPr>
            <w:instrText xml:space="preserve"> CITATION Jia18 \l 2057 </w:instrText>
          </w:r>
          <w:r w:rsidR="00EA16D1">
            <w:rPr>
              <w:i/>
              <w:iCs/>
            </w:rPr>
            <w:fldChar w:fldCharType="separate"/>
          </w:r>
          <w:r w:rsidR="00EA16D1">
            <w:rPr>
              <w:noProof/>
            </w:rPr>
            <w:t>(Jiang, H. and Luo, Y., , 2018.)</w:t>
          </w:r>
          <w:r w:rsidR="00EA16D1">
            <w:rPr>
              <w:i/>
              <w:iCs/>
            </w:rPr>
            <w:fldChar w:fldCharType="end"/>
          </w:r>
        </w:sdtContent>
      </w:sdt>
    </w:p>
    <w:p w14:paraId="5DB040A9" w14:textId="4DAD8549" w:rsidR="00EA16D1" w:rsidRDefault="00EA16D1" w:rsidP="00184F72">
      <w:pPr>
        <w:rPr>
          <w:b/>
          <w:bCs/>
        </w:rPr>
      </w:pPr>
    </w:p>
    <w:p w14:paraId="14DF1EF5" w14:textId="155E9FD0" w:rsidR="00EA16D1" w:rsidRDefault="00EA16D1" w:rsidP="00184F72">
      <w:r>
        <w:rPr>
          <w:b/>
          <w:bCs/>
        </w:rPr>
        <w:t>(AC 2.1)</w:t>
      </w:r>
      <w:r>
        <w:t xml:space="preserve"> </w:t>
      </w:r>
      <w:r w:rsidR="00D4217C">
        <w:t>There are differences between misbehaviour and conflict. The main difference being that misbehaviour is normally a planned trait whereas conflict is more of a morale or personality difference between individuals and/or the organisation.</w:t>
      </w:r>
    </w:p>
    <w:p w14:paraId="1E91823F" w14:textId="7266D83E" w:rsidR="00D4217C" w:rsidRDefault="00D4217C" w:rsidP="00184F72">
      <w:r>
        <w:t xml:space="preserve">Misbehaviour tends to be a breach of standards, rules, or regulations or in the worst-case scenario – laws. Examples of this are harassment, theft, damage, fraud, and deception. The pre-planned element of this is that there has been intention to undertake these actions. There must be a channel of reporting in place within organisations to eliminate the actions of this misbehaviour and to address it within a timely manner. </w:t>
      </w:r>
    </w:p>
    <w:p w14:paraId="6E82B490" w14:textId="44948E97" w:rsidR="00D4217C" w:rsidRDefault="00D4217C" w:rsidP="00184F72">
      <w:pPr>
        <w:rPr>
          <w:i/>
          <w:iCs/>
        </w:rPr>
      </w:pPr>
      <w:r>
        <w:t xml:space="preserve">Conflict can be represented in a number of ways and tends to be a natural occurrence, unlike the intention that is formed with misbehaviour. Where a number of diverse individuals come together, there can be differing viewpoints and conflict can occur where these individuals have differing ideas as to how certain tasks are to be undertaken and completed. It has been well researched that when </w:t>
      </w:r>
      <w:r>
        <w:lastRenderedPageBreak/>
        <w:t xml:space="preserve">new groups of individuals are formed to work together, there are several phases that they will go through before being able to work in harmony with each other. The theory of Tuckman states </w:t>
      </w:r>
      <w:proofErr w:type="gramStart"/>
      <w:r w:rsidRPr="00D4217C">
        <w:rPr>
          <w:i/>
          <w:iCs/>
        </w:rPr>
        <w:t>The</w:t>
      </w:r>
      <w:proofErr w:type="gramEnd"/>
      <w:r w:rsidRPr="00D4217C">
        <w:rPr>
          <w:i/>
          <w:iCs/>
        </w:rPr>
        <w:t xml:space="preserve"> forming–storming–norming–performing model of</w:t>
      </w:r>
      <w:r w:rsidRPr="00D4217C">
        <w:rPr>
          <w:b/>
          <w:bCs/>
          <w:i/>
          <w:iCs/>
        </w:rPr>
        <w:t> group development</w:t>
      </w:r>
      <w:r w:rsidRPr="00D4217C">
        <w:rPr>
          <w:i/>
          <w:iCs/>
        </w:rPr>
        <w:t> was first proposed in 1965, who said that these phases are all necessary and inevitable in order for a team to grow, face up to challenges, tackle problems, find solutions, plan work, and deliver results.</w:t>
      </w:r>
      <w:r>
        <w:rPr>
          <w:i/>
          <w:iCs/>
        </w:rPr>
        <w:t xml:space="preserve"> </w:t>
      </w:r>
      <w:sdt>
        <w:sdtPr>
          <w:rPr>
            <w:i/>
            <w:iCs/>
          </w:rPr>
          <w:id w:val="98144636"/>
          <w:citation/>
        </w:sdtPr>
        <w:sdtContent>
          <w:r>
            <w:rPr>
              <w:i/>
              <w:iCs/>
            </w:rPr>
            <w:fldChar w:fldCharType="begin"/>
          </w:r>
          <w:r>
            <w:rPr>
              <w:i/>
              <w:iCs/>
            </w:rPr>
            <w:instrText xml:space="preserve"> CITATION Ego01 \l 2057 </w:instrText>
          </w:r>
          <w:r>
            <w:rPr>
              <w:i/>
              <w:iCs/>
            </w:rPr>
            <w:fldChar w:fldCharType="separate"/>
          </w:r>
          <w:r>
            <w:rPr>
              <w:noProof/>
            </w:rPr>
            <w:t>(Egolf, 2001)</w:t>
          </w:r>
          <w:r>
            <w:rPr>
              <w:i/>
              <w:iCs/>
            </w:rPr>
            <w:fldChar w:fldCharType="end"/>
          </w:r>
        </w:sdtContent>
      </w:sdt>
    </w:p>
    <w:p w14:paraId="57B85438" w14:textId="264FCC3E" w:rsidR="000E2F4A" w:rsidRDefault="000E2F4A" w:rsidP="00184F72">
      <w:r>
        <w:t>Other conflict can include the way that organisational policy and procedure</w:t>
      </w:r>
      <w:r w:rsidR="00C65729">
        <w:t>s</w:t>
      </w:r>
      <w:r>
        <w:t xml:space="preserve"> are run, and this can cause conflict </w:t>
      </w:r>
      <w:r w:rsidR="00C65729">
        <w:t xml:space="preserve">by </w:t>
      </w:r>
      <w:r>
        <w:t xml:space="preserve">perceived understanding of requirements that are expected. </w:t>
      </w:r>
      <w:r w:rsidR="00C65729">
        <w:t>G</w:t>
      </w:r>
      <w:r>
        <w:t>uidance needs to be clear and concise. This is where the added value of organisation consultation can be a positive process to undertake involv</w:t>
      </w:r>
      <w:r w:rsidR="00A3035C">
        <w:t>ing</w:t>
      </w:r>
      <w:r>
        <w:t xml:space="preserve"> as many employees as possible during the development </w:t>
      </w:r>
      <w:r w:rsidR="00A3035C">
        <w:t>stages</w:t>
      </w:r>
      <w:r>
        <w:t>. Within my organisation, there</w:t>
      </w:r>
      <w:r w:rsidR="00A3035C">
        <w:t>’</w:t>
      </w:r>
      <w:r>
        <w:t xml:space="preserve">s opportunity for staff to design and develop policies in areas of expertise and work across a number of departments </w:t>
      </w:r>
      <w:r w:rsidR="00A3035C">
        <w:t>ensuring</w:t>
      </w:r>
      <w:r>
        <w:t xml:space="preserve"> the policy is written from a practitioner’s point of view. The draft is then published on the internal </w:t>
      </w:r>
      <w:r w:rsidR="00A3035C">
        <w:t>website</w:t>
      </w:r>
      <w:r>
        <w:t xml:space="preserve"> and consultation feedback is requested in order to amend or adapt the policy as required. This is reviewed and submitted to the People Board to approve.</w:t>
      </w:r>
    </w:p>
    <w:p w14:paraId="0D73EE86" w14:textId="270EAA88" w:rsidR="000E2F4A" w:rsidRDefault="000E2F4A" w:rsidP="00184F72">
      <w:r>
        <w:t>The policy in this case is much more widely accepted once approved as employees feel that they have had an insight into the development and understand what is expected as a result of this process.</w:t>
      </w:r>
    </w:p>
    <w:p w14:paraId="78B0ECFC" w14:textId="0D91FAD2" w:rsidR="000E2F4A" w:rsidRDefault="000E2F4A" w:rsidP="00184F72"/>
    <w:p w14:paraId="3450045C" w14:textId="3A41D6E4" w:rsidR="000E2F4A" w:rsidRDefault="000E2F4A" w:rsidP="00184F72">
      <w:r>
        <w:rPr>
          <w:b/>
          <w:bCs/>
        </w:rPr>
        <w:t xml:space="preserve">(AC2.2) </w:t>
      </w:r>
      <w:r w:rsidR="00D5538C">
        <w:t xml:space="preserve">When an employee is contracted, they have the opportunity to join a trade union or staff association. The number of employees that join such unions is on the rise and this can be an option that is taken in order to safeguard their rights within the working environment. If there are issues that are raised within the organisation, the employee can seek the advice of the union in order to clarify and confirm what their employment rights are and what protection is in place in relation to the conflict that they are experiencing. If </w:t>
      </w:r>
      <w:r w:rsidR="00D41C59">
        <w:t>these issues</w:t>
      </w:r>
      <w:r w:rsidR="00D5538C">
        <w:t xml:space="preserve"> remain unresolved between the organisation and the employee, they may ask the union to represent them in the case. If this remains unresolved, the next formal stage </w:t>
      </w:r>
      <w:r w:rsidR="00A3035C">
        <w:t>is to take</w:t>
      </w:r>
      <w:r w:rsidR="00D5538C">
        <w:t xml:space="preserve"> industrial action. If this is supported by the union, it </w:t>
      </w:r>
      <w:r w:rsidR="00A3035C">
        <w:t>is</w:t>
      </w:r>
      <w:r w:rsidR="00D5538C">
        <w:t xml:space="preserve"> classed as official action. Once this process has been entered into, the legal procedures must be adhered to and the union will seek to defend any claims against the employee such as dismissal. </w:t>
      </w:r>
    </w:p>
    <w:p w14:paraId="4DF95A0B" w14:textId="13856206" w:rsidR="00D5538C" w:rsidRPr="000E2F4A" w:rsidRDefault="00D5538C" w:rsidP="00184F72">
      <w:r>
        <w:t xml:space="preserve">On the other hand, if the union is not supporting the employee, this would be classed as </w:t>
      </w:r>
      <w:r w:rsidR="00D41C59">
        <w:t>unofficial,</w:t>
      </w:r>
      <w:r>
        <w:t xml:space="preserve"> and the employee would not be protected by the legal procedures – therefore could face dismissal at this stage. </w:t>
      </w:r>
      <w:sdt>
        <w:sdtPr>
          <w:id w:val="-1340614735"/>
          <w:citation/>
        </w:sdtPr>
        <w:sdtContent>
          <w:r>
            <w:fldChar w:fldCharType="begin"/>
          </w:r>
          <w:r>
            <w:instrText xml:space="preserve"> CITATION Jia18 \l 2057 </w:instrText>
          </w:r>
          <w:r>
            <w:fldChar w:fldCharType="separate"/>
          </w:r>
          <w:r>
            <w:rPr>
              <w:noProof/>
            </w:rPr>
            <w:t>(Jiang, H. and Luo, Y., , 2018.)</w:t>
          </w:r>
          <w:r>
            <w:fldChar w:fldCharType="end"/>
          </w:r>
        </w:sdtContent>
      </w:sdt>
    </w:p>
    <w:p w14:paraId="6CA64755" w14:textId="6DCBE718" w:rsidR="00EA16D1" w:rsidRDefault="00EA16D1" w:rsidP="00184F72"/>
    <w:p w14:paraId="426D8379" w14:textId="404CECBB" w:rsidR="00D5538C" w:rsidRDefault="00D5538C" w:rsidP="00184F72">
      <w:r>
        <w:rPr>
          <w:b/>
          <w:bCs/>
        </w:rPr>
        <w:t xml:space="preserve">(AC 2.3) </w:t>
      </w:r>
      <w:r w:rsidR="002D4D28">
        <w:t xml:space="preserve">There have been many </w:t>
      </w:r>
      <w:r w:rsidR="00A3035C">
        <w:t>developments over the years</w:t>
      </w:r>
      <w:r w:rsidR="002D4D28">
        <w:t xml:space="preserve"> when conflict arises in a working environment. Unions now work closely with employee</w:t>
      </w:r>
      <w:r w:rsidR="00A3035C">
        <w:t>s</w:t>
      </w:r>
      <w:r w:rsidR="002D4D28">
        <w:t xml:space="preserve"> as well as employer</w:t>
      </w:r>
      <w:r w:rsidR="00A3035C">
        <w:t>s</w:t>
      </w:r>
      <w:r w:rsidR="002D4D28">
        <w:t xml:space="preserve"> in order to support a harmonic working relationship. Relations have developed from the traditional sense of ‘worker’ and ‘payer’ which was very authoritarian and now outdated, the focus is now more on the futureproofing of the organisation and being more people centric, considering the staff as people before strategy and policies. Although these relationships are developed and attempts to maintain this level of understanding, there are still times when conflict occur</w:t>
      </w:r>
      <w:r w:rsidR="00A3035C">
        <w:t>s</w:t>
      </w:r>
      <w:r w:rsidR="002D4D28">
        <w:t xml:space="preserve">. There are times when unions will step in and the most appropriate action to take is that of organised strikes. This is more so when issues around pay, working time and conditions are under discussion. Strikes compromise of a temporary suspension of work by utilising the collective strength of employees </w:t>
      </w:r>
      <w:sdt>
        <w:sdtPr>
          <w:id w:val="-1040740953"/>
          <w:citation/>
        </w:sdtPr>
        <w:sdtContent>
          <w:r w:rsidR="002D4D28">
            <w:fldChar w:fldCharType="begin"/>
          </w:r>
          <w:r w:rsidR="002D4D28">
            <w:instrText xml:space="preserve"> CITATION Jia18 \l 2057 </w:instrText>
          </w:r>
          <w:r w:rsidR="002D4D28">
            <w:fldChar w:fldCharType="separate"/>
          </w:r>
          <w:r w:rsidR="002D4D28">
            <w:rPr>
              <w:noProof/>
            </w:rPr>
            <w:t>(Jiang, H. and Luo, Y., , 2018.)</w:t>
          </w:r>
          <w:r w:rsidR="002D4D28">
            <w:fldChar w:fldCharType="end"/>
          </w:r>
        </w:sdtContent>
      </w:sdt>
      <w:r w:rsidR="002D4D28">
        <w:t xml:space="preserve"> </w:t>
      </w:r>
    </w:p>
    <w:p w14:paraId="709A515E" w14:textId="016ABB3C" w:rsidR="002D4D28" w:rsidRDefault="002D4D28" w:rsidP="00184F72">
      <w:r>
        <w:lastRenderedPageBreak/>
        <w:t>These actions are classed as formal types of industrial sanctions and are executed under law and procedural arrangements within employee contracts.</w:t>
      </w:r>
    </w:p>
    <w:p w14:paraId="769D9F85" w14:textId="17FDB066" w:rsidR="002D4D28" w:rsidRDefault="002D4D28" w:rsidP="00184F72"/>
    <w:p w14:paraId="7A64FA77" w14:textId="5A0645B1" w:rsidR="002D4D28" w:rsidRDefault="002D4D28" w:rsidP="00184F72">
      <w:r>
        <w:rPr>
          <w:b/>
          <w:bCs/>
        </w:rPr>
        <w:t xml:space="preserve">(AC 2.4) </w:t>
      </w:r>
      <w:r w:rsidR="00FF6DCB">
        <w:t xml:space="preserve">There are a number of options available to organisations when there are incidents of conflict. ACAS provide advice and guidance on a number of scenarios and also provide training to leaders who have the roles and responsibilities to deal with aspects of conflict and fairness issues in the workplace. </w:t>
      </w:r>
      <w:r w:rsidR="007B6809">
        <w:t xml:space="preserve"> </w:t>
      </w:r>
      <w:sdt>
        <w:sdtPr>
          <w:id w:val="-1786582687"/>
          <w:citation/>
        </w:sdtPr>
        <w:sdtContent>
          <w:r w:rsidR="007B6809">
            <w:fldChar w:fldCharType="begin"/>
          </w:r>
          <w:r w:rsidR="007B6809">
            <w:instrText xml:space="preserve"> CITATION ACA22 \l 2057 </w:instrText>
          </w:r>
          <w:r w:rsidR="007B6809">
            <w:fldChar w:fldCharType="separate"/>
          </w:r>
          <w:r w:rsidR="007B6809">
            <w:rPr>
              <w:noProof/>
            </w:rPr>
            <w:t>(ACAS, 2022)</w:t>
          </w:r>
          <w:r w:rsidR="007B6809">
            <w:fldChar w:fldCharType="end"/>
          </w:r>
        </w:sdtContent>
      </w:sdt>
    </w:p>
    <w:p w14:paraId="4E80500B" w14:textId="6222890A" w:rsidR="00FF6DCB" w:rsidRDefault="00FF6DCB" w:rsidP="00184F72">
      <w:r>
        <w:t>There are pathways to explore and some work in tandem with others, whilst others are standalone elements. These must be used in the correct manner as more formal action can be taken should there be no resolution through the organisation’s intervention.</w:t>
      </w:r>
    </w:p>
    <w:p w14:paraId="2CE4CF80" w14:textId="355F10BC" w:rsidR="00FF6DCB" w:rsidRDefault="00FF6DCB" w:rsidP="00184F72">
      <w:r w:rsidRPr="00FF6DCB">
        <w:rPr>
          <w:b/>
          <w:bCs/>
        </w:rPr>
        <w:t>Mediation</w:t>
      </w:r>
      <w:r>
        <w:t xml:space="preserve"> can be applied if all parties involved consent to this process being undertaken. This process would allow for discussion to take place and solutions to be aired. There must be agreement from all sides before action can be taken. This process is usually a quick and efficient process and can resolve issues in a less stressful manner tha</w:t>
      </w:r>
      <w:r w:rsidR="00EE2F2A">
        <w:t>n</w:t>
      </w:r>
      <w:r>
        <w:t xml:space="preserve"> litigation. There is usually an independent mediator present who can guide the discussion, </w:t>
      </w:r>
      <w:r w:rsidR="009366CC">
        <w:t>suggests, and recommends</w:t>
      </w:r>
      <w:r>
        <w:t xml:space="preserve"> solutions</w:t>
      </w:r>
      <w:r w:rsidR="00EE2F2A">
        <w:t xml:space="preserve">. </w:t>
      </w:r>
      <w:r>
        <w:t>This is usually undertaken during the early stages of conflict or grievance</w:t>
      </w:r>
      <w:r w:rsidR="009366CC">
        <w:t>s</w:t>
      </w:r>
      <w:r>
        <w:t xml:space="preserve"> and can be very effective to alleviate the issues that have been raised.</w:t>
      </w:r>
    </w:p>
    <w:p w14:paraId="53851785" w14:textId="1AB6E445" w:rsidR="00FF6DCB" w:rsidRDefault="00FF6DCB" w:rsidP="00184F72">
      <w:r>
        <w:rPr>
          <w:b/>
          <w:bCs/>
        </w:rPr>
        <w:t>Conciliation</w:t>
      </w:r>
      <w:r w:rsidR="00522AD9">
        <w:t xml:space="preserve"> </w:t>
      </w:r>
      <w:r w:rsidR="00C95A29">
        <w:t xml:space="preserve">is often utilised when there are legal issues rather than internal grievances in relation to people, </w:t>
      </w:r>
      <w:proofErr w:type="gramStart"/>
      <w:r w:rsidR="00C95A29">
        <w:t>processes</w:t>
      </w:r>
      <w:proofErr w:type="gramEnd"/>
      <w:r w:rsidR="00C95A29">
        <w:t xml:space="preserve"> or guidance policies. An independent adviser will be coordinating the activity between all parties involved, both individually and jointly in order for a solution to be identified between them with the assistance of the adviser, who will go through the legality issues as well as the outcome options to come to an agreement between themselves. </w:t>
      </w:r>
      <w:sdt>
        <w:sdtPr>
          <w:id w:val="496537792"/>
          <w:citation/>
        </w:sdtPr>
        <w:sdtContent>
          <w:r w:rsidR="00C95A29">
            <w:fldChar w:fldCharType="begin"/>
          </w:r>
          <w:r w:rsidR="00C95A29">
            <w:instrText xml:space="preserve"> CITATION Nas20 \l 2057 </w:instrText>
          </w:r>
          <w:r w:rsidR="00C95A29">
            <w:fldChar w:fldCharType="separate"/>
          </w:r>
          <w:r w:rsidR="00C95A29">
            <w:rPr>
              <w:noProof/>
            </w:rPr>
            <w:t>( Nash, D. and Hann, D., 2020)</w:t>
          </w:r>
          <w:r w:rsidR="00C95A29">
            <w:fldChar w:fldCharType="end"/>
          </w:r>
        </w:sdtContent>
      </w:sdt>
    </w:p>
    <w:p w14:paraId="755FE210" w14:textId="67D02C35" w:rsidR="00C95A29" w:rsidRPr="00C95A29" w:rsidRDefault="00C95A29" w:rsidP="00184F72">
      <w:r>
        <w:rPr>
          <w:b/>
          <w:bCs/>
        </w:rPr>
        <w:t>Arbitration</w:t>
      </w:r>
      <w:r>
        <w:t xml:space="preserve"> has been identified as a more formal activity in relation to grievances and issues that arise in the workplace. </w:t>
      </w:r>
      <w:r w:rsidR="008C342E">
        <w:t>It will include the participation of an independent member who will act as judge to discuss the matters that have been referred. It is this member of the group that will define the ruling</w:t>
      </w:r>
      <w:r w:rsidR="002A52CC">
        <w:t xml:space="preserve"> and outcome</w:t>
      </w:r>
      <w:r w:rsidR="008C342E">
        <w:t xml:space="preserve"> from the input between parties</w:t>
      </w:r>
      <w:r w:rsidR="002A52CC">
        <w:t xml:space="preserve">. It is the disputing party that will agree whether the outcome and result is legally binding and if not, this will allow for staff associations and unions to pursue the matter officially through a court or employment tribunal. </w:t>
      </w:r>
      <w:sdt>
        <w:sdtPr>
          <w:id w:val="41640064"/>
          <w:citation/>
        </w:sdtPr>
        <w:sdtContent>
          <w:r w:rsidR="002A52CC">
            <w:fldChar w:fldCharType="begin"/>
          </w:r>
          <w:r w:rsidR="002A52CC">
            <w:instrText xml:space="preserve"> CITATION Nas20 \l 2057 </w:instrText>
          </w:r>
          <w:r w:rsidR="002A52CC">
            <w:fldChar w:fldCharType="separate"/>
          </w:r>
          <w:r w:rsidR="002A52CC">
            <w:rPr>
              <w:noProof/>
            </w:rPr>
            <w:t>( Nash, D. and Hann, D., 2020)</w:t>
          </w:r>
          <w:r w:rsidR="002A52CC">
            <w:fldChar w:fldCharType="end"/>
          </w:r>
        </w:sdtContent>
      </w:sdt>
    </w:p>
    <w:p w14:paraId="54095F6B" w14:textId="069E5E4C" w:rsidR="00D5538C" w:rsidRDefault="00D5538C" w:rsidP="00184F72"/>
    <w:p w14:paraId="4D8085B9" w14:textId="741FF615" w:rsidR="00EA16D1" w:rsidRDefault="002A52CC" w:rsidP="00184F72">
      <w:r>
        <w:rPr>
          <w:b/>
          <w:bCs/>
        </w:rPr>
        <w:t xml:space="preserve">(AC 4.1) </w:t>
      </w:r>
      <w:r>
        <w:t xml:space="preserve">An employee is defined by The Employment Rights Act 1996 – a person who works to terms and conditions bound by a contract or services of an apprenticeship. The legal basis within this contract will state the pay, working hours, frequency of pay, holiday accruement and associated payment allowances, sick </w:t>
      </w:r>
      <w:proofErr w:type="gramStart"/>
      <w:r>
        <w:t>leave</w:t>
      </w:r>
      <w:proofErr w:type="gramEnd"/>
      <w:r>
        <w:t xml:space="preserve"> and payment as well as other paid leave under the legislation. </w:t>
      </w:r>
      <w:r w:rsidR="00825A3F">
        <w:t xml:space="preserve">These terms and conditions are the basis for collective negotiations. Employment law will provide the legal framework in which a contract must be aligned to, and this can be conditional when presented to a candidate who is seeking employment within an organisation – it is duly down to the individual to accept the terms and conditions documented within such contract and this action is not mandated at this stage as the candidate is not an employee at this stage of the process. </w:t>
      </w:r>
      <w:r w:rsidR="007B6809">
        <w:t>Albeit</w:t>
      </w:r>
      <w:r w:rsidR="00825A3F">
        <w:t xml:space="preserve"> the organisation is in the position of power at this stage – there are a number of employee rights that are applicable to provide a level standing for both parties which is fair and equal to all involved. </w:t>
      </w:r>
      <w:sdt>
        <w:sdtPr>
          <w:id w:val="-395131073"/>
          <w:citation/>
        </w:sdtPr>
        <w:sdtContent>
          <w:r w:rsidR="007A3E62">
            <w:fldChar w:fldCharType="begin"/>
          </w:r>
          <w:r w:rsidR="007A3E62">
            <w:instrText xml:space="preserve"> CITATION CIP222 \l 2057 </w:instrText>
          </w:r>
          <w:r w:rsidR="007A3E62">
            <w:fldChar w:fldCharType="separate"/>
          </w:r>
          <w:r w:rsidR="007A3E62">
            <w:rPr>
              <w:noProof/>
            </w:rPr>
            <w:t>(CIPD, 2022)</w:t>
          </w:r>
          <w:r w:rsidR="007A3E62">
            <w:fldChar w:fldCharType="end"/>
          </w:r>
        </w:sdtContent>
      </w:sdt>
    </w:p>
    <w:p w14:paraId="30654310" w14:textId="77777777" w:rsidR="00983DAF" w:rsidRDefault="00983DAF" w:rsidP="00184F72">
      <w:pPr>
        <w:rPr>
          <w:b/>
          <w:bCs/>
        </w:rPr>
      </w:pPr>
    </w:p>
    <w:p w14:paraId="175AE35F" w14:textId="55F8A0AB" w:rsidR="007A3E62" w:rsidRDefault="007A3E62" w:rsidP="00184F72">
      <w:r>
        <w:rPr>
          <w:b/>
          <w:bCs/>
        </w:rPr>
        <w:lastRenderedPageBreak/>
        <w:t>(AC 4.2)</w:t>
      </w:r>
      <w:r>
        <w:t xml:space="preserve"> </w:t>
      </w:r>
      <w:r w:rsidR="007B6809">
        <w:t xml:space="preserve">There are a number of differences with employee bodies across different spectrums of employment. As an example, within my organisation – policing – there are 2 ‘trade </w:t>
      </w:r>
      <w:proofErr w:type="gramStart"/>
      <w:r w:rsidR="007B6809">
        <w:t>unions’</w:t>
      </w:r>
      <w:proofErr w:type="gramEnd"/>
      <w:r w:rsidR="007B6809">
        <w:t xml:space="preserve"> and the regulations that each have to adhere to are very different. A police officer, is not classed as an employee, has no contract but is a ‘servant of the Queen’. There are no rights for an officer to strike or work to rule; although there is a protection in regard to the fact that an officer cannot be made redundant. The ‘union’ that is in place for an officer is that of the National Federation for Policing </w:t>
      </w:r>
      <w:r w:rsidR="001673CE">
        <w:t>and they can represent the officer in circumstances of workplace issues as well as negotiating further pay increase awards and reward, as well as disciplinary and misconduct representation should the need arise.</w:t>
      </w:r>
    </w:p>
    <w:p w14:paraId="4EF9AB9D" w14:textId="14823CB4" w:rsidR="001673CE" w:rsidRDefault="001673CE" w:rsidP="00184F72">
      <w:r>
        <w:t xml:space="preserve">The staff associations for police staff members </w:t>
      </w:r>
      <w:r w:rsidR="00A3035C">
        <w:t>are</w:t>
      </w:r>
      <w:r>
        <w:t xml:space="preserve"> more aligned to that of the work that is undertaken by unions as staff are employed and as such have contracts in place. </w:t>
      </w:r>
    </w:p>
    <w:p w14:paraId="54E219FB" w14:textId="276136FB" w:rsidR="001673CE" w:rsidRDefault="001673CE" w:rsidP="00184F72">
      <w:r>
        <w:t xml:space="preserve">An organisation without </w:t>
      </w:r>
      <w:r w:rsidR="00A3035C">
        <w:t>a</w:t>
      </w:r>
      <w:r>
        <w:t xml:space="preserve"> union </w:t>
      </w:r>
      <w:proofErr w:type="gramStart"/>
      <w:r>
        <w:t>place</w:t>
      </w:r>
      <w:proofErr w:type="gramEnd"/>
      <w:r>
        <w:t xml:space="preserve"> the strength of workplace power on the employer rather than employe</w:t>
      </w:r>
      <w:r w:rsidR="00A3035C">
        <w:t>es</w:t>
      </w:r>
      <w:r>
        <w:t xml:space="preserve"> as they are responsible for all areas that cover their rights and responsibilities – whether that is pay, annual leave allowance, working time and flexibility or through misbehaviour and misconduct – there is no </w:t>
      </w:r>
      <w:r w:rsidR="00A3035C">
        <w:t>‘</w:t>
      </w:r>
      <w:r>
        <w:t>body</w:t>
      </w:r>
      <w:r w:rsidR="00A3035C">
        <w:t>’</w:t>
      </w:r>
      <w:r>
        <w:t xml:space="preserve"> that supports them through these negotiations. </w:t>
      </w:r>
      <w:r w:rsidR="00A3035C">
        <w:t>Whereas</w:t>
      </w:r>
      <w:r>
        <w:t xml:space="preserve"> the organisations that have unions are strengthened by numbers and usually, have more staff in this area who specialise in the areas that come under the spotlight. </w:t>
      </w:r>
    </w:p>
    <w:p w14:paraId="7E44229A" w14:textId="3BDB424A" w:rsidR="001673CE" w:rsidRDefault="001673CE" w:rsidP="00184F72">
      <w:r>
        <w:t xml:space="preserve">Employees tend to prefer organisations with unions present as this provides additional confidence that their rights and interests are being looked after. There are proven benefits to be in an organisation that is supported by a union; these can include higher wages, more agile and flexible working </w:t>
      </w:r>
      <w:r w:rsidR="00A3035C">
        <w:t>practices,</w:t>
      </w:r>
      <w:r>
        <w:t xml:space="preserve"> and policies and well as medical benefits. </w:t>
      </w:r>
      <w:sdt>
        <w:sdtPr>
          <w:id w:val="196125594"/>
          <w:citation/>
        </w:sdtPr>
        <w:sdtContent>
          <w:r>
            <w:fldChar w:fldCharType="begin"/>
          </w:r>
          <w:r>
            <w:instrText xml:space="preserve"> CITATION Sar18 \l 2057 </w:instrText>
          </w:r>
          <w:r>
            <w:fldChar w:fldCharType="separate"/>
          </w:r>
          <w:r>
            <w:rPr>
              <w:noProof/>
            </w:rPr>
            <w:t>(Sarvaiya, H., Eweje, G. and Arrowsmith, J., 2018)</w:t>
          </w:r>
          <w:r>
            <w:fldChar w:fldCharType="end"/>
          </w:r>
        </w:sdtContent>
      </w:sdt>
    </w:p>
    <w:p w14:paraId="04D56618" w14:textId="6A689556" w:rsidR="001673CE" w:rsidRDefault="00983DAF" w:rsidP="00184F72">
      <w:r>
        <w:t xml:space="preserve">On the other hand, a downside to being supported by a union is the cost to the employee as this usually comes with a cost that is borne by the employee. </w:t>
      </w:r>
    </w:p>
    <w:p w14:paraId="6FB510D9" w14:textId="77777777" w:rsidR="00983DAF" w:rsidRDefault="00983DAF" w:rsidP="00184F72">
      <w:pPr>
        <w:rPr>
          <w:b/>
          <w:bCs/>
        </w:rPr>
      </w:pPr>
    </w:p>
    <w:p w14:paraId="7BCDDAB3" w14:textId="729F9F1D" w:rsidR="00983DAF" w:rsidRDefault="00983DAF" w:rsidP="00184F72">
      <w:r>
        <w:rPr>
          <w:b/>
          <w:bCs/>
        </w:rPr>
        <w:t xml:space="preserve">(AC 4.3) </w:t>
      </w:r>
      <w:r>
        <w:t xml:space="preserve">Collective bargaining can be utilised in a number of ways, but traditionally it is where workplace conflicts or grievances are resolved between parties involved as part of the organisation – from internal relations, not independent third parties. When all parties involved agree to a decision or resolution to the issue that has been highlighted through discussion and negotiation, this is collective bargaining. </w:t>
      </w:r>
      <w:sdt>
        <w:sdtPr>
          <w:id w:val="-1119064796"/>
          <w:citation/>
        </w:sdtPr>
        <w:sdtContent>
          <w:r>
            <w:fldChar w:fldCharType="begin"/>
          </w:r>
          <w:r>
            <w:instrText xml:space="preserve"> CITATION Sar18 \l 2057 </w:instrText>
          </w:r>
          <w:r>
            <w:fldChar w:fldCharType="separate"/>
          </w:r>
          <w:r>
            <w:rPr>
              <w:noProof/>
            </w:rPr>
            <w:t>(Sarvaiya, H., Eweje, G. and Arrowsmith, J., 2018)</w:t>
          </w:r>
          <w:r>
            <w:fldChar w:fldCharType="end"/>
          </w:r>
        </w:sdtContent>
      </w:sdt>
      <w:r>
        <w:t xml:space="preserve"> </w:t>
      </w:r>
    </w:p>
    <w:p w14:paraId="66F15282" w14:textId="77777777" w:rsidR="00983DAF" w:rsidRDefault="00983DAF" w:rsidP="00184F72">
      <w:r>
        <w:t>There are number of ways in which this can be executed within an organisation:</w:t>
      </w:r>
    </w:p>
    <w:p w14:paraId="0EE3827C" w14:textId="1C22691A" w:rsidR="00983DAF" w:rsidRDefault="00983DAF" w:rsidP="00184F72">
      <w:r>
        <w:rPr>
          <w:b/>
          <w:bCs/>
        </w:rPr>
        <w:t xml:space="preserve">Single plant bargaining </w:t>
      </w:r>
      <w:r>
        <w:t xml:space="preserve">is where an organisation solely bargains with one staff association or trade union in order to reach a </w:t>
      </w:r>
      <w:r w:rsidR="00676ADC">
        <w:t>satisfactory</w:t>
      </w:r>
      <w:r>
        <w:t xml:space="preserve"> conclusion.</w:t>
      </w:r>
    </w:p>
    <w:p w14:paraId="70A7FF56" w14:textId="1A9B611D" w:rsidR="00983DAF" w:rsidRDefault="00404A33" w:rsidP="00184F72">
      <w:r>
        <w:rPr>
          <w:b/>
          <w:bCs/>
        </w:rPr>
        <w:t xml:space="preserve">Multiple plant bargaining </w:t>
      </w:r>
      <w:r>
        <w:t xml:space="preserve">is where there are a number of employees raising the same issue in the workplace but are represented by a number of staff associations / trade unions. This would be the case in point for policing; when officers and staff raise issues in tandem, they would be represented by Unison and the Police Federation to work together to negotiate a suitable outcome for all parties involved. </w:t>
      </w:r>
      <w:r w:rsidR="00983DAF">
        <w:t xml:space="preserve"> </w:t>
      </w:r>
    </w:p>
    <w:p w14:paraId="55E95D51" w14:textId="4EB345F9" w:rsidR="00404A33" w:rsidRPr="00404A33" w:rsidRDefault="00404A33" w:rsidP="00184F72">
      <w:r>
        <w:rPr>
          <w:b/>
          <w:bCs/>
        </w:rPr>
        <w:t xml:space="preserve">Multiple employer bargaining </w:t>
      </w:r>
      <w:r>
        <w:t xml:space="preserve">is where all trade unions bargain for a suitable outcome across the whole of the sector rather than for one employee or one organisation solely on their own. This would be conducted on a regional or national basis. An example of this would be the steel industry </w:t>
      </w:r>
      <w:r>
        <w:lastRenderedPageBreak/>
        <w:t xml:space="preserve">where there have been national negotiations ongoing in relation to pay and working conditions for all employees across the board, not just in one company by one trade union. </w:t>
      </w:r>
      <w:sdt>
        <w:sdtPr>
          <w:id w:val="-378859318"/>
          <w:citation/>
        </w:sdtPr>
        <w:sdtContent>
          <w:r>
            <w:fldChar w:fldCharType="begin"/>
          </w:r>
          <w:r>
            <w:instrText xml:space="preserve"> CITATION Dob20 \l 2057 </w:instrText>
          </w:r>
          <w:r>
            <w:fldChar w:fldCharType="separate"/>
          </w:r>
          <w:r>
            <w:rPr>
              <w:noProof/>
            </w:rPr>
            <w:t>(Dobbins, 2020)</w:t>
          </w:r>
          <w:r>
            <w:fldChar w:fldCharType="end"/>
          </w:r>
        </w:sdtContent>
      </w:sdt>
    </w:p>
    <w:p w14:paraId="0AD66943" w14:textId="77777777" w:rsidR="001673CE" w:rsidRPr="007A3E62" w:rsidRDefault="001673CE" w:rsidP="00184F72"/>
    <w:p w14:paraId="26D8CB77" w14:textId="66026A3F" w:rsidR="006C02F3" w:rsidRDefault="006C02F3" w:rsidP="00184F72"/>
    <w:p w14:paraId="768855E7" w14:textId="77777777" w:rsidR="00957739" w:rsidRPr="000F529C" w:rsidRDefault="00957739" w:rsidP="00957739">
      <w:pPr>
        <w:rPr>
          <w:b/>
          <w:bCs/>
          <w:sz w:val="28"/>
          <w:szCs w:val="28"/>
        </w:rPr>
      </w:pPr>
      <w:r w:rsidRPr="000F529C">
        <w:rPr>
          <w:b/>
          <w:bCs/>
          <w:sz w:val="28"/>
          <w:szCs w:val="28"/>
        </w:rPr>
        <w:t>Bibl</w:t>
      </w:r>
      <w:r>
        <w:rPr>
          <w:b/>
          <w:bCs/>
          <w:sz w:val="28"/>
          <w:szCs w:val="28"/>
        </w:rPr>
        <w:t>i</w:t>
      </w:r>
      <w:r w:rsidRPr="000F529C">
        <w:rPr>
          <w:b/>
          <w:bCs/>
          <w:sz w:val="28"/>
          <w:szCs w:val="28"/>
        </w:rPr>
        <w:t>ography:</w:t>
      </w:r>
    </w:p>
    <w:p w14:paraId="6237D670" w14:textId="0CB7B280" w:rsidR="007A3E62" w:rsidRPr="007A3E62" w:rsidRDefault="007A3E62" w:rsidP="007A3E62">
      <w:pPr>
        <w:rPr>
          <w:rFonts w:cstheme="minorHAnsi"/>
        </w:rPr>
      </w:pPr>
      <w:r w:rsidRPr="007A3E62">
        <w:rPr>
          <w:rFonts w:cstheme="minorHAnsi"/>
          <w:shd w:val="clear" w:color="auto" w:fill="FFFFFF"/>
        </w:rPr>
        <w:t xml:space="preserve">Acas.org.uk. (2022) </w:t>
      </w:r>
      <w:r w:rsidRPr="007A3E62">
        <w:rPr>
          <w:rStyle w:val="Emphasis"/>
          <w:rFonts w:cstheme="minorHAnsi"/>
          <w:shd w:val="clear" w:color="auto" w:fill="FFFFFF"/>
        </w:rPr>
        <w:t>Arbitration advice and guidance | ACAS.</w:t>
      </w:r>
      <w:r w:rsidRPr="007A3E62">
        <w:rPr>
          <w:rFonts w:cstheme="minorHAnsi"/>
          <w:shd w:val="clear" w:color="auto" w:fill="FFFFFF"/>
        </w:rPr>
        <w:t xml:space="preserve"> [online] Available at: </w:t>
      </w:r>
      <w:hyperlink r:id="rId8" w:history="1">
        <w:r w:rsidRPr="007A3E62">
          <w:rPr>
            <w:rStyle w:val="Hyperlink"/>
            <w:rFonts w:cstheme="minorHAnsi"/>
            <w:color w:val="auto"/>
            <w:shd w:val="clear" w:color="auto" w:fill="FFFFFF"/>
          </w:rPr>
          <w:t>https://www.acas.org.uk/index.aspx?articleid=1711</w:t>
        </w:r>
      </w:hyperlink>
      <w:r>
        <w:rPr>
          <w:rStyle w:val="Hyperlink"/>
          <w:rFonts w:cstheme="minorHAnsi"/>
          <w:color w:val="auto"/>
          <w:shd w:val="clear" w:color="auto" w:fill="FFFFFF"/>
        </w:rPr>
        <w:t xml:space="preserve"> </w:t>
      </w:r>
      <w:r w:rsidRPr="007A3E62">
        <w:rPr>
          <w:rFonts w:cstheme="minorHAnsi"/>
          <w:shd w:val="clear" w:color="auto" w:fill="FFFFFF"/>
        </w:rPr>
        <w:t xml:space="preserve"> [Accessed </w:t>
      </w:r>
      <w:r>
        <w:rPr>
          <w:rFonts w:cstheme="minorHAnsi"/>
          <w:shd w:val="clear" w:color="auto" w:fill="FFFFFF"/>
        </w:rPr>
        <w:t>0</w:t>
      </w:r>
      <w:r w:rsidRPr="007A3E62">
        <w:rPr>
          <w:rFonts w:cstheme="minorHAnsi"/>
          <w:shd w:val="clear" w:color="auto" w:fill="FFFFFF"/>
        </w:rPr>
        <w:t>4/0</w:t>
      </w:r>
      <w:r>
        <w:rPr>
          <w:rFonts w:cstheme="minorHAnsi"/>
          <w:shd w:val="clear" w:color="auto" w:fill="FFFFFF"/>
        </w:rPr>
        <w:t>5</w:t>
      </w:r>
      <w:r w:rsidRPr="007A3E62">
        <w:rPr>
          <w:rFonts w:cstheme="minorHAnsi"/>
          <w:shd w:val="clear" w:color="auto" w:fill="FFFFFF"/>
        </w:rPr>
        <w:t>/2022].</w:t>
      </w:r>
    </w:p>
    <w:p w14:paraId="18E5216A" w14:textId="6E6F4E84" w:rsidR="00AB19AF" w:rsidRDefault="00AB19AF" w:rsidP="00957739">
      <w:pPr>
        <w:rPr>
          <w:rFonts w:cstheme="minorHAnsi"/>
          <w:color w:val="000000"/>
          <w:shd w:val="clear" w:color="auto" w:fill="FFFFFF"/>
        </w:rPr>
      </w:pPr>
      <w:r w:rsidRPr="00AB19AF">
        <w:rPr>
          <w:rFonts w:cstheme="minorHAnsi"/>
          <w:color w:val="000000"/>
          <w:shd w:val="clear" w:color="auto" w:fill="FFFFFF"/>
        </w:rPr>
        <w:t xml:space="preserve">Bai, Y., Lin, </w:t>
      </w:r>
      <w:proofErr w:type="gramStart"/>
      <w:r w:rsidRPr="00AB19AF">
        <w:rPr>
          <w:rFonts w:cstheme="minorHAnsi"/>
          <w:color w:val="000000"/>
          <w:shd w:val="clear" w:color="auto" w:fill="FFFFFF"/>
        </w:rPr>
        <w:t>L.</w:t>
      </w:r>
      <w:proofErr w:type="gramEnd"/>
      <w:r w:rsidRPr="00AB19AF">
        <w:rPr>
          <w:rFonts w:cstheme="minorHAnsi"/>
          <w:color w:val="000000"/>
          <w:shd w:val="clear" w:color="auto" w:fill="FFFFFF"/>
        </w:rPr>
        <w:t xml:space="preserve"> and Liu, J.T., 2019. Leveraging the employee voice: a multi-level social learning perspective of ethical leadership. The International Journal of Human Resource Management, 30(12), pp.1869-1901.</w:t>
      </w:r>
    </w:p>
    <w:p w14:paraId="76813818" w14:textId="3D00BC04" w:rsidR="007A3E62" w:rsidRDefault="007A3E62" w:rsidP="007A3E62">
      <w:r w:rsidRPr="007A3E62">
        <w:t xml:space="preserve">CIPD (2022) </w:t>
      </w:r>
      <w:r w:rsidRPr="007A3E62">
        <w:rPr>
          <w:i/>
          <w:iCs/>
        </w:rPr>
        <w:t xml:space="preserve">Employment Law. </w:t>
      </w:r>
      <w:r w:rsidRPr="007A3E62">
        <w:t xml:space="preserve">Factsheet. London: Chartered Institute of Personnel and Development </w:t>
      </w:r>
      <w:hyperlink r:id="rId9" w:history="1">
        <w:r>
          <w:rPr>
            <w:rStyle w:val="Hyperlink"/>
          </w:rPr>
          <w:t>Contracts of Employment | Factsheets | CIPD</w:t>
        </w:r>
      </w:hyperlink>
      <w:r>
        <w:t xml:space="preserve"> [accessed 02/05/2022].</w:t>
      </w:r>
    </w:p>
    <w:p w14:paraId="3792291A" w14:textId="7D3F8EA0" w:rsidR="00404A33" w:rsidRDefault="00404A33" w:rsidP="00957739">
      <w:pPr>
        <w:rPr>
          <w:rFonts w:cstheme="minorHAnsi"/>
          <w:color w:val="000000"/>
          <w:shd w:val="clear" w:color="auto" w:fill="FFFFFF"/>
        </w:rPr>
      </w:pPr>
      <w:r w:rsidRPr="00404A33">
        <w:rPr>
          <w:rFonts w:cstheme="minorHAnsi"/>
          <w:color w:val="000000"/>
          <w:shd w:val="clear" w:color="auto" w:fill="FFFFFF"/>
        </w:rPr>
        <w:t xml:space="preserve">Dobbins, T. and </w:t>
      </w:r>
      <w:proofErr w:type="spellStart"/>
      <w:r w:rsidRPr="00404A33">
        <w:rPr>
          <w:rFonts w:cstheme="minorHAnsi"/>
          <w:color w:val="000000"/>
          <w:shd w:val="clear" w:color="auto" w:fill="FFFFFF"/>
        </w:rPr>
        <w:t>Dundon</w:t>
      </w:r>
      <w:proofErr w:type="spellEnd"/>
      <w:r w:rsidRPr="00404A33">
        <w:rPr>
          <w:rFonts w:cstheme="minorHAnsi"/>
          <w:color w:val="000000"/>
          <w:shd w:val="clear" w:color="auto" w:fill="FFFFFF"/>
        </w:rPr>
        <w:t>, T., 2020. Non-union employee representation. In Handbook of research on employee voice. Edward Elgar Publishing.</w:t>
      </w:r>
    </w:p>
    <w:p w14:paraId="3F2406A1" w14:textId="0A674A18" w:rsidR="00961A4B" w:rsidRDefault="00961A4B" w:rsidP="00957739">
      <w:pPr>
        <w:rPr>
          <w:rFonts w:cstheme="minorHAnsi"/>
          <w:color w:val="000000"/>
          <w:shd w:val="clear" w:color="auto" w:fill="FFFFFF"/>
        </w:rPr>
      </w:pPr>
      <w:proofErr w:type="spellStart"/>
      <w:r>
        <w:rPr>
          <w:rFonts w:cstheme="minorHAnsi"/>
          <w:color w:val="000000"/>
          <w:shd w:val="clear" w:color="auto" w:fill="FFFFFF"/>
        </w:rPr>
        <w:t>Egolf</w:t>
      </w:r>
      <w:proofErr w:type="spellEnd"/>
      <w:r>
        <w:rPr>
          <w:rFonts w:cstheme="minorHAnsi"/>
          <w:color w:val="000000"/>
          <w:shd w:val="clear" w:color="auto" w:fill="FFFFFF"/>
        </w:rPr>
        <w:t>, D.B., 2001. Forming, Storming, Norming, Performing: Successful Communication in Groups and Teams. United States: Writers Club Press.</w:t>
      </w:r>
    </w:p>
    <w:p w14:paraId="0010CCFF" w14:textId="7F1C64BF" w:rsidR="00B643E7" w:rsidRDefault="00B643E7" w:rsidP="00957739">
      <w:pPr>
        <w:rPr>
          <w:rFonts w:cstheme="minorHAnsi"/>
          <w:color w:val="000000"/>
          <w:shd w:val="clear" w:color="auto" w:fill="FFFFFF"/>
        </w:rPr>
      </w:pPr>
      <w:r w:rsidRPr="00B643E7">
        <w:rPr>
          <w:rFonts w:cstheme="minorHAnsi"/>
          <w:color w:val="000000"/>
          <w:shd w:val="clear" w:color="auto" w:fill="FFFFFF"/>
        </w:rPr>
        <w:t>Handbook on HR Process Research. (2021). United States: Edward Elgar Publishing Limited.</w:t>
      </w:r>
    </w:p>
    <w:p w14:paraId="7F51FB74" w14:textId="4F4C0F0F" w:rsidR="00033054" w:rsidRDefault="00033054" w:rsidP="00957739">
      <w:pPr>
        <w:rPr>
          <w:rFonts w:cstheme="minorHAnsi"/>
          <w:color w:val="000000"/>
          <w:shd w:val="clear" w:color="auto" w:fill="FFFFFF"/>
        </w:rPr>
      </w:pPr>
      <w:proofErr w:type="spellStart"/>
      <w:r w:rsidRPr="00033054">
        <w:rPr>
          <w:rFonts w:cstheme="minorHAnsi"/>
          <w:color w:val="000000"/>
          <w:shd w:val="clear" w:color="auto" w:fill="FFFFFF"/>
        </w:rPr>
        <w:t>Holbeche</w:t>
      </w:r>
      <w:proofErr w:type="spellEnd"/>
      <w:r w:rsidRPr="00033054">
        <w:rPr>
          <w:rFonts w:cstheme="minorHAnsi"/>
          <w:color w:val="000000"/>
          <w:shd w:val="clear" w:color="auto" w:fill="FFFFFF"/>
        </w:rPr>
        <w:t>, L.S., 2018. Organisational effectiveness and agility. Journal of Organizational Effectiveness: People and Performance.</w:t>
      </w:r>
    </w:p>
    <w:p w14:paraId="7D25C2BD" w14:textId="43834A15" w:rsidR="00347270" w:rsidRDefault="00347270" w:rsidP="00957739">
      <w:pPr>
        <w:rPr>
          <w:rFonts w:cstheme="minorHAnsi"/>
          <w:color w:val="000000"/>
          <w:shd w:val="clear" w:color="auto" w:fill="FFFFFF"/>
        </w:rPr>
      </w:pPr>
      <w:r w:rsidRPr="00347270">
        <w:rPr>
          <w:rFonts w:cstheme="minorHAnsi"/>
          <w:color w:val="000000"/>
          <w:shd w:val="clear" w:color="auto" w:fill="FFFFFF"/>
        </w:rPr>
        <w:t>Jiang, H. and Luo, Y., 2018. Crafting employee trust: from authenticity, transparency to engagement. Journal of Communication Management.</w:t>
      </w:r>
    </w:p>
    <w:p w14:paraId="1EBDE8D0" w14:textId="466BE1A9" w:rsidR="00C95A29" w:rsidRDefault="00C95A29" w:rsidP="00957739">
      <w:pPr>
        <w:rPr>
          <w:rFonts w:cstheme="minorHAnsi"/>
          <w:color w:val="000000"/>
          <w:shd w:val="clear" w:color="auto" w:fill="FFFFFF"/>
        </w:rPr>
      </w:pPr>
      <w:r w:rsidRPr="00C95A29">
        <w:rPr>
          <w:rFonts w:cstheme="minorHAnsi"/>
          <w:color w:val="000000"/>
          <w:shd w:val="clear" w:color="auto" w:fill="FFFFFF"/>
        </w:rPr>
        <w:t>Nash, D. and Hann, D., 2020. Strategic conflict management? A study of workplace dispute resolution in Wales. ILR Review, 73(2), pp.411-430.</w:t>
      </w:r>
    </w:p>
    <w:p w14:paraId="3BCA8AFC" w14:textId="12A761FA" w:rsidR="00033054" w:rsidRDefault="00033054" w:rsidP="00957739">
      <w:pPr>
        <w:rPr>
          <w:rFonts w:cstheme="minorHAnsi"/>
          <w:color w:val="000000"/>
          <w:shd w:val="clear" w:color="auto" w:fill="FFFFFF"/>
        </w:rPr>
      </w:pPr>
      <w:r w:rsidRPr="00033054">
        <w:rPr>
          <w:rFonts w:cstheme="minorHAnsi"/>
          <w:color w:val="000000"/>
          <w:shd w:val="clear" w:color="auto" w:fill="FFFFFF"/>
        </w:rPr>
        <w:t>Saks, A.M., 2019. Antecedents and consequences of employee engagement revisited. Journal of Organisational Effectiveness: People and Performance.</w:t>
      </w:r>
    </w:p>
    <w:p w14:paraId="3A667695" w14:textId="60BAA6B1" w:rsidR="001673CE" w:rsidRDefault="001673CE" w:rsidP="00957739">
      <w:pPr>
        <w:rPr>
          <w:rFonts w:cstheme="minorHAnsi"/>
          <w:color w:val="000000"/>
          <w:shd w:val="clear" w:color="auto" w:fill="FFFFFF"/>
        </w:rPr>
      </w:pPr>
      <w:proofErr w:type="spellStart"/>
      <w:r w:rsidRPr="001673CE">
        <w:rPr>
          <w:rFonts w:cstheme="minorHAnsi"/>
          <w:color w:val="000000"/>
          <w:shd w:val="clear" w:color="auto" w:fill="FFFFFF"/>
        </w:rPr>
        <w:t>Sarvaiya</w:t>
      </w:r>
      <w:proofErr w:type="spellEnd"/>
      <w:r w:rsidRPr="001673CE">
        <w:rPr>
          <w:rFonts w:cstheme="minorHAnsi"/>
          <w:color w:val="000000"/>
          <w:shd w:val="clear" w:color="auto" w:fill="FFFFFF"/>
        </w:rPr>
        <w:t xml:space="preserve">, H., </w:t>
      </w:r>
      <w:proofErr w:type="spellStart"/>
      <w:r w:rsidRPr="001673CE">
        <w:rPr>
          <w:rFonts w:cstheme="minorHAnsi"/>
          <w:color w:val="000000"/>
          <w:shd w:val="clear" w:color="auto" w:fill="FFFFFF"/>
        </w:rPr>
        <w:t>Eweje</w:t>
      </w:r>
      <w:proofErr w:type="spellEnd"/>
      <w:r w:rsidRPr="001673CE">
        <w:rPr>
          <w:rFonts w:cstheme="minorHAnsi"/>
          <w:color w:val="000000"/>
          <w:shd w:val="clear" w:color="auto" w:fill="FFFFFF"/>
        </w:rPr>
        <w:t>, G. and Arrowsmith, J., 2018. The roles of HRM in CSR: strategic partnership or operational support? Journal of Business Ethics, 153(3), pp.825-837.</w:t>
      </w:r>
    </w:p>
    <w:p w14:paraId="35124173" w14:textId="77777777" w:rsidR="00B643E7" w:rsidRDefault="00B643E7" w:rsidP="00957739">
      <w:pPr>
        <w:rPr>
          <w:rFonts w:cstheme="minorHAnsi"/>
          <w:color w:val="000000"/>
          <w:shd w:val="clear" w:color="auto" w:fill="FFFFFF"/>
        </w:rPr>
      </w:pPr>
    </w:p>
    <w:p w14:paraId="71F86061" w14:textId="77777777" w:rsidR="00EC56CD" w:rsidRDefault="00EC56CD" w:rsidP="00957739"/>
    <w:p w14:paraId="066DF53F" w14:textId="646D54A9" w:rsidR="00540319" w:rsidRDefault="00957739">
      <w:pPr>
        <w:rPr>
          <w:i/>
          <w:iCs/>
        </w:rPr>
      </w:pPr>
      <w:r>
        <w:rPr>
          <w:i/>
          <w:iCs/>
        </w:rPr>
        <w:t xml:space="preserve"> </w:t>
      </w:r>
    </w:p>
    <w:p w14:paraId="7C8E7E5D" w14:textId="784E754D" w:rsidR="00121B45" w:rsidRDefault="00121B45" w:rsidP="00121B45">
      <w:pPr>
        <w:rPr>
          <w:sz w:val="24"/>
          <w:szCs w:val="24"/>
        </w:rPr>
      </w:pPr>
      <w:r w:rsidRPr="00AC7398">
        <w:rPr>
          <w:sz w:val="24"/>
          <w:szCs w:val="24"/>
          <w:u w:val="single"/>
        </w:rPr>
        <w:t xml:space="preserve">Task </w:t>
      </w:r>
      <w:r>
        <w:rPr>
          <w:sz w:val="24"/>
          <w:szCs w:val="24"/>
          <w:u w:val="single"/>
        </w:rPr>
        <w:t>2.</w:t>
      </w:r>
    </w:p>
    <w:p w14:paraId="74F705B4" w14:textId="641C7634" w:rsidR="00121B45" w:rsidRDefault="00AE789A" w:rsidP="00121B45">
      <w:r w:rsidRPr="00AE789A">
        <w:rPr>
          <w:b/>
          <w:bCs/>
        </w:rPr>
        <w:t xml:space="preserve">(AC 3.3) </w:t>
      </w:r>
      <w:r w:rsidRPr="00AE789A">
        <w:t xml:space="preserve">There are a number of skills that can be drawn upon when it comes to dealing with grievance and disciplinary procedures. </w:t>
      </w:r>
    </w:p>
    <w:p w14:paraId="32EF94CA" w14:textId="0702C724" w:rsidR="00AE789A" w:rsidRDefault="00AE789A" w:rsidP="00121B45">
      <w:r w:rsidRPr="00AE789A">
        <w:rPr>
          <w:b/>
          <w:bCs/>
        </w:rPr>
        <w:t>Pre-emptive activity</w:t>
      </w:r>
      <w:r>
        <w:t xml:space="preserve"> – this requires knowledge and understanding in the policies that support the action that can be taken in incidences of grievance and disciplinary issues. If manager</w:t>
      </w:r>
      <w:r w:rsidR="006D65A4">
        <w:t>s</w:t>
      </w:r>
      <w:r>
        <w:t xml:space="preserve"> ha</w:t>
      </w:r>
      <w:r w:rsidR="006D65A4">
        <w:t>ve</w:t>
      </w:r>
      <w:r>
        <w:t xml:space="preserve"> the confidence in this area, it is beneficial to discuss the issues highlighted </w:t>
      </w:r>
      <w:r w:rsidR="006D65A4">
        <w:t xml:space="preserve">at </w:t>
      </w:r>
      <w:r>
        <w:t xml:space="preserve">an early stage. This can </w:t>
      </w:r>
      <w:r>
        <w:lastRenderedPageBreak/>
        <w:t>prevent the case from escalating. If manager</w:t>
      </w:r>
      <w:r w:rsidR="006D65A4">
        <w:t>s</w:t>
      </w:r>
      <w:r>
        <w:t xml:space="preserve"> can be direct around the processes that need to be undertaken, employees will feel that they can discuss any issues in an open and honest manner without judgement. </w:t>
      </w:r>
    </w:p>
    <w:p w14:paraId="14B52217" w14:textId="77B786F4" w:rsidR="00AE789A" w:rsidRDefault="00AE789A" w:rsidP="00121B45">
      <w:r>
        <w:rPr>
          <w:b/>
          <w:bCs/>
        </w:rPr>
        <w:t>Evidence based</w:t>
      </w:r>
      <w:r>
        <w:t xml:space="preserve"> – this is where manager</w:t>
      </w:r>
      <w:r w:rsidR="006D65A4">
        <w:t>s</w:t>
      </w:r>
      <w:r>
        <w:t xml:space="preserve"> will act upon any concerns and issues that are raised and ensuring the facts of the matter have been obtained openly and honestly. During this process, it</w:t>
      </w:r>
      <w:r w:rsidR="006D65A4">
        <w:t>’</w:t>
      </w:r>
      <w:r>
        <w:t>s important to identify if there are any codes of conduct or standards of behaviour that have been potentially breached in line with policy and frameworks. If there is a course of action to be taken, accurate record keeping must be kept so that it can be referred back to in any future investigations or tribunals. SMART action plans are an example of this, as all parties involved will know what the level of expectation is and timescales that are being adhered to.</w:t>
      </w:r>
    </w:p>
    <w:p w14:paraId="5B44BCB2" w14:textId="2638FDF0" w:rsidR="00AE789A" w:rsidRDefault="00AE789A" w:rsidP="00121B45">
      <w:r>
        <w:rPr>
          <w:b/>
          <w:bCs/>
        </w:rPr>
        <w:t>Soft skills</w:t>
      </w:r>
      <w:r>
        <w:t xml:space="preserve"> – an area that is often overlooked– the manner in which communications, active listening, body language and </w:t>
      </w:r>
      <w:r w:rsidR="008C58E5">
        <w:t>questioning skills are utilised. It</w:t>
      </w:r>
      <w:r w:rsidR="006D65A4">
        <w:t>’</w:t>
      </w:r>
      <w:r w:rsidR="008C58E5">
        <w:t xml:space="preserve">s important to vary the types of questioning to an employee so that it is not seen to be leading questions, or in a way that can be seen to be one sided. There must be methods of impartiality utilised so that it can be referred back to in further investigation or tribunal cases. Probing questions can be used to gather the appropriate information that is required whereas closed questions are good to clarify and confirm facts. </w:t>
      </w:r>
      <w:sdt>
        <w:sdtPr>
          <w:id w:val="-62416623"/>
          <w:citation/>
        </w:sdtPr>
        <w:sdtContent>
          <w:r w:rsidR="008C58E5">
            <w:fldChar w:fldCharType="begin"/>
          </w:r>
          <w:r w:rsidR="008C58E5">
            <w:instrText xml:space="preserve"> CITATION Bai19 \l 2057 </w:instrText>
          </w:r>
          <w:r w:rsidR="008C58E5">
            <w:fldChar w:fldCharType="separate"/>
          </w:r>
          <w:r w:rsidR="008C58E5">
            <w:rPr>
              <w:noProof/>
            </w:rPr>
            <w:t>(Bai, Y., Lin, L. and Liu, J.T, 2019)</w:t>
          </w:r>
          <w:r w:rsidR="008C58E5">
            <w:fldChar w:fldCharType="end"/>
          </w:r>
        </w:sdtContent>
      </w:sdt>
    </w:p>
    <w:p w14:paraId="1EAD1B01" w14:textId="71F1B892" w:rsidR="008C58E5" w:rsidRDefault="008C58E5" w:rsidP="00121B45"/>
    <w:p w14:paraId="1AE5F965" w14:textId="31DABCF3" w:rsidR="001320B7" w:rsidRDefault="008C58E5" w:rsidP="00121B45">
      <w:r>
        <w:rPr>
          <w:b/>
          <w:bCs/>
        </w:rPr>
        <w:t xml:space="preserve">(AC 3.2) </w:t>
      </w:r>
      <w:r w:rsidR="001320B7">
        <w:t xml:space="preserve">When there is ill-feeling towards an individual within the organisation or against policy or procedure, an employee will raise this issue with a manager as a grievance or fairness at work issue. </w:t>
      </w:r>
      <w:r w:rsidR="001320B7">
        <w:t xml:space="preserve">There are a number of reasons when an employee can feel dissatisfied in the workplace and will raise grievances that they are experiencing. This can include their salaries, working time, overtime and conditions, transfer, promotion, tenure, roles and responsibilities and termination of services. </w:t>
      </w:r>
      <w:sdt>
        <w:sdtPr>
          <w:id w:val="973411577"/>
          <w:citation/>
        </w:sdtPr>
        <w:sdtContent>
          <w:r w:rsidR="001320B7">
            <w:fldChar w:fldCharType="begin"/>
          </w:r>
          <w:r w:rsidR="001320B7">
            <w:instrText xml:space="preserve"> CITATION Wan18 \l 2057 </w:instrText>
          </w:r>
          <w:r w:rsidR="001320B7">
            <w:fldChar w:fldCharType="separate"/>
          </w:r>
          <w:r w:rsidR="001320B7">
            <w:rPr>
              <w:noProof/>
            </w:rPr>
            <w:t>(Wang, Y., Zheng, Y. and Zhu, Y.,, 2018)</w:t>
          </w:r>
          <w:r w:rsidR="001320B7">
            <w:fldChar w:fldCharType="end"/>
          </w:r>
        </w:sdtContent>
      </w:sdt>
    </w:p>
    <w:p w14:paraId="05C45F13" w14:textId="549EBE45" w:rsidR="00083F6D" w:rsidRDefault="001320B7" w:rsidP="00121B45">
      <w:r>
        <w:t xml:space="preserve">Salaries – this can be raised when an employee feels that they are not compensated at the right level for the work that they undertake and participate in for the organisation that they are employed by. It can include factors such as amount paid, delays in payment, deductions that are unexpected or unfair and pay increments at unsatisfactory levels. </w:t>
      </w:r>
      <w:sdt>
        <w:sdtPr>
          <w:id w:val="-257762128"/>
          <w:citation/>
        </w:sdtPr>
        <w:sdtContent>
          <w:r>
            <w:fldChar w:fldCharType="begin"/>
          </w:r>
          <w:r>
            <w:instrText xml:space="preserve"> CITATION Hol18 \l 2057 </w:instrText>
          </w:r>
          <w:r>
            <w:fldChar w:fldCharType="separate"/>
          </w:r>
          <w:r>
            <w:rPr>
              <w:noProof/>
            </w:rPr>
            <w:t>(Holbeche, 2018)</w:t>
          </w:r>
          <w:r>
            <w:fldChar w:fldCharType="end"/>
          </w:r>
        </w:sdtContent>
      </w:sdt>
    </w:p>
    <w:p w14:paraId="2B853CCF" w14:textId="12ED1501" w:rsidR="008C58E5" w:rsidRDefault="001320B7" w:rsidP="001320B7">
      <w:pPr>
        <w:rPr>
          <w:rFonts w:cstheme="minorHAnsi"/>
        </w:rPr>
      </w:pPr>
      <w:r>
        <w:t xml:space="preserve">Work environment – this can be raised when the workplace surroundings and environment is not comfortable to work in. this can include factors such </w:t>
      </w:r>
      <w:r w:rsidR="006D65A4">
        <w:t>as</w:t>
      </w:r>
      <w:r>
        <w:t xml:space="preserve"> lighting, ventilation, unsatisfactory equipment, lack of washing / toilet facilities, kitchen facilities and rest areas.</w:t>
      </w:r>
    </w:p>
    <w:p w14:paraId="19FF2D22" w14:textId="66809E1A" w:rsidR="00A77E02" w:rsidRDefault="001320B7" w:rsidP="00A77E02">
      <w:pPr>
        <w:rPr>
          <w:rFonts w:cstheme="minorHAnsi"/>
        </w:rPr>
      </w:pPr>
      <w:r>
        <w:rPr>
          <w:rFonts w:cstheme="minorHAnsi"/>
        </w:rPr>
        <w:t xml:space="preserve">Unfair working practices – this can be raised where there are </w:t>
      </w:r>
      <w:r w:rsidR="00A77E02">
        <w:rPr>
          <w:rFonts w:cstheme="minorHAnsi"/>
        </w:rPr>
        <w:t xml:space="preserve">raised </w:t>
      </w:r>
      <w:r>
        <w:rPr>
          <w:rFonts w:cstheme="minorHAnsi"/>
        </w:rPr>
        <w:t>levels of</w:t>
      </w:r>
      <w:r w:rsidR="00A77E02">
        <w:rPr>
          <w:rFonts w:cstheme="minorHAnsi"/>
        </w:rPr>
        <w:t xml:space="preserve"> stress and unsatisfactory processe</w:t>
      </w:r>
      <w:r w:rsidR="006D65A4">
        <w:rPr>
          <w:rFonts w:cstheme="minorHAnsi"/>
        </w:rPr>
        <w:t>s</w:t>
      </w:r>
      <w:r w:rsidR="00A77E02">
        <w:rPr>
          <w:rFonts w:cstheme="minorHAnsi"/>
        </w:rPr>
        <w:t xml:space="preserve"> undertaken such as promotion policies that are unfair or exclusive, staff movements within roles without the appropriate advertisements and openness in the process, limited opportunities to undertake appropriate training for their roles and areas of responsibilities, undertaking work that is graded at a higher level than the employee is currently employed for  </w:t>
      </w:r>
      <w:sdt>
        <w:sdtPr>
          <w:rPr>
            <w:rFonts w:cstheme="minorHAnsi"/>
          </w:rPr>
          <w:id w:val="-1072194085"/>
          <w:citation/>
        </w:sdtPr>
        <w:sdtContent>
          <w:r w:rsidR="00A77E02">
            <w:rPr>
              <w:rFonts w:cstheme="minorHAnsi"/>
            </w:rPr>
            <w:fldChar w:fldCharType="begin"/>
          </w:r>
          <w:r w:rsidR="00A77E02">
            <w:rPr>
              <w:rFonts w:cstheme="minorHAnsi"/>
            </w:rPr>
            <w:instrText xml:space="preserve"> CITATION Shu17 \l 2057 </w:instrText>
          </w:r>
          <w:r w:rsidR="00A77E02">
            <w:rPr>
              <w:rFonts w:cstheme="minorHAnsi"/>
            </w:rPr>
            <w:fldChar w:fldCharType="separate"/>
          </w:r>
          <w:r w:rsidR="00A77E02" w:rsidRPr="00A77E02">
            <w:rPr>
              <w:rFonts w:cstheme="minorHAnsi"/>
              <w:noProof/>
            </w:rPr>
            <w:t>(Shuck, 2017)</w:t>
          </w:r>
          <w:r w:rsidR="00A77E02">
            <w:rPr>
              <w:rFonts w:cstheme="minorHAnsi"/>
            </w:rPr>
            <w:fldChar w:fldCharType="end"/>
          </w:r>
        </w:sdtContent>
      </w:sdt>
    </w:p>
    <w:p w14:paraId="7C0D335B" w14:textId="5AC6A455" w:rsidR="008C58E5" w:rsidRDefault="00A77E02" w:rsidP="00121B45">
      <w:pPr>
        <w:rPr>
          <w:rFonts w:cstheme="minorHAnsi"/>
        </w:rPr>
      </w:pPr>
      <w:r>
        <w:rPr>
          <w:rFonts w:cstheme="minorHAnsi"/>
        </w:rPr>
        <w:t xml:space="preserve">Disciplinary – this could be where a manager instigates formal action against an employee due to their repeated levels of being absent from work, code of conduct being breached, punctuality being brought into question as well as working time recording. An employee maybe suspended whilst the investigations are ongoing for this process in order to establish the facts. </w:t>
      </w:r>
      <w:sdt>
        <w:sdtPr>
          <w:rPr>
            <w:rFonts w:cstheme="minorHAnsi"/>
          </w:rPr>
          <w:id w:val="-1195389719"/>
          <w:citation/>
        </w:sdtPr>
        <w:sdtContent>
          <w:r>
            <w:rPr>
              <w:rFonts w:cstheme="minorHAnsi"/>
            </w:rPr>
            <w:fldChar w:fldCharType="begin"/>
          </w:r>
          <w:r>
            <w:rPr>
              <w:rFonts w:cstheme="minorHAnsi"/>
            </w:rPr>
            <w:instrText xml:space="preserve"> CITATION ACA22 \l 2057 </w:instrText>
          </w:r>
          <w:r>
            <w:rPr>
              <w:rFonts w:cstheme="minorHAnsi"/>
            </w:rPr>
            <w:fldChar w:fldCharType="separate"/>
          </w:r>
          <w:r w:rsidRPr="00A77E02">
            <w:rPr>
              <w:rFonts w:cstheme="minorHAnsi"/>
              <w:noProof/>
            </w:rPr>
            <w:t>(ACAS, 2022)</w:t>
          </w:r>
          <w:r>
            <w:rPr>
              <w:rFonts w:cstheme="minorHAnsi"/>
            </w:rPr>
            <w:fldChar w:fldCharType="end"/>
          </w:r>
        </w:sdtContent>
      </w:sdt>
    </w:p>
    <w:p w14:paraId="119B337D" w14:textId="0A12F763" w:rsidR="00A77E02" w:rsidRDefault="00A77E02" w:rsidP="00121B45">
      <w:pPr>
        <w:rPr>
          <w:rFonts w:cstheme="minorHAnsi"/>
        </w:rPr>
      </w:pPr>
    </w:p>
    <w:p w14:paraId="14A9548E" w14:textId="7F3BB33A" w:rsidR="00A77E02" w:rsidRDefault="00A77E02" w:rsidP="00121B45">
      <w:pPr>
        <w:rPr>
          <w:rFonts w:cstheme="minorHAnsi"/>
        </w:rPr>
      </w:pPr>
      <w:r>
        <w:rPr>
          <w:rFonts w:cstheme="minorHAnsi"/>
          <w:b/>
          <w:bCs/>
        </w:rPr>
        <w:lastRenderedPageBreak/>
        <w:t xml:space="preserve">(AC 3.4) </w:t>
      </w:r>
      <w:r>
        <w:rPr>
          <w:rFonts w:cstheme="minorHAnsi"/>
        </w:rPr>
        <w:t xml:space="preserve">Every organisation should have a grievance procedure which is intended to be fair, </w:t>
      </w:r>
      <w:proofErr w:type="gramStart"/>
      <w:r>
        <w:rPr>
          <w:rFonts w:cstheme="minorHAnsi"/>
        </w:rPr>
        <w:t>open</w:t>
      </w:r>
      <w:proofErr w:type="gramEnd"/>
      <w:r>
        <w:rPr>
          <w:rFonts w:cstheme="minorHAnsi"/>
        </w:rPr>
        <w:t xml:space="preserve"> and transparent for every employee within the organisation to have access to. This process is appropriate to report any workplace issues and complaints. There are protective elements to the process so that an employee will not be </w:t>
      </w:r>
      <w:r w:rsidR="00E27343">
        <w:rPr>
          <w:rFonts w:cstheme="minorHAnsi"/>
        </w:rPr>
        <w:t xml:space="preserve">judged or face any consequence as a result of submitting a formal grievance. By having this process in place within an organisation will boost morale and also increase the levels of confidence of employees that they feel comfortable that the organisation will listen to them should these processes be needed. ACAS provides support to an individual as well as the organisation in cases where a grievance needs to be instigated and the processes are safeguarded by law. Therefore, organisations must do all that they can to adhere to these guidelines or face further ramification when issues are highlighted against them. </w:t>
      </w:r>
      <w:sdt>
        <w:sdtPr>
          <w:rPr>
            <w:rFonts w:cstheme="minorHAnsi"/>
          </w:rPr>
          <w:id w:val="409655705"/>
          <w:citation/>
        </w:sdtPr>
        <w:sdtContent>
          <w:r w:rsidR="00E27343">
            <w:rPr>
              <w:rFonts w:cstheme="minorHAnsi"/>
            </w:rPr>
            <w:fldChar w:fldCharType="begin"/>
          </w:r>
          <w:r w:rsidR="00E27343">
            <w:rPr>
              <w:rFonts w:cstheme="minorHAnsi"/>
            </w:rPr>
            <w:instrText xml:space="preserve"> CITATION Dis22 \l 2057 </w:instrText>
          </w:r>
          <w:r w:rsidR="00E27343">
            <w:rPr>
              <w:rFonts w:cstheme="minorHAnsi"/>
            </w:rPr>
            <w:fldChar w:fldCharType="separate"/>
          </w:r>
          <w:r w:rsidR="00E27343" w:rsidRPr="00E27343">
            <w:rPr>
              <w:rFonts w:cstheme="minorHAnsi"/>
              <w:noProof/>
            </w:rPr>
            <w:t>(Disciplinary and grievance procedures | ACAS. , 2022)</w:t>
          </w:r>
          <w:r w:rsidR="00E27343">
            <w:rPr>
              <w:rFonts w:cstheme="minorHAnsi"/>
            </w:rPr>
            <w:fldChar w:fldCharType="end"/>
          </w:r>
        </w:sdtContent>
      </w:sdt>
    </w:p>
    <w:p w14:paraId="3057BC65" w14:textId="30E34024" w:rsidR="00E27343" w:rsidRDefault="00E27343" w:rsidP="00121B45">
      <w:pPr>
        <w:rPr>
          <w:rFonts w:cstheme="minorHAnsi"/>
        </w:rPr>
      </w:pPr>
    </w:p>
    <w:p w14:paraId="19206991" w14:textId="0F731AF8" w:rsidR="00E27343" w:rsidRDefault="00E27343" w:rsidP="00121B45">
      <w:pPr>
        <w:rPr>
          <w:rFonts w:cstheme="minorHAnsi"/>
        </w:rPr>
      </w:pPr>
      <w:r>
        <w:rPr>
          <w:rFonts w:cstheme="minorHAnsi"/>
          <w:b/>
          <w:bCs/>
        </w:rPr>
        <w:t xml:space="preserve">(AC 3.1) </w:t>
      </w:r>
      <w:r>
        <w:rPr>
          <w:rFonts w:cstheme="minorHAnsi"/>
        </w:rPr>
        <w:t xml:space="preserve">Employees are protected under the legislation </w:t>
      </w:r>
      <w:r w:rsidR="006D65A4">
        <w:rPr>
          <w:rFonts w:cstheme="minorHAnsi"/>
        </w:rPr>
        <w:t xml:space="preserve">- </w:t>
      </w:r>
      <w:r>
        <w:rPr>
          <w:rFonts w:cstheme="minorHAnsi"/>
        </w:rPr>
        <w:t xml:space="preserve">The Employment Rights Act 1996 which covers unfair dismissal. For an employer to prove that a dismissal was legal it has </w:t>
      </w:r>
      <w:r w:rsidR="006D65A4">
        <w:rPr>
          <w:rFonts w:cstheme="minorHAnsi"/>
        </w:rPr>
        <w:t xml:space="preserve">to </w:t>
      </w:r>
      <w:r>
        <w:rPr>
          <w:rFonts w:cstheme="minorHAnsi"/>
        </w:rPr>
        <w:t>be seen as fair, for a specified reason and to be handled properly in line with the guidelines set out in this legislation. The facts surrounding the incident must be obtained accurately</w:t>
      </w:r>
      <w:r w:rsidR="006D65A4">
        <w:rPr>
          <w:rFonts w:cstheme="minorHAnsi"/>
        </w:rPr>
        <w:t xml:space="preserve">, </w:t>
      </w:r>
      <w:r>
        <w:rPr>
          <w:rFonts w:cstheme="minorHAnsi"/>
        </w:rPr>
        <w:t>managers must review the circumstances on a case</w:t>
      </w:r>
      <w:r w:rsidR="006D65A4">
        <w:rPr>
          <w:rFonts w:cstheme="minorHAnsi"/>
        </w:rPr>
        <w:t>-</w:t>
      </w:r>
      <w:r>
        <w:rPr>
          <w:rFonts w:cstheme="minorHAnsi"/>
        </w:rPr>
        <w:t>by</w:t>
      </w:r>
      <w:r w:rsidR="006D65A4">
        <w:rPr>
          <w:rFonts w:cstheme="minorHAnsi"/>
        </w:rPr>
        <w:t>-</w:t>
      </w:r>
      <w:r>
        <w:rPr>
          <w:rFonts w:cstheme="minorHAnsi"/>
        </w:rPr>
        <w:t xml:space="preserve">case basis. Although the levels of evidence that are required for a dismissal is less than that required in a court of law, it is a standard that should utilised as a target in this case due to the possibility of employment tribunal hearings. The misconduct needs to be investigated and reasonable belief held that these actions have been carried out. There are several stages and processes that can be undertaken prior to the consideration of dismissal and these should be utilised in the first instance. </w:t>
      </w:r>
    </w:p>
    <w:p w14:paraId="21664007" w14:textId="22A62BA0" w:rsidR="00E27343" w:rsidRPr="00E27343" w:rsidRDefault="00E27343" w:rsidP="00121B45">
      <w:pPr>
        <w:rPr>
          <w:rFonts w:cstheme="minorHAnsi"/>
        </w:rPr>
      </w:pPr>
      <w:r>
        <w:rPr>
          <w:rFonts w:cstheme="minorHAnsi"/>
        </w:rPr>
        <w:t xml:space="preserve">There are steps raising in severity within </w:t>
      </w:r>
      <w:r w:rsidR="006D65A4">
        <w:rPr>
          <w:rFonts w:cstheme="minorHAnsi"/>
        </w:rPr>
        <w:t xml:space="preserve">grievance procedures in order to make attempts of resolution prior to escalation. ACAS will advise that each step is explored in order to come to a satisfactory conclusion without escalation. </w:t>
      </w:r>
      <w:sdt>
        <w:sdtPr>
          <w:rPr>
            <w:rFonts w:cstheme="minorHAnsi"/>
          </w:rPr>
          <w:id w:val="1067616024"/>
          <w:citation/>
        </w:sdtPr>
        <w:sdtContent>
          <w:r w:rsidR="006D65A4">
            <w:rPr>
              <w:rFonts w:cstheme="minorHAnsi"/>
            </w:rPr>
            <w:fldChar w:fldCharType="begin"/>
          </w:r>
          <w:r w:rsidR="006D65A4">
            <w:rPr>
              <w:rFonts w:cstheme="minorHAnsi"/>
            </w:rPr>
            <w:instrText xml:space="preserve"> CITATION ACA22 \l 2057 </w:instrText>
          </w:r>
          <w:r w:rsidR="006D65A4">
            <w:rPr>
              <w:rFonts w:cstheme="minorHAnsi"/>
            </w:rPr>
            <w:fldChar w:fldCharType="separate"/>
          </w:r>
          <w:r w:rsidR="006D65A4" w:rsidRPr="006D65A4">
            <w:rPr>
              <w:rFonts w:cstheme="minorHAnsi"/>
              <w:noProof/>
            </w:rPr>
            <w:t>(ACAS, 2022)</w:t>
          </w:r>
          <w:r w:rsidR="006D65A4">
            <w:rPr>
              <w:rFonts w:cstheme="minorHAnsi"/>
            </w:rPr>
            <w:fldChar w:fldCharType="end"/>
          </w:r>
        </w:sdtContent>
      </w:sdt>
    </w:p>
    <w:p w14:paraId="3DCD19F7" w14:textId="77777777" w:rsidR="006C02F3" w:rsidRDefault="006C02F3" w:rsidP="00121B45">
      <w:pPr>
        <w:rPr>
          <w:rFonts w:cstheme="minorHAnsi"/>
        </w:rPr>
      </w:pPr>
    </w:p>
    <w:p w14:paraId="15992899" w14:textId="77777777" w:rsidR="00121B45" w:rsidRDefault="00121B45" w:rsidP="00121B45">
      <w:pPr>
        <w:rPr>
          <w:rFonts w:cstheme="minorHAnsi"/>
          <w:i/>
          <w:iCs/>
        </w:rPr>
      </w:pPr>
    </w:p>
    <w:p w14:paraId="7E8EE69E" w14:textId="77777777" w:rsidR="0042522C" w:rsidRPr="000F529C" w:rsidRDefault="0042522C" w:rsidP="0042522C">
      <w:pPr>
        <w:rPr>
          <w:b/>
          <w:bCs/>
          <w:sz w:val="28"/>
          <w:szCs w:val="28"/>
        </w:rPr>
      </w:pPr>
      <w:r w:rsidRPr="000F529C">
        <w:rPr>
          <w:b/>
          <w:bCs/>
          <w:sz w:val="28"/>
          <w:szCs w:val="28"/>
        </w:rPr>
        <w:t>Bibl</w:t>
      </w:r>
      <w:r>
        <w:rPr>
          <w:b/>
          <w:bCs/>
          <w:sz w:val="28"/>
          <w:szCs w:val="28"/>
        </w:rPr>
        <w:t>i</w:t>
      </w:r>
      <w:r w:rsidRPr="000F529C">
        <w:rPr>
          <w:b/>
          <w:bCs/>
          <w:sz w:val="28"/>
          <w:szCs w:val="28"/>
        </w:rPr>
        <w:t>ography:</w:t>
      </w:r>
    </w:p>
    <w:p w14:paraId="4B323070" w14:textId="26915EB5" w:rsidR="0042522C" w:rsidRPr="008C58E5" w:rsidRDefault="0042522C" w:rsidP="0042522C">
      <w:pPr>
        <w:rPr>
          <w:rFonts w:cstheme="minorHAnsi"/>
          <w:shd w:val="clear" w:color="auto" w:fill="FFFFFF"/>
        </w:rPr>
      </w:pPr>
      <w:r w:rsidRPr="008C58E5">
        <w:rPr>
          <w:rFonts w:cstheme="minorHAnsi"/>
          <w:shd w:val="clear" w:color="auto" w:fill="FFFFFF"/>
        </w:rPr>
        <w:t xml:space="preserve">Acas.org.uk. (2022) </w:t>
      </w:r>
      <w:r w:rsidR="008C58E5">
        <w:rPr>
          <w:rStyle w:val="Emphasis"/>
          <w:rFonts w:cstheme="minorHAnsi"/>
          <w:shd w:val="clear" w:color="auto" w:fill="FFFFFF"/>
        </w:rPr>
        <w:t>Disciplinary and grievance procedures</w:t>
      </w:r>
      <w:r w:rsidRPr="008C58E5">
        <w:rPr>
          <w:rStyle w:val="Emphasis"/>
          <w:rFonts w:cstheme="minorHAnsi"/>
          <w:shd w:val="clear" w:color="auto" w:fill="FFFFFF"/>
        </w:rPr>
        <w:t xml:space="preserve"> | ACAS.</w:t>
      </w:r>
      <w:r w:rsidRPr="008C58E5">
        <w:rPr>
          <w:rFonts w:cstheme="minorHAnsi"/>
          <w:shd w:val="clear" w:color="auto" w:fill="FFFFFF"/>
        </w:rPr>
        <w:t xml:space="preserve"> [online] Available at: </w:t>
      </w:r>
      <w:hyperlink r:id="rId10" w:history="1">
        <w:r w:rsidR="008C58E5" w:rsidRPr="008C58E5">
          <w:rPr>
            <w:rStyle w:val="Hyperlink"/>
            <w:color w:val="0070C0"/>
          </w:rPr>
          <w:t xml:space="preserve">Disciplinary and grievance procedures | </w:t>
        </w:r>
        <w:proofErr w:type="spellStart"/>
        <w:r w:rsidR="008C58E5" w:rsidRPr="008C58E5">
          <w:rPr>
            <w:rStyle w:val="Hyperlink"/>
            <w:color w:val="0070C0"/>
          </w:rPr>
          <w:t>Acas</w:t>
        </w:r>
        <w:proofErr w:type="spellEnd"/>
      </w:hyperlink>
      <w:r w:rsidRPr="008C58E5">
        <w:t xml:space="preserve"> </w:t>
      </w:r>
      <w:r w:rsidRPr="008C58E5">
        <w:rPr>
          <w:rFonts w:cstheme="minorHAnsi"/>
          <w:shd w:val="clear" w:color="auto" w:fill="FFFFFF"/>
        </w:rPr>
        <w:t>[Accessed 04/0</w:t>
      </w:r>
      <w:r w:rsidR="008C58E5">
        <w:rPr>
          <w:rFonts w:cstheme="minorHAnsi"/>
          <w:shd w:val="clear" w:color="auto" w:fill="FFFFFF"/>
        </w:rPr>
        <w:t>5</w:t>
      </w:r>
      <w:r w:rsidRPr="008C58E5">
        <w:rPr>
          <w:rFonts w:cstheme="minorHAnsi"/>
          <w:shd w:val="clear" w:color="auto" w:fill="FFFFFF"/>
        </w:rPr>
        <w:t>/2022].</w:t>
      </w:r>
    </w:p>
    <w:p w14:paraId="2E712C02" w14:textId="77777777" w:rsidR="008C58E5" w:rsidRDefault="008C58E5" w:rsidP="008C58E5">
      <w:pPr>
        <w:rPr>
          <w:rFonts w:cstheme="minorHAnsi"/>
          <w:color w:val="000000"/>
          <w:shd w:val="clear" w:color="auto" w:fill="FFFFFF"/>
        </w:rPr>
      </w:pPr>
      <w:r w:rsidRPr="00AB19AF">
        <w:rPr>
          <w:rFonts w:cstheme="minorHAnsi"/>
          <w:color w:val="000000"/>
          <w:shd w:val="clear" w:color="auto" w:fill="FFFFFF"/>
        </w:rPr>
        <w:t xml:space="preserve">Bai, Y., Lin, </w:t>
      </w:r>
      <w:proofErr w:type="gramStart"/>
      <w:r w:rsidRPr="00AB19AF">
        <w:rPr>
          <w:rFonts w:cstheme="minorHAnsi"/>
          <w:color w:val="000000"/>
          <w:shd w:val="clear" w:color="auto" w:fill="FFFFFF"/>
        </w:rPr>
        <w:t>L.</w:t>
      </w:r>
      <w:proofErr w:type="gramEnd"/>
      <w:r w:rsidRPr="00AB19AF">
        <w:rPr>
          <w:rFonts w:cstheme="minorHAnsi"/>
          <w:color w:val="000000"/>
          <w:shd w:val="clear" w:color="auto" w:fill="FFFFFF"/>
        </w:rPr>
        <w:t xml:space="preserve"> and Liu, J.T., 2019. Leveraging the employee voice: a multi-level social learning perspective of ethical leadership. The International Journal of Human Resource Management, 30(12), pp.1869-1901.</w:t>
      </w:r>
    </w:p>
    <w:p w14:paraId="4E6A3CCA" w14:textId="77777777" w:rsidR="00A77E02" w:rsidRDefault="00083F6D" w:rsidP="00083F6D">
      <w:pPr>
        <w:shd w:val="clear" w:color="auto" w:fill="FFFFFF"/>
        <w:spacing w:before="100" w:beforeAutospacing="1" w:after="100" w:afterAutospacing="1" w:line="240" w:lineRule="auto"/>
      </w:pPr>
      <w:r w:rsidRPr="00EB3F4E">
        <w:t>CIPD. (20</w:t>
      </w:r>
      <w:r>
        <w:t>21</w:t>
      </w:r>
      <w:r w:rsidRPr="00EB3F4E">
        <w:t>)</w:t>
      </w:r>
      <w:r>
        <w:rPr>
          <w:i/>
          <w:iCs/>
        </w:rPr>
        <w:t xml:space="preserve"> </w:t>
      </w:r>
      <w:r w:rsidR="008C58E5">
        <w:rPr>
          <w:i/>
          <w:iCs/>
        </w:rPr>
        <w:t>Discipline and grievance at work</w:t>
      </w:r>
      <w:r w:rsidRPr="00EB3F4E">
        <w:t xml:space="preserve"> | Factsheets | CIPD. [online] Available at:</w:t>
      </w:r>
      <w:r>
        <w:t xml:space="preserve"> </w:t>
      </w:r>
      <w:r w:rsidRPr="00EB3F4E">
        <w:t xml:space="preserve"> </w:t>
      </w:r>
      <w:hyperlink r:id="rId11" w:history="1">
        <w:r w:rsidR="008C58E5">
          <w:rPr>
            <w:rStyle w:val="Hyperlink"/>
          </w:rPr>
          <w:t>Discipline &amp; Grievance at Work | Factsheets | CIPD</w:t>
        </w:r>
      </w:hyperlink>
      <w:r>
        <w:t xml:space="preserve"> </w:t>
      </w:r>
      <w:r w:rsidRPr="00EB3F4E">
        <w:t xml:space="preserve">[Accessed </w:t>
      </w:r>
      <w:r w:rsidR="008C58E5">
        <w:t>29</w:t>
      </w:r>
      <w:r>
        <w:t>/0</w:t>
      </w:r>
      <w:r w:rsidR="008C58E5">
        <w:t>4</w:t>
      </w:r>
      <w:r>
        <w:t>/2022</w:t>
      </w:r>
      <w:r w:rsidRPr="00EB3F4E">
        <w:t>]. </w:t>
      </w:r>
    </w:p>
    <w:p w14:paraId="35F93A6E" w14:textId="6560D222" w:rsidR="00083F6D" w:rsidRDefault="00A77E02" w:rsidP="00083F6D">
      <w:pPr>
        <w:shd w:val="clear" w:color="auto" w:fill="FFFFFF"/>
        <w:spacing w:before="100" w:beforeAutospacing="1" w:after="100" w:afterAutospacing="1" w:line="240" w:lineRule="auto"/>
      </w:pPr>
      <w:r w:rsidRPr="00A77E02">
        <w:t xml:space="preserve">Shuck, B., </w:t>
      </w:r>
      <w:proofErr w:type="spellStart"/>
      <w:r w:rsidRPr="00A77E02">
        <w:t>Osam</w:t>
      </w:r>
      <w:proofErr w:type="spellEnd"/>
      <w:r w:rsidRPr="00A77E02">
        <w:t xml:space="preserve">, K., </w:t>
      </w:r>
      <w:proofErr w:type="spellStart"/>
      <w:r w:rsidRPr="00A77E02">
        <w:t>Zigarmi</w:t>
      </w:r>
      <w:proofErr w:type="spellEnd"/>
      <w:r w:rsidRPr="00A77E02">
        <w:t xml:space="preserve">, D. and </w:t>
      </w:r>
      <w:proofErr w:type="spellStart"/>
      <w:r w:rsidRPr="00A77E02">
        <w:t>Nimon</w:t>
      </w:r>
      <w:proofErr w:type="spellEnd"/>
      <w:r w:rsidRPr="00A77E02">
        <w:t>, K., 2017. Definitional and conceptual muddling: Identifying the positionality of employee engagement and defining the construct. Human Resource Development Review, 16(3), pp.263-293.</w:t>
      </w:r>
    </w:p>
    <w:p w14:paraId="4046F0BE" w14:textId="61F02CEE" w:rsidR="00121B45" w:rsidRPr="00121B45" w:rsidRDefault="008C58E5" w:rsidP="00A3035C">
      <w:pPr>
        <w:shd w:val="clear" w:color="auto" w:fill="FFFFFF"/>
        <w:spacing w:before="100" w:beforeAutospacing="1" w:after="100" w:afterAutospacing="1" w:line="240" w:lineRule="auto"/>
      </w:pPr>
      <w:r w:rsidRPr="008C58E5">
        <w:t>Wang, Y., Zheng, Y. and Zhu, Y., 2018. How transformational leadership influences employee voice behaviour: The roles of psychological capital and organisational identification. Social Behaviour and Personality: an international journal, 46(2), pp.313-321.</w:t>
      </w:r>
    </w:p>
    <w:sectPr w:rsidR="00121B45" w:rsidRPr="00121B4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F4FC3" w14:textId="77777777" w:rsidR="008C58E5" w:rsidRDefault="008C58E5" w:rsidP="00540319">
      <w:pPr>
        <w:spacing w:after="0" w:line="240" w:lineRule="auto"/>
      </w:pPr>
      <w:r>
        <w:separator/>
      </w:r>
    </w:p>
  </w:endnote>
  <w:endnote w:type="continuationSeparator" w:id="0">
    <w:p w14:paraId="3DF8F719" w14:textId="77777777" w:rsidR="008C58E5" w:rsidRDefault="008C58E5" w:rsidP="00540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F2BBD" w14:textId="77777777" w:rsidR="008C58E5" w:rsidRDefault="008C58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D4E3C" w14:textId="77777777" w:rsidR="008C58E5" w:rsidRDefault="008C58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7973F" w14:textId="77777777" w:rsidR="008C58E5" w:rsidRDefault="008C58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EBA63" w14:textId="77777777" w:rsidR="008C58E5" w:rsidRDefault="008C58E5" w:rsidP="00540319">
      <w:pPr>
        <w:spacing w:after="0" w:line="240" w:lineRule="auto"/>
      </w:pPr>
      <w:r>
        <w:separator/>
      </w:r>
    </w:p>
  </w:footnote>
  <w:footnote w:type="continuationSeparator" w:id="0">
    <w:p w14:paraId="297C80C6" w14:textId="77777777" w:rsidR="008C58E5" w:rsidRDefault="008C58E5" w:rsidP="00540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DCFD06" w14:textId="77777777" w:rsidR="008C58E5" w:rsidRDefault="008C58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7E39D" w14:textId="7315A4B6" w:rsidR="008C58E5" w:rsidRDefault="008C58E5">
    <w:pPr>
      <w:pStyle w:val="Header"/>
    </w:pPr>
    <w:r>
      <w:rPr>
        <w:noProof/>
      </w:rPr>
      <mc:AlternateContent>
        <mc:Choice Requires="wps">
          <w:drawing>
            <wp:anchor distT="0" distB="0" distL="114300" distR="114300" simplePos="0" relativeHeight="251660288" behindDoc="0" locked="0" layoutInCell="0" allowOverlap="1" wp14:anchorId="205CCEDC" wp14:editId="23788166">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4EFD8" w14:textId="64CAAF93" w:rsidR="008C58E5" w:rsidRDefault="008C58E5">
                          <w:pPr>
                            <w:spacing w:after="0" w:line="240" w:lineRule="auto"/>
                            <w:jc w:val="right"/>
                            <w:rPr>
                              <w:noProof/>
                            </w:rPr>
                          </w:pPr>
                          <w:r>
                            <w:rPr>
                              <w:noProof/>
                              <w:color w:val="002060"/>
                            </w:rPr>
                            <w:t>Angela Williams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05CCEDC" id="_x0000_t202" coordsize="21600,21600" o:spt="202" path="m,l,21600r21600,l21600,xe">
              <v:stroke joinstyle="miter"/>
              <v:path gradientshapeok="t" o:connecttype="rect"/>
            </v:shapetype>
            <v:shape id="Text Box 220" o:spid="_x0000_s1026" type="#_x0000_t202" style="position:absolute;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1954EFD8" w14:textId="64CAAF93" w:rsidR="008C58E5" w:rsidRDefault="008C58E5">
                    <w:pPr>
                      <w:spacing w:after="0" w:line="240" w:lineRule="auto"/>
                      <w:jc w:val="right"/>
                      <w:rPr>
                        <w:noProof/>
                      </w:rPr>
                    </w:pPr>
                    <w:r>
                      <w:rPr>
                        <w:noProof/>
                        <w:color w:val="002060"/>
                      </w:rPr>
                      <w:t>Angela Williams</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108F7BA" wp14:editId="301473F6">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135B938C" w14:textId="77777777" w:rsidR="008C58E5" w:rsidRDefault="008C58E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108F7BA" id="Text Box 221" o:spid="_x0000_s1027" type="#_x0000_t202" style="position:absolute;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135B938C" w14:textId="77777777" w:rsidR="008C58E5" w:rsidRDefault="008C58E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B3FAB" w14:textId="77777777" w:rsidR="008C58E5" w:rsidRDefault="008C58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22440"/>
    <w:multiLevelType w:val="multilevel"/>
    <w:tmpl w:val="AE08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DB3007"/>
    <w:multiLevelType w:val="multilevel"/>
    <w:tmpl w:val="7DA20C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9919F7"/>
    <w:multiLevelType w:val="multilevel"/>
    <w:tmpl w:val="AB4C1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1152A3B"/>
    <w:multiLevelType w:val="multilevel"/>
    <w:tmpl w:val="9AECC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56279A"/>
    <w:multiLevelType w:val="multilevel"/>
    <w:tmpl w:val="D08C13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F7E0CAB"/>
    <w:multiLevelType w:val="multilevel"/>
    <w:tmpl w:val="6A6087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319"/>
    <w:rsid w:val="00033054"/>
    <w:rsid w:val="000605DE"/>
    <w:rsid w:val="00066DDE"/>
    <w:rsid w:val="00082A7F"/>
    <w:rsid w:val="00083F6D"/>
    <w:rsid w:val="000E2F4A"/>
    <w:rsid w:val="00121B45"/>
    <w:rsid w:val="0013007B"/>
    <w:rsid w:val="001320B7"/>
    <w:rsid w:val="001673CE"/>
    <w:rsid w:val="00184F72"/>
    <w:rsid w:val="001A7A7D"/>
    <w:rsid w:val="0021740D"/>
    <w:rsid w:val="0028286B"/>
    <w:rsid w:val="002A52CC"/>
    <w:rsid w:val="002D4D28"/>
    <w:rsid w:val="003408EA"/>
    <w:rsid w:val="003412A2"/>
    <w:rsid w:val="00347270"/>
    <w:rsid w:val="00363ED6"/>
    <w:rsid w:val="00404A33"/>
    <w:rsid w:val="0042522C"/>
    <w:rsid w:val="00517B21"/>
    <w:rsid w:val="00522AD9"/>
    <w:rsid w:val="00540319"/>
    <w:rsid w:val="005918EB"/>
    <w:rsid w:val="00613F8A"/>
    <w:rsid w:val="00615DEB"/>
    <w:rsid w:val="006574ED"/>
    <w:rsid w:val="00675654"/>
    <w:rsid w:val="00676ADC"/>
    <w:rsid w:val="006955BB"/>
    <w:rsid w:val="006C02F3"/>
    <w:rsid w:val="006D65A4"/>
    <w:rsid w:val="006F0552"/>
    <w:rsid w:val="007353E5"/>
    <w:rsid w:val="007A3E62"/>
    <w:rsid w:val="007B6809"/>
    <w:rsid w:val="00825A3F"/>
    <w:rsid w:val="008C342E"/>
    <w:rsid w:val="008C58E5"/>
    <w:rsid w:val="009366CC"/>
    <w:rsid w:val="00957739"/>
    <w:rsid w:val="00960004"/>
    <w:rsid w:val="00961A4B"/>
    <w:rsid w:val="009627E0"/>
    <w:rsid w:val="00963048"/>
    <w:rsid w:val="00983DAF"/>
    <w:rsid w:val="009C64B0"/>
    <w:rsid w:val="009F793A"/>
    <w:rsid w:val="00A0647A"/>
    <w:rsid w:val="00A3035C"/>
    <w:rsid w:val="00A77E02"/>
    <w:rsid w:val="00A93928"/>
    <w:rsid w:val="00AB19AF"/>
    <w:rsid w:val="00AC7398"/>
    <w:rsid w:val="00AD0C6D"/>
    <w:rsid w:val="00AE789A"/>
    <w:rsid w:val="00B14C26"/>
    <w:rsid w:val="00B42DAB"/>
    <w:rsid w:val="00B46FA4"/>
    <w:rsid w:val="00B643E7"/>
    <w:rsid w:val="00BE1AE7"/>
    <w:rsid w:val="00C53E75"/>
    <w:rsid w:val="00C65729"/>
    <w:rsid w:val="00C95A29"/>
    <w:rsid w:val="00CF3141"/>
    <w:rsid w:val="00D00BBC"/>
    <w:rsid w:val="00D41C59"/>
    <w:rsid w:val="00D4217C"/>
    <w:rsid w:val="00D5538C"/>
    <w:rsid w:val="00D63A70"/>
    <w:rsid w:val="00DE47FF"/>
    <w:rsid w:val="00DF7E0B"/>
    <w:rsid w:val="00E27343"/>
    <w:rsid w:val="00EA16D1"/>
    <w:rsid w:val="00EA723C"/>
    <w:rsid w:val="00EB3F4E"/>
    <w:rsid w:val="00EC56CD"/>
    <w:rsid w:val="00EE0FA8"/>
    <w:rsid w:val="00EE2F2A"/>
    <w:rsid w:val="00F04C98"/>
    <w:rsid w:val="00F164D2"/>
    <w:rsid w:val="00FF1D93"/>
    <w:rsid w:val="00FF6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14857B"/>
  <w15:chartTrackingRefBased/>
  <w15:docId w15:val="{E2CB2338-8ADF-4F6A-9C89-BBBCFB0E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8E5"/>
  </w:style>
  <w:style w:type="paragraph" w:styleId="Heading2">
    <w:name w:val="heading 2"/>
    <w:basedOn w:val="Normal"/>
    <w:link w:val="Heading2Char"/>
    <w:uiPriority w:val="9"/>
    <w:qFormat/>
    <w:rsid w:val="003412A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03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319"/>
  </w:style>
  <w:style w:type="paragraph" w:styleId="Footer">
    <w:name w:val="footer"/>
    <w:basedOn w:val="Normal"/>
    <w:link w:val="FooterChar"/>
    <w:uiPriority w:val="99"/>
    <w:unhideWhenUsed/>
    <w:rsid w:val="005403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319"/>
  </w:style>
  <w:style w:type="paragraph" w:styleId="ListParagraph">
    <w:name w:val="List Paragraph"/>
    <w:basedOn w:val="Normal"/>
    <w:uiPriority w:val="34"/>
    <w:qFormat/>
    <w:rsid w:val="00957739"/>
    <w:pPr>
      <w:ind w:left="720"/>
      <w:contextualSpacing/>
    </w:pPr>
  </w:style>
  <w:style w:type="character" w:styleId="Emphasis">
    <w:name w:val="Emphasis"/>
    <w:basedOn w:val="DefaultParagraphFont"/>
    <w:uiPriority w:val="20"/>
    <w:qFormat/>
    <w:rsid w:val="00675654"/>
    <w:rPr>
      <w:i/>
      <w:iCs/>
    </w:rPr>
  </w:style>
  <w:style w:type="character" w:styleId="Hyperlink">
    <w:name w:val="Hyperlink"/>
    <w:basedOn w:val="DefaultParagraphFont"/>
    <w:uiPriority w:val="99"/>
    <w:unhideWhenUsed/>
    <w:rsid w:val="00675654"/>
    <w:rPr>
      <w:color w:val="0563C1" w:themeColor="hyperlink"/>
      <w:u w:val="single"/>
    </w:rPr>
  </w:style>
  <w:style w:type="character" w:styleId="UnresolvedMention">
    <w:name w:val="Unresolved Mention"/>
    <w:basedOn w:val="DefaultParagraphFont"/>
    <w:uiPriority w:val="99"/>
    <w:semiHidden/>
    <w:unhideWhenUsed/>
    <w:rsid w:val="00675654"/>
    <w:rPr>
      <w:color w:val="605E5C"/>
      <w:shd w:val="clear" w:color="auto" w:fill="E1DFDD"/>
    </w:rPr>
  </w:style>
  <w:style w:type="table" w:styleId="TableGrid">
    <w:name w:val="Table Grid"/>
    <w:basedOn w:val="TableNormal"/>
    <w:uiPriority w:val="39"/>
    <w:rsid w:val="00963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955BB"/>
    <w:rPr>
      <w:color w:val="954F72" w:themeColor="followedHyperlink"/>
      <w:u w:val="single"/>
    </w:rPr>
  </w:style>
  <w:style w:type="character" w:styleId="PlaceholderText">
    <w:name w:val="Placeholder Text"/>
    <w:basedOn w:val="DefaultParagraphFont"/>
    <w:uiPriority w:val="99"/>
    <w:semiHidden/>
    <w:rsid w:val="00A93928"/>
    <w:rPr>
      <w:color w:val="808080"/>
    </w:rPr>
  </w:style>
  <w:style w:type="character" w:customStyle="1" w:styleId="Heading2Char">
    <w:name w:val="Heading 2 Char"/>
    <w:basedOn w:val="DefaultParagraphFont"/>
    <w:link w:val="Heading2"/>
    <w:uiPriority w:val="9"/>
    <w:rsid w:val="003412A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412A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509004">
      <w:bodyDiv w:val="1"/>
      <w:marLeft w:val="0"/>
      <w:marRight w:val="0"/>
      <w:marTop w:val="0"/>
      <w:marBottom w:val="0"/>
      <w:divBdr>
        <w:top w:val="none" w:sz="0" w:space="0" w:color="auto"/>
        <w:left w:val="none" w:sz="0" w:space="0" w:color="auto"/>
        <w:bottom w:val="none" w:sz="0" w:space="0" w:color="auto"/>
        <w:right w:val="none" w:sz="0" w:space="0" w:color="auto"/>
      </w:divBdr>
    </w:div>
    <w:div w:id="36703816">
      <w:bodyDiv w:val="1"/>
      <w:marLeft w:val="0"/>
      <w:marRight w:val="0"/>
      <w:marTop w:val="0"/>
      <w:marBottom w:val="0"/>
      <w:divBdr>
        <w:top w:val="none" w:sz="0" w:space="0" w:color="auto"/>
        <w:left w:val="none" w:sz="0" w:space="0" w:color="auto"/>
        <w:bottom w:val="none" w:sz="0" w:space="0" w:color="auto"/>
        <w:right w:val="none" w:sz="0" w:space="0" w:color="auto"/>
      </w:divBdr>
    </w:div>
    <w:div w:id="54622699">
      <w:bodyDiv w:val="1"/>
      <w:marLeft w:val="0"/>
      <w:marRight w:val="0"/>
      <w:marTop w:val="0"/>
      <w:marBottom w:val="0"/>
      <w:divBdr>
        <w:top w:val="none" w:sz="0" w:space="0" w:color="auto"/>
        <w:left w:val="none" w:sz="0" w:space="0" w:color="auto"/>
        <w:bottom w:val="none" w:sz="0" w:space="0" w:color="auto"/>
        <w:right w:val="none" w:sz="0" w:space="0" w:color="auto"/>
      </w:divBdr>
    </w:div>
    <w:div w:id="60636288">
      <w:bodyDiv w:val="1"/>
      <w:marLeft w:val="0"/>
      <w:marRight w:val="0"/>
      <w:marTop w:val="0"/>
      <w:marBottom w:val="0"/>
      <w:divBdr>
        <w:top w:val="none" w:sz="0" w:space="0" w:color="auto"/>
        <w:left w:val="none" w:sz="0" w:space="0" w:color="auto"/>
        <w:bottom w:val="none" w:sz="0" w:space="0" w:color="auto"/>
        <w:right w:val="none" w:sz="0" w:space="0" w:color="auto"/>
      </w:divBdr>
    </w:div>
    <w:div w:id="127090359">
      <w:bodyDiv w:val="1"/>
      <w:marLeft w:val="0"/>
      <w:marRight w:val="0"/>
      <w:marTop w:val="0"/>
      <w:marBottom w:val="0"/>
      <w:divBdr>
        <w:top w:val="none" w:sz="0" w:space="0" w:color="auto"/>
        <w:left w:val="none" w:sz="0" w:space="0" w:color="auto"/>
        <w:bottom w:val="none" w:sz="0" w:space="0" w:color="auto"/>
        <w:right w:val="none" w:sz="0" w:space="0" w:color="auto"/>
      </w:divBdr>
    </w:div>
    <w:div w:id="168565659">
      <w:bodyDiv w:val="1"/>
      <w:marLeft w:val="0"/>
      <w:marRight w:val="0"/>
      <w:marTop w:val="0"/>
      <w:marBottom w:val="0"/>
      <w:divBdr>
        <w:top w:val="none" w:sz="0" w:space="0" w:color="auto"/>
        <w:left w:val="none" w:sz="0" w:space="0" w:color="auto"/>
        <w:bottom w:val="none" w:sz="0" w:space="0" w:color="auto"/>
        <w:right w:val="none" w:sz="0" w:space="0" w:color="auto"/>
      </w:divBdr>
    </w:div>
    <w:div w:id="171647976">
      <w:bodyDiv w:val="1"/>
      <w:marLeft w:val="0"/>
      <w:marRight w:val="0"/>
      <w:marTop w:val="0"/>
      <w:marBottom w:val="0"/>
      <w:divBdr>
        <w:top w:val="none" w:sz="0" w:space="0" w:color="auto"/>
        <w:left w:val="none" w:sz="0" w:space="0" w:color="auto"/>
        <w:bottom w:val="none" w:sz="0" w:space="0" w:color="auto"/>
        <w:right w:val="none" w:sz="0" w:space="0" w:color="auto"/>
      </w:divBdr>
    </w:div>
    <w:div w:id="235362975">
      <w:bodyDiv w:val="1"/>
      <w:marLeft w:val="0"/>
      <w:marRight w:val="0"/>
      <w:marTop w:val="0"/>
      <w:marBottom w:val="0"/>
      <w:divBdr>
        <w:top w:val="none" w:sz="0" w:space="0" w:color="auto"/>
        <w:left w:val="none" w:sz="0" w:space="0" w:color="auto"/>
        <w:bottom w:val="none" w:sz="0" w:space="0" w:color="auto"/>
        <w:right w:val="none" w:sz="0" w:space="0" w:color="auto"/>
      </w:divBdr>
    </w:div>
    <w:div w:id="253364810">
      <w:bodyDiv w:val="1"/>
      <w:marLeft w:val="0"/>
      <w:marRight w:val="0"/>
      <w:marTop w:val="0"/>
      <w:marBottom w:val="0"/>
      <w:divBdr>
        <w:top w:val="none" w:sz="0" w:space="0" w:color="auto"/>
        <w:left w:val="none" w:sz="0" w:space="0" w:color="auto"/>
        <w:bottom w:val="none" w:sz="0" w:space="0" w:color="auto"/>
        <w:right w:val="none" w:sz="0" w:space="0" w:color="auto"/>
      </w:divBdr>
    </w:div>
    <w:div w:id="313996591">
      <w:bodyDiv w:val="1"/>
      <w:marLeft w:val="0"/>
      <w:marRight w:val="0"/>
      <w:marTop w:val="0"/>
      <w:marBottom w:val="0"/>
      <w:divBdr>
        <w:top w:val="none" w:sz="0" w:space="0" w:color="auto"/>
        <w:left w:val="none" w:sz="0" w:space="0" w:color="auto"/>
        <w:bottom w:val="none" w:sz="0" w:space="0" w:color="auto"/>
        <w:right w:val="none" w:sz="0" w:space="0" w:color="auto"/>
      </w:divBdr>
    </w:div>
    <w:div w:id="387068987">
      <w:bodyDiv w:val="1"/>
      <w:marLeft w:val="0"/>
      <w:marRight w:val="0"/>
      <w:marTop w:val="0"/>
      <w:marBottom w:val="0"/>
      <w:divBdr>
        <w:top w:val="none" w:sz="0" w:space="0" w:color="auto"/>
        <w:left w:val="none" w:sz="0" w:space="0" w:color="auto"/>
        <w:bottom w:val="none" w:sz="0" w:space="0" w:color="auto"/>
        <w:right w:val="none" w:sz="0" w:space="0" w:color="auto"/>
      </w:divBdr>
    </w:div>
    <w:div w:id="434831467">
      <w:bodyDiv w:val="1"/>
      <w:marLeft w:val="0"/>
      <w:marRight w:val="0"/>
      <w:marTop w:val="0"/>
      <w:marBottom w:val="0"/>
      <w:divBdr>
        <w:top w:val="none" w:sz="0" w:space="0" w:color="auto"/>
        <w:left w:val="none" w:sz="0" w:space="0" w:color="auto"/>
        <w:bottom w:val="none" w:sz="0" w:space="0" w:color="auto"/>
        <w:right w:val="none" w:sz="0" w:space="0" w:color="auto"/>
      </w:divBdr>
    </w:div>
    <w:div w:id="543908148">
      <w:bodyDiv w:val="1"/>
      <w:marLeft w:val="0"/>
      <w:marRight w:val="0"/>
      <w:marTop w:val="0"/>
      <w:marBottom w:val="0"/>
      <w:divBdr>
        <w:top w:val="none" w:sz="0" w:space="0" w:color="auto"/>
        <w:left w:val="none" w:sz="0" w:space="0" w:color="auto"/>
        <w:bottom w:val="none" w:sz="0" w:space="0" w:color="auto"/>
        <w:right w:val="none" w:sz="0" w:space="0" w:color="auto"/>
      </w:divBdr>
    </w:div>
    <w:div w:id="601644556">
      <w:bodyDiv w:val="1"/>
      <w:marLeft w:val="0"/>
      <w:marRight w:val="0"/>
      <w:marTop w:val="0"/>
      <w:marBottom w:val="0"/>
      <w:divBdr>
        <w:top w:val="none" w:sz="0" w:space="0" w:color="auto"/>
        <w:left w:val="none" w:sz="0" w:space="0" w:color="auto"/>
        <w:bottom w:val="none" w:sz="0" w:space="0" w:color="auto"/>
        <w:right w:val="none" w:sz="0" w:space="0" w:color="auto"/>
      </w:divBdr>
    </w:div>
    <w:div w:id="616645020">
      <w:bodyDiv w:val="1"/>
      <w:marLeft w:val="0"/>
      <w:marRight w:val="0"/>
      <w:marTop w:val="0"/>
      <w:marBottom w:val="0"/>
      <w:divBdr>
        <w:top w:val="none" w:sz="0" w:space="0" w:color="auto"/>
        <w:left w:val="none" w:sz="0" w:space="0" w:color="auto"/>
        <w:bottom w:val="none" w:sz="0" w:space="0" w:color="auto"/>
        <w:right w:val="none" w:sz="0" w:space="0" w:color="auto"/>
      </w:divBdr>
    </w:div>
    <w:div w:id="618149117">
      <w:bodyDiv w:val="1"/>
      <w:marLeft w:val="0"/>
      <w:marRight w:val="0"/>
      <w:marTop w:val="0"/>
      <w:marBottom w:val="0"/>
      <w:divBdr>
        <w:top w:val="none" w:sz="0" w:space="0" w:color="auto"/>
        <w:left w:val="none" w:sz="0" w:space="0" w:color="auto"/>
        <w:bottom w:val="none" w:sz="0" w:space="0" w:color="auto"/>
        <w:right w:val="none" w:sz="0" w:space="0" w:color="auto"/>
      </w:divBdr>
    </w:div>
    <w:div w:id="627080746">
      <w:bodyDiv w:val="1"/>
      <w:marLeft w:val="0"/>
      <w:marRight w:val="0"/>
      <w:marTop w:val="0"/>
      <w:marBottom w:val="0"/>
      <w:divBdr>
        <w:top w:val="none" w:sz="0" w:space="0" w:color="auto"/>
        <w:left w:val="none" w:sz="0" w:space="0" w:color="auto"/>
        <w:bottom w:val="none" w:sz="0" w:space="0" w:color="auto"/>
        <w:right w:val="none" w:sz="0" w:space="0" w:color="auto"/>
      </w:divBdr>
    </w:div>
    <w:div w:id="632909311">
      <w:bodyDiv w:val="1"/>
      <w:marLeft w:val="0"/>
      <w:marRight w:val="0"/>
      <w:marTop w:val="0"/>
      <w:marBottom w:val="0"/>
      <w:divBdr>
        <w:top w:val="none" w:sz="0" w:space="0" w:color="auto"/>
        <w:left w:val="none" w:sz="0" w:space="0" w:color="auto"/>
        <w:bottom w:val="none" w:sz="0" w:space="0" w:color="auto"/>
        <w:right w:val="none" w:sz="0" w:space="0" w:color="auto"/>
      </w:divBdr>
    </w:div>
    <w:div w:id="668217377">
      <w:bodyDiv w:val="1"/>
      <w:marLeft w:val="0"/>
      <w:marRight w:val="0"/>
      <w:marTop w:val="0"/>
      <w:marBottom w:val="0"/>
      <w:divBdr>
        <w:top w:val="none" w:sz="0" w:space="0" w:color="auto"/>
        <w:left w:val="none" w:sz="0" w:space="0" w:color="auto"/>
        <w:bottom w:val="none" w:sz="0" w:space="0" w:color="auto"/>
        <w:right w:val="none" w:sz="0" w:space="0" w:color="auto"/>
      </w:divBdr>
    </w:div>
    <w:div w:id="739868442">
      <w:bodyDiv w:val="1"/>
      <w:marLeft w:val="0"/>
      <w:marRight w:val="0"/>
      <w:marTop w:val="0"/>
      <w:marBottom w:val="0"/>
      <w:divBdr>
        <w:top w:val="none" w:sz="0" w:space="0" w:color="auto"/>
        <w:left w:val="none" w:sz="0" w:space="0" w:color="auto"/>
        <w:bottom w:val="none" w:sz="0" w:space="0" w:color="auto"/>
        <w:right w:val="none" w:sz="0" w:space="0" w:color="auto"/>
      </w:divBdr>
    </w:div>
    <w:div w:id="823082765">
      <w:bodyDiv w:val="1"/>
      <w:marLeft w:val="0"/>
      <w:marRight w:val="0"/>
      <w:marTop w:val="0"/>
      <w:marBottom w:val="0"/>
      <w:divBdr>
        <w:top w:val="none" w:sz="0" w:space="0" w:color="auto"/>
        <w:left w:val="none" w:sz="0" w:space="0" w:color="auto"/>
        <w:bottom w:val="none" w:sz="0" w:space="0" w:color="auto"/>
        <w:right w:val="none" w:sz="0" w:space="0" w:color="auto"/>
      </w:divBdr>
    </w:div>
    <w:div w:id="830484684">
      <w:bodyDiv w:val="1"/>
      <w:marLeft w:val="0"/>
      <w:marRight w:val="0"/>
      <w:marTop w:val="0"/>
      <w:marBottom w:val="0"/>
      <w:divBdr>
        <w:top w:val="none" w:sz="0" w:space="0" w:color="auto"/>
        <w:left w:val="none" w:sz="0" w:space="0" w:color="auto"/>
        <w:bottom w:val="none" w:sz="0" w:space="0" w:color="auto"/>
        <w:right w:val="none" w:sz="0" w:space="0" w:color="auto"/>
      </w:divBdr>
    </w:div>
    <w:div w:id="950429062">
      <w:bodyDiv w:val="1"/>
      <w:marLeft w:val="0"/>
      <w:marRight w:val="0"/>
      <w:marTop w:val="0"/>
      <w:marBottom w:val="0"/>
      <w:divBdr>
        <w:top w:val="none" w:sz="0" w:space="0" w:color="auto"/>
        <w:left w:val="none" w:sz="0" w:space="0" w:color="auto"/>
        <w:bottom w:val="none" w:sz="0" w:space="0" w:color="auto"/>
        <w:right w:val="none" w:sz="0" w:space="0" w:color="auto"/>
      </w:divBdr>
    </w:div>
    <w:div w:id="957762821">
      <w:bodyDiv w:val="1"/>
      <w:marLeft w:val="0"/>
      <w:marRight w:val="0"/>
      <w:marTop w:val="0"/>
      <w:marBottom w:val="0"/>
      <w:divBdr>
        <w:top w:val="none" w:sz="0" w:space="0" w:color="auto"/>
        <w:left w:val="none" w:sz="0" w:space="0" w:color="auto"/>
        <w:bottom w:val="none" w:sz="0" w:space="0" w:color="auto"/>
        <w:right w:val="none" w:sz="0" w:space="0" w:color="auto"/>
      </w:divBdr>
    </w:div>
    <w:div w:id="994841228">
      <w:bodyDiv w:val="1"/>
      <w:marLeft w:val="0"/>
      <w:marRight w:val="0"/>
      <w:marTop w:val="0"/>
      <w:marBottom w:val="0"/>
      <w:divBdr>
        <w:top w:val="none" w:sz="0" w:space="0" w:color="auto"/>
        <w:left w:val="none" w:sz="0" w:space="0" w:color="auto"/>
        <w:bottom w:val="none" w:sz="0" w:space="0" w:color="auto"/>
        <w:right w:val="none" w:sz="0" w:space="0" w:color="auto"/>
      </w:divBdr>
    </w:div>
    <w:div w:id="1007904497">
      <w:bodyDiv w:val="1"/>
      <w:marLeft w:val="0"/>
      <w:marRight w:val="0"/>
      <w:marTop w:val="0"/>
      <w:marBottom w:val="0"/>
      <w:divBdr>
        <w:top w:val="none" w:sz="0" w:space="0" w:color="auto"/>
        <w:left w:val="none" w:sz="0" w:space="0" w:color="auto"/>
        <w:bottom w:val="none" w:sz="0" w:space="0" w:color="auto"/>
        <w:right w:val="none" w:sz="0" w:space="0" w:color="auto"/>
      </w:divBdr>
    </w:div>
    <w:div w:id="1102342882">
      <w:bodyDiv w:val="1"/>
      <w:marLeft w:val="0"/>
      <w:marRight w:val="0"/>
      <w:marTop w:val="0"/>
      <w:marBottom w:val="0"/>
      <w:divBdr>
        <w:top w:val="none" w:sz="0" w:space="0" w:color="auto"/>
        <w:left w:val="none" w:sz="0" w:space="0" w:color="auto"/>
        <w:bottom w:val="none" w:sz="0" w:space="0" w:color="auto"/>
        <w:right w:val="none" w:sz="0" w:space="0" w:color="auto"/>
      </w:divBdr>
    </w:div>
    <w:div w:id="1154952067">
      <w:bodyDiv w:val="1"/>
      <w:marLeft w:val="0"/>
      <w:marRight w:val="0"/>
      <w:marTop w:val="0"/>
      <w:marBottom w:val="0"/>
      <w:divBdr>
        <w:top w:val="none" w:sz="0" w:space="0" w:color="auto"/>
        <w:left w:val="none" w:sz="0" w:space="0" w:color="auto"/>
        <w:bottom w:val="none" w:sz="0" w:space="0" w:color="auto"/>
        <w:right w:val="none" w:sz="0" w:space="0" w:color="auto"/>
      </w:divBdr>
    </w:div>
    <w:div w:id="1155225499">
      <w:bodyDiv w:val="1"/>
      <w:marLeft w:val="0"/>
      <w:marRight w:val="0"/>
      <w:marTop w:val="0"/>
      <w:marBottom w:val="0"/>
      <w:divBdr>
        <w:top w:val="none" w:sz="0" w:space="0" w:color="auto"/>
        <w:left w:val="none" w:sz="0" w:space="0" w:color="auto"/>
        <w:bottom w:val="none" w:sz="0" w:space="0" w:color="auto"/>
        <w:right w:val="none" w:sz="0" w:space="0" w:color="auto"/>
      </w:divBdr>
    </w:div>
    <w:div w:id="1162165811">
      <w:bodyDiv w:val="1"/>
      <w:marLeft w:val="0"/>
      <w:marRight w:val="0"/>
      <w:marTop w:val="0"/>
      <w:marBottom w:val="0"/>
      <w:divBdr>
        <w:top w:val="none" w:sz="0" w:space="0" w:color="auto"/>
        <w:left w:val="none" w:sz="0" w:space="0" w:color="auto"/>
        <w:bottom w:val="none" w:sz="0" w:space="0" w:color="auto"/>
        <w:right w:val="none" w:sz="0" w:space="0" w:color="auto"/>
      </w:divBdr>
    </w:div>
    <w:div w:id="1173178456">
      <w:bodyDiv w:val="1"/>
      <w:marLeft w:val="0"/>
      <w:marRight w:val="0"/>
      <w:marTop w:val="0"/>
      <w:marBottom w:val="0"/>
      <w:divBdr>
        <w:top w:val="none" w:sz="0" w:space="0" w:color="auto"/>
        <w:left w:val="none" w:sz="0" w:space="0" w:color="auto"/>
        <w:bottom w:val="none" w:sz="0" w:space="0" w:color="auto"/>
        <w:right w:val="none" w:sz="0" w:space="0" w:color="auto"/>
      </w:divBdr>
    </w:div>
    <w:div w:id="1206796368">
      <w:bodyDiv w:val="1"/>
      <w:marLeft w:val="0"/>
      <w:marRight w:val="0"/>
      <w:marTop w:val="0"/>
      <w:marBottom w:val="0"/>
      <w:divBdr>
        <w:top w:val="none" w:sz="0" w:space="0" w:color="auto"/>
        <w:left w:val="none" w:sz="0" w:space="0" w:color="auto"/>
        <w:bottom w:val="none" w:sz="0" w:space="0" w:color="auto"/>
        <w:right w:val="none" w:sz="0" w:space="0" w:color="auto"/>
      </w:divBdr>
    </w:div>
    <w:div w:id="1210919270">
      <w:bodyDiv w:val="1"/>
      <w:marLeft w:val="0"/>
      <w:marRight w:val="0"/>
      <w:marTop w:val="0"/>
      <w:marBottom w:val="0"/>
      <w:divBdr>
        <w:top w:val="none" w:sz="0" w:space="0" w:color="auto"/>
        <w:left w:val="none" w:sz="0" w:space="0" w:color="auto"/>
        <w:bottom w:val="none" w:sz="0" w:space="0" w:color="auto"/>
        <w:right w:val="none" w:sz="0" w:space="0" w:color="auto"/>
      </w:divBdr>
    </w:div>
    <w:div w:id="1267230398">
      <w:bodyDiv w:val="1"/>
      <w:marLeft w:val="0"/>
      <w:marRight w:val="0"/>
      <w:marTop w:val="0"/>
      <w:marBottom w:val="0"/>
      <w:divBdr>
        <w:top w:val="none" w:sz="0" w:space="0" w:color="auto"/>
        <w:left w:val="none" w:sz="0" w:space="0" w:color="auto"/>
        <w:bottom w:val="none" w:sz="0" w:space="0" w:color="auto"/>
        <w:right w:val="none" w:sz="0" w:space="0" w:color="auto"/>
      </w:divBdr>
    </w:div>
    <w:div w:id="1338651728">
      <w:bodyDiv w:val="1"/>
      <w:marLeft w:val="0"/>
      <w:marRight w:val="0"/>
      <w:marTop w:val="0"/>
      <w:marBottom w:val="0"/>
      <w:divBdr>
        <w:top w:val="none" w:sz="0" w:space="0" w:color="auto"/>
        <w:left w:val="none" w:sz="0" w:space="0" w:color="auto"/>
        <w:bottom w:val="none" w:sz="0" w:space="0" w:color="auto"/>
        <w:right w:val="none" w:sz="0" w:space="0" w:color="auto"/>
      </w:divBdr>
    </w:div>
    <w:div w:id="1360736824">
      <w:bodyDiv w:val="1"/>
      <w:marLeft w:val="0"/>
      <w:marRight w:val="0"/>
      <w:marTop w:val="0"/>
      <w:marBottom w:val="0"/>
      <w:divBdr>
        <w:top w:val="none" w:sz="0" w:space="0" w:color="auto"/>
        <w:left w:val="none" w:sz="0" w:space="0" w:color="auto"/>
        <w:bottom w:val="none" w:sz="0" w:space="0" w:color="auto"/>
        <w:right w:val="none" w:sz="0" w:space="0" w:color="auto"/>
      </w:divBdr>
    </w:div>
    <w:div w:id="1434788774">
      <w:bodyDiv w:val="1"/>
      <w:marLeft w:val="0"/>
      <w:marRight w:val="0"/>
      <w:marTop w:val="0"/>
      <w:marBottom w:val="0"/>
      <w:divBdr>
        <w:top w:val="none" w:sz="0" w:space="0" w:color="auto"/>
        <w:left w:val="none" w:sz="0" w:space="0" w:color="auto"/>
        <w:bottom w:val="none" w:sz="0" w:space="0" w:color="auto"/>
        <w:right w:val="none" w:sz="0" w:space="0" w:color="auto"/>
      </w:divBdr>
    </w:div>
    <w:div w:id="1511023839">
      <w:bodyDiv w:val="1"/>
      <w:marLeft w:val="0"/>
      <w:marRight w:val="0"/>
      <w:marTop w:val="0"/>
      <w:marBottom w:val="0"/>
      <w:divBdr>
        <w:top w:val="none" w:sz="0" w:space="0" w:color="auto"/>
        <w:left w:val="none" w:sz="0" w:space="0" w:color="auto"/>
        <w:bottom w:val="none" w:sz="0" w:space="0" w:color="auto"/>
        <w:right w:val="none" w:sz="0" w:space="0" w:color="auto"/>
      </w:divBdr>
    </w:div>
    <w:div w:id="1518815423">
      <w:bodyDiv w:val="1"/>
      <w:marLeft w:val="0"/>
      <w:marRight w:val="0"/>
      <w:marTop w:val="0"/>
      <w:marBottom w:val="0"/>
      <w:divBdr>
        <w:top w:val="none" w:sz="0" w:space="0" w:color="auto"/>
        <w:left w:val="none" w:sz="0" w:space="0" w:color="auto"/>
        <w:bottom w:val="none" w:sz="0" w:space="0" w:color="auto"/>
        <w:right w:val="none" w:sz="0" w:space="0" w:color="auto"/>
      </w:divBdr>
    </w:div>
    <w:div w:id="1521622468">
      <w:bodyDiv w:val="1"/>
      <w:marLeft w:val="0"/>
      <w:marRight w:val="0"/>
      <w:marTop w:val="0"/>
      <w:marBottom w:val="0"/>
      <w:divBdr>
        <w:top w:val="none" w:sz="0" w:space="0" w:color="auto"/>
        <w:left w:val="none" w:sz="0" w:space="0" w:color="auto"/>
        <w:bottom w:val="none" w:sz="0" w:space="0" w:color="auto"/>
        <w:right w:val="none" w:sz="0" w:space="0" w:color="auto"/>
      </w:divBdr>
    </w:div>
    <w:div w:id="1524050244">
      <w:bodyDiv w:val="1"/>
      <w:marLeft w:val="0"/>
      <w:marRight w:val="0"/>
      <w:marTop w:val="0"/>
      <w:marBottom w:val="0"/>
      <w:divBdr>
        <w:top w:val="none" w:sz="0" w:space="0" w:color="auto"/>
        <w:left w:val="none" w:sz="0" w:space="0" w:color="auto"/>
        <w:bottom w:val="none" w:sz="0" w:space="0" w:color="auto"/>
        <w:right w:val="none" w:sz="0" w:space="0" w:color="auto"/>
      </w:divBdr>
    </w:div>
    <w:div w:id="1573127168">
      <w:bodyDiv w:val="1"/>
      <w:marLeft w:val="0"/>
      <w:marRight w:val="0"/>
      <w:marTop w:val="0"/>
      <w:marBottom w:val="0"/>
      <w:divBdr>
        <w:top w:val="none" w:sz="0" w:space="0" w:color="auto"/>
        <w:left w:val="none" w:sz="0" w:space="0" w:color="auto"/>
        <w:bottom w:val="none" w:sz="0" w:space="0" w:color="auto"/>
        <w:right w:val="none" w:sz="0" w:space="0" w:color="auto"/>
      </w:divBdr>
    </w:div>
    <w:div w:id="1595242637">
      <w:bodyDiv w:val="1"/>
      <w:marLeft w:val="0"/>
      <w:marRight w:val="0"/>
      <w:marTop w:val="0"/>
      <w:marBottom w:val="0"/>
      <w:divBdr>
        <w:top w:val="none" w:sz="0" w:space="0" w:color="auto"/>
        <w:left w:val="none" w:sz="0" w:space="0" w:color="auto"/>
        <w:bottom w:val="none" w:sz="0" w:space="0" w:color="auto"/>
        <w:right w:val="none" w:sz="0" w:space="0" w:color="auto"/>
      </w:divBdr>
    </w:div>
    <w:div w:id="1608733573">
      <w:bodyDiv w:val="1"/>
      <w:marLeft w:val="0"/>
      <w:marRight w:val="0"/>
      <w:marTop w:val="0"/>
      <w:marBottom w:val="0"/>
      <w:divBdr>
        <w:top w:val="none" w:sz="0" w:space="0" w:color="auto"/>
        <w:left w:val="none" w:sz="0" w:space="0" w:color="auto"/>
        <w:bottom w:val="none" w:sz="0" w:space="0" w:color="auto"/>
        <w:right w:val="none" w:sz="0" w:space="0" w:color="auto"/>
      </w:divBdr>
    </w:div>
    <w:div w:id="1813787606">
      <w:bodyDiv w:val="1"/>
      <w:marLeft w:val="0"/>
      <w:marRight w:val="0"/>
      <w:marTop w:val="0"/>
      <w:marBottom w:val="0"/>
      <w:divBdr>
        <w:top w:val="none" w:sz="0" w:space="0" w:color="auto"/>
        <w:left w:val="none" w:sz="0" w:space="0" w:color="auto"/>
        <w:bottom w:val="none" w:sz="0" w:space="0" w:color="auto"/>
        <w:right w:val="none" w:sz="0" w:space="0" w:color="auto"/>
      </w:divBdr>
    </w:div>
    <w:div w:id="1842506476">
      <w:bodyDiv w:val="1"/>
      <w:marLeft w:val="0"/>
      <w:marRight w:val="0"/>
      <w:marTop w:val="0"/>
      <w:marBottom w:val="0"/>
      <w:divBdr>
        <w:top w:val="none" w:sz="0" w:space="0" w:color="auto"/>
        <w:left w:val="none" w:sz="0" w:space="0" w:color="auto"/>
        <w:bottom w:val="none" w:sz="0" w:space="0" w:color="auto"/>
        <w:right w:val="none" w:sz="0" w:space="0" w:color="auto"/>
      </w:divBdr>
    </w:div>
    <w:div w:id="1856530515">
      <w:bodyDiv w:val="1"/>
      <w:marLeft w:val="0"/>
      <w:marRight w:val="0"/>
      <w:marTop w:val="0"/>
      <w:marBottom w:val="0"/>
      <w:divBdr>
        <w:top w:val="none" w:sz="0" w:space="0" w:color="auto"/>
        <w:left w:val="none" w:sz="0" w:space="0" w:color="auto"/>
        <w:bottom w:val="none" w:sz="0" w:space="0" w:color="auto"/>
        <w:right w:val="none" w:sz="0" w:space="0" w:color="auto"/>
      </w:divBdr>
    </w:div>
    <w:div w:id="1864975359">
      <w:bodyDiv w:val="1"/>
      <w:marLeft w:val="0"/>
      <w:marRight w:val="0"/>
      <w:marTop w:val="0"/>
      <w:marBottom w:val="0"/>
      <w:divBdr>
        <w:top w:val="none" w:sz="0" w:space="0" w:color="auto"/>
        <w:left w:val="none" w:sz="0" w:space="0" w:color="auto"/>
        <w:bottom w:val="none" w:sz="0" w:space="0" w:color="auto"/>
        <w:right w:val="none" w:sz="0" w:space="0" w:color="auto"/>
      </w:divBdr>
    </w:div>
    <w:div w:id="1892617884">
      <w:bodyDiv w:val="1"/>
      <w:marLeft w:val="0"/>
      <w:marRight w:val="0"/>
      <w:marTop w:val="0"/>
      <w:marBottom w:val="0"/>
      <w:divBdr>
        <w:top w:val="none" w:sz="0" w:space="0" w:color="auto"/>
        <w:left w:val="none" w:sz="0" w:space="0" w:color="auto"/>
        <w:bottom w:val="none" w:sz="0" w:space="0" w:color="auto"/>
        <w:right w:val="none" w:sz="0" w:space="0" w:color="auto"/>
      </w:divBdr>
    </w:div>
    <w:div w:id="1902517157">
      <w:bodyDiv w:val="1"/>
      <w:marLeft w:val="0"/>
      <w:marRight w:val="0"/>
      <w:marTop w:val="0"/>
      <w:marBottom w:val="0"/>
      <w:divBdr>
        <w:top w:val="none" w:sz="0" w:space="0" w:color="auto"/>
        <w:left w:val="none" w:sz="0" w:space="0" w:color="auto"/>
        <w:bottom w:val="none" w:sz="0" w:space="0" w:color="auto"/>
        <w:right w:val="none" w:sz="0" w:space="0" w:color="auto"/>
      </w:divBdr>
    </w:div>
    <w:div w:id="2025588178">
      <w:bodyDiv w:val="1"/>
      <w:marLeft w:val="0"/>
      <w:marRight w:val="0"/>
      <w:marTop w:val="0"/>
      <w:marBottom w:val="0"/>
      <w:divBdr>
        <w:top w:val="none" w:sz="0" w:space="0" w:color="auto"/>
        <w:left w:val="none" w:sz="0" w:space="0" w:color="auto"/>
        <w:bottom w:val="none" w:sz="0" w:space="0" w:color="auto"/>
        <w:right w:val="none" w:sz="0" w:space="0" w:color="auto"/>
      </w:divBdr>
    </w:div>
    <w:div w:id="2027444160">
      <w:bodyDiv w:val="1"/>
      <w:marLeft w:val="0"/>
      <w:marRight w:val="0"/>
      <w:marTop w:val="0"/>
      <w:marBottom w:val="0"/>
      <w:divBdr>
        <w:top w:val="none" w:sz="0" w:space="0" w:color="auto"/>
        <w:left w:val="none" w:sz="0" w:space="0" w:color="auto"/>
        <w:bottom w:val="none" w:sz="0" w:space="0" w:color="auto"/>
        <w:right w:val="none" w:sz="0" w:space="0" w:color="auto"/>
      </w:divBdr>
    </w:div>
    <w:div w:id="2067799776">
      <w:bodyDiv w:val="1"/>
      <w:marLeft w:val="0"/>
      <w:marRight w:val="0"/>
      <w:marTop w:val="0"/>
      <w:marBottom w:val="0"/>
      <w:divBdr>
        <w:top w:val="none" w:sz="0" w:space="0" w:color="auto"/>
        <w:left w:val="none" w:sz="0" w:space="0" w:color="auto"/>
        <w:bottom w:val="none" w:sz="0" w:space="0" w:color="auto"/>
        <w:right w:val="none" w:sz="0" w:space="0" w:color="auto"/>
      </w:divBdr>
    </w:div>
    <w:div w:id="2099598476">
      <w:bodyDiv w:val="1"/>
      <w:marLeft w:val="0"/>
      <w:marRight w:val="0"/>
      <w:marTop w:val="0"/>
      <w:marBottom w:val="0"/>
      <w:divBdr>
        <w:top w:val="none" w:sz="0" w:space="0" w:color="auto"/>
        <w:left w:val="none" w:sz="0" w:space="0" w:color="auto"/>
        <w:bottom w:val="none" w:sz="0" w:space="0" w:color="auto"/>
        <w:right w:val="none" w:sz="0" w:space="0" w:color="auto"/>
      </w:divBdr>
    </w:div>
    <w:div w:id="214519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index.aspx?articleid=1711"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emp-law/discipline/factshee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cas.org.uk/disciplinary-and-grievance-procedur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ipd.co.uk/knowledge/fundamentals/emp-law/terms-conditions/contracts-factshe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CIP222</b:Tag>
    <b:SourceType>DocumentFromInternetSite</b:SourceType>
    <b:Guid>{3391F723-4203-4A86-920A-6B3278BEF5DB}</b:Guid>
    <b:Title>employment law</b:Title>
    <b:Year>2022</b:Year>
    <b:Author>
      <b:Author>
        <b:NameList>
          <b:Person>
            <b:Last>CIPD</b:Last>
          </b:Person>
        </b:NameList>
      </b:Author>
    </b:Author>
    <b:InternetSiteTitle>CIPD</b:InternetSiteTitle>
    <b:Month>03</b:Month>
    <b:Day>04</b:Day>
    <b:URL>https://www.cipd.co.uk/knowledge/fundamentals/emp-law</b:URL>
    <b:RefOrder>9</b:RefOrder>
  </b:Source>
  <b:Source>
    <b:Tag>CIP212</b:Tag>
    <b:SourceType>JournalArticle</b:SourceType>
    <b:Guid>{38CEFA8F-0A02-493F-8AEC-0C7CB544D4B8}</b:Guid>
    <b:Title>Inclusion and diversity in the workplace</b:Title>
    <b:Year>2021</b:Year>
    <b:Author>
      <b:Author>
        <b:Corporate>CIPD</b:Corporate>
      </b:Author>
    </b:Author>
    <b:JournalName>CIPD</b:JournalName>
    <b:Pages>5</b:Pages>
    <b:RefOrder>15</b:RefOrder>
  </b:Source>
  <b:Source>
    <b:Tag>ACA22</b:Tag>
    <b:SourceType>InternetSite</b:SourceType>
    <b:Guid>{DB9FA947-F236-4540-A54A-7C4883608804}</b:Guid>
    <b:InternetSiteTitle>ACAS</b:InternetSiteTitle>
    <b:Year>2022</b:Year>
    <b:Month>03</b:Month>
    <b:Day>14</b:Day>
    <b:URL>https://www.acas.org.uk/arbitration</b:URL>
    <b:RefOrder>7</b:RefOrder>
  </b:Source>
  <b:Source>
    <b:Tag>Gov22</b:Tag>
    <b:SourceType>InternetSite</b:SourceType>
    <b:Guid>{D941B697-FB25-48D4-B9C4-4DED400E01C7}</b:Guid>
    <b:Title>Gov.uk</b:Title>
    <b:InternetSiteTitle>Gov.uk</b:InternetSiteTitle>
    <b:Year>2022</b:Year>
    <b:Month>03</b:Month>
    <b:Day>11</b:Day>
    <b:URL>https://www.gov.uk/</b:URL>
    <b:RefOrder>16</b:RefOrder>
  </b:Source>
  <b:Source>
    <b:Tag>Gov221</b:Tag>
    <b:SourceType>InternetSite</b:SourceType>
    <b:Guid>{AEBAD649-226A-4FFB-B87D-D16EEFF665BA}</b:Guid>
    <b:Title>Gov.uk</b:Title>
    <b:InternetSiteTitle>Equality Act 2010</b:InternetSiteTitle>
    <b:Year>2022</b:Year>
    <b:Month>03</b:Month>
    <b:Day>25</b:Day>
    <b:URL>https://www.gov.uk/guidance/equality-act-2010-guidance</b:URL>
    <b:RefOrder>17</b:RefOrder>
  </b:Source>
  <b:Source>
    <b:Tag>Tho22</b:Tag>
    <b:SourceType>InternetSite</b:SourceType>
    <b:Guid>{1A636B27-F778-4661-9B60-C661FF18DB68}</b:Guid>
    <b:InternetSiteTitle>Thompson Trade Union</b:InternetSiteTitle>
    <b:Year>2022</b:Year>
    <b:Month>03</b:Month>
    <b:Day>24</b:Day>
    <b:URL>https://www.thompsonstradeunion.law/media/1165/equal-pay-a-summary-of-the-law-thompsons-solicitors.pdf</b:URL>
    <b:RefOrder>18</b:RefOrder>
  </b:Source>
  <b:Source>
    <b:Tag>Bov20</b:Tag>
    <b:SourceType>Book</b:SourceType>
    <b:Guid>{F8586095-A486-402F-A44B-E72B26D1B81B}</b:Guid>
    <b:Title>Business Communication Today</b:Title>
    <b:Year>2020</b:Year>
    <b:City>United Kingdom</b:City>
    <b:Publisher>Pearson Education Limited</b:Publisher>
    <b:Author>
      <b:Author>
        <b:Corporate>Bovee, C. and Thill, J</b:Corporate>
      </b:Author>
    </b:Author>
    <b:RefOrder>19</b:RefOrder>
  </b:Source>
  <b:Source>
    <b:Tag>CIP223</b:Tag>
    <b:SourceType>DocumentFromInternetSite</b:SourceType>
    <b:Guid>{9B018D79-9AB3-4989-9E3C-E1889551E568}</b:Guid>
    <b:Year>2022</b:Year>
    <b:InternetSiteTitle>CIPD</b:InternetSiteTitle>
    <b:Month>03</b:Month>
    <b:Day>14</b:Day>
    <b:URL>https://www.cipd.co.uk/knowledge/fundamentals/emp-law/redundancy/factsheet</b:URL>
    <b:RefOrder>20</b:RefOrder>
  </b:Source>
  <b:Source>
    <b:Tag>Han21</b:Tag>
    <b:SourceType>Book</b:SourceType>
    <b:Guid>{EE4EFD11-8EB0-4460-B6F7-9DE03BEF4BB9}</b:Guid>
    <b:Title>Handbook on HR Process Research.</b:Title>
    <b:Year>2021</b:Year>
    <b:City>United States</b:City>
    <b:Publisher>Edward Elgar Publishing Limited.</b:Publisher>
    <b:RefOrder>1</b:RefOrder>
  </b:Source>
  <b:Source>
    <b:Tag>Bai19</b:Tag>
    <b:SourceType>JournalArticle</b:SourceType>
    <b:Guid>{AAD349AF-7300-4281-9FD6-47C474311CE1}</b:Guid>
    <b:Author>
      <b:Author>
        <b:Corporate>Bai, Y., Lin, L. and Liu, J.T</b:Corporate>
      </b:Author>
    </b:Author>
    <b:Title>Leveraging the employee voice: a multi-level social learning perspective of ethical leadership</b:Title>
    <b:Year>2019</b:Year>
    <b:JournalName>The International Journal of Human Resource Management</b:JournalName>
    <b:Pages>1869-1901</b:Pages>
    <b:RefOrder>2</b:RefOrder>
  </b:Source>
  <b:Source>
    <b:Tag>Sak</b:Tag>
    <b:SourceType>JournalArticle</b:SourceType>
    <b:Guid>{0D87949C-2816-4174-9241-AC4DD146A8BA}</b:Guid>
    <b:Author>
      <b:Author>
        <b:Corporate>Saks, A.M</b:Corporate>
      </b:Author>
    </b:Author>
    <b:Title>Antecedents and consequences of employee engagement revisited.</b:Title>
    <b:JournalName>Journal of Organisational Effectiveness: People and Performance.</b:JournalName>
    <b:Year>2019</b:Year>
    <b:RefOrder>3</b:RefOrder>
  </b:Source>
  <b:Source>
    <b:Tag>Hol18</b:Tag>
    <b:SourceType>JournalArticle</b:SourceType>
    <b:Guid>{E42CAE6E-2A26-4F97-A9ED-BFC28233F79C}</b:Guid>
    <b:Author>
      <b:Author>
        <b:NameList>
          <b:Person>
            <b:Last>Holbeche</b:Last>
            <b:First>L.S.</b:First>
          </b:Person>
        </b:NameList>
      </b:Author>
    </b:Author>
    <b:Title>Organisational effectiveness and agility. </b:Title>
    <b:JournalName>Journal of Organisational Effectiveness: People and Performance.</b:JournalName>
    <b:Year>2018</b:Year>
    <b:RefOrder>4</b:RefOrder>
  </b:Source>
  <b:Source>
    <b:Tag>Jia18</b:Tag>
    <b:SourceType>JournalArticle</b:SourceType>
    <b:Guid>{1F562576-6B48-4B86-BFAA-F6F9A403542D}</b:Guid>
    <b:Author>
      <b:Author>
        <b:Corporate>Jiang, H. and Luo, Y., </b:Corporate>
      </b:Author>
    </b:Author>
    <b:Title>Crafting employee trust: from authenticity, transparency to engagement</b:Title>
    <b:JournalName>Journal of Communication Management.</b:JournalName>
    <b:Year>2018.</b:Year>
    <b:RefOrder>5</b:RefOrder>
  </b:Source>
  <b:Source>
    <b:Tag>Ego01</b:Tag>
    <b:SourceType>Book</b:SourceType>
    <b:Guid>{60A540D2-6C6D-4819-A75F-2B6523E52B0F}</b:Guid>
    <b:Title>Forming, Storming, Norming, Performing: Successful Communication in Groups and Teams</b:Title>
    <b:Year>2001</b:Year>
    <b:Author>
      <b:Author>
        <b:NameList>
          <b:Person>
            <b:Last>Egolf</b:Last>
            <b:First>D.B</b:First>
          </b:Person>
        </b:NameList>
      </b:Author>
    </b:Author>
    <b:City>Lincoln, USA</b:City>
    <b:Publisher>Writers Club Press</b:Publisher>
    <b:RefOrder>6</b:RefOrder>
  </b:Source>
  <b:Source>
    <b:Tag>Nas20</b:Tag>
    <b:SourceType>JournalArticle</b:SourceType>
    <b:Guid>{D3362034-E984-4336-905D-1939D9F86A74}</b:Guid>
    <b:Title>Strategic conflict management? A study of workplace dispute resolution in Wales</b:Title>
    <b:Year>2020</b:Year>
    <b:Author>
      <b:Author>
        <b:Corporate> Nash, D. and Hann, D.</b:Corporate>
      </b:Author>
    </b:Author>
    <b:JournalName>ILR Review, 73(2),</b:JournalName>
    <b:Pages>411-430.</b:Pages>
    <b:RefOrder>8</b:RefOrder>
  </b:Source>
  <b:Source>
    <b:Tag>Sar18</b:Tag>
    <b:SourceType>JournalArticle</b:SourceType>
    <b:Guid>{53BCBD05-A031-4ACF-8255-9C040E753582}</b:Guid>
    <b:Author>
      <b:Author>
        <b:Corporate>Sarvaiya, H., Eweje, G. and Arrowsmith, J.</b:Corporate>
      </b:Author>
    </b:Author>
    <b:Title>The roles of HRM in CSR: strategic partnership or operational support? </b:Title>
    <b:JournalName>Journal of Business Ethics, 153(3)</b:JournalName>
    <b:Year>2018</b:Year>
    <b:Pages>825-837</b:Pages>
    <b:RefOrder>10</b:RefOrder>
  </b:Source>
  <b:Source>
    <b:Tag>Dob20</b:Tag>
    <b:SourceType>BookSection</b:SourceType>
    <b:Guid>{818E70F0-C03D-4477-8145-FA4D3C45F722}</b:Guid>
    <b:Title>Non-union employee representation.</b:Title>
    <b:Year>2020</b:Year>
    <b:Author>
      <b:Author>
        <b:NameList>
          <b:Person>
            <b:Last>Dobbins</b:Last>
            <b:First>T.</b:First>
            <b:Middle>and Dundon, T.,</b:Middle>
          </b:Person>
        </b:NameList>
      </b:Author>
      <b:BookAuthor>
        <b:NameList>
          <b:Person>
            <b:Last>Dobbins</b:Last>
            <b:First>T.</b:First>
            <b:Middle>and Dundon, T.,</b:Middle>
          </b:Person>
        </b:NameList>
      </b:BookAuthor>
    </b:Author>
    <b:BookTitle>In Handbook of research on employee voice.</b:BookTitle>
    <b:Publisher>Edward Elgar Publishing.</b:Publisher>
    <b:RefOrder>11</b:RefOrder>
  </b:Source>
  <b:Source>
    <b:Tag>Wan18</b:Tag>
    <b:SourceType>JournalArticle</b:SourceType>
    <b:Guid>{04DC7B5E-015E-49C4-A8C3-0BEB22B9064C}</b:Guid>
    <b:Title>How transformational leadership influences employee voice behaviour: The roles of psychological capital and organisational identification</b:Title>
    <b:Year>2018</b:Year>
    <b:Pages>313-321</b:Pages>
    <b:Author>
      <b:Author>
        <b:Corporate>Wang, Y., Zheng, Y. and Zhu, Y.,</b:Corporate>
      </b:Author>
    </b:Author>
    <b:JournalName>Social Behaviour and Personality: an international journal</b:JournalName>
    <b:RefOrder>12</b:RefOrder>
  </b:Source>
  <b:Source>
    <b:Tag>Shu17</b:Tag>
    <b:SourceType>JournalArticle</b:SourceType>
    <b:Guid>{53C7D384-4BB3-476E-97F1-7C7A79388DCF}</b:Guid>
    <b:Author>
      <b:Author>
        <b:NameList>
          <b:Person>
            <b:Last>Shuck</b:Last>
            <b:First>B.,</b:First>
            <b:Middle>Osam, K., Zigarmi, D. and Nimon, K.,</b:Middle>
          </b:Person>
        </b:NameList>
      </b:Author>
    </b:Author>
    <b:Title>Definitional and conceptual muddling: Identifying the positionality of employee engagement and defining the construct.</b:Title>
    <b:JournalName>Human Resource Development Review, </b:JournalName>
    <b:Year>2017</b:Year>
    <b:Pages>263-293.</b:Pages>
    <b:RefOrder>13</b:RefOrder>
  </b:Source>
  <b:Source>
    <b:Tag>Dis22</b:Tag>
    <b:SourceType>InternetSite</b:SourceType>
    <b:Guid>{11271F13-B621-4CF7-95FF-A56DBD926F5C}</b:Guid>
    <b:Title>Disciplinary and grievance procedures | ACAS. </b:Title>
    <b:Year>2022</b:Year>
    <b:InternetSiteTitle>Acas.org.uk</b:InternetSiteTitle>
    <b:Month>05</b:Month>
    <b:Day>04</b:Day>
    <b:URL>Disciplinary and grievance procedures | Acas </b:URL>
    <b:RefOrder>14</b:RefOrder>
  </b:Source>
</b:Sources>
</file>

<file path=customXml/itemProps1.xml><?xml version="1.0" encoding="utf-8"?>
<ds:datastoreItem xmlns:ds="http://schemas.openxmlformats.org/officeDocument/2006/customXml" ds:itemID="{E6E3A690-B8E1-4D24-BC3B-0342DA062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4729</Words>
  <Characters>26961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Angela PC 962</dc:creator>
  <cp:keywords/>
  <dc:description/>
  <cp:lastModifiedBy>Williams Angela PC 962</cp:lastModifiedBy>
  <cp:revision>2</cp:revision>
  <dcterms:created xsi:type="dcterms:W3CDTF">2022-05-12T13:22:00Z</dcterms:created>
  <dcterms:modified xsi:type="dcterms:W3CDTF">2022-05-12T13:22:00Z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2022-03-22T16:26:22Z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f62c05fd-6d17-4a6e-b541-f86c6256a708</vt:lpwstr>
  </property>
  <property fmtid="{D5CDD505-2E9C-101B-9397-08002B2CF9AE}" pid="8" name="MSIP_Label_7beefdff-6834-454f-be00-a68b5bc5f471_ContentBits">
    <vt:lpwstr>0</vt:lpwstr>
  </property>
</Properties>
</file>