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7A0F20" w14:textId="70282173" w:rsidR="001B0699" w:rsidRDefault="001B0699" w:rsidP="0043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1B0699">
        <w:rPr>
          <w:rFonts w:ascii="Times New Roman" w:hAnsi="Times New Roman" w:cs="Times New Roman"/>
          <w:b/>
          <w:bCs/>
        </w:rPr>
        <w:t>Evaluate the challenges associated with the concept of Men’s Rea and the confirmation of criminal liability within law.</w:t>
      </w:r>
    </w:p>
    <w:p w14:paraId="74EE8169" w14:textId="77777777" w:rsidR="00E6326F" w:rsidRDefault="00E6326F" w:rsidP="001B0699">
      <w:pPr>
        <w:jc w:val="center"/>
        <w:rPr>
          <w:rFonts w:ascii="Times New Roman" w:hAnsi="Times New Roman" w:cs="Times New Roman"/>
          <w:b/>
          <w:bCs/>
        </w:rPr>
      </w:pPr>
    </w:p>
    <w:p w14:paraId="18905872" w14:textId="65469C7D" w:rsidR="00E75DF8" w:rsidRDefault="00E6326F" w:rsidP="00792656">
      <w:pPr>
        <w:pStyle w:val="ListParagraph"/>
        <w:spacing w:line="360" w:lineRule="auto"/>
      </w:pPr>
      <w:r>
        <w:t>According to C</w:t>
      </w:r>
      <w:r w:rsidR="00E75DF8" w:rsidRPr="006E3DFF">
        <w:rPr>
          <w:i/>
          <w:iCs/>
        </w:rPr>
        <w:t xml:space="preserve">arnell Law School </w:t>
      </w:r>
      <w:r w:rsidR="008C3E12" w:rsidRPr="006E3DFF">
        <w:rPr>
          <w:i/>
          <w:iCs/>
        </w:rPr>
        <w:t>(</w:t>
      </w:r>
      <w:r w:rsidR="00E75DF8" w:rsidRPr="006E3DFF">
        <w:rPr>
          <w:i/>
          <w:iCs/>
        </w:rPr>
        <w:t>2023</w:t>
      </w:r>
      <w:r w:rsidR="008C3E12" w:rsidRPr="006E3DFF">
        <w:rPr>
          <w:i/>
          <w:iCs/>
        </w:rPr>
        <w:t>)</w:t>
      </w:r>
      <w:r w:rsidR="00E75DF8" w:rsidRPr="006E3DFF">
        <w:rPr>
          <w:i/>
          <w:iCs/>
        </w:rPr>
        <w:t xml:space="preserve">, </w:t>
      </w:r>
      <w:r w:rsidR="00E75DF8">
        <w:t>Men’s rea refers to</w:t>
      </w:r>
      <w:r w:rsidR="00761512">
        <w:t xml:space="preserve"> criminal intent.</w:t>
      </w:r>
      <w:r w:rsidR="00915DA0">
        <w:t xml:space="preserve"> </w:t>
      </w:r>
      <w:r w:rsidR="00B9169E">
        <w:t xml:space="preserve">The state of mind that a defendant must </w:t>
      </w:r>
      <w:r w:rsidR="00EE7AD9">
        <w:t xml:space="preserve">demonstrate in order to be found guilty of a certain crime is known as men’s rea. </w:t>
      </w:r>
      <w:r w:rsidR="00520D83" w:rsidRPr="006E3DFF">
        <w:rPr>
          <w:i/>
          <w:iCs/>
        </w:rPr>
        <w:t>The University of Hong Kong (2023)</w:t>
      </w:r>
      <w:r w:rsidR="007542E6">
        <w:t xml:space="preserve"> states that two components regularly comprise</w:t>
      </w:r>
      <w:r w:rsidR="00D43ACC">
        <w:t xml:space="preserve"> criminal liability through the ‘guilty act’, known as the Actus reus, and the ‘ille</w:t>
      </w:r>
      <w:r w:rsidR="00C14924">
        <w:t>gal mindset’ known as the Men’s rea</w:t>
      </w:r>
      <w:r w:rsidR="00011619">
        <w:t xml:space="preserve">. They mention that the psychological component usually looks for </w:t>
      </w:r>
      <w:r w:rsidR="008D7594">
        <w:t xml:space="preserve">evidence of the criminal’s intention to conduct of crime. </w:t>
      </w:r>
      <w:r w:rsidR="00EF6287">
        <w:t xml:space="preserve">Due to all this information this assessment will be </w:t>
      </w:r>
      <w:r w:rsidR="005F5CA9">
        <w:t xml:space="preserve">based on the challenges associated with </w:t>
      </w:r>
      <w:r w:rsidR="009A52F4">
        <w:t>the concept of Men’s rea and the confirmation of criminal liability</w:t>
      </w:r>
      <w:r w:rsidR="00A53D71">
        <w:t xml:space="preserve">. </w:t>
      </w:r>
    </w:p>
    <w:p w14:paraId="34D9133D" w14:textId="77777777" w:rsidR="00F83100" w:rsidRDefault="00F83100" w:rsidP="00792656">
      <w:pPr>
        <w:pStyle w:val="ListParagraph"/>
        <w:spacing w:line="360" w:lineRule="auto"/>
      </w:pPr>
    </w:p>
    <w:p w14:paraId="2DD219DF" w14:textId="16F61551" w:rsidR="004A301B" w:rsidRDefault="009D7172" w:rsidP="00792656">
      <w:pPr>
        <w:pStyle w:val="ListParagraph"/>
        <w:spacing w:line="360" w:lineRule="auto"/>
      </w:pPr>
      <w:r>
        <w:t xml:space="preserve">According to </w:t>
      </w:r>
      <w:r w:rsidRPr="006E3DFF">
        <w:rPr>
          <w:i/>
          <w:iCs/>
        </w:rPr>
        <w:t>Carnell Law School</w:t>
      </w:r>
      <w:r w:rsidR="00D22AA4">
        <w:rPr>
          <w:i/>
          <w:iCs/>
        </w:rPr>
        <w:t>,</w:t>
      </w:r>
      <w:r w:rsidRPr="006E3DFF">
        <w:rPr>
          <w:i/>
          <w:iCs/>
        </w:rPr>
        <w:t xml:space="preserve"> (2023)</w:t>
      </w:r>
      <w:r>
        <w:t>, t</w:t>
      </w:r>
      <w:r w:rsidR="00C877F2">
        <w:t xml:space="preserve">he state of mind that a </w:t>
      </w:r>
      <w:r w:rsidR="002240A4">
        <w:t xml:space="preserve">defendant must demonstrate </w:t>
      </w:r>
      <w:r>
        <w:t>to</w:t>
      </w:r>
      <w:r w:rsidR="002240A4">
        <w:t xml:space="preserve"> be found guilty of a certain crime is known as ‘Men’s rea’. </w:t>
      </w:r>
      <w:r w:rsidR="00952CA9">
        <w:t xml:space="preserve">In order to establish guilt in a criminal trial, it is usually </w:t>
      </w:r>
      <w:r w:rsidR="007237F1">
        <w:t>necessary to establish the men</w:t>
      </w:r>
      <w:r w:rsidR="004933F2">
        <w:t>’s</w:t>
      </w:r>
      <w:r w:rsidR="007237F1">
        <w:t xml:space="preserve"> rea of the offender in addition</w:t>
      </w:r>
      <w:r w:rsidR="004933F2">
        <w:t xml:space="preserve"> to the actus reus </w:t>
      </w:r>
      <w:r>
        <w:t>which is known as the physical aspect of the crime.</w:t>
      </w:r>
      <w:r w:rsidR="00F932FB">
        <w:t xml:space="preserve"> Men’s rea that accurately</w:t>
      </w:r>
      <w:r w:rsidR="000542ED">
        <w:t xml:space="preserve"> represents the particular of a crime, regardless of whether it is associated with a greater stigma</w:t>
      </w:r>
      <w:r w:rsidR="005745DA">
        <w:t>, is re</w:t>
      </w:r>
      <w:r w:rsidR="00941E8D">
        <w:t>quired under the fundamental justice principles. For example, due to the seriousness of the crime itself, mu</w:t>
      </w:r>
      <w:r w:rsidR="00D02CE5">
        <w:t>rder is one of the crimes that society stigmatises the most.</w:t>
      </w:r>
      <w:r w:rsidR="00B634AA">
        <w:t xml:space="preserve"> </w:t>
      </w:r>
      <w:r w:rsidR="00DB1884" w:rsidRPr="00C1072C">
        <w:rPr>
          <w:rFonts w:cstheme="minorHAnsi"/>
          <w:i/>
          <w:iCs/>
          <w:kern w:val="0"/>
        </w:rPr>
        <w:t xml:space="preserve">Byelikova </w:t>
      </w:r>
      <w:r w:rsidR="00DB1884" w:rsidRPr="00C1072C">
        <w:rPr>
          <w:rFonts w:cstheme="minorHAnsi"/>
          <w:i/>
          <w:iCs/>
        </w:rPr>
        <w:t>(</w:t>
      </w:r>
      <w:r w:rsidR="00097ECE" w:rsidRPr="00C1072C">
        <w:rPr>
          <w:rFonts w:cstheme="minorHAnsi"/>
          <w:i/>
          <w:iCs/>
        </w:rPr>
        <w:t>2019)</w:t>
      </w:r>
      <w:r w:rsidR="00311130" w:rsidRPr="00C1072C">
        <w:rPr>
          <w:rFonts w:cstheme="minorHAnsi"/>
        </w:rPr>
        <w:t>.</w:t>
      </w:r>
      <w:r w:rsidR="00400E52">
        <w:t xml:space="preserve"> </w:t>
      </w:r>
      <w:r w:rsidR="00D57C06">
        <w:t xml:space="preserve">There are three main requirements that need to be </w:t>
      </w:r>
      <w:r w:rsidR="00E718D4">
        <w:t xml:space="preserve">seen within men’s rea to meet criminal liability. These requirements </w:t>
      </w:r>
      <w:r w:rsidR="000F2662">
        <w:t>include</w:t>
      </w:r>
      <w:r w:rsidR="00E718D4">
        <w:t xml:space="preserve"> intention,</w:t>
      </w:r>
      <w:r w:rsidR="00223A1F">
        <w:t xml:space="preserve"> recklessness, and</w:t>
      </w:r>
      <w:r w:rsidR="00E4503B">
        <w:t xml:space="preserve"> negligence. </w:t>
      </w:r>
      <w:r w:rsidR="00223A1F">
        <w:t xml:space="preserve"> </w:t>
      </w:r>
    </w:p>
    <w:p w14:paraId="1662132A" w14:textId="77777777" w:rsidR="004A301B" w:rsidRDefault="004A301B" w:rsidP="00792656">
      <w:pPr>
        <w:pStyle w:val="ListParagraph"/>
        <w:spacing w:line="360" w:lineRule="auto"/>
      </w:pPr>
    </w:p>
    <w:p w14:paraId="6B272AD4" w14:textId="2DB58843" w:rsidR="004A301B" w:rsidRDefault="00400E52" w:rsidP="00792656">
      <w:pPr>
        <w:pStyle w:val="ListParagraph"/>
        <w:spacing w:line="360" w:lineRule="auto"/>
      </w:pPr>
      <w:r w:rsidRPr="00D22AA4">
        <w:rPr>
          <w:i/>
          <w:iCs/>
        </w:rPr>
        <w:t>LexisNexis</w:t>
      </w:r>
      <w:r w:rsidR="00D22AA4" w:rsidRPr="00D22AA4">
        <w:rPr>
          <w:i/>
          <w:iCs/>
        </w:rPr>
        <w:t xml:space="preserve">, </w:t>
      </w:r>
      <w:r w:rsidRPr="00D22AA4">
        <w:rPr>
          <w:i/>
          <w:iCs/>
        </w:rPr>
        <w:t>(2024</w:t>
      </w:r>
      <w:r w:rsidR="00C24B83" w:rsidRPr="00D22AA4">
        <w:rPr>
          <w:i/>
          <w:iCs/>
        </w:rPr>
        <w:t>)</w:t>
      </w:r>
      <w:r w:rsidR="00C24B83">
        <w:t xml:space="preserve"> stated</w:t>
      </w:r>
      <w:r>
        <w:t xml:space="preserve"> </w:t>
      </w:r>
      <w:r w:rsidR="00C24B83">
        <w:t xml:space="preserve">despite of being an element of many crimes, ‘intention’ lacks a general definition. When the defendant means </w:t>
      </w:r>
      <w:r w:rsidR="00967B85">
        <w:t xml:space="preserve">to </w:t>
      </w:r>
      <w:r w:rsidR="00C24B83">
        <w:t>directly bring out a consequence through their actions, there is no difficulty; the chances of consequences happening is not important.</w:t>
      </w:r>
      <w:r w:rsidR="003E7A9C">
        <w:t xml:space="preserve"> The defendant may have thought it as a result of his actions, but only if the outcome was a very certain result of his actions. </w:t>
      </w:r>
    </w:p>
    <w:p w14:paraId="7EC39ED5" w14:textId="77777777" w:rsidR="004A301B" w:rsidRDefault="004A301B" w:rsidP="00792656">
      <w:pPr>
        <w:pStyle w:val="ListParagraph"/>
        <w:spacing w:line="360" w:lineRule="auto"/>
      </w:pPr>
    </w:p>
    <w:p w14:paraId="3282EC7B" w14:textId="6BF49A77" w:rsidR="000C3B67" w:rsidRDefault="00FA21DA" w:rsidP="00792656">
      <w:pPr>
        <w:pStyle w:val="ListParagraph"/>
        <w:spacing w:line="360" w:lineRule="auto"/>
        <w:rPr>
          <w:rFonts w:cstheme="minorHAnsi"/>
          <w:kern w:val="0"/>
          <w:sz w:val="26"/>
          <w:szCs w:val="26"/>
        </w:rPr>
      </w:pPr>
      <w:r>
        <w:t>However</w:t>
      </w:r>
      <w:r w:rsidR="004D32AF">
        <w:t>,</w:t>
      </w:r>
      <w:r>
        <w:t xml:space="preserve"> there are </w:t>
      </w:r>
      <w:r w:rsidR="00B7529B">
        <w:t xml:space="preserve">two forms of intention in criminal law. </w:t>
      </w:r>
      <w:r w:rsidR="00CC2869">
        <w:t>These are direct intention and indirect intention</w:t>
      </w:r>
      <w:r w:rsidR="00D90DCA">
        <w:t xml:space="preserve">. </w:t>
      </w:r>
      <w:r w:rsidR="00F42F24">
        <w:t xml:space="preserve">Direct intention, also known as </w:t>
      </w:r>
      <w:r w:rsidR="005C24D2">
        <w:t>the aim</w:t>
      </w:r>
      <w:r w:rsidR="008F1872">
        <w:t xml:space="preserve"> or</w:t>
      </w:r>
      <w:r w:rsidR="005C24D2">
        <w:t xml:space="preserve"> purpose</w:t>
      </w:r>
      <w:r w:rsidR="00267392">
        <w:t xml:space="preserve"> is one in </w:t>
      </w:r>
      <w:r w:rsidR="00267392">
        <w:lastRenderedPageBreak/>
        <w:t>which the defendan</w:t>
      </w:r>
      <w:r w:rsidR="002A4E6C">
        <w:t>t’s goal, purpose, or desire is</w:t>
      </w:r>
      <w:r w:rsidR="007806E7">
        <w:t xml:space="preserve"> to carry out an action or bring out a certain outcome</w:t>
      </w:r>
      <w:r w:rsidR="00296C08">
        <w:t xml:space="preserve"> (</w:t>
      </w:r>
      <w:r w:rsidR="00D04B1F" w:rsidRPr="00223A1F">
        <w:rPr>
          <w:rFonts w:cstheme="minorHAnsi"/>
          <w:i/>
          <w:iCs/>
          <w:kern w:val="0"/>
        </w:rPr>
        <w:t>cilexlawschool</w:t>
      </w:r>
      <w:r w:rsidR="00E433D0">
        <w:rPr>
          <w:rFonts w:cstheme="minorHAnsi"/>
          <w:i/>
          <w:iCs/>
          <w:kern w:val="0"/>
        </w:rPr>
        <w:t>), (</w:t>
      </w:r>
      <w:r w:rsidR="00D04B1F" w:rsidRPr="00223A1F">
        <w:rPr>
          <w:rFonts w:cstheme="minorHAnsi"/>
          <w:i/>
          <w:iCs/>
          <w:kern w:val="0"/>
        </w:rPr>
        <w:t>2019</w:t>
      </w:r>
      <w:r w:rsidR="00D04B1F" w:rsidRPr="00223A1F">
        <w:rPr>
          <w:rFonts w:cstheme="minorHAnsi"/>
          <w:i/>
          <w:iCs/>
          <w:kern w:val="0"/>
          <w:sz w:val="26"/>
          <w:szCs w:val="26"/>
        </w:rPr>
        <w:t>)</w:t>
      </w:r>
      <w:r w:rsidR="004B6E20" w:rsidRPr="00223A1F">
        <w:rPr>
          <w:rFonts w:cstheme="minorHAnsi"/>
          <w:kern w:val="0"/>
          <w:sz w:val="26"/>
          <w:szCs w:val="26"/>
        </w:rPr>
        <w:t xml:space="preserve">. </w:t>
      </w:r>
    </w:p>
    <w:p w14:paraId="7DC28B08" w14:textId="77777777" w:rsidR="000C3B67" w:rsidRDefault="000C3B67" w:rsidP="00792656">
      <w:pPr>
        <w:pStyle w:val="ListParagraph"/>
        <w:spacing w:line="360" w:lineRule="auto"/>
        <w:rPr>
          <w:rFonts w:cstheme="minorHAnsi"/>
          <w:kern w:val="0"/>
          <w:sz w:val="26"/>
          <w:szCs w:val="26"/>
        </w:rPr>
      </w:pPr>
    </w:p>
    <w:p w14:paraId="79DE7AF2" w14:textId="63B6FADB" w:rsidR="004A301B" w:rsidRDefault="00BA3C0E" w:rsidP="00792656">
      <w:pPr>
        <w:pStyle w:val="ListParagraph"/>
        <w:spacing w:line="360" w:lineRule="auto"/>
        <w:rPr>
          <w:rFonts w:cstheme="minorHAnsi"/>
          <w:kern w:val="0"/>
        </w:rPr>
      </w:pPr>
      <w:r w:rsidRPr="00223A1F">
        <w:rPr>
          <w:rFonts w:cstheme="minorHAnsi"/>
          <w:kern w:val="0"/>
        </w:rPr>
        <w:t xml:space="preserve">This form of intention can be seen in the Moloney (1985) case. </w:t>
      </w:r>
      <w:r w:rsidR="0062738E" w:rsidRPr="00223A1F">
        <w:rPr>
          <w:rFonts w:cstheme="minorHAnsi"/>
          <w:i/>
          <w:iCs/>
          <w:kern w:val="0"/>
        </w:rPr>
        <w:t>Law Teacher (2021</w:t>
      </w:r>
      <w:r w:rsidR="0062738E" w:rsidRPr="00223A1F">
        <w:rPr>
          <w:rFonts w:cstheme="minorHAnsi"/>
          <w:i/>
          <w:iCs/>
          <w:kern w:val="0"/>
          <w:sz w:val="26"/>
          <w:szCs w:val="26"/>
        </w:rPr>
        <w:t>)</w:t>
      </w:r>
      <w:r w:rsidR="0062738E" w:rsidRPr="00223A1F">
        <w:rPr>
          <w:rFonts w:cstheme="minorHAnsi"/>
          <w:kern w:val="0"/>
          <w:sz w:val="26"/>
          <w:szCs w:val="26"/>
        </w:rPr>
        <w:t xml:space="preserve"> </w:t>
      </w:r>
      <w:r w:rsidR="0062738E" w:rsidRPr="00223A1F">
        <w:rPr>
          <w:rFonts w:cstheme="minorHAnsi"/>
          <w:kern w:val="0"/>
        </w:rPr>
        <w:t>stated</w:t>
      </w:r>
      <w:r w:rsidR="00B34DBA" w:rsidRPr="00223A1F">
        <w:rPr>
          <w:rFonts w:cstheme="minorHAnsi"/>
          <w:kern w:val="0"/>
        </w:rPr>
        <w:t xml:space="preserve"> that</w:t>
      </w:r>
      <w:r w:rsidR="0062738E" w:rsidRPr="00223A1F">
        <w:rPr>
          <w:rFonts w:cstheme="minorHAnsi"/>
          <w:kern w:val="0"/>
        </w:rPr>
        <w:t xml:space="preserve"> </w:t>
      </w:r>
      <w:r w:rsidR="00300341" w:rsidRPr="00223A1F">
        <w:rPr>
          <w:rFonts w:cstheme="minorHAnsi"/>
          <w:kern w:val="0"/>
        </w:rPr>
        <w:t>in the Moloney (1985) cas</w:t>
      </w:r>
      <w:r w:rsidR="000B74FC" w:rsidRPr="00223A1F">
        <w:rPr>
          <w:rFonts w:cstheme="minorHAnsi"/>
          <w:kern w:val="0"/>
        </w:rPr>
        <w:t xml:space="preserve">e </w:t>
      </w:r>
      <w:r w:rsidR="000C6080" w:rsidRPr="00223A1F">
        <w:rPr>
          <w:rFonts w:cstheme="minorHAnsi"/>
          <w:kern w:val="0"/>
        </w:rPr>
        <w:t>the defendant got into a drinking competition with his caring and friendly stepfather to determine who could load a shotgun faster. After winning, Moloney’s stepfather</w:t>
      </w:r>
      <w:r w:rsidR="006E2FA3" w:rsidRPr="00223A1F">
        <w:rPr>
          <w:rFonts w:cstheme="minorHAnsi"/>
          <w:kern w:val="0"/>
        </w:rPr>
        <w:t xml:space="preserve"> dared him to pull the trigger. After he pulled the trigger, his s</w:t>
      </w:r>
      <w:r w:rsidR="009A025D" w:rsidRPr="00223A1F">
        <w:rPr>
          <w:rFonts w:cstheme="minorHAnsi"/>
          <w:kern w:val="0"/>
        </w:rPr>
        <w:t xml:space="preserve">tepfather was promptly killed. Moloney was found guilty and soon after was charged with murder. </w:t>
      </w:r>
      <w:r w:rsidR="002059B8" w:rsidRPr="00223A1F">
        <w:rPr>
          <w:rFonts w:cstheme="minorHAnsi"/>
          <w:kern w:val="0"/>
        </w:rPr>
        <w:t xml:space="preserve">He filed for an appeal, and the Court of Appeal granted permission to go to the House of Lords. </w:t>
      </w:r>
      <w:r w:rsidR="00D75338" w:rsidRPr="00223A1F">
        <w:rPr>
          <w:rFonts w:cstheme="minorHAnsi"/>
          <w:kern w:val="0"/>
        </w:rPr>
        <w:t xml:space="preserve">The outcome in this case was </w:t>
      </w:r>
      <w:r w:rsidR="009F2C2F" w:rsidRPr="00223A1F">
        <w:rPr>
          <w:rFonts w:cstheme="minorHAnsi"/>
          <w:kern w:val="0"/>
        </w:rPr>
        <w:t>that Moloney’s appeal was granted by the House of Lords. It was not his intention</w:t>
      </w:r>
      <w:r w:rsidR="000E6A13" w:rsidRPr="00223A1F">
        <w:rPr>
          <w:rFonts w:cstheme="minorHAnsi"/>
          <w:kern w:val="0"/>
        </w:rPr>
        <w:t xml:space="preserve"> to murder his stepfather. Being aware of the potential outcomes of an action was seen to represent, </w:t>
      </w:r>
      <w:r w:rsidR="00212C21" w:rsidRPr="00223A1F">
        <w:rPr>
          <w:rFonts w:cstheme="minorHAnsi"/>
          <w:kern w:val="0"/>
        </w:rPr>
        <w:t xml:space="preserve">at most, relevant information from which a criminal intent could be established. If the jury decides that the defendant’s action </w:t>
      </w:r>
      <w:r w:rsidR="00981FE9" w:rsidRPr="00223A1F">
        <w:rPr>
          <w:rFonts w:cstheme="minorHAnsi"/>
          <w:kern w:val="0"/>
        </w:rPr>
        <w:t>had a natural outcome and that the defendant knew this would happen, they can determine that the defendant’s goal was not to kill or seriously hurt another person.</w:t>
      </w:r>
      <w:r w:rsidR="000E6E56" w:rsidRPr="00223A1F">
        <w:rPr>
          <w:rFonts w:cstheme="minorHAnsi"/>
          <w:kern w:val="0"/>
        </w:rPr>
        <w:t xml:space="preserve"> In this case</w:t>
      </w:r>
      <w:r w:rsidR="00A33CA6" w:rsidRPr="00223A1F">
        <w:rPr>
          <w:rFonts w:cstheme="minorHAnsi"/>
          <w:kern w:val="0"/>
        </w:rPr>
        <w:t xml:space="preserve">, the jury should be instructed that if </w:t>
      </w:r>
      <w:r w:rsidR="000B24AD" w:rsidRPr="00223A1F">
        <w:rPr>
          <w:rFonts w:cstheme="minorHAnsi"/>
          <w:kern w:val="0"/>
        </w:rPr>
        <w:t>both</w:t>
      </w:r>
      <w:r w:rsidR="00A33CA6" w:rsidRPr="00223A1F">
        <w:rPr>
          <w:rFonts w:cstheme="minorHAnsi"/>
          <w:kern w:val="0"/>
        </w:rPr>
        <w:t xml:space="preserve"> conditions </w:t>
      </w:r>
      <w:r w:rsidR="00CB1C99" w:rsidRPr="00223A1F">
        <w:rPr>
          <w:rFonts w:cstheme="minorHAnsi"/>
          <w:kern w:val="0"/>
        </w:rPr>
        <w:t>are met, they may infer intent but are not required to do so.</w:t>
      </w:r>
      <w:r w:rsidR="00A335A6" w:rsidRPr="00223A1F">
        <w:rPr>
          <w:rFonts w:cstheme="minorHAnsi"/>
          <w:kern w:val="0"/>
        </w:rPr>
        <w:t xml:space="preserve"> Being aware of an action’s </w:t>
      </w:r>
      <w:r w:rsidR="0009097B" w:rsidRPr="00223A1F">
        <w:rPr>
          <w:rFonts w:cstheme="minorHAnsi"/>
          <w:kern w:val="0"/>
        </w:rPr>
        <w:t>inevitable</w:t>
      </w:r>
      <w:r w:rsidR="00A335A6" w:rsidRPr="00223A1F">
        <w:rPr>
          <w:rFonts w:cstheme="minorHAnsi"/>
          <w:kern w:val="0"/>
        </w:rPr>
        <w:t xml:space="preserve"> </w:t>
      </w:r>
      <w:r w:rsidR="0009097B" w:rsidRPr="00223A1F">
        <w:rPr>
          <w:rFonts w:cstheme="minorHAnsi"/>
          <w:kern w:val="0"/>
        </w:rPr>
        <w:t>outcome</w:t>
      </w:r>
      <w:r w:rsidR="00D77256" w:rsidRPr="00223A1F">
        <w:rPr>
          <w:rFonts w:cstheme="minorHAnsi"/>
          <w:kern w:val="0"/>
        </w:rPr>
        <w:t xml:space="preserve"> is just proof that the action was intended.</w:t>
      </w:r>
      <w:r w:rsidR="00671A37" w:rsidRPr="00223A1F">
        <w:rPr>
          <w:rFonts w:cstheme="minorHAnsi"/>
          <w:kern w:val="0"/>
        </w:rPr>
        <w:t xml:space="preserve"> </w:t>
      </w:r>
    </w:p>
    <w:p w14:paraId="40677EBC" w14:textId="77777777" w:rsidR="004A301B" w:rsidRDefault="004A301B" w:rsidP="00792656">
      <w:pPr>
        <w:pStyle w:val="ListParagraph"/>
        <w:spacing w:line="360" w:lineRule="auto"/>
        <w:rPr>
          <w:rFonts w:cstheme="minorHAnsi"/>
          <w:kern w:val="0"/>
        </w:rPr>
      </w:pPr>
    </w:p>
    <w:p w14:paraId="0FB09468" w14:textId="26DBAA6A" w:rsidR="00FC4C41" w:rsidRDefault="00671A37" w:rsidP="00792656">
      <w:pPr>
        <w:pStyle w:val="ListParagraph"/>
        <w:spacing w:line="360" w:lineRule="auto"/>
        <w:rPr>
          <w:rFonts w:cstheme="minorHAnsi"/>
          <w:kern w:val="0"/>
        </w:rPr>
      </w:pPr>
      <w:r w:rsidRPr="00223A1F">
        <w:rPr>
          <w:rFonts w:cstheme="minorHAnsi"/>
          <w:kern w:val="0"/>
        </w:rPr>
        <w:t xml:space="preserve">Indirect intention also known as </w:t>
      </w:r>
      <w:r w:rsidR="00370B9D" w:rsidRPr="00223A1F">
        <w:rPr>
          <w:rFonts w:cstheme="minorHAnsi"/>
          <w:kern w:val="0"/>
        </w:rPr>
        <w:t xml:space="preserve">oblique intention is </w:t>
      </w:r>
      <w:r w:rsidR="00DA0A4F" w:rsidRPr="00223A1F">
        <w:rPr>
          <w:rFonts w:cstheme="minorHAnsi"/>
          <w:kern w:val="0"/>
        </w:rPr>
        <w:t>a concept used to establish criminal liability when an individual knows that their actions are likely to result in a given outcome</w:t>
      </w:r>
      <w:r w:rsidR="00A66F0B" w:rsidRPr="00223A1F">
        <w:rPr>
          <w:rFonts w:cstheme="minorHAnsi"/>
          <w:kern w:val="0"/>
        </w:rPr>
        <w:t xml:space="preserve"> but does not directly intent to bring about that outcome. It has to </w:t>
      </w:r>
      <w:r w:rsidR="00840F34" w:rsidRPr="00223A1F">
        <w:rPr>
          <w:rFonts w:cstheme="minorHAnsi"/>
          <w:kern w:val="0"/>
        </w:rPr>
        <w:t xml:space="preserve">do with how the accused was feeling at the time of the offence and is very important in figuring out how guilty they are. </w:t>
      </w:r>
      <w:r w:rsidR="00840F34" w:rsidRPr="00223A1F">
        <w:rPr>
          <w:rFonts w:cstheme="minorHAnsi"/>
          <w:i/>
          <w:iCs/>
          <w:kern w:val="0"/>
        </w:rPr>
        <w:t>UOLLB (2023)</w:t>
      </w:r>
      <w:r w:rsidR="00840F34" w:rsidRPr="00223A1F">
        <w:rPr>
          <w:rFonts w:cstheme="minorHAnsi"/>
          <w:kern w:val="0"/>
        </w:rPr>
        <w:t>.</w:t>
      </w:r>
      <w:r w:rsidR="00CE1A97" w:rsidRPr="00223A1F">
        <w:rPr>
          <w:rFonts w:cstheme="minorHAnsi"/>
          <w:kern w:val="0"/>
        </w:rPr>
        <w:t xml:space="preserve"> This form of intention can be seen in the Woollin (1998) case. </w:t>
      </w:r>
      <w:r w:rsidR="000548F4" w:rsidRPr="00223A1F">
        <w:rPr>
          <w:rFonts w:cstheme="minorHAnsi"/>
          <w:kern w:val="0"/>
        </w:rPr>
        <w:t xml:space="preserve">According to </w:t>
      </w:r>
      <w:r w:rsidR="00686CBD" w:rsidRPr="00223A1F">
        <w:rPr>
          <w:rFonts w:cstheme="minorHAnsi"/>
          <w:i/>
          <w:iCs/>
          <w:kern w:val="0"/>
        </w:rPr>
        <w:t>Oxford University Press (2016)</w:t>
      </w:r>
      <w:r w:rsidR="00686CBD" w:rsidRPr="00223A1F">
        <w:rPr>
          <w:rFonts w:cstheme="minorHAnsi"/>
          <w:kern w:val="0"/>
        </w:rPr>
        <w:t xml:space="preserve"> </w:t>
      </w:r>
      <w:r w:rsidR="006E6B13" w:rsidRPr="00223A1F">
        <w:rPr>
          <w:rFonts w:cstheme="minorHAnsi"/>
          <w:kern w:val="0"/>
        </w:rPr>
        <w:t>the defendant fatally injured his three-month old son’s brain when he threw him with great force</w:t>
      </w:r>
      <w:r w:rsidR="00B13705" w:rsidRPr="00223A1F">
        <w:rPr>
          <w:rFonts w:cstheme="minorHAnsi"/>
          <w:kern w:val="0"/>
        </w:rPr>
        <w:t xml:space="preserve"> out of rage and fury along with letting his head strike something hard. The prosecution acknowledged that </w:t>
      </w:r>
      <w:r w:rsidR="000B7BC1" w:rsidRPr="00223A1F">
        <w:rPr>
          <w:rFonts w:cstheme="minorHAnsi"/>
          <w:kern w:val="0"/>
        </w:rPr>
        <w:t xml:space="preserve">D did not mean to murder or seriously hurt his kid, however they </w:t>
      </w:r>
      <w:r w:rsidR="00DD1981" w:rsidRPr="00223A1F">
        <w:rPr>
          <w:rFonts w:cstheme="minorHAnsi"/>
          <w:kern w:val="0"/>
        </w:rPr>
        <w:t xml:space="preserve">accused the D of murder </w:t>
      </w:r>
      <w:r w:rsidR="00ED6CA8" w:rsidRPr="00223A1F">
        <w:rPr>
          <w:rFonts w:cstheme="minorHAnsi"/>
          <w:kern w:val="0"/>
        </w:rPr>
        <w:t>due to their believes that a significant injury was almost guaranteed to occur, giving</w:t>
      </w:r>
      <w:r w:rsidR="00EE313E" w:rsidRPr="00223A1F">
        <w:rPr>
          <w:rFonts w:cstheme="minorHAnsi"/>
          <w:kern w:val="0"/>
        </w:rPr>
        <w:t xml:space="preserve"> the jury the right to infer that he intended to </w:t>
      </w:r>
      <w:r w:rsidR="00EE313E" w:rsidRPr="00223A1F">
        <w:rPr>
          <w:rFonts w:cstheme="minorHAnsi"/>
          <w:kern w:val="0"/>
        </w:rPr>
        <w:lastRenderedPageBreak/>
        <w:t>cause serious harm</w:t>
      </w:r>
      <w:r w:rsidR="00F378C1" w:rsidRPr="00223A1F">
        <w:rPr>
          <w:rFonts w:cstheme="minorHAnsi"/>
          <w:kern w:val="0"/>
        </w:rPr>
        <w:t xml:space="preserve">. By mentioning D’s prediction of a “substantial risk” of serious injury, the trial judge misled the jury. D field an </w:t>
      </w:r>
      <w:r w:rsidR="00667156" w:rsidRPr="00223A1F">
        <w:rPr>
          <w:rFonts w:cstheme="minorHAnsi"/>
          <w:kern w:val="0"/>
        </w:rPr>
        <w:t xml:space="preserve">appeal with the House of Lords on his murder conviction. </w:t>
      </w:r>
      <w:r w:rsidR="008540FD" w:rsidRPr="00223A1F">
        <w:rPr>
          <w:rFonts w:cstheme="minorHAnsi"/>
          <w:kern w:val="0"/>
        </w:rPr>
        <w:t xml:space="preserve">The </w:t>
      </w:r>
      <w:r w:rsidR="00231070" w:rsidRPr="00223A1F">
        <w:rPr>
          <w:rFonts w:cstheme="minorHAnsi"/>
          <w:kern w:val="0"/>
        </w:rPr>
        <w:t xml:space="preserve">decision </w:t>
      </w:r>
      <w:r w:rsidR="001C553D" w:rsidRPr="00223A1F">
        <w:rPr>
          <w:rFonts w:cstheme="minorHAnsi"/>
          <w:kern w:val="0"/>
        </w:rPr>
        <w:t xml:space="preserve">made within this case was that </w:t>
      </w:r>
      <w:r w:rsidR="00355AA6" w:rsidRPr="00223A1F">
        <w:rPr>
          <w:rFonts w:cstheme="minorHAnsi"/>
          <w:kern w:val="0"/>
        </w:rPr>
        <w:t>after the appeal was granted, the original conviction for murder was replaced. Foresight is rarely necessary</w:t>
      </w:r>
      <w:r w:rsidR="004306F3" w:rsidRPr="00223A1F">
        <w:rPr>
          <w:rFonts w:cstheme="minorHAnsi"/>
          <w:kern w:val="0"/>
        </w:rPr>
        <w:t xml:space="preserve"> in most situations, a straightforward command regarding intention works. </w:t>
      </w:r>
      <w:r w:rsidR="000272DB" w:rsidRPr="00223A1F">
        <w:rPr>
          <w:rFonts w:cstheme="minorHAnsi"/>
          <w:kern w:val="0"/>
        </w:rPr>
        <w:t>H</w:t>
      </w:r>
      <w:r w:rsidR="004306F3" w:rsidRPr="00223A1F">
        <w:rPr>
          <w:rFonts w:cstheme="minorHAnsi"/>
          <w:kern w:val="0"/>
        </w:rPr>
        <w:t>owever</w:t>
      </w:r>
      <w:r w:rsidR="000272DB" w:rsidRPr="00223A1F">
        <w:rPr>
          <w:rFonts w:cstheme="minorHAnsi"/>
          <w:kern w:val="0"/>
        </w:rPr>
        <w:t xml:space="preserve">, in cases where there is no direct evidence of intention, a jury cannot find the required intentions unless they are confident that the defendant knew </w:t>
      </w:r>
      <w:r w:rsidR="00985BC8" w:rsidRPr="00223A1F">
        <w:rPr>
          <w:rFonts w:cstheme="minorHAnsi"/>
          <w:kern w:val="0"/>
        </w:rPr>
        <w:t xml:space="preserve">that their actions would almost certainly result in death or serious </w:t>
      </w:r>
      <w:r w:rsidR="002D22A2" w:rsidRPr="00223A1F">
        <w:rPr>
          <w:rFonts w:cstheme="minorHAnsi"/>
          <w:kern w:val="0"/>
        </w:rPr>
        <w:t>bodily harm, preventing some unexpected circumstance and that they are a</w:t>
      </w:r>
      <w:r w:rsidR="00E63773" w:rsidRPr="00223A1F">
        <w:rPr>
          <w:rFonts w:cstheme="minorHAnsi"/>
          <w:kern w:val="0"/>
        </w:rPr>
        <w:t xml:space="preserve">ware of this. </w:t>
      </w:r>
    </w:p>
    <w:p w14:paraId="2E46B3D4" w14:textId="77777777" w:rsidR="00FB6F96" w:rsidRDefault="00FB6F96" w:rsidP="00223A1F">
      <w:pPr>
        <w:pStyle w:val="ListParagraph"/>
        <w:rPr>
          <w:rFonts w:cstheme="minorHAnsi"/>
          <w:kern w:val="0"/>
        </w:rPr>
      </w:pPr>
    </w:p>
    <w:p w14:paraId="39AE78C1" w14:textId="1CE0C56E" w:rsidR="006B1E06" w:rsidRDefault="00FB6F96" w:rsidP="0095185C">
      <w:pPr>
        <w:pStyle w:val="ListParagraph"/>
        <w:spacing w:line="360" w:lineRule="auto"/>
        <w:rPr>
          <w:rFonts w:cstheme="minorHAnsi"/>
          <w:kern w:val="0"/>
        </w:rPr>
      </w:pPr>
      <w:r>
        <w:rPr>
          <w:rFonts w:cstheme="minorHAnsi"/>
          <w:kern w:val="0"/>
        </w:rPr>
        <w:t>According to The Crown Pro</w:t>
      </w:r>
      <w:r w:rsidR="00B3165E">
        <w:rPr>
          <w:rFonts w:cstheme="minorHAnsi"/>
          <w:kern w:val="0"/>
        </w:rPr>
        <w:t xml:space="preserve">secution Service (2023), recklessness </w:t>
      </w:r>
      <w:r w:rsidR="0003171E">
        <w:rPr>
          <w:rFonts w:cstheme="minorHAnsi"/>
          <w:kern w:val="0"/>
        </w:rPr>
        <w:t xml:space="preserve">is when a person breaks the Criminal Damage Act 1971, Section 1, by </w:t>
      </w:r>
      <w:r w:rsidR="00535E6D">
        <w:rPr>
          <w:rFonts w:cstheme="minorHAnsi"/>
          <w:kern w:val="0"/>
        </w:rPr>
        <w:t>acting recklessly in relation to a situation in which they are aware that a risk exists or will exist,</w:t>
      </w:r>
      <w:r w:rsidR="002D1239">
        <w:rPr>
          <w:rFonts w:cstheme="minorHAnsi"/>
          <w:kern w:val="0"/>
        </w:rPr>
        <w:t xml:space="preserve"> an outcome in which they are aware that a risk will occur</w:t>
      </w:r>
      <w:r w:rsidR="003E7F6A">
        <w:rPr>
          <w:rFonts w:cstheme="minorHAnsi"/>
          <w:kern w:val="0"/>
        </w:rPr>
        <w:t>, and when it is unreasonable for them to take the risk under the known conditions</w:t>
      </w:r>
      <w:r w:rsidR="00E22076">
        <w:rPr>
          <w:rFonts w:cstheme="minorHAnsi"/>
          <w:kern w:val="0"/>
        </w:rPr>
        <w:t>.</w:t>
      </w:r>
      <w:r w:rsidR="0095185C">
        <w:rPr>
          <w:rFonts w:cstheme="minorHAnsi"/>
          <w:kern w:val="0"/>
        </w:rPr>
        <w:t xml:space="preserve"> </w:t>
      </w:r>
      <w:r w:rsidR="005A728A" w:rsidRPr="0095185C">
        <w:rPr>
          <w:rFonts w:cstheme="minorHAnsi"/>
          <w:kern w:val="0"/>
        </w:rPr>
        <w:t>S</w:t>
      </w:r>
      <w:r w:rsidR="006B1E06" w:rsidRPr="0095185C">
        <w:rPr>
          <w:rFonts w:cstheme="minorHAnsi"/>
          <w:kern w:val="0"/>
        </w:rPr>
        <w:t>ubje</w:t>
      </w:r>
      <w:r w:rsidR="005A728A" w:rsidRPr="0095185C">
        <w:rPr>
          <w:rFonts w:cstheme="minorHAnsi"/>
          <w:kern w:val="0"/>
        </w:rPr>
        <w:t xml:space="preserve">ctive </w:t>
      </w:r>
      <w:r w:rsidR="005929EA">
        <w:rPr>
          <w:rFonts w:cstheme="minorHAnsi"/>
          <w:kern w:val="0"/>
        </w:rPr>
        <w:t>men’s</w:t>
      </w:r>
      <w:r w:rsidR="009128B3">
        <w:rPr>
          <w:rFonts w:cstheme="minorHAnsi"/>
          <w:kern w:val="0"/>
        </w:rPr>
        <w:t xml:space="preserve"> rea in </w:t>
      </w:r>
      <w:r w:rsidR="005A728A" w:rsidRPr="0095185C">
        <w:rPr>
          <w:rFonts w:cstheme="minorHAnsi"/>
          <w:kern w:val="0"/>
        </w:rPr>
        <w:t xml:space="preserve">recklessness </w:t>
      </w:r>
      <w:r w:rsidR="00051135">
        <w:rPr>
          <w:rFonts w:cstheme="minorHAnsi"/>
          <w:kern w:val="0"/>
        </w:rPr>
        <w:t>can refer to knowledge</w:t>
      </w:r>
      <w:r w:rsidR="00143D0E">
        <w:rPr>
          <w:rFonts w:cstheme="minorHAnsi"/>
          <w:kern w:val="0"/>
        </w:rPr>
        <w:t>, intentional blindness, carelessness, or intent.</w:t>
      </w:r>
      <w:r w:rsidR="007446C7">
        <w:rPr>
          <w:rFonts w:cstheme="minorHAnsi"/>
          <w:kern w:val="0"/>
        </w:rPr>
        <w:t xml:space="preserve"> </w:t>
      </w:r>
      <w:r w:rsidR="003045D9" w:rsidRPr="003A27EE">
        <w:rPr>
          <w:rFonts w:cstheme="minorHAnsi"/>
          <w:i/>
          <w:iCs/>
          <w:kern w:val="0"/>
        </w:rPr>
        <w:t>Browne (</w:t>
      </w:r>
      <w:r w:rsidR="003A27EE" w:rsidRPr="003A27EE">
        <w:rPr>
          <w:rFonts w:cstheme="minorHAnsi"/>
          <w:i/>
          <w:iCs/>
          <w:kern w:val="0"/>
        </w:rPr>
        <w:t>2022).</w:t>
      </w:r>
      <w:r w:rsidR="003A27EE">
        <w:rPr>
          <w:rFonts w:cstheme="minorHAnsi"/>
          <w:kern w:val="0"/>
        </w:rPr>
        <w:t xml:space="preserve"> </w:t>
      </w:r>
      <w:r w:rsidR="007446C7">
        <w:rPr>
          <w:rFonts w:cstheme="minorHAnsi"/>
          <w:kern w:val="0"/>
        </w:rPr>
        <w:t>This type of recklessness can be seen in the R</w:t>
      </w:r>
      <w:r w:rsidR="003A27EE">
        <w:rPr>
          <w:rFonts w:cstheme="minorHAnsi"/>
          <w:kern w:val="0"/>
        </w:rPr>
        <w:t xml:space="preserve"> v Brady (2006) case</w:t>
      </w:r>
      <w:r w:rsidR="00E63F54">
        <w:rPr>
          <w:rFonts w:cstheme="minorHAnsi"/>
          <w:kern w:val="0"/>
        </w:rPr>
        <w:t xml:space="preserve">. </w:t>
      </w:r>
    </w:p>
    <w:p w14:paraId="2D67A042" w14:textId="415D5F67" w:rsidR="00095281" w:rsidRDefault="00636F79" w:rsidP="00095281">
      <w:pPr>
        <w:pStyle w:val="ListParagraph"/>
        <w:spacing w:line="360" w:lineRule="auto"/>
        <w:rPr>
          <w:rFonts w:cstheme="minorHAnsi"/>
          <w:kern w:val="0"/>
        </w:rPr>
      </w:pPr>
      <w:r>
        <w:rPr>
          <w:rFonts w:cstheme="minorHAnsi"/>
          <w:kern w:val="0"/>
        </w:rPr>
        <w:t xml:space="preserve">According to the </w:t>
      </w:r>
      <w:r w:rsidRPr="00D22AA4">
        <w:rPr>
          <w:rFonts w:cstheme="minorHAnsi"/>
          <w:i/>
          <w:iCs/>
          <w:kern w:val="0"/>
        </w:rPr>
        <w:t>Court of Appeal</w:t>
      </w:r>
      <w:r w:rsidR="00D22AA4">
        <w:rPr>
          <w:rFonts w:cstheme="minorHAnsi"/>
          <w:i/>
          <w:iCs/>
          <w:kern w:val="0"/>
        </w:rPr>
        <w:t xml:space="preserve">, </w:t>
      </w:r>
      <w:r w:rsidRPr="00D22AA4">
        <w:rPr>
          <w:rFonts w:cstheme="minorHAnsi"/>
          <w:i/>
          <w:iCs/>
          <w:kern w:val="0"/>
        </w:rPr>
        <w:t>(2007),</w:t>
      </w:r>
      <w:r>
        <w:rPr>
          <w:rFonts w:cstheme="minorHAnsi"/>
          <w:kern w:val="0"/>
        </w:rPr>
        <w:t xml:space="preserve"> </w:t>
      </w:r>
      <w:r w:rsidR="00495C22">
        <w:rPr>
          <w:rFonts w:cstheme="minorHAnsi"/>
          <w:kern w:val="0"/>
        </w:rPr>
        <w:t xml:space="preserve">in the </w:t>
      </w:r>
      <w:r w:rsidR="00736CCE">
        <w:rPr>
          <w:rFonts w:cstheme="minorHAnsi"/>
          <w:kern w:val="0"/>
        </w:rPr>
        <w:t xml:space="preserve">R v Brady (2006) case </w:t>
      </w:r>
      <w:r w:rsidR="00FE40E7">
        <w:rPr>
          <w:rFonts w:cstheme="minorHAnsi"/>
          <w:kern w:val="0"/>
        </w:rPr>
        <w:t>the defendant and his friends</w:t>
      </w:r>
      <w:r w:rsidR="00F54D92">
        <w:rPr>
          <w:rFonts w:cstheme="minorHAnsi"/>
          <w:kern w:val="0"/>
        </w:rPr>
        <w:t xml:space="preserve"> had been drinking and using ecstasy pills at a nightclub</w:t>
      </w:r>
      <w:r w:rsidR="006F0759">
        <w:rPr>
          <w:rFonts w:cstheme="minorHAnsi"/>
          <w:kern w:val="0"/>
        </w:rPr>
        <w:t>. A doctor who checked him following the incident called him a “happy drunk</w:t>
      </w:r>
      <w:r w:rsidR="007D49A6">
        <w:rPr>
          <w:rFonts w:cstheme="minorHAnsi"/>
          <w:kern w:val="0"/>
        </w:rPr>
        <w:t>.” According to the prosecution, the defendant climbed to the balcony rai</w:t>
      </w:r>
      <w:r w:rsidR="00D366BE">
        <w:rPr>
          <w:rFonts w:cstheme="minorHAnsi"/>
          <w:kern w:val="0"/>
        </w:rPr>
        <w:t>lings overlooking the club’s main room, stood up, had a quick look around and then jumped onto the crowded dance floor below. According to the defendant, he was sitting on the railing</w:t>
      </w:r>
      <w:r w:rsidR="00454154">
        <w:rPr>
          <w:rFonts w:cstheme="minorHAnsi"/>
          <w:kern w:val="0"/>
        </w:rPr>
        <w:t>s when he unintentional</w:t>
      </w:r>
      <w:r w:rsidR="000E1C1E">
        <w:rPr>
          <w:rFonts w:cstheme="minorHAnsi"/>
          <w:kern w:val="0"/>
        </w:rPr>
        <w:t>ly</w:t>
      </w:r>
      <w:r w:rsidR="00454154">
        <w:rPr>
          <w:rFonts w:cstheme="minorHAnsi"/>
          <w:kern w:val="0"/>
        </w:rPr>
        <w:t xml:space="preserve"> fell backwards</w:t>
      </w:r>
      <w:r w:rsidR="000E1C1E">
        <w:rPr>
          <w:rFonts w:cstheme="minorHAnsi"/>
          <w:kern w:val="0"/>
        </w:rPr>
        <w:t xml:space="preserve"> into the floor below. The victim was left paral</w:t>
      </w:r>
      <w:r w:rsidR="00E472B2">
        <w:rPr>
          <w:rFonts w:cstheme="minorHAnsi"/>
          <w:kern w:val="0"/>
        </w:rPr>
        <w:t>ysed after the defendant fell on her, breaking her neck, as the acknowledged outcome of the fall.</w:t>
      </w:r>
      <w:r w:rsidR="0068603D">
        <w:rPr>
          <w:rFonts w:cstheme="minorHAnsi"/>
          <w:kern w:val="0"/>
        </w:rPr>
        <w:t xml:space="preserve"> As a result, the </w:t>
      </w:r>
      <w:r w:rsidR="003F1AB0">
        <w:rPr>
          <w:rFonts w:cstheme="minorHAnsi"/>
          <w:kern w:val="0"/>
        </w:rPr>
        <w:t xml:space="preserve">defendant appealed against the judge’s decision after being found guilty of causing </w:t>
      </w:r>
      <w:r w:rsidR="00755B8B">
        <w:rPr>
          <w:rFonts w:cstheme="minorHAnsi"/>
          <w:kern w:val="0"/>
        </w:rPr>
        <w:t>great bodily harm in violation of Section 20 of the Offences against the Person Act 1861. At first, the accused argued that the judge had neglected to clarify</w:t>
      </w:r>
      <w:r w:rsidR="00C417DD">
        <w:rPr>
          <w:rFonts w:cstheme="minorHAnsi"/>
          <w:kern w:val="0"/>
        </w:rPr>
        <w:t>, in line with R v. G (2004) 1</w:t>
      </w:r>
      <w:r w:rsidR="00C85AF2">
        <w:rPr>
          <w:rFonts w:cstheme="minorHAnsi"/>
          <w:kern w:val="0"/>
        </w:rPr>
        <w:t xml:space="preserve"> AC 1034, (2004) 68 JCL 31, that he had to have</w:t>
      </w:r>
      <w:r w:rsidR="00D629AA">
        <w:rPr>
          <w:rFonts w:cstheme="minorHAnsi"/>
          <w:kern w:val="0"/>
        </w:rPr>
        <w:t xml:space="preserve"> anticipated harm to a third party as a clear and serious possibil</w:t>
      </w:r>
      <w:r w:rsidR="00F933BC">
        <w:rPr>
          <w:rFonts w:cstheme="minorHAnsi"/>
          <w:kern w:val="0"/>
        </w:rPr>
        <w:t xml:space="preserve">ity of his </w:t>
      </w:r>
      <w:r w:rsidR="006D230F">
        <w:rPr>
          <w:rFonts w:cstheme="minorHAnsi"/>
          <w:kern w:val="0"/>
        </w:rPr>
        <w:t>actions or</w:t>
      </w:r>
      <w:r w:rsidR="00F933BC">
        <w:rPr>
          <w:rFonts w:cstheme="minorHAnsi"/>
          <w:kern w:val="0"/>
        </w:rPr>
        <w:t xml:space="preserve"> would have done if sober.</w:t>
      </w:r>
      <w:r w:rsidR="00E61227">
        <w:rPr>
          <w:rFonts w:cstheme="minorHAnsi"/>
          <w:kern w:val="0"/>
        </w:rPr>
        <w:t xml:space="preserve"> Secondly, the recklessness was completely </w:t>
      </w:r>
      <w:r w:rsidR="003D5BA9">
        <w:rPr>
          <w:rFonts w:cstheme="minorHAnsi"/>
          <w:kern w:val="0"/>
        </w:rPr>
        <w:t>a subjective concept, which the judge had no</w:t>
      </w:r>
      <w:r w:rsidR="00D87309">
        <w:rPr>
          <w:rFonts w:cstheme="minorHAnsi"/>
          <w:kern w:val="0"/>
        </w:rPr>
        <w:t xml:space="preserve">t fully clarified. Furthermore, the court </w:t>
      </w:r>
      <w:r w:rsidR="00D87309">
        <w:rPr>
          <w:rFonts w:cstheme="minorHAnsi"/>
          <w:kern w:val="0"/>
        </w:rPr>
        <w:lastRenderedPageBreak/>
        <w:t>had not provided a thorough justification for the need of a direct ass</w:t>
      </w:r>
      <w:r w:rsidR="002C13A7">
        <w:rPr>
          <w:rFonts w:cstheme="minorHAnsi"/>
          <w:kern w:val="0"/>
        </w:rPr>
        <w:t xml:space="preserve">ault. Ultimately, the jury was only asked to focus on one matter which was recklessness, rather than the elements of the Section 20 crime or how drunkenness affected them. </w:t>
      </w:r>
    </w:p>
    <w:p w14:paraId="6B329809" w14:textId="77777777" w:rsidR="005E3D10" w:rsidRDefault="005E3D10" w:rsidP="00095281">
      <w:pPr>
        <w:pStyle w:val="ListParagraph"/>
        <w:spacing w:line="360" w:lineRule="auto"/>
        <w:rPr>
          <w:rFonts w:cstheme="minorHAnsi"/>
          <w:kern w:val="0"/>
        </w:rPr>
      </w:pPr>
    </w:p>
    <w:p w14:paraId="2E2A8EBB" w14:textId="0E466F0A" w:rsidR="002809F0" w:rsidRDefault="005E3D10" w:rsidP="00B72899">
      <w:pPr>
        <w:pStyle w:val="ListParagraph"/>
        <w:spacing w:line="360" w:lineRule="auto"/>
        <w:rPr>
          <w:rFonts w:cstheme="minorHAnsi"/>
          <w:i/>
          <w:iCs/>
          <w:kern w:val="0"/>
        </w:rPr>
      </w:pPr>
      <w:r>
        <w:rPr>
          <w:rFonts w:cstheme="minorHAnsi"/>
          <w:kern w:val="0"/>
        </w:rPr>
        <w:t>Negligence is one of men’s rea requirement</w:t>
      </w:r>
      <w:r w:rsidR="00AD5787">
        <w:rPr>
          <w:rFonts w:cstheme="minorHAnsi"/>
          <w:kern w:val="0"/>
        </w:rPr>
        <w:t xml:space="preserve"> to meet criminal liability. </w:t>
      </w:r>
      <w:r w:rsidR="001E443C">
        <w:rPr>
          <w:rFonts w:cstheme="minorHAnsi"/>
          <w:kern w:val="0"/>
        </w:rPr>
        <w:t xml:space="preserve">According to </w:t>
      </w:r>
      <w:r w:rsidR="001E443C" w:rsidRPr="001F7927">
        <w:rPr>
          <w:rFonts w:cstheme="minorHAnsi"/>
          <w:i/>
          <w:iCs/>
          <w:kern w:val="0"/>
        </w:rPr>
        <w:t>Cornell Law School (2023),</w:t>
      </w:r>
      <w:r w:rsidR="001E443C">
        <w:rPr>
          <w:rFonts w:cstheme="minorHAnsi"/>
          <w:kern w:val="0"/>
        </w:rPr>
        <w:t xml:space="preserve"> </w:t>
      </w:r>
      <w:r w:rsidR="00BF4715">
        <w:rPr>
          <w:rFonts w:cstheme="minorHAnsi"/>
          <w:kern w:val="0"/>
        </w:rPr>
        <w:t xml:space="preserve">a negligent act </w:t>
      </w:r>
      <w:r w:rsidR="0094797D">
        <w:rPr>
          <w:rFonts w:cstheme="minorHAnsi"/>
          <w:kern w:val="0"/>
        </w:rPr>
        <w:t>occurs in which one does not act with the same level of consideration that a sensible individual would have used in the same situation</w:t>
      </w:r>
      <w:r w:rsidR="006C4135">
        <w:rPr>
          <w:rFonts w:cstheme="minorHAnsi"/>
          <w:kern w:val="0"/>
        </w:rPr>
        <w:t xml:space="preserve">. </w:t>
      </w:r>
      <w:r w:rsidR="00427C6B">
        <w:rPr>
          <w:rFonts w:cstheme="minorHAnsi"/>
          <w:kern w:val="0"/>
        </w:rPr>
        <w:t xml:space="preserve">Anyone </w:t>
      </w:r>
      <w:r w:rsidR="006C4135">
        <w:rPr>
          <w:rFonts w:cstheme="minorHAnsi"/>
          <w:kern w:val="0"/>
        </w:rPr>
        <w:t xml:space="preserve">can find </w:t>
      </w:r>
      <w:r w:rsidR="00427C6B">
        <w:rPr>
          <w:rFonts w:cstheme="minorHAnsi"/>
          <w:kern w:val="0"/>
        </w:rPr>
        <w:t xml:space="preserve">negligence in </w:t>
      </w:r>
      <w:r w:rsidR="004367AB">
        <w:rPr>
          <w:rFonts w:cstheme="minorHAnsi"/>
          <w:kern w:val="0"/>
        </w:rPr>
        <w:t>someone’s</w:t>
      </w:r>
      <w:r w:rsidR="00427C6B">
        <w:rPr>
          <w:rFonts w:cstheme="minorHAnsi"/>
          <w:kern w:val="0"/>
        </w:rPr>
        <w:t xml:space="preserve"> acts or </w:t>
      </w:r>
      <w:r w:rsidR="004367AB">
        <w:rPr>
          <w:rFonts w:cstheme="minorHAnsi"/>
          <w:kern w:val="0"/>
        </w:rPr>
        <w:t>in their omission of actions</w:t>
      </w:r>
      <w:r w:rsidR="00975283">
        <w:rPr>
          <w:rFonts w:cstheme="minorHAnsi"/>
          <w:kern w:val="0"/>
        </w:rPr>
        <w:t>, a</w:t>
      </w:r>
      <w:r w:rsidR="004367AB">
        <w:rPr>
          <w:rFonts w:cstheme="minorHAnsi"/>
          <w:kern w:val="0"/>
        </w:rPr>
        <w:t>n act of negligent can be seen in the Adomako (1994) case</w:t>
      </w:r>
      <w:r w:rsidR="00395F55">
        <w:rPr>
          <w:rFonts w:cstheme="minorHAnsi"/>
          <w:kern w:val="0"/>
        </w:rPr>
        <w:t xml:space="preserve">. </w:t>
      </w:r>
      <w:r w:rsidR="002809F0" w:rsidRPr="00B72899">
        <w:rPr>
          <w:rFonts w:cstheme="minorHAnsi"/>
          <w:kern w:val="0"/>
        </w:rPr>
        <w:t>In the Ad</w:t>
      </w:r>
      <w:r w:rsidR="006D792B" w:rsidRPr="00B72899">
        <w:rPr>
          <w:rFonts w:cstheme="minorHAnsi"/>
          <w:kern w:val="0"/>
        </w:rPr>
        <w:t>o</w:t>
      </w:r>
      <w:r w:rsidR="002809F0" w:rsidRPr="00B72899">
        <w:rPr>
          <w:rFonts w:cstheme="minorHAnsi"/>
          <w:kern w:val="0"/>
        </w:rPr>
        <w:t xml:space="preserve">mako (1994) case, the defendant worked as an </w:t>
      </w:r>
      <w:r w:rsidR="00624B37" w:rsidRPr="00B72899">
        <w:rPr>
          <w:rFonts w:cstheme="minorHAnsi"/>
          <w:kern w:val="0"/>
        </w:rPr>
        <w:t>anaesthesiologist, he was performing his duties during an eye procedure that needed the patient to be put under general anaes</w:t>
      </w:r>
      <w:r w:rsidR="006D792B" w:rsidRPr="00B72899">
        <w:rPr>
          <w:rFonts w:cstheme="minorHAnsi"/>
          <w:kern w:val="0"/>
        </w:rPr>
        <w:t xml:space="preserve">thesia. Under the </w:t>
      </w:r>
      <w:r w:rsidR="00A33538" w:rsidRPr="00B72899">
        <w:rPr>
          <w:rFonts w:cstheme="minorHAnsi"/>
          <w:kern w:val="0"/>
        </w:rPr>
        <w:t>defendant’s</w:t>
      </w:r>
      <w:r w:rsidR="006D792B" w:rsidRPr="00B72899">
        <w:rPr>
          <w:rFonts w:cstheme="minorHAnsi"/>
          <w:kern w:val="0"/>
        </w:rPr>
        <w:t xml:space="preserve"> supervision, a vital tube separated from the ventilator during the procedure, resulting in the patient’s deadly cardiac arrest. The defendant was found guilty of mansla</w:t>
      </w:r>
      <w:r w:rsidR="00A33538" w:rsidRPr="00B72899">
        <w:rPr>
          <w:rFonts w:cstheme="minorHAnsi"/>
          <w:kern w:val="0"/>
        </w:rPr>
        <w:t>ughter by negligence.</w:t>
      </w:r>
      <w:r w:rsidR="00B72899">
        <w:rPr>
          <w:rFonts w:cstheme="minorHAnsi"/>
          <w:kern w:val="0"/>
        </w:rPr>
        <w:t xml:space="preserve"> The decision within this case </w:t>
      </w:r>
      <w:r w:rsidR="00D016EB">
        <w:rPr>
          <w:rFonts w:cstheme="minorHAnsi"/>
          <w:kern w:val="0"/>
        </w:rPr>
        <w:t xml:space="preserve">was that </w:t>
      </w:r>
      <w:r w:rsidR="00C52440">
        <w:rPr>
          <w:rFonts w:cstheme="minorHAnsi"/>
          <w:kern w:val="0"/>
        </w:rPr>
        <w:t xml:space="preserve">Adomako’s appeal was </w:t>
      </w:r>
      <w:r w:rsidR="003032B1">
        <w:rPr>
          <w:rFonts w:cstheme="minorHAnsi"/>
          <w:kern w:val="0"/>
        </w:rPr>
        <w:t>dismissed,</w:t>
      </w:r>
      <w:r w:rsidR="00C52440">
        <w:rPr>
          <w:rFonts w:cstheme="minorHAnsi"/>
          <w:kern w:val="0"/>
        </w:rPr>
        <w:t xml:space="preserve"> and it was decided that the standard rule of negligence law apply to determine whether the defendant had violated the victi</w:t>
      </w:r>
      <w:r w:rsidR="00360DF8">
        <w:rPr>
          <w:rFonts w:cstheme="minorHAnsi"/>
          <w:kern w:val="0"/>
        </w:rPr>
        <w:t xml:space="preserve">m’s duty of care in manslaughter by criminal negligence. </w:t>
      </w:r>
      <w:r w:rsidR="007D0843" w:rsidRPr="007D0843">
        <w:rPr>
          <w:rFonts w:cstheme="minorHAnsi"/>
          <w:i/>
          <w:iCs/>
          <w:kern w:val="0"/>
        </w:rPr>
        <w:t>Law Teacher (2021)</w:t>
      </w:r>
      <w:r w:rsidR="007D0843">
        <w:rPr>
          <w:rFonts w:cstheme="minorHAnsi"/>
          <w:i/>
          <w:iCs/>
          <w:kern w:val="0"/>
        </w:rPr>
        <w:t>.</w:t>
      </w:r>
    </w:p>
    <w:p w14:paraId="58167587" w14:textId="6B6F6B44" w:rsidR="007D0843" w:rsidRDefault="007D0843" w:rsidP="00B72899">
      <w:pPr>
        <w:pStyle w:val="ListParagraph"/>
        <w:spacing w:line="360" w:lineRule="auto"/>
        <w:rPr>
          <w:rFonts w:cstheme="minorHAnsi"/>
          <w:kern w:val="0"/>
        </w:rPr>
      </w:pPr>
    </w:p>
    <w:p w14:paraId="42CDD925" w14:textId="06B51114" w:rsidR="007A6FFE" w:rsidRPr="00C74583" w:rsidRDefault="007D0843" w:rsidP="00C74583">
      <w:pPr>
        <w:pStyle w:val="ListParagraph"/>
        <w:spacing w:line="360" w:lineRule="auto"/>
        <w:rPr>
          <w:rFonts w:cstheme="minorHAnsi"/>
          <w:kern w:val="0"/>
        </w:rPr>
      </w:pPr>
      <w:r>
        <w:rPr>
          <w:rFonts w:cstheme="minorHAnsi"/>
          <w:kern w:val="0"/>
        </w:rPr>
        <w:t>In c</w:t>
      </w:r>
      <w:r w:rsidR="00E40F3D">
        <w:rPr>
          <w:rFonts w:cstheme="minorHAnsi"/>
          <w:kern w:val="0"/>
        </w:rPr>
        <w:t>onclusion, men’s</w:t>
      </w:r>
      <w:r w:rsidR="001823DC">
        <w:rPr>
          <w:rFonts w:cstheme="minorHAnsi"/>
          <w:kern w:val="0"/>
        </w:rPr>
        <w:t xml:space="preserve"> rea </w:t>
      </w:r>
      <w:r w:rsidR="003F1B70">
        <w:rPr>
          <w:rFonts w:cstheme="minorHAnsi"/>
          <w:kern w:val="0"/>
        </w:rPr>
        <w:t xml:space="preserve">can include </w:t>
      </w:r>
      <w:r w:rsidR="00C701F9">
        <w:rPr>
          <w:rFonts w:cstheme="minorHAnsi"/>
          <w:kern w:val="0"/>
        </w:rPr>
        <w:t xml:space="preserve">certain requirements </w:t>
      </w:r>
      <w:r w:rsidR="00A91A57">
        <w:rPr>
          <w:rFonts w:cstheme="minorHAnsi"/>
          <w:kern w:val="0"/>
        </w:rPr>
        <w:t xml:space="preserve">such as intention, </w:t>
      </w:r>
      <w:r w:rsidR="00737BAA">
        <w:rPr>
          <w:rFonts w:cstheme="minorHAnsi"/>
          <w:kern w:val="0"/>
        </w:rPr>
        <w:t>recklessness,</w:t>
      </w:r>
      <w:r w:rsidR="00A91A57">
        <w:rPr>
          <w:rFonts w:cstheme="minorHAnsi"/>
          <w:kern w:val="0"/>
        </w:rPr>
        <w:t xml:space="preserve"> and intention </w:t>
      </w:r>
      <w:r w:rsidR="00C701F9">
        <w:rPr>
          <w:rFonts w:cstheme="minorHAnsi"/>
          <w:kern w:val="0"/>
        </w:rPr>
        <w:t>to meet criminal liability</w:t>
      </w:r>
      <w:r w:rsidR="00733396">
        <w:rPr>
          <w:rFonts w:cstheme="minorHAnsi"/>
          <w:kern w:val="0"/>
        </w:rPr>
        <w:t>. The House of Lords</w:t>
      </w:r>
      <w:r w:rsidR="00AA7662">
        <w:rPr>
          <w:rFonts w:cstheme="minorHAnsi"/>
          <w:kern w:val="0"/>
        </w:rPr>
        <w:t xml:space="preserve"> was forced to address the crime of “being concerned in the management of any premises used for” smoking cannabis, in violation of Section 5</w:t>
      </w:r>
      <w:r w:rsidR="00FB59E7">
        <w:rPr>
          <w:rFonts w:cstheme="minorHAnsi"/>
          <w:kern w:val="0"/>
        </w:rPr>
        <w:t xml:space="preserve"> of the Dangerous Drugs Act 1965, in </w:t>
      </w:r>
      <w:r w:rsidR="00FC488F">
        <w:rPr>
          <w:rFonts w:cstheme="minorHAnsi"/>
          <w:kern w:val="0"/>
        </w:rPr>
        <w:t xml:space="preserve">the famous </w:t>
      </w:r>
      <w:r w:rsidR="00DA01E1">
        <w:rPr>
          <w:rFonts w:cstheme="minorHAnsi"/>
          <w:kern w:val="0"/>
        </w:rPr>
        <w:t>men’s</w:t>
      </w:r>
      <w:r w:rsidR="00FC488F">
        <w:rPr>
          <w:rFonts w:cstheme="minorHAnsi"/>
          <w:kern w:val="0"/>
        </w:rPr>
        <w:t xml:space="preserve"> rea case </w:t>
      </w:r>
      <w:proofErr w:type="gramStart"/>
      <w:r w:rsidR="00FC488F">
        <w:rPr>
          <w:rFonts w:cstheme="minorHAnsi"/>
          <w:kern w:val="0"/>
        </w:rPr>
        <w:t>Sweet</w:t>
      </w:r>
      <w:proofErr w:type="gramEnd"/>
      <w:r w:rsidR="00FC488F">
        <w:rPr>
          <w:rFonts w:cstheme="minorHAnsi"/>
          <w:kern w:val="0"/>
        </w:rPr>
        <w:t xml:space="preserve"> v. Par</w:t>
      </w:r>
      <w:r w:rsidR="00C24BDC">
        <w:rPr>
          <w:rFonts w:cstheme="minorHAnsi"/>
          <w:kern w:val="0"/>
        </w:rPr>
        <w:t>sley (1970) AC 132. Despite not knowing that her property was being used for this purpose, the defendant was found guilty</w:t>
      </w:r>
      <w:r w:rsidR="00C9593B">
        <w:rPr>
          <w:rFonts w:cstheme="minorHAnsi"/>
          <w:kern w:val="0"/>
        </w:rPr>
        <w:t xml:space="preserve">. Her appeal was granted. According to the head note “the court ought not to </w:t>
      </w:r>
      <w:r w:rsidR="00D04268">
        <w:rPr>
          <w:rFonts w:cstheme="minorHAnsi"/>
          <w:kern w:val="0"/>
        </w:rPr>
        <w:t xml:space="preserve">hold that an offence is an absolute offence unless it appears that </w:t>
      </w:r>
      <w:r w:rsidR="00C74583">
        <w:rPr>
          <w:rFonts w:cstheme="minorHAnsi"/>
          <w:kern w:val="0"/>
        </w:rPr>
        <w:t xml:space="preserve">must </w:t>
      </w:r>
      <w:proofErr w:type="gramStart"/>
      <w:r w:rsidR="00C74583">
        <w:rPr>
          <w:rFonts w:cstheme="minorHAnsi"/>
          <w:kern w:val="0"/>
        </w:rPr>
        <w:t>been</w:t>
      </w:r>
      <w:proofErr w:type="gramEnd"/>
      <w:r w:rsidR="00C74583">
        <w:rPr>
          <w:rFonts w:cstheme="minorHAnsi"/>
          <w:kern w:val="0"/>
        </w:rPr>
        <w:t xml:space="preserve"> the intention of Parliament.” Men’s rea is a fundamental component of every offence, unless some basis can be discovered for holding that it is not necessary</w:t>
      </w:r>
      <w:r w:rsidR="00C74583" w:rsidRPr="00C74583">
        <w:rPr>
          <w:rFonts w:cstheme="minorHAnsi"/>
          <w:i/>
          <w:iCs/>
          <w:kern w:val="0"/>
        </w:rPr>
        <w:t>. ICLR (2024)</w:t>
      </w:r>
      <w:r w:rsidR="00C74583">
        <w:rPr>
          <w:rFonts w:cstheme="minorHAnsi"/>
          <w:kern w:val="0"/>
        </w:rPr>
        <w:t>.</w:t>
      </w:r>
    </w:p>
    <w:p w14:paraId="7B7CFD04" w14:textId="77777777" w:rsidR="007A6FFE" w:rsidRDefault="007A6FFE" w:rsidP="00430270">
      <w:pPr>
        <w:pStyle w:val="NormalWeb"/>
        <w:spacing w:before="0" w:beforeAutospacing="0" w:after="0" w:afterAutospacing="0"/>
        <w:ind w:left="720"/>
        <w:rPr>
          <w:rFonts w:ascii="Arial" w:hAnsi="Arial" w:cs="Arial"/>
          <w:color w:val="4D4D4D"/>
          <w:sz w:val="26"/>
          <w:szCs w:val="26"/>
        </w:rPr>
      </w:pPr>
    </w:p>
    <w:p w14:paraId="3314B4A4" w14:textId="77777777" w:rsidR="00DD2B8C" w:rsidRDefault="00DD2B8C" w:rsidP="008A34A2"/>
    <w:p w14:paraId="355C4F4E" w14:textId="40B42600" w:rsidR="00DD2B8C" w:rsidRDefault="00DD2B8C" w:rsidP="008A34A2"/>
    <w:p w14:paraId="7E2D6990" w14:textId="700FC3C6" w:rsidR="00FC4FCE" w:rsidRDefault="00FC4FCE" w:rsidP="0050259A">
      <w:pPr>
        <w:pStyle w:val="NoSpacing"/>
      </w:pPr>
    </w:p>
    <w:p w14:paraId="71871AE5" w14:textId="5BB83433" w:rsidR="00224E51" w:rsidRPr="00224E51" w:rsidRDefault="00224E51" w:rsidP="0098109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224E51">
        <w:rPr>
          <w:rFonts w:cstheme="minorHAnsi"/>
          <w:kern w:val="0"/>
        </w:rPr>
        <w:lastRenderedPageBreak/>
        <w:t xml:space="preserve">cilexlawschool (2019) Fundamental Principles of Criminal Liability 2: </w:t>
      </w:r>
      <w:r w:rsidR="009D5EFF" w:rsidRPr="00224E51">
        <w:rPr>
          <w:rFonts w:cstheme="minorHAnsi"/>
          <w:kern w:val="0"/>
        </w:rPr>
        <w:t>Men’s</w:t>
      </w:r>
      <w:r w:rsidRPr="00224E51">
        <w:rPr>
          <w:rFonts w:cstheme="minorHAnsi"/>
          <w:kern w:val="0"/>
        </w:rPr>
        <w:t xml:space="preserve"> Rea. Available at: </w:t>
      </w:r>
      <w:hyperlink r:id="rId7" w:history="1">
        <w:r w:rsidRPr="00224E51">
          <w:rPr>
            <w:rFonts w:cstheme="minorHAnsi"/>
            <w:kern w:val="0"/>
          </w:rPr>
          <w:t>https://cilexlawschool.ac.uk/wp-content/uploads/2019/09/HQ03-Criminal-Law-Sample-2019.pdf</w:t>
        </w:r>
      </w:hyperlink>
    </w:p>
    <w:p w14:paraId="35FE1172" w14:textId="3AAA7202" w:rsidR="00FB03F1" w:rsidRDefault="00224E51" w:rsidP="00981093">
      <w:pPr>
        <w:pStyle w:val="NoSpacing"/>
        <w:spacing w:line="276" w:lineRule="auto"/>
        <w:rPr>
          <w:rFonts w:cstheme="minorHAnsi"/>
          <w:kern w:val="0"/>
        </w:rPr>
      </w:pPr>
      <w:r w:rsidRPr="00224E51">
        <w:rPr>
          <w:rFonts w:cstheme="minorHAnsi"/>
          <w:kern w:val="0"/>
        </w:rPr>
        <w:t xml:space="preserve">Accessed on </w:t>
      </w:r>
      <w:r w:rsidR="009D5EFF" w:rsidRPr="00224E51">
        <w:rPr>
          <w:rFonts w:cstheme="minorHAnsi"/>
          <w:kern w:val="0"/>
        </w:rPr>
        <w:t>19.02.2024.</w:t>
      </w:r>
    </w:p>
    <w:p w14:paraId="1E0C245B" w14:textId="77777777" w:rsidR="00FB12B4" w:rsidRDefault="00FB12B4" w:rsidP="00981093">
      <w:pPr>
        <w:pStyle w:val="NoSpacing"/>
        <w:spacing w:line="276" w:lineRule="auto"/>
        <w:rPr>
          <w:rFonts w:cstheme="minorHAnsi"/>
          <w:kern w:val="0"/>
        </w:rPr>
      </w:pPr>
    </w:p>
    <w:p w14:paraId="19CAE376" w14:textId="77777777" w:rsidR="00FB12B4" w:rsidRPr="00FB12B4" w:rsidRDefault="00FB12B4" w:rsidP="0098109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FB12B4">
        <w:rPr>
          <w:rFonts w:cstheme="minorHAnsi"/>
          <w:kern w:val="0"/>
        </w:rPr>
        <w:t>Cornell Law School (2023) negligence. Available at:</w:t>
      </w:r>
    </w:p>
    <w:p w14:paraId="1784E7CF" w14:textId="77777777" w:rsidR="00FB12B4" w:rsidRPr="00FB12B4" w:rsidRDefault="00433D30" w:rsidP="0098109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8" w:anchor=":~:text=Negligence%20is%20the%20failure%20to,actions%20can%20be%20found%20negligent." w:history="1">
        <w:r w:rsidR="00FB12B4" w:rsidRPr="00FB12B4">
          <w:rPr>
            <w:rFonts w:cstheme="minorHAnsi"/>
            <w:kern w:val="0"/>
          </w:rPr>
          <w:t>https://www.law.cornell.edu/wex/negligence#:~:text=Negligence%20is%20the%20failure%20to,actions%20can%20be%20found%20negligent.</w:t>
        </w:r>
      </w:hyperlink>
    </w:p>
    <w:p w14:paraId="492DBD70" w14:textId="0D871D51" w:rsidR="00FB12B4" w:rsidRDefault="00FB12B4" w:rsidP="00981093">
      <w:pPr>
        <w:pStyle w:val="NoSpacing"/>
        <w:spacing w:line="276" w:lineRule="auto"/>
        <w:rPr>
          <w:rFonts w:cstheme="minorHAnsi"/>
          <w:kern w:val="0"/>
        </w:rPr>
      </w:pPr>
      <w:r w:rsidRPr="00FB12B4">
        <w:rPr>
          <w:rFonts w:cstheme="minorHAnsi"/>
          <w:kern w:val="0"/>
        </w:rPr>
        <w:t>Accessed on 23.02.2024.</w:t>
      </w:r>
    </w:p>
    <w:p w14:paraId="57F5E8B8" w14:textId="77777777" w:rsidR="005D435E" w:rsidRDefault="005D435E" w:rsidP="00981093">
      <w:pPr>
        <w:pStyle w:val="NoSpacing"/>
        <w:spacing w:line="276" w:lineRule="auto"/>
        <w:rPr>
          <w:rFonts w:cstheme="minorHAnsi"/>
          <w:kern w:val="0"/>
        </w:rPr>
      </w:pPr>
    </w:p>
    <w:p w14:paraId="116F3FCB" w14:textId="52F77056" w:rsidR="00981093" w:rsidRPr="00981093" w:rsidRDefault="00981093" w:rsidP="0098109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981093">
        <w:rPr>
          <w:rFonts w:cstheme="minorHAnsi"/>
          <w:kern w:val="0"/>
        </w:rPr>
        <w:t>Cornell Law School (2023) men’s rea. Available at:</w:t>
      </w:r>
    </w:p>
    <w:p w14:paraId="73EF1061" w14:textId="77777777" w:rsidR="00981093" w:rsidRPr="00981093" w:rsidRDefault="00433D30" w:rsidP="0098109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9" w:anchor=":~:text=Mens%20rea%20refers%20to%20criminal,defendant%20of%20a%20particular%20crime." w:history="1">
        <w:r w:rsidR="00981093" w:rsidRPr="00981093">
          <w:rPr>
            <w:rFonts w:cstheme="minorHAnsi"/>
            <w:kern w:val="0"/>
          </w:rPr>
          <w:t>https://www.law.cornell.edu/wex/mens_rea#:~:text=Mens%20rea%20refers%20to%20criminal,defendant%20of%20a%20particular%20crime.</w:t>
        </w:r>
      </w:hyperlink>
    </w:p>
    <w:p w14:paraId="2D72ECA9" w14:textId="6DF8CE9F" w:rsidR="005D435E" w:rsidRDefault="00981093" w:rsidP="00981093">
      <w:pPr>
        <w:pStyle w:val="NoSpacing"/>
        <w:spacing w:line="276" w:lineRule="auto"/>
        <w:rPr>
          <w:rFonts w:cstheme="minorHAnsi"/>
          <w:kern w:val="0"/>
        </w:rPr>
      </w:pPr>
      <w:r w:rsidRPr="00981093">
        <w:rPr>
          <w:rFonts w:cstheme="minorHAnsi"/>
          <w:kern w:val="0"/>
        </w:rPr>
        <w:t>Accessed on 07.02.2024.</w:t>
      </w:r>
    </w:p>
    <w:p w14:paraId="2FB6B32C" w14:textId="77777777" w:rsidR="007D66CB" w:rsidRDefault="007D66CB" w:rsidP="00981093">
      <w:pPr>
        <w:pStyle w:val="NoSpacing"/>
        <w:spacing w:line="276" w:lineRule="auto"/>
        <w:rPr>
          <w:rFonts w:cstheme="minorHAnsi"/>
          <w:kern w:val="0"/>
        </w:rPr>
      </w:pPr>
    </w:p>
    <w:p w14:paraId="42833C34" w14:textId="77777777" w:rsidR="007D66CB" w:rsidRPr="007D66CB" w:rsidRDefault="007D66CB" w:rsidP="007D66C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7D66CB">
        <w:rPr>
          <w:rFonts w:cstheme="minorHAnsi"/>
          <w:kern w:val="0"/>
        </w:rPr>
        <w:t>Court of Appeal (2007) Recklessness: Intoxication and Assault, R v Brady [2006] EWCA Crim 2413. Available at:</w:t>
      </w:r>
    </w:p>
    <w:p w14:paraId="3FA96005" w14:textId="77777777" w:rsidR="007D66CB" w:rsidRPr="007D66CB" w:rsidRDefault="007D66CB" w:rsidP="007D66C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7D66CB">
        <w:rPr>
          <w:rFonts w:cstheme="minorHAnsi"/>
          <w:kern w:val="0"/>
        </w:rPr>
        <w:t xml:space="preserve"> </w:t>
      </w:r>
      <w:hyperlink r:id="rId10" w:history="1">
        <w:r w:rsidRPr="007D66CB">
          <w:rPr>
            <w:rFonts w:cstheme="minorHAnsi"/>
            <w:kern w:val="0"/>
          </w:rPr>
          <w:t>https://journals.sagepub.com/doi/abs/10.1350/jcla.2007.71.4.296?journalCode=clja</w:t>
        </w:r>
      </w:hyperlink>
    </w:p>
    <w:p w14:paraId="38FB0F91" w14:textId="24F2EBCF" w:rsidR="007D66CB" w:rsidRDefault="007D66CB" w:rsidP="007D66CB">
      <w:pPr>
        <w:pStyle w:val="NoSpacing"/>
        <w:spacing w:line="276" w:lineRule="auto"/>
        <w:rPr>
          <w:rFonts w:cstheme="minorHAnsi"/>
          <w:kern w:val="0"/>
        </w:rPr>
      </w:pPr>
      <w:r w:rsidRPr="007D66CB">
        <w:rPr>
          <w:rFonts w:cstheme="minorHAnsi"/>
          <w:kern w:val="0"/>
        </w:rPr>
        <w:t>Accessed on 21.02.2024.</w:t>
      </w:r>
    </w:p>
    <w:p w14:paraId="2E0C23F5" w14:textId="77777777" w:rsidR="00FE02F7" w:rsidRDefault="00FE02F7" w:rsidP="007D66CB">
      <w:pPr>
        <w:pStyle w:val="NoSpacing"/>
        <w:spacing w:line="276" w:lineRule="auto"/>
        <w:rPr>
          <w:rFonts w:cstheme="minorHAnsi"/>
          <w:kern w:val="0"/>
        </w:rPr>
      </w:pPr>
    </w:p>
    <w:p w14:paraId="4143339B" w14:textId="77777777" w:rsidR="00FE02F7" w:rsidRPr="00FE02F7" w:rsidRDefault="00FE02F7" w:rsidP="00FE02F7">
      <w:pPr>
        <w:autoSpaceDE w:val="0"/>
        <w:autoSpaceDN w:val="0"/>
        <w:adjustRightInd w:val="0"/>
        <w:spacing w:line="276" w:lineRule="auto"/>
        <w:rPr>
          <w:rFonts w:cstheme="minorHAnsi"/>
          <w:b/>
          <w:bCs/>
          <w:kern w:val="0"/>
        </w:rPr>
      </w:pPr>
      <w:r w:rsidRPr="00FE02F7">
        <w:rPr>
          <w:rFonts w:cstheme="minorHAnsi"/>
          <w:kern w:val="0"/>
        </w:rPr>
        <w:t>Daryna Byelikova (2019) THE NOTION OF CRIMINAL INTENT: THE EVOLUTION OF MENS REA IN CRIMINAL LAW. Available at:</w:t>
      </w:r>
    </w:p>
    <w:p w14:paraId="4A1F8EB6" w14:textId="77777777" w:rsidR="00FE02F7" w:rsidRPr="00FE02F7" w:rsidRDefault="00433D30" w:rsidP="00FE02F7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1" w:history="1">
        <w:r w:rsidR="00FE02F7" w:rsidRPr="00FE02F7">
          <w:rPr>
            <w:rFonts w:cstheme="minorHAnsi"/>
            <w:kern w:val="0"/>
          </w:rPr>
          <w:t>https://core.ac.uk/download/pdf/322804681.pdf</w:t>
        </w:r>
      </w:hyperlink>
    </w:p>
    <w:p w14:paraId="11BC1D58" w14:textId="6698E4FF" w:rsidR="00FE02F7" w:rsidRDefault="00FE02F7" w:rsidP="00FE02F7">
      <w:pPr>
        <w:pStyle w:val="NoSpacing"/>
        <w:spacing w:line="276" w:lineRule="auto"/>
        <w:rPr>
          <w:rFonts w:cstheme="minorHAnsi"/>
          <w:kern w:val="0"/>
        </w:rPr>
      </w:pPr>
      <w:r w:rsidRPr="00FE02F7">
        <w:rPr>
          <w:rFonts w:cstheme="minorHAnsi"/>
          <w:kern w:val="0"/>
        </w:rPr>
        <w:t>Accessed on 12.02.2024.</w:t>
      </w:r>
    </w:p>
    <w:p w14:paraId="6D333BBE" w14:textId="77777777" w:rsidR="00EC1063" w:rsidRDefault="00EC1063" w:rsidP="00EC106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6271C03C" w14:textId="0BF265AC" w:rsidR="00EC1063" w:rsidRPr="00EC1063" w:rsidRDefault="00EC1063" w:rsidP="00EC1063">
      <w:pPr>
        <w:autoSpaceDE w:val="0"/>
        <w:autoSpaceDN w:val="0"/>
        <w:adjustRightInd w:val="0"/>
        <w:spacing w:line="276" w:lineRule="auto"/>
        <w:rPr>
          <w:rFonts w:cstheme="minorHAnsi"/>
          <w:b/>
          <w:bCs/>
          <w:kern w:val="0"/>
        </w:rPr>
      </w:pPr>
      <w:r w:rsidRPr="00EC1063">
        <w:rPr>
          <w:rFonts w:cstheme="minorHAnsi"/>
          <w:kern w:val="0"/>
        </w:rPr>
        <w:t>ICLR (2024) Men’s rea and actus reus. Available at:</w:t>
      </w:r>
    </w:p>
    <w:p w14:paraId="40E89FA7" w14:textId="77777777" w:rsidR="00EC1063" w:rsidRPr="00EC1063" w:rsidRDefault="00433D30" w:rsidP="00EC1063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2" w:anchor=":~:text=Mens%20rea%20is%20often%20described,such%20as%20recklessness%20or%20negligence." w:history="1">
        <w:r w:rsidR="00EC1063" w:rsidRPr="00EC1063">
          <w:rPr>
            <w:rFonts w:cstheme="minorHAnsi"/>
            <w:kern w:val="0"/>
          </w:rPr>
          <w:t>https://www.iclr.co.uk/knowledge/glossary/mens-rea-and-actus-reus/#:~:text=Mens%20rea%20is%20often%20described,such%20as%20recklessness%20or%20negligence.</w:t>
        </w:r>
      </w:hyperlink>
    </w:p>
    <w:p w14:paraId="592A4AE3" w14:textId="59326520" w:rsidR="00EC1063" w:rsidRPr="00EC1063" w:rsidRDefault="00EC1063" w:rsidP="00EC1063">
      <w:pPr>
        <w:pStyle w:val="NoSpacing"/>
        <w:spacing w:line="276" w:lineRule="auto"/>
        <w:rPr>
          <w:rFonts w:cstheme="minorHAnsi"/>
          <w:kern w:val="0"/>
        </w:rPr>
      </w:pPr>
      <w:r w:rsidRPr="00EC1063">
        <w:rPr>
          <w:rFonts w:cstheme="minorHAnsi"/>
          <w:kern w:val="0"/>
        </w:rPr>
        <w:t>Accessed on 22.02.2024.</w:t>
      </w:r>
    </w:p>
    <w:p w14:paraId="2055F55A" w14:textId="77777777" w:rsidR="00FE02F7" w:rsidRDefault="00FE02F7" w:rsidP="00FE02F7">
      <w:pPr>
        <w:pStyle w:val="NoSpacing"/>
        <w:spacing w:line="276" w:lineRule="auto"/>
        <w:rPr>
          <w:rFonts w:cstheme="minorHAnsi"/>
          <w:kern w:val="0"/>
        </w:rPr>
      </w:pPr>
    </w:p>
    <w:p w14:paraId="794807CB" w14:textId="77777777" w:rsidR="00271E8F" w:rsidRPr="00271E8F" w:rsidRDefault="00271E8F" w:rsidP="00271E8F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271E8F">
        <w:rPr>
          <w:rFonts w:cstheme="minorHAnsi"/>
          <w:kern w:val="0"/>
        </w:rPr>
        <w:t>Law Teacher (2021) R v Adomako [1995] 1 A.C. 171. Available at:</w:t>
      </w:r>
    </w:p>
    <w:p w14:paraId="5B5FDF1F" w14:textId="77777777" w:rsidR="00271E8F" w:rsidRPr="00271E8F" w:rsidRDefault="00433D30" w:rsidP="00271E8F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3" w:history="1">
        <w:r w:rsidR="00271E8F" w:rsidRPr="00271E8F">
          <w:rPr>
            <w:rFonts w:cstheme="minorHAnsi"/>
            <w:kern w:val="0"/>
          </w:rPr>
          <w:t>https://www.lawteacher.net/cases/r-v-adomako.php</w:t>
        </w:r>
      </w:hyperlink>
    </w:p>
    <w:p w14:paraId="720D77EF" w14:textId="7320B588" w:rsidR="00271E8F" w:rsidRDefault="00271E8F" w:rsidP="00271E8F">
      <w:pPr>
        <w:pStyle w:val="NoSpacing"/>
        <w:spacing w:line="276" w:lineRule="auto"/>
        <w:rPr>
          <w:rFonts w:cstheme="minorHAnsi"/>
          <w:kern w:val="0"/>
        </w:rPr>
      </w:pPr>
      <w:r w:rsidRPr="00271E8F">
        <w:rPr>
          <w:rFonts w:cstheme="minorHAnsi"/>
          <w:kern w:val="0"/>
        </w:rPr>
        <w:t>Accessed on 23.02.2024.</w:t>
      </w:r>
    </w:p>
    <w:p w14:paraId="1704F0F3" w14:textId="77777777" w:rsidR="00EF245E" w:rsidRDefault="00EF245E" w:rsidP="00DA01E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23360C1D" w14:textId="0FBE6A69" w:rsidR="00DA01E1" w:rsidRPr="00DA01E1" w:rsidRDefault="00DA01E1" w:rsidP="00DA01E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DA01E1">
        <w:rPr>
          <w:rFonts w:cstheme="minorHAnsi"/>
          <w:kern w:val="0"/>
        </w:rPr>
        <w:t>Law Teacher (2021), R v Moloney - 1985. Available at:</w:t>
      </w:r>
    </w:p>
    <w:p w14:paraId="6B7B6ED4" w14:textId="77777777" w:rsidR="00DA01E1" w:rsidRPr="00DA01E1" w:rsidRDefault="00433D30" w:rsidP="00DA01E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4" w:anchor=":~:text=Law%20Case%20Summary&amp;text=Moloney%20won%2C%20and%20was%20then,to%20the%20House%20of%20Lords." w:history="1">
        <w:r w:rsidR="00DA01E1" w:rsidRPr="00DA01E1">
          <w:rPr>
            <w:rFonts w:cstheme="minorHAnsi"/>
            <w:kern w:val="0"/>
          </w:rPr>
          <w:t>https://www.lawteacher.net/cases/r-v-moloney.php#:~:text=Law%20Case%20Summary&amp;text=Moloney%20won%2C%20and%20was%20then,to%20the%20House%20of%20Lords.</w:t>
        </w:r>
      </w:hyperlink>
    </w:p>
    <w:p w14:paraId="620B9E2F" w14:textId="6AD1A40B" w:rsidR="00DA01E1" w:rsidRDefault="00DA01E1" w:rsidP="00DA01E1">
      <w:pPr>
        <w:pStyle w:val="NoSpacing"/>
        <w:spacing w:line="276" w:lineRule="auto"/>
        <w:rPr>
          <w:rFonts w:cstheme="minorHAnsi"/>
          <w:kern w:val="0"/>
        </w:rPr>
      </w:pPr>
      <w:r w:rsidRPr="00DA01E1">
        <w:rPr>
          <w:rFonts w:cstheme="minorHAnsi"/>
          <w:kern w:val="0"/>
        </w:rPr>
        <w:t>Accessed on 19.02.2024.</w:t>
      </w:r>
    </w:p>
    <w:p w14:paraId="6F24E576" w14:textId="77777777" w:rsidR="00EF245E" w:rsidRPr="00EF245E" w:rsidRDefault="00EF245E" w:rsidP="00EF245E">
      <w:pPr>
        <w:pStyle w:val="NoSpacing"/>
        <w:spacing w:line="276" w:lineRule="auto"/>
        <w:rPr>
          <w:rFonts w:cstheme="minorHAnsi"/>
          <w:kern w:val="0"/>
        </w:rPr>
      </w:pPr>
    </w:p>
    <w:p w14:paraId="28D45B03" w14:textId="77777777" w:rsidR="00EF245E" w:rsidRPr="00EF245E" w:rsidRDefault="00EF245E" w:rsidP="00EF245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EF245E">
        <w:rPr>
          <w:rFonts w:cstheme="minorHAnsi"/>
          <w:kern w:val="0"/>
        </w:rPr>
        <w:lastRenderedPageBreak/>
        <w:t>LexisNexis (2024) What does intention mean? Available at:</w:t>
      </w:r>
    </w:p>
    <w:p w14:paraId="75B453FC" w14:textId="77777777" w:rsidR="00EF245E" w:rsidRPr="00EF245E" w:rsidRDefault="00433D30" w:rsidP="00EF245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5" w:anchor=":~:text=What%20does%20Intention%20mean%3F,virtually%20certain%20so%20to%20result." w:history="1">
        <w:r w:rsidR="00EF245E" w:rsidRPr="00EF245E">
          <w:rPr>
            <w:rFonts w:cstheme="minorHAnsi"/>
            <w:kern w:val="0"/>
          </w:rPr>
          <w:t>https://www.lexisnexis.co.uk/legal/glossary/intention#:~:text=What%20does%20Intention%20mean%3F,virtually%20certain%20so%20to%20result.</w:t>
        </w:r>
      </w:hyperlink>
    </w:p>
    <w:p w14:paraId="2206D8D8" w14:textId="2083A3CE" w:rsidR="00EF245E" w:rsidRDefault="00EF245E" w:rsidP="00EF245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EF245E">
        <w:rPr>
          <w:rFonts w:cstheme="minorHAnsi"/>
          <w:kern w:val="0"/>
        </w:rPr>
        <w:t>Accessed on 18.02.2024.</w:t>
      </w:r>
    </w:p>
    <w:p w14:paraId="0F3FECB3" w14:textId="77777777" w:rsidR="00EF245E" w:rsidRDefault="00EF245E" w:rsidP="00EF245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59AF58F6" w14:textId="77777777" w:rsidR="00FD47FE" w:rsidRDefault="00FD47FE" w:rsidP="00FD47F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76F635E" w14:textId="0B58688B" w:rsidR="00FD47FE" w:rsidRPr="00FD47FE" w:rsidRDefault="00FD47FE" w:rsidP="00FD47F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FD47FE">
        <w:rPr>
          <w:rFonts w:cstheme="minorHAnsi"/>
          <w:kern w:val="0"/>
        </w:rPr>
        <w:t>Matthew Browne (2022) ELEMENTS OF THE OFFENCE: MENS REA. Available at:</w:t>
      </w:r>
    </w:p>
    <w:p w14:paraId="7743DAD9" w14:textId="77777777" w:rsidR="00FD47FE" w:rsidRPr="00FD47FE" w:rsidRDefault="00433D30" w:rsidP="00FD47F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6" w:anchor=":~:text=Subjective%20mens%20rea%20can%20be,a%20reasonable%20person%20would%20do." w:history="1">
        <w:r w:rsidR="00FD47FE" w:rsidRPr="00FD47FE">
          <w:rPr>
            <w:rFonts w:cstheme="minorHAnsi"/>
            <w:kern w:val="0"/>
          </w:rPr>
          <w:t>https://wilsoncriminaldefence.com/elements-of-the-offence-mens-rea/#:~:text=Subjective%20mens%20rea%20can%20be,a%20reasonable%20person%20would%20do.</w:t>
        </w:r>
      </w:hyperlink>
    </w:p>
    <w:p w14:paraId="184CF830" w14:textId="2F14EBCC" w:rsidR="00EF245E" w:rsidRDefault="00FD47FE" w:rsidP="00FD47F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FD47FE">
        <w:rPr>
          <w:rFonts w:cstheme="minorHAnsi"/>
          <w:kern w:val="0"/>
        </w:rPr>
        <w:t>Accessed on 22.02.2024.</w:t>
      </w:r>
    </w:p>
    <w:p w14:paraId="2791374D" w14:textId="77777777" w:rsidR="00FD47FE" w:rsidRDefault="00FD47FE" w:rsidP="00FD47FE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3E7EE731" w14:textId="77777777" w:rsidR="00A51C11" w:rsidRPr="00A51C11" w:rsidRDefault="00A51C11" w:rsidP="00A51C1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A51C11">
        <w:rPr>
          <w:rFonts w:cstheme="minorHAnsi"/>
          <w:kern w:val="0"/>
        </w:rPr>
        <w:t>Oxford university press (2016) R v WOOLLIN [1998] 4 All ER 103, HL. Available at:</w:t>
      </w:r>
    </w:p>
    <w:p w14:paraId="25781034" w14:textId="77777777" w:rsidR="00A51C11" w:rsidRPr="00A51C11" w:rsidRDefault="00433D30" w:rsidP="00A51C1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7" w:anchor="a" w:history="1">
        <w:r w:rsidR="00A51C11" w:rsidRPr="00A51C11">
          <w:rPr>
            <w:rFonts w:cstheme="minorHAnsi"/>
            <w:kern w:val="0"/>
          </w:rPr>
          <w:t>https://global.oup.com/uk/orc/law/criminal/heaton4e/resources/casematerial/bychapter/ch03/#a</w:t>
        </w:r>
      </w:hyperlink>
    </w:p>
    <w:p w14:paraId="7EB5898C" w14:textId="06510C67" w:rsidR="00A51C11" w:rsidRDefault="00A51C11" w:rsidP="00A51C1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A51C11">
        <w:rPr>
          <w:rFonts w:cstheme="minorHAnsi"/>
          <w:kern w:val="0"/>
        </w:rPr>
        <w:t>Accessed on 20.02.2024.</w:t>
      </w:r>
    </w:p>
    <w:p w14:paraId="32DF8D88" w14:textId="77777777" w:rsidR="00EC1063" w:rsidRDefault="00EC1063" w:rsidP="00A51C11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253F5CBC" w14:textId="6FF54896" w:rsidR="001D2658" w:rsidRPr="001D2658" w:rsidRDefault="001D2658" w:rsidP="001D2658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1D2658">
        <w:rPr>
          <w:rFonts w:cstheme="minorHAnsi"/>
          <w:kern w:val="0"/>
        </w:rPr>
        <w:t xml:space="preserve">The Crown Prosecution Service (2023) Criminal Damage - Men’s Rea. Available </w:t>
      </w:r>
      <w:proofErr w:type="gramStart"/>
      <w:r w:rsidRPr="001D2658">
        <w:rPr>
          <w:rFonts w:cstheme="minorHAnsi"/>
          <w:kern w:val="0"/>
        </w:rPr>
        <w:t>at :</w:t>
      </w:r>
      <w:proofErr w:type="gramEnd"/>
    </w:p>
    <w:p w14:paraId="0AD55F55" w14:textId="77777777" w:rsidR="001D2658" w:rsidRPr="001D2658" w:rsidRDefault="00433D30" w:rsidP="001D2658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8" w:anchor=":~:text=%22A%20person%20acts%20recklessly%20within,unreasonable%20to%20take%20the%20risk.%22" w:history="1">
        <w:r w:rsidR="001D2658" w:rsidRPr="001D2658">
          <w:rPr>
            <w:rFonts w:cstheme="minorHAnsi"/>
            <w:kern w:val="0"/>
          </w:rPr>
          <w:t>https://www.cps.gov.uk/legal-guidance/criminal-damage#:~:text=%22A%20person%20acts%20recklessly%20within,unreasonable%20to%20take%20the%20risk.%22</w:t>
        </w:r>
      </w:hyperlink>
    </w:p>
    <w:p w14:paraId="36B6FAD9" w14:textId="60CF45D7" w:rsidR="001D2658" w:rsidRDefault="001D2658" w:rsidP="001D2658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1D2658">
        <w:rPr>
          <w:rFonts w:cstheme="minorHAnsi"/>
          <w:kern w:val="0"/>
        </w:rPr>
        <w:t>Accessed on 21.02.2024.</w:t>
      </w:r>
    </w:p>
    <w:p w14:paraId="71C48E52" w14:textId="77777777" w:rsidR="001D2658" w:rsidRDefault="001D2658" w:rsidP="001D2658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53FB2B13" w14:textId="77777777" w:rsidR="000B392B" w:rsidRPr="000B392B" w:rsidRDefault="000B392B" w:rsidP="000B392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0B392B">
        <w:rPr>
          <w:rFonts w:cstheme="minorHAnsi"/>
          <w:kern w:val="0"/>
        </w:rPr>
        <w:t>the university of Hong Kong (2023): CRIMINAL LIABILITY AND TYPES OF PENALTIES. Available at:</w:t>
      </w:r>
    </w:p>
    <w:p w14:paraId="65B0551C" w14:textId="77777777" w:rsidR="000B392B" w:rsidRPr="000B392B" w:rsidRDefault="00433D30" w:rsidP="000B392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19" w:anchor=":~:text=Criminal%20liability%20is%20generally%20made,who%20commits%20the%20criminal%20act%20." w:history="1">
        <w:r w:rsidR="000B392B" w:rsidRPr="000B392B">
          <w:rPr>
            <w:rFonts w:cstheme="minorHAnsi"/>
            <w:kern w:val="0"/>
          </w:rPr>
          <w:t>https://www.clic.org.hk/en/topics/policeAndCrime/criminal_liability_and_penalties#:~:text=Criminal%20liability%20is%20generally%20made,who%20commits%20the%20criminal%20act%20.</w:t>
        </w:r>
      </w:hyperlink>
    </w:p>
    <w:p w14:paraId="38BE11E0" w14:textId="080D9779" w:rsidR="000B392B" w:rsidRDefault="000B392B" w:rsidP="000B392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0B392B">
        <w:rPr>
          <w:rFonts w:cstheme="minorHAnsi"/>
          <w:kern w:val="0"/>
        </w:rPr>
        <w:t>Accessed on 07.02.2024.</w:t>
      </w:r>
    </w:p>
    <w:p w14:paraId="0B4978B1" w14:textId="77777777" w:rsidR="000B392B" w:rsidRDefault="000B392B" w:rsidP="000B392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20E0AC93" w14:textId="77777777" w:rsidR="005B09FB" w:rsidRPr="005B09FB" w:rsidRDefault="005B09FB" w:rsidP="005B09F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5B09FB">
        <w:rPr>
          <w:rFonts w:cstheme="minorHAnsi"/>
          <w:kern w:val="0"/>
        </w:rPr>
        <w:t>UOLLB First Class Law Notes (2023) Oblique Intent. Available at:</w:t>
      </w:r>
    </w:p>
    <w:p w14:paraId="664937DA" w14:textId="77777777" w:rsidR="005B09FB" w:rsidRPr="005B09FB" w:rsidRDefault="00433D30" w:rsidP="005B09F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hyperlink r:id="rId20" w:history="1">
        <w:r w:rsidR="005B09FB" w:rsidRPr="005B09FB">
          <w:rPr>
            <w:rFonts w:cstheme="minorHAnsi"/>
            <w:kern w:val="0"/>
          </w:rPr>
          <w:t>https://uollb.com/blog/law/oblique-intent</w:t>
        </w:r>
      </w:hyperlink>
    </w:p>
    <w:p w14:paraId="21F085BB" w14:textId="54D147B5" w:rsidR="005B09FB" w:rsidRPr="005B09FB" w:rsidRDefault="005B09FB" w:rsidP="005B09F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  <w:r w:rsidRPr="005B09FB">
        <w:rPr>
          <w:rFonts w:cstheme="minorHAnsi"/>
          <w:kern w:val="0"/>
        </w:rPr>
        <w:t>Accessed on 20.02.2024.</w:t>
      </w:r>
    </w:p>
    <w:p w14:paraId="6E2A4553" w14:textId="77777777" w:rsidR="000B392B" w:rsidRPr="000B392B" w:rsidRDefault="000B392B" w:rsidP="000B392B">
      <w:pPr>
        <w:autoSpaceDE w:val="0"/>
        <w:autoSpaceDN w:val="0"/>
        <w:adjustRightInd w:val="0"/>
        <w:spacing w:line="276" w:lineRule="auto"/>
        <w:rPr>
          <w:rFonts w:cstheme="minorHAnsi"/>
          <w:kern w:val="0"/>
        </w:rPr>
      </w:pPr>
    </w:p>
    <w:p w14:paraId="7C6022C4" w14:textId="77777777" w:rsidR="00981093" w:rsidRDefault="00981093" w:rsidP="00981093">
      <w:pPr>
        <w:pStyle w:val="NoSpacing"/>
        <w:spacing w:line="276" w:lineRule="auto"/>
        <w:rPr>
          <w:rFonts w:cstheme="minorHAnsi"/>
          <w:kern w:val="0"/>
        </w:rPr>
      </w:pPr>
    </w:p>
    <w:p w14:paraId="5D69DEA5" w14:textId="77777777" w:rsidR="007D66CB" w:rsidRPr="00981093" w:rsidRDefault="007D66CB" w:rsidP="00981093">
      <w:pPr>
        <w:pStyle w:val="NoSpacing"/>
        <w:spacing w:line="276" w:lineRule="auto"/>
        <w:rPr>
          <w:rFonts w:cstheme="minorHAnsi"/>
          <w:kern w:val="0"/>
        </w:rPr>
      </w:pPr>
    </w:p>
    <w:p w14:paraId="4A8A7EB7" w14:textId="77777777" w:rsidR="009D5EFF" w:rsidRDefault="009D5EFF" w:rsidP="00224E51">
      <w:pPr>
        <w:pStyle w:val="NoSpacing"/>
        <w:rPr>
          <w:rFonts w:cstheme="minorHAnsi"/>
          <w:kern w:val="0"/>
        </w:rPr>
      </w:pPr>
    </w:p>
    <w:p w14:paraId="3D3D1C4E" w14:textId="77777777" w:rsidR="009D5EFF" w:rsidRPr="00224E51" w:rsidRDefault="009D5EFF" w:rsidP="00224E51">
      <w:pPr>
        <w:pStyle w:val="NoSpacing"/>
        <w:rPr>
          <w:rFonts w:cstheme="minorHAnsi"/>
        </w:rPr>
      </w:pPr>
    </w:p>
    <w:sectPr w:rsidR="009D5EFF" w:rsidRPr="00224E51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B1A142" w14:textId="77777777" w:rsidR="00353739" w:rsidRDefault="00353739" w:rsidP="00091EF6">
      <w:r>
        <w:separator/>
      </w:r>
    </w:p>
  </w:endnote>
  <w:endnote w:type="continuationSeparator" w:id="0">
    <w:p w14:paraId="4C556FA6" w14:textId="77777777" w:rsidR="00353739" w:rsidRDefault="00353739" w:rsidP="00091E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BD4EB6" w14:textId="77777777" w:rsidR="00353739" w:rsidRDefault="00353739" w:rsidP="00091EF6">
      <w:r>
        <w:separator/>
      </w:r>
    </w:p>
  </w:footnote>
  <w:footnote w:type="continuationSeparator" w:id="0">
    <w:p w14:paraId="002080F1" w14:textId="77777777" w:rsidR="00353739" w:rsidRDefault="00353739" w:rsidP="00091E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EAD342" w14:textId="096DEC9E" w:rsidR="00091EF6" w:rsidRPr="001B0699" w:rsidRDefault="00091EF6">
    <w:pPr>
      <w:pStyle w:val="Header"/>
      <w:rPr>
        <w:rFonts w:ascii="Times New Roman" w:hAnsi="Times New Roman" w:cs="Times New Roman"/>
      </w:rPr>
    </w:pPr>
    <w:r w:rsidRPr="001B0699">
      <w:rPr>
        <w:rFonts w:ascii="Times New Roman" w:hAnsi="Times New Roman" w:cs="Times New Roman"/>
      </w:rPr>
      <w:t>Diana Demeterova, 2314066                                                                    Criminal Law</w:t>
    </w:r>
  </w:p>
  <w:p w14:paraId="4B8A2B5F" w14:textId="2E0D092A" w:rsidR="00091EF6" w:rsidRPr="001B0699" w:rsidRDefault="00091EF6">
    <w:pPr>
      <w:pStyle w:val="Header"/>
      <w:rPr>
        <w:rFonts w:ascii="Times New Roman" w:hAnsi="Times New Roman" w:cs="Times New Roman"/>
      </w:rPr>
    </w:pPr>
    <w:r w:rsidRPr="001B0699">
      <w:rPr>
        <w:rFonts w:ascii="Times New Roman" w:hAnsi="Times New Roman" w:cs="Times New Roman"/>
      </w:rPr>
      <w:t xml:space="preserve">                                                                                                                  </w:t>
    </w:r>
    <w:r w:rsidR="001B0699">
      <w:rPr>
        <w:rFonts w:ascii="Times New Roman" w:hAnsi="Times New Roman" w:cs="Times New Roman"/>
      </w:rPr>
      <w:t xml:space="preserve"> </w:t>
    </w:r>
    <w:r w:rsidRPr="001B0699">
      <w:rPr>
        <w:rFonts w:ascii="Times New Roman" w:hAnsi="Times New Roman" w:cs="Times New Roman"/>
      </w:rPr>
      <w:t>Assessment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9AC3F5F"/>
    <w:multiLevelType w:val="multilevel"/>
    <w:tmpl w:val="A6B273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BA01A3"/>
    <w:multiLevelType w:val="hybridMultilevel"/>
    <w:tmpl w:val="CBE0E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0A25B3"/>
    <w:multiLevelType w:val="hybridMultilevel"/>
    <w:tmpl w:val="E29E6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066C75"/>
    <w:multiLevelType w:val="hybridMultilevel"/>
    <w:tmpl w:val="8878E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A350AB"/>
    <w:multiLevelType w:val="hybridMultilevel"/>
    <w:tmpl w:val="06229350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num w:numId="1" w16cid:durableId="2076079250">
    <w:abstractNumId w:val="0"/>
  </w:num>
  <w:num w:numId="2" w16cid:durableId="1404258571">
    <w:abstractNumId w:val="5"/>
  </w:num>
  <w:num w:numId="3" w16cid:durableId="219177720">
    <w:abstractNumId w:val="3"/>
  </w:num>
  <w:num w:numId="4" w16cid:durableId="374889105">
    <w:abstractNumId w:val="2"/>
  </w:num>
  <w:num w:numId="5" w16cid:durableId="1228225979">
    <w:abstractNumId w:val="6"/>
  </w:num>
  <w:num w:numId="6" w16cid:durableId="1603606517">
    <w:abstractNumId w:val="4"/>
  </w:num>
  <w:num w:numId="7" w16cid:durableId="2907201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EF6"/>
    <w:rsid w:val="000007CE"/>
    <w:rsid w:val="00000B79"/>
    <w:rsid w:val="00011619"/>
    <w:rsid w:val="00021E7D"/>
    <w:rsid w:val="00023780"/>
    <w:rsid w:val="000272DB"/>
    <w:rsid w:val="0003171E"/>
    <w:rsid w:val="00051135"/>
    <w:rsid w:val="000542ED"/>
    <w:rsid w:val="000548F4"/>
    <w:rsid w:val="00061C61"/>
    <w:rsid w:val="00070C0B"/>
    <w:rsid w:val="0009097B"/>
    <w:rsid w:val="00091EF6"/>
    <w:rsid w:val="00095281"/>
    <w:rsid w:val="00097ECE"/>
    <w:rsid w:val="000B24AD"/>
    <w:rsid w:val="000B392B"/>
    <w:rsid w:val="000B74FC"/>
    <w:rsid w:val="000B7BC1"/>
    <w:rsid w:val="000C3B67"/>
    <w:rsid w:val="000C487E"/>
    <w:rsid w:val="000C6080"/>
    <w:rsid w:val="000C7A32"/>
    <w:rsid w:val="000E1C1E"/>
    <w:rsid w:val="000E6A13"/>
    <w:rsid w:val="000E6E56"/>
    <w:rsid w:val="000F2662"/>
    <w:rsid w:val="0011466B"/>
    <w:rsid w:val="0011669A"/>
    <w:rsid w:val="00124FBF"/>
    <w:rsid w:val="00143D0E"/>
    <w:rsid w:val="001625F3"/>
    <w:rsid w:val="00165C02"/>
    <w:rsid w:val="0017548B"/>
    <w:rsid w:val="001823DC"/>
    <w:rsid w:val="001A7523"/>
    <w:rsid w:val="001B0699"/>
    <w:rsid w:val="001B0F88"/>
    <w:rsid w:val="001B4DEE"/>
    <w:rsid w:val="001C553D"/>
    <w:rsid w:val="001D2658"/>
    <w:rsid w:val="001D41B6"/>
    <w:rsid w:val="001E443C"/>
    <w:rsid w:val="001F7927"/>
    <w:rsid w:val="00201E63"/>
    <w:rsid w:val="002059B8"/>
    <w:rsid w:val="00212C21"/>
    <w:rsid w:val="00223A1F"/>
    <w:rsid w:val="002240A4"/>
    <w:rsid w:val="00224E51"/>
    <w:rsid w:val="00231070"/>
    <w:rsid w:val="002433F0"/>
    <w:rsid w:val="00247336"/>
    <w:rsid w:val="0025696E"/>
    <w:rsid w:val="00267392"/>
    <w:rsid w:val="00271E8F"/>
    <w:rsid w:val="002809F0"/>
    <w:rsid w:val="00296C08"/>
    <w:rsid w:val="002A4E6C"/>
    <w:rsid w:val="002B0C78"/>
    <w:rsid w:val="002B4CC3"/>
    <w:rsid w:val="002C13A7"/>
    <w:rsid w:val="002D1239"/>
    <w:rsid w:val="002D22A2"/>
    <w:rsid w:val="002D5765"/>
    <w:rsid w:val="002F2D42"/>
    <w:rsid w:val="002F7A9F"/>
    <w:rsid w:val="00300341"/>
    <w:rsid w:val="003032B1"/>
    <w:rsid w:val="003045D9"/>
    <w:rsid w:val="00311130"/>
    <w:rsid w:val="00314FDB"/>
    <w:rsid w:val="00324B2C"/>
    <w:rsid w:val="0033185A"/>
    <w:rsid w:val="00336130"/>
    <w:rsid w:val="00353739"/>
    <w:rsid w:val="00355AA6"/>
    <w:rsid w:val="00360DF8"/>
    <w:rsid w:val="00366B94"/>
    <w:rsid w:val="00370B9D"/>
    <w:rsid w:val="0038604C"/>
    <w:rsid w:val="00393953"/>
    <w:rsid w:val="00395F55"/>
    <w:rsid w:val="003A27EE"/>
    <w:rsid w:val="003D23FA"/>
    <w:rsid w:val="003D5BA9"/>
    <w:rsid w:val="003D6BF0"/>
    <w:rsid w:val="003E110B"/>
    <w:rsid w:val="003E7A9C"/>
    <w:rsid w:val="003E7F6A"/>
    <w:rsid w:val="003F1AB0"/>
    <w:rsid w:val="003F1B70"/>
    <w:rsid w:val="00400E52"/>
    <w:rsid w:val="0040118B"/>
    <w:rsid w:val="00416B01"/>
    <w:rsid w:val="004220C3"/>
    <w:rsid w:val="00427C6B"/>
    <w:rsid w:val="00430270"/>
    <w:rsid w:val="004306F3"/>
    <w:rsid w:val="00433D30"/>
    <w:rsid w:val="00435645"/>
    <w:rsid w:val="004367AB"/>
    <w:rsid w:val="004434AA"/>
    <w:rsid w:val="00445886"/>
    <w:rsid w:val="004477CA"/>
    <w:rsid w:val="00454154"/>
    <w:rsid w:val="00454AFF"/>
    <w:rsid w:val="0047461B"/>
    <w:rsid w:val="00476D63"/>
    <w:rsid w:val="00485268"/>
    <w:rsid w:val="004859AB"/>
    <w:rsid w:val="00487F06"/>
    <w:rsid w:val="00490235"/>
    <w:rsid w:val="004933F2"/>
    <w:rsid w:val="00495C22"/>
    <w:rsid w:val="004A16C6"/>
    <w:rsid w:val="004A301B"/>
    <w:rsid w:val="004B1797"/>
    <w:rsid w:val="004B6E20"/>
    <w:rsid w:val="004D32AF"/>
    <w:rsid w:val="004D705F"/>
    <w:rsid w:val="004E670F"/>
    <w:rsid w:val="004F1637"/>
    <w:rsid w:val="004F473F"/>
    <w:rsid w:val="0050259A"/>
    <w:rsid w:val="00520D83"/>
    <w:rsid w:val="005357A8"/>
    <w:rsid w:val="0053598B"/>
    <w:rsid w:val="00535E6D"/>
    <w:rsid w:val="00567E78"/>
    <w:rsid w:val="005745DA"/>
    <w:rsid w:val="005929EA"/>
    <w:rsid w:val="005A0DD8"/>
    <w:rsid w:val="005A1BC8"/>
    <w:rsid w:val="005A2EBF"/>
    <w:rsid w:val="005A708F"/>
    <w:rsid w:val="005A728A"/>
    <w:rsid w:val="005B09FB"/>
    <w:rsid w:val="005C24D2"/>
    <w:rsid w:val="005C602D"/>
    <w:rsid w:val="005D435E"/>
    <w:rsid w:val="005E3D10"/>
    <w:rsid w:val="005E7864"/>
    <w:rsid w:val="005F247C"/>
    <w:rsid w:val="005F5CA9"/>
    <w:rsid w:val="0061608D"/>
    <w:rsid w:val="00621AB5"/>
    <w:rsid w:val="00624B37"/>
    <w:rsid w:val="0062738E"/>
    <w:rsid w:val="00636F79"/>
    <w:rsid w:val="00667156"/>
    <w:rsid w:val="00671A37"/>
    <w:rsid w:val="0068603D"/>
    <w:rsid w:val="00686CBD"/>
    <w:rsid w:val="006A1B61"/>
    <w:rsid w:val="006B1E06"/>
    <w:rsid w:val="006B6348"/>
    <w:rsid w:val="006C0359"/>
    <w:rsid w:val="006C4135"/>
    <w:rsid w:val="006C5BDC"/>
    <w:rsid w:val="006D113B"/>
    <w:rsid w:val="006D230F"/>
    <w:rsid w:val="006D792B"/>
    <w:rsid w:val="006E2FA3"/>
    <w:rsid w:val="006E3DFF"/>
    <w:rsid w:val="006E6B13"/>
    <w:rsid w:val="006F0759"/>
    <w:rsid w:val="0071567D"/>
    <w:rsid w:val="00721FBF"/>
    <w:rsid w:val="007237F1"/>
    <w:rsid w:val="00733396"/>
    <w:rsid w:val="00736CCE"/>
    <w:rsid w:val="00737BAA"/>
    <w:rsid w:val="007446C7"/>
    <w:rsid w:val="00752D0B"/>
    <w:rsid w:val="007542E6"/>
    <w:rsid w:val="00755B8B"/>
    <w:rsid w:val="007572FD"/>
    <w:rsid w:val="00761512"/>
    <w:rsid w:val="00775FE9"/>
    <w:rsid w:val="0077691D"/>
    <w:rsid w:val="007806E7"/>
    <w:rsid w:val="00792656"/>
    <w:rsid w:val="007A6FFE"/>
    <w:rsid w:val="007B4666"/>
    <w:rsid w:val="007B4FC9"/>
    <w:rsid w:val="007D0843"/>
    <w:rsid w:val="007D49A6"/>
    <w:rsid w:val="007D66CB"/>
    <w:rsid w:val="007E4C7A"/>
    <w:rsid w:val="007E7D9C"/>
    <w:rsid w:val="008102E7"/>
    <w:rsid w:val="00813EEB"/>
    <w:rsid w:val="00826E63"/>
    <w:rsid w:val="0082797D"/>
    <w:rsid w:val="00832D48"/>
    <w:rsid w:val="0083653F"/>
    <w:rsid w:val="00840F34"/>
    <w:rsid w:val="00845348"/>
    <w:rsid w:val="008540FD"/>
    <w:rsid w:val="00882D73"/>
    <w:rsid w:val="008A34A2"/>
    <w:rsid w:val="008B5A42"/>
    <w:rsid w:val="008C3E12"/>
    <w:rsid w:val="008C7CC4"/>
    <w:rsid w:val="008D7594"/>
    <w:rsid w:val="008D7C92"/>
    <w:rsid w:val="008F1872"/>
    <w:rsid w:val="00902065"/>
    <w:rsid w:val="00904BBF"/>
    <w:rsid w:val="009128B3"/>
    <w:rsid w:val="00915DA0"/>
    <w:rsid w:val="0092489F"/>
    <w:rsid w:val="0092577F"/>
    <w:rsid w:val="0093104E"/>
    <w:rsid w:val="0093208E"/>
    <w:rsid w:val="0093422B"/>
    <w:rsid w:val="00941E8D"/>
    <w:rsid w:val="0094797D"/>
    <w:rsid w:val="0095185C"/>
    <w:rsid w:val="00952CA9"/>
    <w:rsid w:val="00967B85"/>
    <w:rsid w:val="00975283"/>
    <w:rsid w:val="00981093"/>
    <w:rsid w:val="00981FE9"/>
    <w:rsid w:val="00985BC8"/>
    <w:rsid w:val="009A025D"/>
    <w:rsid w:val="009A52F4"/>
    <w:rsid w:val="009A7BB0"/>
    <w:rsid w:val="009B215B"/>
    <w:rsid w:val="009C1C24"/>
    <w:rsid w:val="009D5EFF"/>
    <w:rsid w:val="009D7172"/>
    <w:rsid w:val="009F2C2F"/>
    <w:rsid w:val="00A077E1"/>
    <w:rsid w:val="00A17AD9"/>
    <w:rsid w:val="00A17E40"/>
    <w:rsid w:val="00A33538"/>
    <w:rsid w:val="00A335A6"/>
    <w:rsid w:val="00A33CA6"/>
    <w:rsid w:val="00A375B8"/>
    <w:rsid w:val="00A51C11"/>
    <w:rsid w:val="00A53D71"/>
    <w:rsid w:val="00A66F0B"/>
    <w:rsid w:val="00A91A57"/>
    <w:rsid w:val="00AA7662"/>
    <w:rsid w:val="00AB0ADA"/>
    <w:rsid w:val="00AB0D06"/>
    <w:rsid w:val="00AD5787"/>
    <w:rsid w:val="00B05908"/>
    <w:rsid w:val="00B12395"/>
    <w:rsid w:val="00B13705"/>
    <w:rsid w:val="00B21767"/>
    <w:rsid w:val="00B3165E"/>
    <w:rsid w:val="00B34DBA"/>
    <w:rsid w:val="00B461A9"/>
    <w:rsid w:val="00B634AA"/>
    <w:rsid w:val="00B72899"/>
    <w:rsid w:val="00B7529B"/>
    <w:rsid w:val="00B9169E"/>
    <w:rsid w:val="00BA3C0E"/>
    <w:rsid w:val="00BE6957"/>
    <w:rsid w:val="00BF1E53"/>
    <w:rsid w:val="00BF3769"/>
    <w:rsid w:val="00BF3C36"/>
    <w:rsid w:val="00BF4715"/>
    <w:rsid w:val="00C04F2E"/>
    <w:rsid w:val="00C1072C"/>
    <w:rsid w:val="00C14924"/>
    <w:rsid w:val="00C17F59"/>
    <w:rsid w:val="00C24B83"/>
    <w:rsid w:val="00C24BDC"/>
    <w:rsid w:val="00C24FA3"/>
    <w:rsid w:val="00C353FE"/>
    <w:rsid w:val="00C417DD"/>
    <w:rsid w:val="00C50770"/>
    <w:rsid w:val="00C52440"/>
    <w:rsid w:val="00C701F9"/>
    <w:rsid w:val="00C74583"/>
    <w:rsid w:val="00C85AF2"/>
    <w:rsid w:val="00C877F2"/>
    <w:rsid w:val="00C94FA1"/>
    <w:rsid w:val="00C9593B"/>
    <w:rsid w:val="00CA6F52"/>
    <w:rsid w:val="00CB1C99"/>
    <w:rsid w:val="00CB5B80"/>
    <w:rsid w:val="00CC2869"/>
    <w:rsid w:val="00CD55A0"/>
    <w:rsid w:val="00CE1A97"/>
    <w:rsid w:val="00CE6DC9"/>
    <w:rsid w:val="00D016EB"/>
    <w:rsid w:val="00D02CE5"/>
    <w:rsid w:val="00D04268"/>
    <w:rsid w:val="00D04B1F"/>
    <w:rsid w:val="00D05F23"/>
    <w:rsid w:val="00D128B5"/>
    <w:rsid w:val="00D22AA4"/>
    <w:rsid w:val="00D25640"/>
    <w:rsid w:val="00D33A24"/>
    <w:rsid w:val="00D366BE"/>
    <w:rsid w:val="00D43ACC"/>
    <w:rsid w:val="00D57C06"/>
    <w:rsid w:val="00D60E29"/>
    <w:rsid w:val="00D629AA"/>
    <w:rsid w:val="00D75338"/>
    <w:rsid w:val="00D7698B"/>
    <w:rsid w:val="00D77256"/>
    <w:rsid w:val="00D8262E"/>
    <w:rsid w:val="00D87309"/>
    <w:rsid w:val="00D90DCA"/>
    <w:rsid w:val="00DA01E1"/>
    <w:rsid w:val="00DA0A4F"/>
    <w:rsid w:val="00DA1FBB"/>
    <w:rsid w:val="00DB1884"/>
    <w:rsid w:val="00DB78F8"/>
    <w:rsid w:val="00DD1981"/>
    <w:rsid w:val="00DD2B8C"/>
    <w:rsid w:val="00DD689A"/>
    <w:rsid w:val="00E22076"/>
    <w:rsid w:val="00E34E2D"/>
    <w:rsid w:val="00E40F3D"/>
    <w:rsid w:val="00E433D0"/>
    <w:rsid w:val="00E4503B"/>
    <w:rsid w:val="00E472B2"/>
    <w:rsid w:val="00E61227"/>
    <w:rsid w:val="00E6326F"/>
    <w:rsid w:val="00E63773"/>
    <w:rsid w:val="00E63F54"/>
    <w:rsid w:val="00E718D4"/>
    <w:rsid w:val="00E74D0A"/>
    <w:rsid w:val="00E75DF8"/>
    <w:rsid w:val="00E878CA"/>
    <w:rsid w:val="00E95E95"/>
    <w:rsid w:val="00EB0DC6"/>
    <w:rsid w:val="00EC05A1"/>
    <w:rsid w:val="00EC1063"/>
    <w:rsid w:val="00ED6CA8"/>
    <w:rsid w:val="00EE313E"/>
    <w:rsid w:val="00EE7AD9"/>
    <w:rsid w:val="00EF245E"/>
    <w:rsid w:val="00EF6287"/>
    <w:rsid w:val="00EF7B38"/>
    <w:rsid w:val="00F002B5"/>
    <w:rsid w:val="00F378C1"/>
    <w:rsid w:val="00F42F24"/>
    <w:rsid w:val="00F54D92"/>
    <w:rsid w:val="00F83100"/>
    <w:rsid w:val="00F932FB"/>
    <w:rsid w:val="00F933BC"/>
    <w:rsid w:val="00F96E15"/>
    <w:rsid w:val="00FA21DA"/>
    <w:rsid w:val="00FA4ADB"/>
    <w:rsid w:val="00FB03F1"/>
    <w:rsid w:val="00FB12B4"/>
    <w:rsid w:val="00FB2BC5"/>
    <w:rsid w:val="00FB59E7"/>
    <w:rsid w:val="00FB6F96"/>
    <w:rsid w:val="00FC488F"/>
    <w:rsid w:val="00FC4C41"/>
    <w:rsid w:val="00FC4FCE"/>
    <w:rsid w:val="00FD47FE"/>
    <w:rsid w:val="00FE02F7"/>
    <w:rsid w:val="00FE4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15747A"/>
  <w15:chartTrackingRefBased/>
  <w15:docId w15:val="{5CE10DFC-DEFC-BF4B-8A9B-56BABD124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4DEE"/>
  </w:style>
  <w:style w:type="paragraph" w:styleId="Heading1">
    <w:name w:val="heading 1"/>
    <w:basedOn w:val="Normal"/>
    <w:link w:val="Heading1Char"/>
    <w:uiPriority w:val="9"/>
    <w:qFormat/>
    <w:rsid w:val="004E670F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E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1EF6"/>
  </w:style>
  <w:style w:type="paragraph" w:styleId="Footer">
    <w:name w:val="footer"/>
    <w:basedOn w:val="Normal"/>
    <w:link w:val="FooterChar"/>
    <w:uiPriority w:val="99"/>
    <w:unhideWhenUsed/>
    <w:rsid w:val="00091E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1EF6"/>
  </w:style>
  <w:style w:type="character" w:customStyle="1" w:styleId="apple-converted-space">
    <w:name w:val="apple-converted-space"/>
    <w:basedOn w:val="DefaultParagraphFont"/>
    <w:rsid w:val="001625F3"/>
  </w:style>
  <w:style w:type="character" w:styleId="Hyperlink">
    <w:name w:val="Hyperlink"/>
    <w:basedOn w:val="DefaultParagraphFont"/>
    <w:uiPriority w:val="99"/>
    <w:semiHidden/>
    <w:unhideWhenUsed/>
    <w:rsid w:val="001625F3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A17AD9"/>
    <w:rPr>
      <w:i/>
      <w:iCs/>
    </w:rPr>
  </w:style>
  <w:style w:type="character" w:styleId="Strong">
    <w:name w:val="Strong"/>
    <w:basedOn w:val="DefaultParagraphFont"/>
    <w:uiPriority w:val="22"/>
    <w:qFormat/>
    <w:rsid w:val="00023780"/>
    <w:rPr>
      <w:b/>
      <w:bCs/>
    </w:rPr>
  </w:style>
  <w:style w:type="paragraph" w:styleId="NormalWeb">
    <w:name w:val="Normal (Web)"/>
    <w:basedOn w:val="Normal"/>
    <w:uiPriority w:val="99"/>
    <w:unhideWhenUsed/>
    <w:rsid w:val="006A1B6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5F247C"/>
    <w:pPr>
      <w:ind w:left="720"/>
      <w:contextualSpacing/>
    </w:pPr>
  </w:style>
  <w:style w:type="paragraph" w:styleId="ListBullet">
    <w:name w:val="List Bullet"/>
    <w:basedOn w:val="Normal"/>
    <w:uiPriority w:val="9"/>
    <w:qFormat/>
    <w:rsid w:val="0093104E"/>
    <w:pPr>
      <w:numPr>
        <w:numId w:val="4"/>
      </w:numPr>
      <w:spacing w:after="120" w:line="259" w:lineRule="auto"/>
    </w:pPr>
    <w:rPr>
      <w:color w:val="595959" w:themeColor="text1" w:themeTint="A6"/>
      <w:kern w:val="0"/>
      <w:sz w:val="30"/>
      <w:szCs w:val="30"/>
      <w:lang w:val="en-US" w:eastAsia="ja-JP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DB78F8"/>
    <w:rPr>
      <w:color w:val="954F72" w:themeColor="followedHyperlink"/>
      <w:u w:val="single"/>
    </w:rPr>
  </w:style>
  <w:style w:type="character" w:customStyle="1" w:styleId="case-name">
    <w:name w:val="case-name"/>
    <w:basedOn w:val="DefaultParagraphFont"/>
    <w:rsid w:val="00D33A24"/>
  </w:style>
  <w:style w:type="character" w:styleId="HTMLCite">
    <w:name w:val="HTML Cite"/>
    <w:basedOn w:val="DefaultParagraphFont"/>
    <w:uiPriority w:val="99"/>
    <w:semiHidden/>
    <w:unhideWhenUsed/>
    <w:rsid w:val="00D33A24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4E670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Spacing">
    <w:name w:val="No Spacing"/>
    <w:uiPriority w:val="1"/>
    <w:qFormat/>
    <w:rsid w:val="005025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3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555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462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409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329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190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187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962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792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48159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single" w:sz="6" w:space="0" w:color="E2E8F0"/>
            <w:bottom w:val="none" w:sz="0" w:space="0" w:color="auto"/>
            <w:right w:val="none" w:sz="0" w:space="0" w:color="auto"/>
          </w:divBdr>
        </w:div>
      </w:divsChild>
    </w:div>
    <w:div w:id="148354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24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8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507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096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3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602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13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6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32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556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7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238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098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aw.cornell.edu/wex/negligence" TargetMode="External"/><Relationship Id="rId13" Type="http://schemas.openxmlformats.org/officeDocument/2006/relationships/hyperlink" Target="https://www.lawteacher.net/cases/r-v-adomako.php" TargetMode="External"/><Relationship Id="rId18" Type="http://schemas.openxmlformats.org/officeDocument/2006/relationships/hyperlink" Target="https://www.cps.gov.uk/legal-guidance/criminal-damage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cilexlawschool.ac.uk/wp-content/uploads/2019/09/HQ03-Criminal-Law-Sample-2019.pdf" TargetMode="External"/><Relationship Id="rId12" Type="http://schemas.openxmlformats.org/officeDocument/2006/relationships/hyperlink" Target="https://www.iclr.co.uk/knowledge/glossary/mens-rea-and-actus-reus/" TargetMode="External"/><Relationship Id="rId17" Type="http://schemas.openxmlformats.org/officeDocument/2006/relationships/hyperlink" Target="https://global.oup.com/uk/orc/law/criminal/heaton4e/resources/casematerial/bychapter/ch03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ilsoncriminaldefence.com/elements-of-the-offence-mens-rea/" TargetMode="External"/><Relationship Id="rId20" Type="http://schemas.openxmlformats.org/officeDocument/2006/relationships/hyperlink" Target="https://uollb.com/blog/law/oblique-inten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ore.ac.uk/download/pdf/322804681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xisnexis.co.uk/legal/glossary/intention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journals.sagepub.com/doi/abs/10.1350/jcla.2007.71.4.296?journalCode=clja" TargetMode="External"/><Relationship Id="rId19" Type="http://schemas.openxmlformats.org/officeDocument/2006/relationships/hyperlink" Target="https://www.clic.org.hk/en/topics/policeAndCrime/criminal_liability_and_penalti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aw.cornell.edu/wex/mens_rea" TargetMode="External"/><Relationship Id="rId14" Type="http://schemas.openxmlformats.org/officeDocument/2006/relationships/hyperlink" Target="https://www.lawteacher.net/cases/r-v-moloney.php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873</TotalTime>
  <Pages>6</Pages>
  <Words>2093</Words>
  <Characters>11935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Demeterova (2314066)</dc:creator>
  <cp:keywords/>
  <dc:description/>
  <cp:lastModifiedBy>Diana Demeterova (2314066)</cp:lastModifiedBy>
  <cp:revision>353</cp:revision>
  <dcterms:created xsi:type="dcterms:W3CDTF">2024-02-05T13:37:00Z</dcterms:created>
  <dcterms:modified xsi:type="dcterms:W3CDTF">2024-02-28T14:12:00Z</dcterms:modified>
</cp:coreProperties>
</file>