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38BB" w:rsidRDefault="00903CBE">
      <w:r>
        <w:t>Name: Sarah Louise WARRINER</w:t>
      </w:r>
    </w:p>
    <w:p w:rsidR="00903CBE" w:rsidRDefault="00903CBE">
      <w:r>
        <w:t>Force and Force Number: SWP6946</w:t>
      </w:r>
    </w:p>
    <w:p w:rsidR="00903CBE" w:rsidRDefault="00903CBE">
      <w:r>
        <w:t>Student Number: 2029482</w:t>
      </w:r>
    </w:p>
    <w:p w:rsidR="00903CBE" w:rsidRDefault="00903CBE">
      <w:r>
        <w:t>Exam Number 2</w:t>
      </w:r>
    </w:p>
    <w:p w:rsidR="00903CBE" w:rsidRDefault="00903CBE">
      <w:r>
        <w:t>23/8/2021</w:t>
      </w:r>
    </w:p>
    <w:p w:rsidR="00691B28" w:rsidRDefault="00691B28">
      <w:r>
        <w:t>1)</w:t>
      </w:r>
      <w:r w:rsidR="00393273">
        <w:t xml:space="preserve"> A person driving a motor vehicle on a road must stop the vehicle on being required to do so by a constable in uniform. A person riding a cycle on a road must stop the cycle on being so required by a constable. Any person who fails to comply is guilty of an offence. – Contrary to section 163 Road Traffic Act 1988</w:t>
      </w:r>
    </w:p>
    <w:p w:rsidR="00691B28" w:rsidRDefault="00691B28">
      <w:r>
        <w:t>2)</w:t>
      </w:r>
      <w:r w:rsidR="00393273">
        <w:t xml:space="preserve"> Section 6(4) of the Road traffic Act 1988 covers the power for a constable to conduct a preliminary roadside test to test for alcohol in the breath. The constable must have reasonable grounds to believe that a person is driving or has been driving and during the time that the vehicle was in motion they committed a traffic offence. This would then give them the power to conduct a preliminary roadside breath test under this section.</w:t>
      </w:r>
    </w:p>
    <w:p w:rsidR="00691B28" w:rsidRDefault="00691B28">
      <w:r>
        <w:t>3)</w:t>
      </w:r>
      <w:r w:rsidR="00393273">
        <w:t xml:space="preserve"> A person is guilty of an offence if they are driving a mechanically propelled vehicle on a road or other public without due care and attention or without reasonable excuse for other persons using the road or other place – Contrary to section 3 Road Traffic Act 1988</w:t>
      </w:r>
    </w:p>
    <w:p w:rsidR="00691B28" w:rsidRDefault="00691B28">
      <w:r>
        <w:t>4)</w:t>
      </w:r>
      <w:r w:rsidR="00E443FC">
        <w:t xml:space="preserve"> Defences for Driving without Due care and Attention or without reasonable consideration under section 3 of the Road Traffic Act 1988 could be: fal</w:t>
      </w:r>
      <w:r w:rsidR="00BA6698">
        <w:t>ling ill at the time of driving;</w:t>
      </w:r>
      <w:r w:rsidR="00E443FC">
        <w:t xml:space="preserve"> this could mean you have become faint and have been unable to pull over or have suffered a seizure of some kind meaning you are not responsible for your manner of driving, </w:t>
      </w:r>
      <w:r w:rsidR="00BA6698">
        <w:t>a part of the vehicle malfunctions such as the headlights; and either you were unaware or you are driving to a garage and can prove this to get this fixed, driving under duress from another person; being forced to drive and under pressure from this person to drive in a certain manner, or a medical emergency has occurred but this would have to be proved.</w:t>
      </w:r>
    </w:p>
    <w:p w:rsidR="00691B28" w:rsidRDefault="00691B28">
      <w:r>
        <w:t>5)</w:t>
      </w:r>
      <w:r w:rsidR="00393273">
        <w:t xml:space="preserve"> If a constable in uniform has reasonable grounds to believe that a motor vehicle is being driven on a road with no insurance or with no valid driving licence/ has been driving otherwise than in accordance than with a licence or fails to stop the vehicle and has reasonable grounds for the above then the motor vehicle is seized. – Contrary to Section 165A Road Traffic Act 1988</w:t>
      </w:r>
    </w:p>
    <w:p w:rsidR="00393273" w:rsidRDefault="00691B28">
      <w:r>
        <w:t>6)</w:t>
      </w:r>
      <w:r w:rsidR="00393273">
        <w:t xml:space="preserve"> Owing to the presence of a mechanically propelled vehicle (MPV) on a road or other public place, an accident occurs where: a person is injured (other than the driver of the MPV), damage is caused: to a vehicle (other than the MPV or any trailer drawn by it), an animal (other than one in or on the MPV or any trailer drawn by it), or any property constructed on, fixed to, growing in or otherwise forming part of the land on which the road or other public place is situated or and land adjacent to such land. – Contrary to Section 170(1) Road Traffic Act 1988</w:t>
      </w:r>
    </w:p>
    <w:p w:rsidR="00691B28" w:rsidRDefault="00691B28">
      <w:r>
        <w:t>7)</w:t>
      </w:r>
      <w:r w:rsidR="00393273">
        <w:t xml:space="preserve"> ROAD – Any length of highway or other place to which the public has access, including bridges over such highways</w:t>
      </w:r>
    </w:p>
    <w:p w:rsidR="00393273" w:rsidRDefault="00393273">
      <w:r>
        <w:t>PUBLIC PLACE- Any place to which the public has access to</w:t>
      </w:r>
    </w:p>
    <w:p w:rsidR="00393273" w:rsidRDefault="00393273">
      <w:r>
        <w:t xml:space="preserve">MECHANICALLY PROPELLED VEHICLE – A vehicle that has been made or adapted for use in motion by either: </w:t>
      </w:r>
      <w:r w:rsidR="0013519D">
        <w:t>Steam, Electricity, Petrol, Diesel, Oil or Gas</w:t>
      </w:r>
    </w:p>
    <w:p w:rsidR="0013519D" w:rsidRDefault="0013519D">
      <w:r>
        <w:lastRenderedPageBreak/>
        <w:t>ANIMAL – Any animal defined as the following: Cattle, Horse, Ass, Mule, Pig, Dog or Goat</w:t>
      </w:r>
    </w:p>
    <w:p w:rsidR="00691B28" w:rsidRDefault="00691B28">
      <w:r>
        <w:t>8)</w:t>
      </w:r>
      <w:r w:rsidR="00E443FC">
        <w:t xml:space="preserve"> When a person has been involved in a reportable traffic collision, section 170 (2) of the Road Traffic Act 1988 states ‘The driver should stop the vehicle, and if so required by any person with reasonable grounds for doing so, provide their name and address and also the owner of the vehicle’s name and address, and any identifiable marks of the vehicle’.</w:t>
      </w:r>
    </w:p>
    <w:p w:rsidR="00E443FC" w:rsidRDefault="00E443FC">
      <w:r>
        <w:t xml:space="preserve">This means that when an accident occurs as per the definition of Section 170 (1) Road Traffic Act 1988, the driver should not drive off and should remain at the accident to provide details to any person who has a valid reason for requesting them. This could be a driver of another vehicle who needs these for insurance purposes, or the owner of any property they have destroyed or to a police constable if the owner is not present. </w:t>
      </w:r>
    </w:p>
    <w:p w:rsidR="00E443FC" w:rsidRDefault="00E443FC">
      <w:r>
        <w:t>Later within section 170 Road Traffic Act 1988 it also states that should the owner of any other vehicle, property or animal not be there that they should report the incident to the police who will deal with the matter.</w:t>
      </w:r>
    </w:p>
    <w:p w:rsidR="00E443FC" w:rsidRDefault="00E443FC">
      <w:r>
        <w:t>Leaving a defined Road Traffic Collision is an offence</w:t>
      </w:r>
    </w:p>
    <w:p w:rsidR="00E443FC" w:rsidRDefault="00E443FC"/>
    <w:p w:rsidR="00691B28" w:rsidRDefault="00691B28">
      <w:r>
        <w:t>9)</w:t>
      </w:r>
      <w:r w:rsidR="000E3BC6">
        <w:t xml:space="preserve"> Section </w:t>
      </w:r>
      <w:r w:rsidR="00E443FC">
        <w:t>6E of the Road Traffic Act 1988 gives you the power of entry to enter any property to deal with a driver who you have reasonable grounds to believe has been driving over the prescribed limit. It also allows you to use reasonable force to enter the property if so required and necessary. In order to enter the property you should have reasonable grounds to believe that owing to that person driving, or being in charge of a motor vehicle, an accident has occurred and has caused another person injury. If you reasonably believe that an accident has occurred and someone has been injured this would then give you the power to enter the property to either conduct a preliminary breath test on that person or to arrest that person. Without these reasonable grounds you cannot enter the property.</w:t>
      </w:r>
    </w:p>
    <w:p w:rsidR="00691B28" w:rsidRDefault="00691B28">
      <w:r>
        <w:t>10)</w:t>
      </w:r>
      <w:r w:rsidR="0013519D">
        <w:t xml:space="preserve"> A person is guilty of an offence if they cause the death of another person whilst driving a mechanically propelled vehicle dangerously on a road or other public place. – Contrary to section 1 Road Traffic Act 1988</w:t>
      </w:r>
    </w:p>
    <w:p w:rsidR="00691B28" w:rsidRDefault="00691B28">
      <w:r>
        <w:t>11)</w:t>
      </w:r>
      <w:r w:rsidR="0013519D">
        <w:t xml:space="preserve"> There are several types of tests that can be completed for determining whether someone is above the prescribed limit for drink/drugs including testing their breath, blood or urine.</w:t>
      </w:r>
    </w:p>
    <w:p w:rsidR="0013519D" w:rsidRDefault="0013519D">
      <w:r>
        <w:t>The limits for these are:</w:t>
      </w:r>
    </w:p>
    <w:p w:rsidR="0013519D" w:rsidRDefault="0013519D">
      <w:r>
        <w:t>35micrograms of Alcohol in 100ml of breath</w:t>
      </w:r>
    </w:p>
    <w:p w:rsidR="0013519D" w:rsidRDefault="0013519D">
      <w:r>
        <w:t>80 Milligrams of Alcohol in 100ml of blood</w:t>
      </w:r>
    </w:p>
    <w:p w:rsidR="0013519D" w:rsidRDefault="0013519D">
      <w:r>
        <w:t>107milligrams of Alcohol in 100ml of urine</w:t>
      </w:r>
    </w:p>
    <w:p w:rsidR="0013519D" w:rsidRDefault="0013519D">
      <w:r>
        <w:t>5micrograms of cocaine in 100ml blood</w:t>
      </w:r>
    </w:p>
    <w:p w:rsidR="0013519D" w:rsidRDefault="0013519D">
      <w:r>
        <w:t>2micrograms of THC in 100ml blood</w:t>
      </w:r>
    </w:p>
    <w:p w:rsidR="0013519D" w:rsidRDefault="0013519D"/>
    <w:p w:rsidR="00691B28" w:rsidRDefault="00691B28">
      <w:r>
        <w:t>12)</w:t>
      </w:r>
      <w:r w:rsidR="0013519D">
        <w:t xml:space="preserve"> Within a suspect interview there are several people who can also be in the interview room:</w:t>
      </w:r>
    </w:p>
    <w:p w:rsidR="0013519D" w:rsidRDefault="0013519D">
      <w:r>
        <w:lastRenderedPageBreak/>
        <w:t>Suspect: The suspect is the person being questioned about the offence and asked to give their account of the offence</w:t>
      </w:r>
    </w:p>
    <w:p w:rsidR="0013519D" w:rsidRDefault="0013519D">
      <w:r>
        <w:t xml:space="preserve">Lead Interviewer: This is the police officer in charge of conducting the interview at that time and </w:t>
      </w:r>
      <w:r w:rsidR="002B5EB9">
        <w:t>is</w:t>
      </w:r>
      <w:r>
        <w:t xml:space="preserve"> the person who puts the questions to the suspect in the case</w:t>
      </w:r>
    </w:p>
    <w:p w:rsidR="0013519D" w:rsidRDefault="0013519D">
      <w:r>
        <w:t>Appropriate Adult: In cases where a suspect is vulnerable because they are; under eighteen years of age, have a learning disability, mental illness or physical disability, an appropriate adult would be appointed to this person to help explain the questions to the suspect. They are not there to answer the questions but to provide clarity where it is needed. If the suspect is under eighteen then the appropriate adult may be their parent or a guardian but only if the person is not involved within the case in question. Normally the suspect is appointed an appropriate adult from an agency as this means they are completely impartial.</w:t>
      </w:r>
    </w:p>
    <w:p w:rsidR="0013519D" w:rsidRDefault="0013519D">
      <w:r>
        <w:t xml:space="preserve">Solicitor: A suspect is always given the option of having a solicitor attend the </w:t>
      </w:r>
      <w:r w:rsidR="002B5EB9">
        <w:t>interview;</w:t>
      </w:r>
      <w:r>
        <w:t xml:space="preserve"> </w:t>
      </w:r>
      <w:r w:rsidR="00C33063">
        <w:t>however,</w:t>
      </w:r>
      <w:r>
        <w:t xml:space="preserve"> it is their decision whether they wish to have one attend. This is someone who attends and gives legal advice to the suspect throughout the process and e</w:t>
      </w:r>
      <w:r w:rsidR="00C33063">
        <w:t>nsures that the process followed is legal</w:t>
      </w:r>
      <w:r>
        <w:t xml:space="preserve">. The solicitor cannot answer questions for the suspect, nor can they prevent the suspect from answering questions </w:t>
      </w:r>
      <w:r w:rsidR="002B5EB9">
        <w:t>however,</w:t>
      </w:r>
      <w:r>
        <w:t xml:space="preserve"> they can advise on what they should say during the process.</w:t>
      </w:r>
    </w:p>
    <w:p w:rsidR="0013519D" w:rsidRDefault="0013519D">
      <w:r>
        <w:t xml:space="preserve">Interpreter: If a suspect speaks a different language or they are blind or deaf, then an interpreter would be in the interview to ensure the person understands. We would normally use language line to request this if it the case that they speak the different language. </w:t>
      </w:r>
      <w:r w:rsidR="00C33063">
        <w:t>However,</w:t>
      </w:r>
      <w:r>
        <w:t xml:space="preserve"> they can also be there to help with braille or sign language.</w:t>
      </w:r>
    </w:p>
    <w:p w:rsidR="0013519D" w:rsidRDefault="0013519D">
      <w:r>
        <w:t>Secondary Interviewer: In certain cases there may be a second interviewer within the interview, they do not lead the interview, however are there to take notes and ensure no questions have been missed that are necessary to the case.</w:t>
      </w:r>
    </w:p>
    <w:p w:rsidR="0013519D" w:rsidRDefault="0013519D"/>
    <w:p w:rsidR="0013519D" w:rsidRDefault="0013519D"/>
    <w:p w:rsidR="00691B28" w:rsidRDefault="00691B28">
      <w:r>
        <w:t>13)</w:t>
      </w:r>
      <w:r w:rsidR="0013519D">
        <w:t xml:space="preserve"> Within police interviewing we use the PEACE model to ensure that we complete this fairly across all forces nationwide. This is broken down into five parts and helps ensure we cover everything we need to within the process:</w:t>
      </w:r>
    </w:p>
    <w:p w:rsidR="0013519D" w:rsidRDefault="0013519D">
      <w:r>
        <w:t xml:space="preserve">Planning and Preparation:  This is the first stage in the process. It involves ensuring that all </w:t>
      </w:r>
      <w:r w:rsidR="00E4380F">
        <w:t>criteria</w:t>
      </w:r>
      <w:r>
        <w:t xml:space="preserve"> has been met before conducting the interview: planning what the points to prove are and ensuring we meet these, ensuring a suitable location has been decided (for witness interviewing), ensuring we have enough time to conduct the interview, that the persons’ needs have been met mentally and physically. The </w:t>
      </w:r>
      <w:r w:rsidR="00C33063">
        <w:t>person’s</w:t>
      </w:r>
      <w:r>
        <w:t xml:space="preserve"> needs could be that they require an appropriate </w:t>
      </w:r>
      <w:r w:rsidR="00C33063">
        <w:t>adult or an interpreter, or</w:t>
      </w:r>
      <w:r>
        <w:t xml:space="preserve"> they are intoxicated, or that they may need medical attention. If we do not complete this stage when we go into interview it could mean that we would then have to stop the interview due to any of these circumstances, so by doing so it ensures that this is ran as smoothly as possible</w:t>
      </w:r>
    </w:p>
    <w:p w:rsidR="0013519D" w:rsidRDefault="003B6514">
      <w:r>
        <w:t xml:space="preserve">Engage and Explain: The second part of the interview </w:t>
      </w:r>
      <w:r w:rsidR="00C33063">
        <w:t>is all about the rapport</w:t>
      </w:r>
      <w:r w:rsidR="00E4380F">
        <w:t xml:space="preserve"> built with the person who is being interviewed and this applies to both suspect and witness interviewing. In suspect interviewing we use an AIDE MEMOIRE to cover this aspect of the process and to ensure the person fully understands the process. In witness interviewing we use a method called the GRRR method which allows us to cover all areas of the engage and explain section</w:t>
      </w:r>
    </w:p>
    <w:p w:rsidR="00E4380F" w:rsidRDefault="00E4380F" w:rsidP="00E4380F">
      <w:pPr>
        <w:pStyle w:val="ListParagraph"/>
        <w:numPr>
          <w:ilvl w:val="0"/>
          <w:numId w:val="1"/>
        </w:numPr>
      </w:pPr>
      <w:r>
        <w:lastRenderedPageBreak/>
        <w:t>G – Greeting – Ensuring we greet the person and engage with them, making them feel comfortable before we start the process</w:t>
      </w:r>
    </w:p>
    <w:p w:rsidR="00E4380F" w:rsidRDefault="00E4380F" w:rsidP="00E4380F">
      <w:pPr>
        <w:pStyle w:val="ListParagraph"/>
        <w:numPr>
          <w:ilvl w:val="0"/>
          <w:numId w:val="1"/>
        </w:numPr>
      </w:pPr>
      <w:r>
        <w:t>R – Reason – We explain the reason they are there and why it is necessary to conduct the interview</w:t>
      </w:r>
    </w:p>
    <w:p w:rsidR="00E4380F" w:rsidRDefault="00E4380F" w:rsidP="00E4380F">
      <w:pPr>
        <w:pStyle w:val="ListParagraph"/>
        <w:numPr>
          <w:ilvl w:val="0"/>
          <w:numId w:val="1"/>
        </w:numPr>
      </w:pPr>
      <w:r>
        <w:t>R – Routine – We explain how an interview works, especially if they have never been in one before and the structure of this</w:t>
      </w:r>
    </w:p>
    <w:p w:rsidR="00E4380F" w:rsidRDefault="00E4380F" w:rsidP="00E4380F">
      <w:pPr>
        <w:pStyle w:val="ListParagraph"/>
        <w:numPr>
          <w:ilvl w:val="0"/>
          <w:numId w:val="1"/>
        </w:numPr>
      </w:pPr>
      <w:r>
        <w:t>R – Route Map – We cover the route of the interview, what points we are going to look at and how we are going to go through the process of getting to those points.</w:t>
      </w:r>
    </w:p>
    <w:p w:rsidR="00E4380F" w:rsidRDefault="00E4380F" w:rsidP="00E4380F">
      <w:r>
        <w:t xml:space="preserve">Account Clarification: The third part of the interview involves getting a first account from either the suspect or witness initially and then breaking this down through questioning. We would first allow them to give us an initial account and would not stop them throughout this, we would make notes using a </w:t>
      </w:r>
      <w:r w:rsidR="002B5EB9">
        <w:t>spider gram</w:t>
      </w:r>
      <w:r>
        <w:t xml:space="preserve"> and after this delve into this deeper through questioning. When questioning it is important to use the ‘cone method’ which means starting with more open questions; using tell me, explain to me, describe to me questions, and  then begin to probe deeper using ‘who? What? When? Where? Why? How?’ types of question, finally we would use closed questions. By using this </w:t>
      </w:r>
      <w:r w:rsidR="002B5EB9">
        <w:t>technique,</w:t>
      </w:r>
      <w:r>
        <w:t xml:space="preserve"> it gets to the root of where you want to go and funnels down the responses you need.</w:t>
      </w:r>
    </w:p>
    <w:p w:rsidR="00E4380F" w:rsidRDefault="00E4380F" w:rsidP="00E4380F">
      <w:r>
        <w:t xml:space="preserve">Closure: The closure section is summarising the information they have given you and determining that they have given you all the information you need. It also gives them an opportunity to tell you anything further that they feel that they have </w:t>
      </w:r>
      <w:r w:rsidR="002B5EB9">
        <w:t>missed out</w:t>
      </w:r>
      <w:r>
        <w:t xml:space="preserve">. For suspect </w:t>
      </w:r>
      <w:r w:rsidR="002B5EB9">
        <w:t>interviewing,</w:t>
      </w:r>
      <w:r>
        <w:t xml:space="preserve"> we also have an AIDE MEMOIRE for this that is used.</w:t>
      </w:r>
      <w:r w:rsidRPr="00E4380F">
        <w:t xml:space="preserve"> </w:t>
      </w:r>
      <w:r>
        <w:t>It also gives you an opportunity in witness interviews to tell them of the next stage and when you will be contacting them.</w:t>
      </w:r>
    </w:p>
    <w:p w:rsidR="00E4380F" w:rsidRDefault="00E4380F" w:rsidP="00E4380F">
      <w:r>
        <w:t xml:space="preserve">Evaluation: The final part of the process is the evaluation </w:t>
      </w:r>
      <w:r w:rsidR="002B5EB9">
        <w:t>section, which</w:t>
      </w:r>
      <w:r>
        <w:t xml:space="preserve"> is used to assess all the information you have been given so you can then evaluate on any further lines of enquiry that you need to complete in regards to the case. It should also be used to evaluate your own performance and see what you would need to do to better next time.</w:t>
      </w:r>
    </w:p>
    <w:p w:rsidR="00691B28" w:rsidRDefault="00691B28">
      <w:r>
        <w:t>14)</w:t>
      </w:r>
      <w:r w:rsidR="00E4380F">
        <w:t xml:space="preserve"> A person (A) is guilty of an offence if he repeatedly or continuously uses towards another person (B) behaviour that is controlling or coercive, at the time of the behaviour (A) and (B) are personally connected to each other, the behaviour has a serious effect on (B) and (A) knows or ought to know that the behaviour will have a serious effect on (B) – Contrary to section 76 Serious Crime Act 2015</w:t>
      </w:r>
    </w:p>
    <w:p w:rsidR="00691B28" w:rsidRDefault="00691B28">
      <w:r>
        <w:t>15)</w:t>
      </w:r>
      <w:r w:rsidR="000E3BC6">
        <w:t xml:space="preserve"> Coercive Control offence is extremely important as within other legislation it previously did not include any behaviours that fit into this category and they previously focussed more so on physical, sexual or financial abuse and less so the psychological abuse that coercive control does. As coercive control often causes a person to be isolated and have to complete everything the perpetrator asks of the victim it can cause the person to develop Stockholm syndrome and be completely reliant upon their perpetrator in order to function on a day-to-day basis. Most victims of coercive control do not even realise they have been abused as it more often than not does not include any physical abuse and therefore by introducing this act it has allowed more people to realise the signs of this offence. It also allows us to criminalise the people who are doing this whereas previously if they did not commit one of the other offences with this then they would not be subjected to criminal proceedings.</w:t>
      </w:r>
    </w:p>
    <w:p w:rsidR="00691B28" w:rsidRDefault="00691B28">
      <w:r>
        <w:t>16)</w:t>
      </w:r>
      <w:r w:rsidR="00B97039">
        <w:t xml:space="preserve"> The definition of Section 46 Children’s Act 1989 gives a constable a power to protect a child in significant harm and prevent further harm. The constable must have reasonable grounds to believe that the child would otherwise be subjected to significant harm if they did not act on this power. The power allows a constable to remove the child to a place of safety and keep them there; this place of </w:t>
      </w:r>
      <w:r w:rsidR="00B97039">
        <w:lastRenderedPageBreak/>
        <w:t xml:space="preserve">safety should NOT be a police station and social services should be contacted where possible in order to complete this. It also allows a constable to prevent the removal of a child from a hospital or a place of safety if they are already at one; meaning that someone could not remove that child if they had already been appointed a place of safety. </w:t>
      </w:r>
    </w:p>
    <w:p w:rsidR="00691B28" w:rsidRDefault="00691B28">
      <w:r>
        <w:t>17)</w:t>
      </w:r>
      <w:r w:rsidR="00B97039">
        <w:t xml:space="preserve"> A person over the age of sixteen who having responsibility for a person under the aged of sixteen, intentionally assaults, ill-treats, neglects or abandons them, putting them at risk of physical or mental injury. – Contrary to Section 1 Children and Young Persons Act 1933</w:t>
      </w:r>
    </w:p>
    <w:p w:rsidR="00691B28" w:rsidRDefault="00691B28">
      <w:r>
        <w:t>18)</w:t>
      </w:r>
      <w:r w:rsidR="000E3BC6">
        <w:t xml:space="preserve"> Within Domestic Abuse we use a model known as DASH (Domestic Abuse Stalking Harassment) which is a series of twenty nine questions used to risk assess the victims’ situation and potentially refer to other agencies where needed. The DASH model is used on every Domestic Abuse, Stalking or Harassment incident, even if it appears that no offences have been committed as it allows us to identify patterns and risks when they are submitted. The three levels of risk are:</w:t>
      </w:r>
    </w:p>
    <w:p w:rsidR="000E3BC6" w:rsidRDefault="000E3BC6">
      <w:r>
        <w:t>Standard: This means that no risks have been identified to the victim.</w:t>
      </w:r>
    </w:p>
    <w:p w:rsidR="000E3BC6" w:rsidRDefault="000E3BC6">
      <w:r>
        <w:t>Medium: Some risks have been identified however do not believe these would occur unless there is a change of situation</w:t>
      </w:r>
    </w:p>
    <w:p w:rsidR="00BA6698" w:rsidRDefault="000E3BC6">
      <w:r>
        <w:t>High: Immediate Risk to the victim and needs to be referred to other agencies.</w:t>
      </w:r>
    </w:p>
    <w:p w:rsidR="00691B28" w:rsidRDefault="00691B28">
      <w:r>
        <w:t>19)</w:t>
      </w:r>
      <w:r w:rsidR="00BA6698">
        <w:t xml:space="preserve"> The Public Protection Notification process is completed for any incident where we believe that a person is at risk and is completed at all Domestic Abuse, Stalking or Harassment incidents. The DASH form is often incorporated into this process so that we can risk assess in the best way possible. Requirements for this are that all people linked to the case must be added to each form so that we can get an accurate representation of who is at the address and who isn’t, and to identify patterns of each case that has been linked to that person or address. A crime does not have to have been committed in order to complete a PPN and by completing these for every incident of Public protection issues it means that we can do our best to prevent these crimes from being committed.</w:t>
      </w:r>
    </w:p>
    <w:p w:rsidR="00BA6698" w:rsidRDefault="00BA6698">
      <w:r>
        <w:t xml:space="preserve">Although the  person who is having the PPN does not have to consent to answering the questions on the DASH form they are asked if they consent to the sharing of the information. </w:t>
      </w:r>
    </w:p>
    <w:p w:rsidR="00BA6698" w:rsidRDefault="00BA6698">
      <w:r>
        <w:t>A requirement is that once we have risk assessed the person into:</w:t>
      </w:r>
    </w:p>
    <w:p w:rsidR="00BA6698" w:rsidRDefault="00BA6698" w:rsidP="00BA6698">
      <w:r>
        <w:t>Standard: This means that no risks have been identified to the victim.</w:t>
      </w:r>
    </w:p>
    <w:p w:rsidR="00BA6698" w:rsidRDefault="00BA6698" w:rsidP="00BA6698">
      <w:r>
        <w:t>Medium: Some risks have been identified however do not believe these would occur unless there is a change of situation</w:t>
      </w:r>
    </w:p>
    <w:p w:rsidR="00BA6698" w:rsidRDefault="00BA6698" w:rsidP="00BA6698">
      <w:r>
        <w:t>High: Immediate Risk to the victim and needs to be referred to other agencies.</w:t>
      </w:r>
    </w:p>
    <w:p w:rsidR="00BA6698" w:rsidRDefault="00BA6698">
      <w:r>
        <w:t>We then must refer them to the relevant Public protection unit and if necessary Multi Agency Risk Assessment Conference, to allow us to work with other agencies to help the victim in the best way possible.</w:t>
      </w:r>
    </w:p>
    <w:p w:rsidR="00BA6698" w:rsidRDefault="00BA6698">
      <w:r>
        <w:t>It allows us to Safeguard Victims, Address behaviours of perpetrators, make links with other support agencies and safeguard agency workers as well.</w:t>
      </w:r>
    </w:p>
    <w:p w:rsidR="00691B28" w:rsidRDefault="00691B28">
      <w:r>
        <w:t>20)</w:t>
      </w:r>
      <w:r w:rsidR="00136AB0">
        <w:t xml:space="preserve"> The Domestic Violence Protection Notice (DVPN) process is one which is dealt with separately from the criminal justice system. Its aim is to allow the victim breathing space in order to help them escape the perpetrator or put other things in to place to allow them to move on with their lives, but although this is the aim, it does not require consent from the victim and it is a victimless process. </w:t>
      </w:r>
    </w:p>
    <w:p w:rsidR="00136AB0" w:rsidRDefault="00136AB0">
      <w:r>
        <w:lastRenderedPageBreak/>
        <w:t xml:space="preserve">In order to request a DVPN it needs to be approved by a superintendent or higher and the enforcing officer must have reasonable grounds to believe that the victim has suffered from violence or threats of violence on that occasion and that if restrictions were not imposed that they would be likely to suffer further violence or threats of violence. </w:t>
      </w:r>
    </w:p>
    <w:p w:rsidR="00136AB0" w:rsidRDefault="00136AB0">
      <w:r>
        <w:t>It should be completed before the suspect is charged or released so as to ensure the safety of the victim when they are re</w:t>
      </w:r>
      <w:r w:rsidR="00F5641D">
        <w:t xml:space="preserve">leased. The DVPN imposes restrictions on the perpetrator </w:t>
      </w:r>
      <w:r w:rsidR="000E3BC6">
        <w:t>which always: prevent the perpetrator from molesting the victim. Other restrictions are commonly imposed such as: requiring the perpetrator to leave the address, preventing the perpetrator from returning to the address, putting restrictions on how close the perpetrator can come to the address or the victim, preventing the perpetrator from evicting or removing the victim from the address. Although a lot of the restrictions are related to the address, the victim and perpetrator do not have to live at the same location.</w:t>
      </w:r>
    </w:p>
    <w:p w:rsidR="000E3BC6" w:rsidRDefault="000E3BC6">
      <w:r>
        <w:t>Once a DVPN has been issued, it is in effect for forty-eight hours. At this point it would then be referred to a magistrate who would look to convert this to a Domestic Violence Protection Order (DVPO) which would extend the restrictions for up to twenty eight days; therefore giving the victim even more time to resolve these issues with help from partner agencies.</w:t>
      </w:r>
    </w:p>
    <w:p w:rsidR="00691B28" w:rsidRDefault="00691B28">
      <w:r>
        <w:t>21)</w:t>
      </w:r>
      <w:r w:rsidR="00136AB0">
        <w:t xml:space="preserve"> Child Sexual Exploitation was defined in 2017 and was defined as the following:</w:t>
      </w:r>
    </w:p>
    <w:p w:rsidR="00136AB0" w:rsidRDefault="00136AB0">
      <w:r>
        <w:t>‘Child Sexual Exploitation is a form of child abuse. It occurs when an individual or a group takes advantage of an imbalance of power in order to coerce, manipulate or deceive a child or young person under the age of eighteen into sexual activity: in exchange for something the victim may need or want and/ or to the financial advantage or increased social standing or the perpetrator or facilitator. A person can still be a victim of child sexual exploitation even if the sexual activity appears to be consensual’ Contrary to Child Sexual Exploitation 2017</w:t>
      </w:r>
    </w:p>
    <w:p w:rsidR="00136AB0" w:rsidRDefault="00136AB0">
      <w:r>
        <w:t>This means that a person or a group is taking advantage of someone under the age of 18 in order to get them to participate in sexual activity with other people. Most of the time these individuals or groups groom the child into doing this by buying them gifts or giving them attention they may otherwise have not been getting. This is normally done as the perpetrator is getting a financial income from the child’s participation in the sexual acts or the perpetrator may be thought of higher in certain groups if he gets the child to do this. It states in the definition that the activity can appear to be consensual; this is most common if the person is older than 16 but under 18 and although this is above the legal age of consent, the child could still be being exploited if the perpetrator is conducting this for financial gain or increased social standing.</w:t>
      </w:r>
    </w:p>
    <w:p w:rsidR="00691B28" w:rsidRDefault="00691B28">
      <w:r>
        <w:t>22)</w:t>
      </w:r>
      <w:r w:rsidR="00B97039">
        <w:t xml:space="preserve"> A person (A) is guilty of rape if he intentionally penetrates the vagina, anus or mouth of another person (B) with his penis, and (B) did not consent to the penetration and (A) did not reasonably believe that (B) consented – Contrary to section 1 sexual offences act 2003</w:t>
      </w:r>
    </w:p>
    <w:p w:rsidR="00B97039" w:rsidRDefault="00691B28">
      <w:r>
        <w:t>23)</w:t>
      </w:r>
      <w:r w:rsidR="00B97039">
        <w:t xml:space="preserve"> Within section 75 (1) of the sexual offences act it states </w:t>
      </w:r>
    </w:p>
    <w:p w:rsidR="00691B28" w:rsidRDefault="00B97039">
      <w:r>
        <w:t xml:space="preserve"> ‘If it can be proved by the court that the defendant did the sexual act, any of the specified circumstances existed and that the defendant knew of any of the specified circumstances existed then the court shall make the presumption that there was no consent’ </w:t>
      </w:r>
    </w:p>
    <w:p w:rsidR="00B97039" w:rsidRDefault="00B97039">
      <w:r>
        <w:t>This means that there would need to be evidence that the defendant actually completed the sexual act and that they knew that there were specific circumstances at the time but did it anyway.</w:t>
      </w:r>
    </w:p>
    <w:p w:rsidR="00B97039" w:rsidRDefault="00B97039">
      <w:r>
        <w:lastRenderedPageBreak/>
        <w:t xml:space="preserve">Section 75 (2) covers the specified circumstances that mean consent cannot be given and these are: Using unlawful violence towards the victim or any other person, Unlawful detention, </w:t>
      </w:r>
      <w:r w:rsidR="00136AB0">
        <w:t>That the victim is not able to communicate due to a physical disability, that the victim is unconscious or that the victim has been administered a substance capable of stupefying or overpowering them.</w:t>
      </w:r>
    </w:p>
    <w:p w:rsidR="00136AB0" w:rsidRDefault="00136AB0">
      <w:r>
        <w:t>If any of the specified circumstances listed are present at the time of the sexual act and the defendant knew of any of them, then the victim could not have consented and the court will make that presumption.</w:t>
      </w:r>
    </w:p>
    <w:p w:rsidR="00691B28" w:rsidRPr="00360284" w:rsidRDefault="00691B28">
      <w:r>
        <w:t>24)</w:t>
      </w:r>
      <w:r w:rsidR="00360284">
        <w:t xml:space="preserve"> Where a person has been arrested by a constable at any place other than at a police station, </w:t>
      </w:r>
      <w:r w:rsidR="001C006B">
        <w:t>and a constable has reasonable grounds to suspect that evidence linked to that offence or any other indictable offence</w:t>
      </w:r>
      <w:r w:rsidR="0005085F">
        <w:t xml:space="preserve"> would be present</w:t>
      </w:r>
      <w:r w:rsidR="001C006B">
        <w:t xml:space="preserve">, </w:t>
      </w:r>
      <w:r w:rsidR="00360284">
        <w:t>a search may be carried out with inspectors approval, on any place where the arrested person is living or has control of</w:t>
      </w:r>
      <w:r w:rsidR="001C006B">
        <w:t xml:space="preserve">, for any evidence related to that </w:t>
      </w:r>
      <w:r w:rsidR="008F63B2">
        <w:t>or any other indictable offence</w:t>
      </w:r>
      <w:bookmarkStart w:id="0" w:name="_GoBack"/>
      <w:bookmarkEnd w:id="0"/>
      <w:r w:rsidR="00360284">
        <w:t>.- Contrary to Section 18 (1) Police and Crime Evidence Act 1984</w:t>
      </w:r>
    </w:p>
    <w:p w:rsidR="00691B28" w:rsidRDefault="00691B28">
      <w:r>
        <w:t>25)</w:t>
      </w:r>
      <w:r w:rsidR="00BA6698">
        <w:t xml:space="preserve"> The power of Seizure is covered by Section 19 of the Police and Crime Evidence Act 1984. This section allows us to seize any property that is linked to any indictable offence </w:t>
      </w:r>
      <w:r w:rsidR="00360284">
        <w:t>at the address where a search has been lawfully executed. The majority of the time when a search is completed it is done under a section 18 PACE search or a Section 32 PACE search and the police are looking for something specific in relation to the case. If the item or items that are being looked specifically are recovered then the search will stop at this point, however if during the search items are recovered that could be linked to another indictable offence, then these items can also be seized for investigation of those offences.</w:t>
      </w:r>
    </w:p>
    <w:sectPr w:rsidR="00691B28" w:rsidSect="003D26C2">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5EB9" w:rsidRDefault="002B5EB9" w:rsidP="003D26C2">
      <w:pPr>
        <w:spacing w:after="0" w:line="240" w:lineRule="auto"/>
      </w:pPr>
      <w:r>
        <w:separator/>
      </w:r>
    </w:p>
  </w:endnote>
  <w:endnote w:type="continuationSeparator" w:id="0">
    <w:p w:rsidR="002B5EB9" w:rsidRDefault="002B5EB9" w:rsidP="003D26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5EB9" w:rsidRDefault="008F63B2" w:rsidP="008F63B2">
    <w:pPr>
      <w:pStyle w:val="Footer"/>
      <w:rPr>
        <w:color w:val="000000"/>
        <w:sz w:val="17"/>
      </w:rPr>
    </w:pPr>
    <w:bookmarkStart w:id="3" w:name="TITUS1FooterEvenPages"/>
    <w:r>
      <w:rPr>
        <w:color w:val="000000"/>
        <w:sz w:val="17"/>
      </w:rPr>
      <w:t> </w:t>
    </w:r>
  </w:p>
  <w:bookmarkEnd w:id="3"/>
  <w:p w:rsidR="002B5EB9" w:rsidRDefault="002B5EB9" w:rsidP="00903CBE">
    <w:pPr>
      <w:pStyle w:val="Footer"/>
    </w:pPr>
  </w:p>
  <w:p w:rsidR="002B5EB9" w:rsidRDefault="002B5E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5EB9" w:rsidRDefault="008F63B2" w:rsidP="008F63B2">
    <w:pPr>
      <w:pStyle w:val="Footer"/>
      <w:rPr>
        <w:color w:val="000000"/>
        <w:sz w:val="17"/>
      </w:rPr>
    </w:pPr>
    <w:bookmarkStart w:id="4" w:name="TITUS1FooterPrimary"/>
    <w:r>
      <w:rPr>
        <w:color w:val="000000"/>
        <w:sz w:val="17"/>
      </w:rPr>
      <w:t> </w:t>
    </w:r>
  </w:p>
  <w:bookmarkEnd w:id="4"/>
  <w:p w:rsidR="002B5EB9" w:rsidRDefault="002B5EB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5EB9" w:rsidRDefault="008F63B2" w:rsidP="008F63B2">
    <w:pPr>
      <w:pStyle w:val="Footer"/>
      <w:rPr>
        <w:color w:val="000000"/>
        <w:sz w:val="17"/>
      </w:rPr>
    </w:pPr>
    <w:bookmarkStart w:id="6" w:name="TITUS1FooterFirstPage"/>
    <w:r>
      <w:rPr>
        <w:color w:val="000000"/>
        <w:sz w:val="17"/>
      </w:rPr>
      <w:t> </w:t>
    </w:r>
  </w:p>
  <w:bookmarkEnd w:id="6"/>
  <w:p w:rsidR="002B5EB9" w:rsidRDefault="002B5E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5EB9" w:rsidRDefault="002B5EB9" w:rsidP="003D26C2">
      <w:pPr>
        <w:spacing w:after="0" w:line="240" w:lineRule="auto"/>
      </w:pPr>
      <w:r>
        <w:separator/>
      </w:r>
    </w:p>
  </w:footnote>
  <w:footnote w:type="continuationSeparator" w:id="0">
    <w:p w:rsidR="002B5EB9" w:rsidRDefault="002B5EB9" w:rsidP="003D26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5EB9" w:rsidRDefault="008F63B2" w:rsidP="008F63B2">
    <w:pPr>
      <w:pStyle w:val="Header"/>
      <w:rPr>
        <w:color w:val="000000"/>
        <w:sz w:val="17"/>
      </w:rPr>
    </w:pPr>
    <w:bookmarkStart w:id="1" w:name="TITUS1HeaderEvenPages"/>
    <w:r>
      <w:rPr>
        <w:color w:val="000000"/>
        <w:sz w:val="17"/>
      </w:rPr>
      <w:t> </w:t>
    </w:r>
  </w:p>
  <w:bookmarkEnd w:id="1"/>
  <w:p w:rsidR="002B5EB9" w:rsidRDefault="002B5EB9" w:rsidP="00903CBE">
    <w:pPr>
      <w:pStyle w:val="Header"/>
    </w:pPr>
  </w:p>
  <w:p w:rsidR="002B5EB9" w:rsidRDefault="002B5E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5EB9" w:rsidRDefault="008F63B2" w:rsidP="008F63B2">
    <w:pPr>
      <w:pStyle w:val="Header"/>
      <w:rPr>
        <w:color w:val="000000"/>
        <w:sz w:val="17"/>
      </w:rPr>
    </w:pPr>
    <w:bookmarkStart w:id="2" w:name="TITUS1HeaderPrimary"/>
    <w:r>
      <w:rPr>
        <w:color w:val="000000"/>
        <w:sz w:val="17"/>
      </w:rPr>
      <w:t> </w:t>
    </w:r>
  </w:p>
  <w:bookmarkEnd w:id="2"/>
  <w:p w:rsidR="002B5EB9" w:rsidRDefault="002B5EB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5EB9" w:rsidRDefault="008F63B2" w:rsidP="008F63B2">
    <w:pPr>
      <w:pStyle w:val="Header"/>
      <w:rPr>
        <w:color w:val="000000"/>
        <w:sz w:val="17"/>
      </w:rPr>
    </w:pPr>
    <w:bookmarkStart w:id="5" w:name="TITUS1HeaderFirstPage"/>
    <w:r>
      <w:rPr>
        <w:color w:val="000000"/>
        <w:sz w:val="17"/>
      </w:rPr>
      <w:t> </w:t>
    </w:r>
  </w:p>
  <w:bookmarkEnd w:id="5"/>
  <w:p w:rsidR="002B5EB9" w:rsidRDefault="002B5E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01683B"/>
    <w:multiLevelType w:val="hybridMultilevel"/>
    <w:tmpl w:val="DBB2EC24"/>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26C2"/>
    <w:rsid w:val="0005085F"/>
    <w:rsid w:val="000E3BC6"/>
    <w:rsid w:val="0013519D"/>
    <w:rsid w:val="00136AB0"/>
    <w:rsid w:val="001C006B"/>
    <w:rsid w:val="001E378E"/>
    <w:rsid w:val="002B5EB9"/>
    <w:rsid w:val="00360284"/>
    <w:rsid w:val="00393273"/>
    <w:rsid w:val="003B6514"/>
    <w:rsid w:val="003D26C2"/>
    <w:rsid w:val="00691B28"/>
    <w:rsid w:val="007D38BB"/>
    <w:rsid w:val="007E7659"/>
    <w:rsid w:val="008F63B2"/>
    <w:rsid w:val="00903CBE"/>
    <w:rsid w:val="00B97039"/>
    <w:rsid w:val="00BA6698"/>
    <w:rsid w:val="00C33063"/>
    <w:rsid w:val="00E4380F"/>
    <w:rsid w:val="00E443FC"/>
    <w:rsid w:val="00F564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33C172"/>
  <w15:chartTrackingRefBased/>
  <w15:docId w15:val="{E4C8C9A1-7EDC-4266-BF47-853100795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26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26C2"/>
  </w:style>
  <w:style w:type="paragraph" w:styleId="Footer">
    <w:name w:val="footer"/>
    <w:basedOn w:val="Normal"/>
    <w:link w:val="FooterChar"/>
    <w:uiPriority w:val="99"/>
    <w:unhideWhenUsed/>
    <w:rsid w:val="003D26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26C2"/>
  </w:style>
  <w:style w:type="paragraph" w:styleId="ListParagraph">
    <w:name w:val="List Paragraph"/>
    <w:basedOn w:val="Normal"/>
    <w:uiPriority w:val="34"/>
    <w:qFormat/>
    <w:rsid w:val="00E438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7</Pages>
  <Words>3294</Words>
  <Characters>18778</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22028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Warriner,Sarah swp6946</dc:creator>
  <cp:keywords/>
  <dc:description/>
  <cp:lastModifiedBy>Warriner,Sarah swp6946</cp:lastModifiedBy>
  <cp:revision>12</cp:revision>
  <dcterms:created xsi:type="dcterms:W3CDTF">2021-08-23T11:05:00Z</dcterms:created>
  <dcterms:modified xsi:type="dcterms:W3CDTF">2021-08-23T13:52:00Z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c505cafb-24de-4b8b-99fe-743e74f56c66</vt:lpwstr>
  </property>
  <property fmtid="{D5CDD505-2E9C-101B-9397-08002B2CF9AE}" pid="3" name="Classification">
    <vt:lpwstr>OFFICIAL</vt:lpwstr>
  </property>
  <property fmtid="{D5CDD505-2E9C-101B-9397-08002B2CF9AE}" pid="4" name="Visibility">
    <vt:lpwstr>NOT VISIBLE</vt:lpwstr>
  </property>
</Properties>
</file>