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529F" w:rsidRPr="0056529F" w:rsidRDefault="0056529F" w:rsidP="0056529F">
      <w:pPr>
        <w:bidi w:val="0"/>
        <w:spacing w:before="100" w:beforeAutospacing="1" w:after="100" w:afterAutospacing="1" w:line="240" w:lineRule="auto"/>
        <w:jc w:val="center"/>
        <w:rPr>
          <w:rFonts w:asciiTheme="majorBidi" w:eastAsia="Times New Roman" w:hAnsiTheme="majorBidi" w:cstheme="majorBidi"/>
          <w:b/>
          <w:bCs/>
          <w:sz w:val="28"/>
          <w:szCs w:val="28"/>
        </w:rPr>
      </w:pPr>
      <w:r w:rsidRPr="0056529F">
        <w:rPr>
          <w:rFonts w:asciiTheme="majorBidi" w:eastAsia="Times New Roman" w:hAnsiTheme="majorBidi" w:cstheme="majorBidi"/>
          <w:b/>
          <w:bCs/>
          <w:sz w:val="28"/>
          <w:szCs w:val="28"/>
        </w:rPr>
        <w:t>Assessment</w:t>
      </w:r>
      <w:r w:rsidRPr="0056529F">
        <w:rPr>
          <w:rFonts w:asciiTheme="majorBidi" w:eastAsia="Times New Roman" w:hAnsiTheme="majorBidi" w:cstheme="majorBidi"/>
          <w:b/>
          <w:bCs/>
          <w:sz w:val="28"/>
          <w:szCs w:val="28"/>
        </w:rPr>
        <w:t> </w:t>
      </w:r>
      <w:r w:rsidRPr="0056529F">
        <w:rPr>
          <w:rFonts w:asciiTheme="majorBidi" w:eastAsia="Times New Roman" w:hAnsiTheme="majorBidi" w:cstheme="majorBidi"/>
          <w:b/>
          <w:bCs/>
          <w:sz w:val="28"/>
          <w:szCs w:val="28"/>
        </w:rPr>
        <w:t>2: Research Designs &amp; Research Focus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Akram</w:t>
      </w:r>
      <w:proofErr w:type="spellEnd"/>
      <w:r w:rsidRPr="0056529F">
        <w:rPr>
          <w:rFonts w:asciiTheme="majorBidi" w:eastAsia="Times New Roman" w:hAnsiTheme="majorBidi" w:cstheme="majorBidi"/>
          <w:sz w:val="28"/>
          <w:szCs w:val="28"/>
        </w:rPr>
        <w:t xml:space="preserve"> </w:t>
      </w:r>
      <w:proofErr w:type="spellStart"/>
      <w:r w:rsidRPr="0056529F">
        <w:rPr>
          <w:rFonts w:asciiTheme="majorBidi" w:eastAsia="Times New Roman" w:hAnsiTheme="majorBidi" w:cstheme="majorBidi"/>
          <w:sz w:val="28"/>
          <w:szCs w:val="28"/>
        </w:rPr>
        <w:t>Barati</w:t>
      </w:r>
      <w:proofErr w:type="spellEnd"/>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color w:val="FF0000"/>
          <w:sz w:val="28"/>
          <w:szCs w:val="28"/>
        </w:rPr>
      </w:pPr>
      <w:r w:rsidRPr="0056529F">
        <w:rPr>
          <w:rFonts w:asciiTheme="majorBidi" w:eastAsia="Times New Roman" w:hAnsiTheme="majorBidi" w:cstheme="majorBidi"/>
          <w:color w:val="FF0000"/>
          <w:sz w:val="28"/>
          <w:szCs w:val="28"/>
        </w:rPr>
        <w:t>Introduction</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Adaptive technologies paired with data analytics have fueled the growth of personalized e-learning — reshaping pedagogies taken for</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granted for generations to create personalized experiences that cater to each student. With the pace of technology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advancement, personalized e-learning is emerging to be one of the pillars of modern education. The paper reviews research literature on personalized e-learning environments designed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 previous 10 years, shedding light on key factors that play an important role in shaping these experiences. This study seeks to answer the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following key questions: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What is a personalized e-learning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environment?</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Which factors do</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experts consider to be the most important?</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 xml:space="preserve">How well do these features work in </w:t>
      </w:r>
      <w:proofErr w:type="gramStart"/>
      <w:r w:rsidRPr="0056529F">
        <w:rPr>
          <w:rFonts w:asciiTheme="majorBidi" w:eastAsia="Times New Roman" w:hAnsiTheme="majorBidi" w:cstheme="majorBidi"/>
          <w:sz w:val="28"/>
          <w:szCs w:val="28"/>
        </w:rPr>
        <w:t>LMS</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(e.g. </w:t>
      </w:r>
      <w:proofErr w:type="spellStart"/>
      <w:r w:rsidRPr="0056529F">
        <w:rPr>
          <w:rFonts w:asciiTheme="majorBidi" w:eastAsia="Times New Roman" w:hAnsiTheme="majorBidi" w:cstheme="majorBidi"/>
          <w:sz w:val="28"/>
          <w:szCs w:val="28"/>
        </w:rPr>
        <w:t>Coursera</w:t>
      </w:r>
      <w:proofErr w:type="spellEnd"/>
      <w:r w:rsidRPr="0056529F">
        <w:rPr>
          <w:rFonts w:asciiTheme="majorBidi" w:eastAsia="Times New Roman" w:hAnsiTheme="majorBidi" w:cstheme="majorBidi"/>
          <w:sz w:val="28"/>
          <w:szCs w:val="28"/>
        </w:rPr>
        <w:t>) services? (Chen et al., 2021).</w:t>
      </w: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This paper strives to setup a framework around these questions with the goal of helping to address the across different forms of implementation to be executed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 the future to ultimately benefit learners, educators, institutions and society overall.</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color w:val="FF0000"/>
          <w:sz w:val="28"/>
          <w:szCs w:val="28"/>
        </w:rPr>
      </w:pPr>
      <w:r w:rsidRPr="0056529F">
        <w:rPr>
          <w:rFonts w:asciiTheme="majorBidi" w:eastAsia="Times New Roman" w:hAnsiTheme="majorBidi" w:cstheme="majorBidi"/>
          <w:color w:val="FF0000"/>
          <w:sz w:val="28"/>
          <w:szCs w:val="28"/>
        </w:rPr>
        <w:t>Literature Review</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What is Personalized E-Learning?</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Adjusted e-learning articulates training systems that liberate in giving content, tempo, and assessments that meet the needs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interests of an individual student, treatment, and way (</w:t>
      </w:r>
      <w:proofErr w:type="spellStart"/>
      <w:r w:rsidRPr="0056529F">
        <w:rPr>
          <w:rFonts w:asciiTheme="majorBidi" w:eastAsia="Times New Roman" w:hAnsiTheme="majorBidi" w:cstheme="majorBidi"/>
          <w:sz w:val="28"/>
          <w:szCs w:val="28"/>
        </w:rPr>
        <w:t>Murtaza</w:t>
      </w:r>
      <w:proofErr w:type="spellEnd"/>
      <w:r w:rsidRPr="0056529F">
        <w:rPr>
          <w:rFonts w:asciiTheme="majorBidi" w:eastAsia="Times New Roman" w:hAnsiTheme="majorBidi" w:cstheme="majorBidi"/>
          <w:sz w:val="28"/>
          <w:szCs w:val="28"/>
        </w:rPr>
        <w:t xml:space="preserve"> et al., 2022). Personalization is different to traditional educational models, as rather than being teacher-directed, it is a learner-led approach</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that encourages active participation in the learning process between the learner and the teacher, thus creating a collaborative and adaptive learning environment. </w:t>
      </w:r>
      <w:proofErr w:type="spellStart"/>
      <w:r w:rsidRPr="0056529F">
        <w:rPr>
          <w:rFonts w:asciiTheme="majorBidi" w:eastAsia="Times New Roman" w:hAnsiTheme="majorBidi" w:cstheme="majorBidi"/>
          <w:sz w:val="28"/>
          <w:szCs w:val="28"/>
        </w:rPr>
        <w:t>Shemshack</w:t>
      </w:r>
      <w:proofErr w:type="spellEnd"/>
      <w:r w:rsidRPr="0056529F">
        <w:rPr>
          <w:rFonts w:asciiTheme="majorBidi" w:eastAsia="Times New Roman" w:hAnsiTheme="majorBidi" w:cstheme="majorBidi"/>
          <w:sz w:val="28"/>
          <w:szCs w:val="28"/>
        </w:rPr>
        <w:t xml:space="preserve"> and Spector (2020) stated that personalization was best defined as the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practice that directly reflects the characteristics of individual learners, while providing a continuum between differentiation and individualization. In addition, this approach preserves equality among students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lastRenderedPageBreak/>
        <w:t>based on their ability to reflect on their learning to improve performance through goals and action plans in the future.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E-Learning Customization</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 Historical Overview</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Personalized learning has its roots in educational theories dating back to the early 20th century that described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instruction as never one-size-fits-all. Ideals like John Dewey’s focus on experiential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education paved the way for personalized learning. Basic forms of adaptive learning came into play around the mid-20th century with the emergence of computers and educational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technology.</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In the 1990s, computer-based training (CBT) systems emerged and offered the first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signs of personalized learning pathways. Yet these systems had a</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limited capability to dynamically tailor to learners’ needs. The untapped potential of personalized e-learning was unlocked and brought into the mainstream with the 21st century, as the exponential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growth of AI and data analytics gave rise to a new wave of intelligent technologies. Step 1: </w:t>
      </w:r>
      <w:proofErr w:type="spellStart"/>
      <w:r w:rsidRPr="0056529F">
        <w:rPr>
          <w:rFonts w:asciiTheme="majorBidi" w:eastAsia="Times New Roman" w:hAnsiTheme="majorBidi" w:cstheme="majorBidi"/>
          <w:sz w:val="28"/>
          <w:szCs w:val="28"/>
        </w:rPr>
        <w:t>BackgroundResearch</w:t>
      </w:r>
      <w:proofErr w:type="spellEnd"/>
      <w:r w:rsidRPr="0056529F">
        <w:rPr>
          <w:rFonts w:asciiTheme="majorBidi" w:eastAsia="Times New Roman" w:hAnsiTheme="majorBidi" w:cstheme="majorBidi"/>
          <w:sz w:val="28"/>
          <w:szCs w:val="28"/>
        </w:rPr>
        <w:t xml:space="preserve"> on the role of adaptive learning in</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online education and its impact on platforms such as </w:t>
      </w:r>
      <w:proofErr w:type="spellStart"/>
      <w:r w:rsidRPr="0056529F">
        <w:rPr>
          <w:rFonts w:asciiTheme="majorBidi" w:eastAsia="Times New Roman" w:hAnsiTheme="majorBidi" w:cstheme="majorBidi"/>
          <w:sz w:val="28"/>
          <w:szCs w:val="28"/>
        </w:rPr>
        <w:t>Coursera</w:t>
      </w:r>
      <w:proofErr w:type="spellEnd"/>
      <w:r w:rsidRPr="0056529F">
        <w:rPr>
          <w:rFonts w:asciiTheme="majorBidi" w:eastAsia="Times New Roman" w:hAnsiTheme="majorBidi" w:cstheme="majorBidi"/>
          <w:sz w:val="28"/>
          <w:szCs w:val="28"/>
        </w:rPr>
        <w:t xml:space="preserve"> and Khan Academy. Moreover, studies from the 2020s have also advanced the field, exploring AI-based methods to incorporate natural language processing and predictive analytics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to enhance the development of personalized education frameworks.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New Models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of Personalized Learning</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Intelligent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systems for personalized e-learning are a new trend, which combine numerous large-scale technologies and principles of learning. Such as, </w:t>
      </w:r>
      <w:proofErr w:type="spellStart"/>
      <w:r w:rsidRPr="0056529F">
        <w:rPr>
          <w:rFonts w:asciiTheme="majorBidi" w:eastAsia="Times New Roman" w:hAnsiTheme="majorBidi" w:cstheme="majorBidi"/>
          <w:sz w:val="28"/>
          <w:szCs w:val="28"/>
        </w:rPr>
        <w:t>microlearning</w:t>
      </w:r>
      <w:proofErr w:type="spellEnd"/>
      <w:r w:rsidRPr="0056529F">
        <w:rPr>
          <w:rFonts w:asciiTheme="majorBidi" w:eastAsia="Times New Roman" w:hAnsiTheme="majorBidi" w:cstheme="majorBidi"/>
          <w:sz w:val="28"/>
          <w:szCs w:val="28"/>
        </w:rPr>
        <w:t xml:space="preserve"> strategies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break down complex subjects into smaller, digestible units of learning that are proven to enhance retention significantly. The role of learning analytics is also changing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the methods to monitor progress and provide feedback by educators. Such models are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supported by evidence suggesting that granular, real-time feedback enhances learner outcomes significantly (</w:t>
      </w:r>
      <w:proofErr w:type="spellStart"/>
      <w:r w:rsidRPr="0056529F">
        <w:rPr>
          <w:rFonts w:asciiTheme="majorBidi" w:eastAsia="Times New Roman" w:hAnsiTheme="majorBidi" w:cstheme="majorBidi"/>
          <w:sz w:val="28"/>
          <w:szCs w:val="28"/>
        </w:rPr>
        <w:t>Marougkas</w:t>
      </w:r>
      <w:proofErr w:type="spellEnd"/>
      <w:r w:rsidRPr="0056529F">
        <w:rPr>
          <w:rFonts w:asciiTheme="majorBidi" w:eastAsia="Times New Roman" w:hAnsiTheme="majorBidi" w:cstheme="majorBidi"/>
          <w:sz w:val="28"/>
          <w:szCs w:val="28"/>
        </w:rPr>
        <w:t xml:space="preserve"> et al., 2024).</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The Technical Pillars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Adaptive Learning Systems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AI powers adaptive learning systems that can immediately adjust to</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the behaviors and performances of the students. Open learner models, for</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example, show learners their progress and promote self-regulated learning (</w:t>
      </w:r>
      <w:proofErr w:type="spellStart"/>
      <w:r w:rsidRPr="0056529F">
        <w:rPr>
          <w:rFonts w:asciiTheme="majorBidi" w:eastAsia="Times New Roman" w:hAnsiTheme="majorBidi" w:cstheme="majorBidi"/>
          <w:sz w:val="28"/>
          <w:szCs w:val="28"/>
        </w:rPr>
        <w:t>Hooshyar</w:t>
      </w:r>
      <w:proofErr w:type="spellEnd"/>
      <w:r w:rsidRPr="0056529F">
        <w:rPr>
          <w:rFonts w:asciiTheme="majorBidi" w:eastAsia="Times New Roman" w:hAnsiTheme="majorBidi" w:cstheme="majorBidi"/>
          <w:sz w:val="28"/>
          <w:szCs w:val="28"/>
        </w:rPr>
        <w:t xml:space="preserve"> et al., 2020; </w:t>
      </w:r>
      <w:proofErr w:type="spellStart"/>
      <w:r w:rsidRPr="0056529F">
        <w:rPr>
          <w:rFonts w:asciiTheme="majorBidi" w:eastAsia="Times New Roman" w:hAnsiTheme="majorBidi" w:cstheme="majorBidi"/>
          <w:sz w:val="28"/>
          <w:szCs w:val="28"/>
        </w:rPr>
        <w:t>Murtaza</w:t>
      </w:r>
      <w:proofErr w:type="spellEnd"/>
      <w:r w:rsidRPr="0056529F">
        <w:rPr>
          <w:rFonts w:asciiTheme="majorBidi" w:eastAsia="Times New Roman" w:hAnsiTheme="majorBidi" w:cstheme="majorBidi"/>
          <w:sz w:val="28"/>
          <w:szCs w:val="28"/>
        </w:rPr>
        <w:t xml:space="preserve"> et al., 2022). Intelligent algorithms in adaptive systems help to analyze the interaction of the learner, identify strengths, weaknesses and provide </w:t>
      </w:r>
      <w:r w:rsidRPr="0056529F">
        <w:rPr>
          <w:rFonts w:asciiTheme="majorBidi" w:eastAsia="Times New Roman" w:hAnsiTheme="majorBidi" w:cstheme="majorBidi"/>
          <w:sz w:val="28"/>
          <w:szCs w:val="28"/>
        </w:rPr>
        <w:lastRenderedPageBreak/>
        <w:t>feedback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resources accordingly. In addition, AI-driven </w:t>
      </w:r>
      <w:proofErr w:type="spellStart"/>
      <w:r w:rsidRPr="0056529F">
        <w:rPr>
          <w:rFonts w:asciiTheme="majorBidi" w:eastAsia="Times New Roman" w:hAnsiTheme="majorBidi" w:cstheme="majorBidi"/>
          <w:sz w:val="28"/>
          <w:szCs w:val="28"/>
        </w:rPr>
        <w:t>chatbots</w:t>
      </w:r>
      <w:proofErr w:type="spellEnd"/>
      <w:r w:rsidRPr="0056529F">
        <w:rPr>
          <w:rFonts w:asciiTheme="majorBidi" w:eastAsia="Times New Roman" w:hAnsiTheme="majorBidi" w:cstheme="majorBidi"/>
          <w:sz w:val="28"/>
          <w:szCs w:val="28"/>
        </w:rPr>
        <w:t xml:space="preserve"> are being integrated into LMS to offer real-time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assistance and customized suggestions.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Methods for</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Collaborative Filtering</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In this method, the learners are clustered according to their joint history and preferences to obtain individual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flexible pathways(s), driven by preferences (</w:t>
      </w:r>
      <w:proofErr w:type="spellStart"/>
      <w:r w:rsidRPr="0056529F">
        <w:rPr>
          <w:rFonts w:asciiTheme="majorBidi" w:eastAsia="Times New Roman" w:hAnsiTheme="majorBidi" w:cstheme="majorBidi"/>
          <w:sz w:val="28"/>
          <w:szCs w:val="28"/>
        </w:rPr>
        <w:t>Bourkoukou</w:t>
      </w:r>
      <w:proofErr w:type="spellEnd"/>
      <w:r w:rsidRPr="0056529F">
        <w:rPr>
          <w:rFonts w:asciiTheme="majorBidi" w:eastAsia="Times New Roman" w:hAnsiTheme="majorBidi" w:cstheme="majorBidi"/>
          <w:sz w:val="28"/>
          <w:szCs w:val="28"/>
        </w:rPr>
        <w:t xml:space="preserve"> &amp; El </w:t>
      </w:r>
      <w:proofErr w:type="spellStart"/>
      <w:r w:rsidRPr="0056529F">
        <w:rPr>
          <w:rFonts w:asciiTheme="majorBidi" w:eastAsia="Times New Roman" w:hAnsiTheme="majorBidi" w:cstheme="majorBidi"/>
          <w:sz w:val="28"/>
          <w:szCs w:val="28"/>
        </w:rPr>
        <w:t>Bachari</w:t>
      </w:r>
      <w:proofErr w:type="spellEnd"/>
      <w:r w:rsidRPr="0056529F">
        <w:rPr>
          <w:rFonts w:asciiTheme="majorBidi" w:eastAsia="Times New Roman" w:hAnsiTheme="majorBidi" w:cstheme="majorBidi"/>
          <w:sz w:val="28"/>
          <w:szCs w:val="28"/>
        </w:rPr>
        <w:t>, 2016). This is especially useful in massive open online courses (MOOCs</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when learners come from different backgrounds and require highly tailor-made methods. Furthermore, by utilizing user data, these systems can suggest content that resonates with personal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learning objectives, enhancing engagement and retention rates.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The following are some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helpful VR types you should know:</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Studies show</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that learners retain information and remain motivated when using immersive VR environments, which can be realized in highly engaging, personalized learning contexts (</w:t>
      </w:r>
      <w:proofErr w:type="spellStart"/>
      <w:r w:rsidRPr="0056529F">
        <w:rPr>
          <w:rFonts w:asciiTheme="majorBidi" w:eastAsia="Times New Roman" w:hAnsiTheme="majorBidi" w:cstheme="majorBidi"/>
          <w:sz w:val="28"/>
          <w:szCs w:val="28"/>
        </w:rPr>
        <w:t>Marougkas</w:t>
      </w:r>
      <w:proofErr w:type="spellEnd"/>
      <w:r w:rsidRPr="0056529F">
        <w:rPr>
          <w:rFonts w:asciiTheme="majorBidi" w:eastAsia="Times New Roman" w:hAnsiTheme="majorBidi" w:cstheme="majorBidi"/>
          <w:sz w:val="28"/>
          <w:szCs w:val="28"/>
        </w:rPr>
        <w:t xml:space="preserve"> et al., 2024). Moreover, in these environments, we reduce cognitive load in learning complex topics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such that learning becomes more efficient and accessible (Sun &amp; Wu, 2023). For example, engineering students may use VR simulations to explore the design of their projects without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physical consequences, while medical students use VR for surgical practice — improving skills without needing actual human patients.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Describing Learning Paths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Personalised</w:t>
      </w:r>
      <w:proofErr w:type="spellEnd"/>
      <w:r w:rsidRPr="0056529F">
        <w:rPr>
          <w:rFonts w:asciiTheme="majorBidi" w:eastAsia="Times New Roman" w:hAnsiTheme="majorBidi" w:cstheme="majorBidi"/>
          <w:sz w:val="28"/>
          <w:szCs w:val="28"/>
        </w:rPr>
        <w:t xml:space="preserve"> learning paths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based on individual goals facilitate more efficient decision-making, especially in time-sensitive situations (Muhammad et al., 2016). According to Wang and De la Torre (2022), data −through data analytics− works to fully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optimize such a path in an endless loop. The beauty of adaptive systems is that they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can use data about learner progress and preferences to create and respond to a customization of pace and </w:t>
      </w:r>
      <w:proofErr w:type="spellStart"/>
      <w:r w:rsidRPr="0056529F">
        <w:rPr>
          <w:rFonts w:asciiTheme="majorBidi" w:eastAsia="Times New Roman" w:hAnsiTheme="majorBidi" w:cstheme="majorBidi"/>
          <w:sz w:val="28"/>
          <w:szCs w:val="28"/>
        </w:rPr>
        <w:t>contentform</w:t>
      </w:r>
      <w:proofErr w:type="spellEnd"/>
      <w:r w:rsidRPr="0056529F">
        <w:rPr>
          <w:rFonts w:asciiTheme="majorBidi" w:eastAsia="Times New Roman" w:hAnsiTheme="majorBidi" w:cstheme="majorBidi"/>
          <w:sz w:val="28"/>
          <w:szCs w:val="28"/>
        </w:rPr>
        <w:t xml:space="preserve"> to deliver personalized instruction.</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Gamification</w:t>
      </w:r>
      <w:proofErr w:type="spellEnd"/>
      <w:r w:rsidRPr="0056529F">
        <w:rPr>
          <w:rFonts w:asciiTheme="majorBidi" w:eastAsia="Times New Roman" w:hAnsiTheme="majorBidi" w:cstheme="majorBidi"/>
          <w:sz w:val="28"/>
          <w:szCs w:val="28"/>
        </w:rPr>
        <w:t xml:space="preserve"> in a Personalized Learning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Path</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By offering challenges to achieve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rewards to be earned, </w:t>
      </w:r>
      <w:proofErr w:type="spellStart"/>
      <w:r w:rsidRPr="0056529F">
        <w:rPr>
          <w:rFonts w:asciiTheme="majorBidi" w:eastAsia="Times New Roman" w:hAnsiTheme="majorBidi" w:cstheme="majorBidi"/>
          <w:sz w:val="28"/>
          <w:szCs w:val="28"/>
        </w:rPr>
        <w:t>gamification</w:t>
      </w:r>
      <w:proofErr w:type="spellEnd"/>
      <w:r w:rsidRPr="0056529F">
        <w:rPr>
          <w:rFonts w:asciiTheme="majorBidi" w:eastAsia="Times New Roman" w:hAnsiTheme="majorBidi" w:cstheme="majorBidi"/>
          <w:sz w:val="28"/>
          <w:szCs w:val="28"/>
        </w:rPr>
        <w:t xml:space="preserve"> enhances engagement and motivation in personalized learning environments (</w:t>
      </w:r>
      <w:proofErr w:type="spellStart"/>
      <w:r w:rsidRPr="0056529F">
        <w:rPr>
          <w:rFonts w:asciiTheme="majorBidi" w:eastAsia="Times New Roman" w:hAnsiTheme="majorBidi" w:cstheme="majorBidi"/>
          <w:sz w:val="28"/>
          <w:szCs w:val="28"/>
        </w:rPr>
        <w:t>Dichev</w:t>
      </w:r>
      <w:proofErr w:type="spellEnd"/>
      <w:r w:rsidRPr="0056529F">
        <w:rPr>
          <w:rFonts w:asciiTheme="majorBidi" w:eastAsia="Times New Roman" w:hAnsiTheme="majorBidi" w:cstheme="majorBidi"/>
          <w:sz w:val="28"/>
          <w:szCs w:val="28"/>
        </w:rPr>
        <w:t xml:space="preserve"> &amp; </w:t>
      </w:r>
      <w:proofErr w:type="spellStart"/>
      <w:r w:rsidRPr="0056529F">
        <w:rPr>
          <w:rFonts w:asciiTheme="majorBidi" w:eastAsia="Times New Roman" w:hAnsiTheme="majorBidi" w:cstheme="majorBidi"/>
          <w:sz w:val="28"/>
          <w:szCs w:val="28"/>
        </w:rPr>
        <w:t>Dicheva</w:t>
      </w:r>
      <w:proofErr w:type="spellEnd"/>
      <w:r w:rsidRPr="0056529F">
        <w:rPr>
          <w:rFonts w:asciiTheme="majorBidi" w:eastAsia="Times New Roman" w:hAnsiTheme="majorBidi" w:cstheme="majorBidi"/>
          <w:sz w:val="28"/>
          <w:szCs w:val="28"/>
        </w:rPr>
        <w:t>, 2017). These include point-based systems, badges</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and leaderboards that provide a sense of accomplishment and drive positive competition between students. In fact, </w:t>
      </w:r>
      <w:proofErr w:type="spellStart"/>
      <w:r w:rsidRPr="0056529F">
        <w:rPr>
          <w:rFonts w:asciiTheme="majorBidi" w:eastAsia="Times New Roman" w:hAnsiTheme="majorBidi" w:cstheme="majorBidi"/>
          <w:sz w:val="28"/>
          <w:szCs w:val="28"/>
        </w:rPr>
        <w:t>gamification</w:t>
      </w:r>
      <w:proofErr w:type="spellEnd"/>
      <w:r w:rsidRPr="0056529F">
        <w:rPr>
          <w:rFonts w:asciiTheme="majorBidi" w:eastAsia="Times New Roman" w:hAnsiTheme="majorBidi" w:cstheme="majorBidi"/>
          <w:sz w:val="28"/>
          <w:szCs w:val="28"/>
        </w:rPr>
        <w:t xml:space="preserve"> techniques are increasingly being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used in the form of narrative-driven experiences where learners are thrust into a story or quest which develops retention and further cognitive engagement.</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lastRenderedPageBreak/>
        <w:t>COVID-19 Impacts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and Case Studies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Research shows that the social impact of personalized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e-learning can be significant as it can help close the educational divide in impoverished communities. For example, an initiative in rural India used adaptive learning software to enhance literacy and numeracy for children with limited access to</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traditional schools. Similarly, a study conducted in sub-Saharan</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Africa showed that </w:t>
      </w:r>
      <w:proofErr w:type="spellStart"/>
      <w:r w:rsidRPr="0056529F">
        <w:rPr>
          <w:rFonts w:asciiTheme="majorBidi" w:eastAsia="Times New Roman" w:hAnsiTheme="majorBidi" w:cstheme="majorBidi"/>
          <w:sz w:val="28"/>
          <w:szCs w:val="28"/>
        </w:rPr>
        <w:t>mLearning</w:t>
      </w:r>
      <w:proofErr w:type="spellEnd"/>
      <w:r w:rsidRPr="0056529F">
        <w:rPr>
          <w:rFonts w:asciiTheme="majorBidi" w:eastAsia="Times New Roman" w:hAnsiTheme="majorBidi" w:cstheme="majorBidi"/>
          <w:sz w:val="28"/>
          <w:szCs w:val="28"/>
        </w:rPr>
        <w:t xml:space="preserve"> tools based on mobile significantly improved adult's knowledge of English language.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For</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Students and Educators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 xml:space="preserve">Social adaptive platforms like </w:t>
      </w:r>
      <w:proofErr w:type="spellStart"/>
      <w:r w:rsidRPr="0056529F">
        <w:rPr>
          <w:rFonts w:asciiTheme="majorBidi" w:eastAsia="Times New Roman" w:hAnsiTheme="majorBidi" w:cstheme="majorBidi"/>
          <w:sz w:val="28"/>
          <w:szCs w:val="28"/>
        </w:rPr>
        <w:t>Topolor</w:t>
      </w:r>
      <w:proofErr w:type="spellEnd"/>
      <w:r w:rsidRPr="0056529F">
        <w:rPr>
          <w:rFonts w:asciiTheme="majorBidi" w:eastAsia="Times New Roman" w:hAnsiTheme="majorBidi" w:cstheme="majorBidi"/>
          <w:sz w:val="28"/>
          <w:szCs w:val="28"/>
        </w:rPr>
        <w:t xml:space="preserve"> have shown that a cooperative component can provide a bonus for a sense of community, but still build personalized experience (Shi</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et al., 2013). The collaborative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aspect of these platforms promotes active learning and adds to the overall experience (</w:t>
      </w:r>
      <w:proofErr w:type="spellStart"/>
      <w:r w:rsidRPr="0056529F">
        <w:rPr>
          <w:rFonts w:asciiTheme="majorBidi" w:eastAsia="Times New Roman" w:hAnsiTheme="majorBidi" w:cstheme="majorBidi"/>
          <w:sz w:val="28"/>
          <w:szCs w:val="28"/>
        </w:rPr>
        <w:t>Hrastinski</w:t>
      </w:r>
      <w:proofErr w:type="spellEnd"/>
      <w:r w:rsidRPr="0056529F">
        <w:rPr>
          <w:rFonts w:asciiTheme="majorBidi" w:eastAsia="Times New Roman" w:hAnsiTheme="majorBidi" w:cstheme="majorBidi"/>
          <w:sz w:val="28"/>
          <w:szCs w:val="28"/>
        </w:rPr>
        <w:t>, 2019).</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One of the very significant benefits of adopting blended learning is that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it is believed to lead to improved learning outcomes.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By actively engaging learners this way, personalized frameworks promote their motivation and performance (Sun &amp; Wu</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2023). One such approach which has been shown to improve learner engagement is </w:t>
      </w:r>
      <w:proofErr w:type="spellStart"/>
      <w:r w:rsidRPr="0056529F">
        <w:rPr>
          <w:rFonts w:asciiTheme="majorBidi" w:eastAsia="Times New Roman" w:hAnsiTheme="majorBidi" w:cstheme="majorBidi"/>
          <w:sz w:val="28"/>
          <w:szCs w:val="28"/>
        </w:rPr>
        <w:t>gamification</w:t>
      </w:r>
      <w:proofErr w:type="spellEnd"/>
      <w:r w:rsidRPr="0056529F">
        <w:rPr>
          <w:rFonts w:asciiTheme="majorBidi" w:eastAsia="Times New Roman" w:hAnsiTheme="majorBidi" w:cstheme="majorBidi"/>
          <w:sz w:val="28"/>
          <w:szCs w:val="28"/>
        </w:rPr>
        <w:t xml:space="preserve"> systems (</w:t>
      </w:r>
      <w:proofErr w:type="spellStart"/>
      <w:r w:rsidRPr="0056529F">
        <w:rPr>
          <w:rFonts w:asciiTheme="majorBidi" w:eastAsia="Times New Roman" w:hAnsiTheme="majorBidi" w:cstheme="majorBidi"/>
          <w:sz w:val="28"/>
          <w:szCs w:val="28"/>
        </w:rPr>
        <w:t>Dichev</w:t>
      </w:r>
      <w:proofErr w:type="spellEnd"/>
      <w:r w:rsidRPr="0056529F">
        <w:rPr>
          <w:rFonts w:asciiTheme="majorBidi" w:eastAsia="Times New Roman" w:hAnsiTheme="majorBidi" w:cstheme="majorBidi"/>
          <w:sz w:val="28"/>
          <w:szCs w:val="28"/>
        </w:rPr>
        <w:t xml:space="preserve"> &amp;</w:t>
      </w:r>
      <w:r w:rsidRPr="0056529F">
        <w:rPr>
          <w:rFonts w:asciiTheme="majorBidi" w:eastAsia="Times New Roman" w:hAnsiTheme="majorBidi" w:cstheme="majorBidi"/>
          <w:sz w:val="28"/>
          <w:szCs w:val="28"/>
        </w:rPr>
        <w:t> </w:t>
      </w:r>
      <w:proofErr w:type="spellStart"/>
      <w:r w:rsidRPr="0056529F">
        <w:rPr>
          <w:rFonts w:asciiTheme="majorBidi" w:eastAsia="Times New Roman" w:hAnsiTheme="majorBidi" w:cstheme="majorBidi"/>
          <w:sz w:val="28"/>
          <w:szCs w:val="28"/>
        </w:rPr>
        <w:t>Dicheva</w:t>
      </w:r>
      <w:proofErr w:type="spellEnd"/>
      <w:r w:rsidRPr="0056529F">
        <w:rPr>
          <w:rFonts w:asciiTheme="majorBidi" w:eastAsia="Times New Roman" w:hAnsiTheme="majorBidi" w:cstheme="majorBidi"/>
          <w:sz w:val="28"/>
          <w:szCs w:val="28"/>
        </w:rPr>
        <w:t>, 2017). Furthermore, personalized learning enables educators to recognize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resolve individual student challenges, resulting in enhanced overall performance.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Implementation Hurdles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Despite its potential, personalized learning also faces hurdles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 terms of available resources and system upgrades. Ethical implications provide challenges as well</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especially as it relates to AI-based systems (</w:t>
      </w:r>
      <w:proofErr w:type="spellStart"/>
      <w:r w:rsidRPr="0056529F">
        <w:rPr>
          <w:rFonts w:asciiTheme="majorBidi" w:eastAsia="Times New Roman" w:hAnsiTheme="majorBidi" w:cstheme="majorBidi"/>
          <w:sz w:val="28"/>
          <w:szCs w:val="28"/>
        </w:rPr>
        <w:t>Murtaza</w:t>
      </w:r>
      <w:proofErr w:type="spellEnd"/>
      <w:r w:rsidRPr="0056529F">
        <w:rPr>
          <w:rFonts w:asciiTheme="majorBidi" w:eastAsia="Times New Roman" w:hAnsiTheme="majorBidi" w:cstheme="majorBidi"/>
          <w:sz w:val="28"/>
          <w:szCs w:val="28"/>
        </w:rPr>
        <w:t xml:space="preserve"> et al., 2022; </w:t>
      </w:r>
      <w:proofErr w:type="spellStart"/>
      <w:r w:rsidRPr="0056529F">
        <w:rPr>
          <w:rFonts w:asciiTheme="majorBidi" w:eastAsia="Times New Roman" w:hAnsiTheme="majorBidi" w:cstheme="majorBidi"/>
          <w:sz w:val="28"/>
          <w:szCs w:val="28"/>
        </w:rPr>
        <w:t>Shemshack</w:t>
      </w:r>
      <w:proofErr w:type="spellEnd"/>
      <w:r w:rsidRPr="0056529F">
        <w:rPr>
          <w:rFonts w:asciiTheme="majorBidi" w:eastAsia="Times New Roman" w:hAnsiTheme="majorBidi" w:cstheme="majorBidi"/>
          <w:sz w:val="28"/>
          <w:szCs w:val="28"/>
        </w:rPr>
        <w:t xml:space="preserve"> &amp; Spector, 2020). Widespread adoption of personalized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e-learning also has its issues: Data privacy concerns and the digital divide cannot be ignored.</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b/>
          <w:bCs/>
          <w:color w:val="FF0000"/>
          <w:sz w:val="28"/>
          <w:szCs w:val="28"/>
        </w:rPr>
      </w:pPr>
      <w:r w:rsidRPr="0056529F">
        <w:rPr>
          <w:rFonts w:asciiTheme="majorBidi" w:eastAsia="Times New Roman" w:hAnsiTheme="majorBidi" w:cstheme="majorBidi"/>
          <w:b/>
          <w:bCs/>
          <w:color w:val="FF0000"/>
          <w:sz w:val="28"/>
          <w:szCs w:val="28"/>
        </w:rPr>
        <w:t>Next Steps and Obstacles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Scaling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and Scaling Personalized Learning</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Personalized learning at scale continues to be labor- and resource-intensive work (Muhammad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&amp; </w:t>
      </w:r>
      <w:proofErr w:type="spellStart"/>
      <w:r w:rsidRPr="0056529F">
        <w:rPr>
          <w:rFonts w:asciiTheme="majorBidi" w:eastAsia="Times New Roman" w:hAnsiTheme="majorBidi" w:cstheme="majorBidi"/>
          <w:sz w:val="28"/>
          <w:szCs w:val="28"/>
        </w:rPr>
        <w:t>Ariatmanto</w:t>
      </w:r>
      <w:proofErr w:type="spellEnd"/>
      <w:r w:rsidRPr="0056529F">
        <w:rPr>
          <w:rFonts w:asciiTheme="majorBidi" w:eastAsia="Times New Roman" w:hAnsiTheme="majorBidi" w:cstheme="majorBidi"/>
          <w:sz w:val="28"/>
          <w:szCs w:val="28"/>
        </w:rPr>
        <w:t>, 2021). In institutional and corporate training environments, this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challenge is evident as diverse needs must be catered to by advanced systems. To combat these issues, new cloud-based solutions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scalable AI algorithms are being implemented.</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lastRenderedPageBreak/>
        <w:t>Privacy and Ethical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Guidelines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To gain user confidence and ensure that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learning spaces remain functional, it is imperative to implement ethical data collection practices and comply with findings such as GDPR (</w:t>
      </w:r>
      <w:proofErr w:type="spellStart"/>
      <w:r w:rsidRPr="0056529F">
        <w:rPr>
          <w:rFonts w:asciiTheme="majorBidi" w:eastAsia="Times New Roman" w:hAnsiTheme="majorBidi" w:cstheme="majorBidi"/>
          <w:sz w:val="28"/>
          <w:szCs w:val="28"/>
        </w:rPr>
        <w:t>Hooshyar</w:t>
      </w:r>
      <w:proofErr w:type="spellEnd"/>
      <w:r w:rsidRPr="0056529F">
        <w:rPr>
          <w:rFonts w:asciiTheme="majorBidi" w:eastAsia="Times New Roman" w:hAnsiTheme="majorBidi" w:cstheme="majorBidi"/>
          <w:sz w:val="28"/>
          <w:szCs w:val="28"/>
        </w:rPr>
        <w:t xml:space="preserve"> et al., 2020). Demonstrating this transparency around data practices is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vital in building trust with learners and educators. As an example</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writing clearly about the collection and use of learner data can allay concerns and increase trust.</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Emerging Technologies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Emerging tools such as predictive analytics, augmented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reality and </w:t>
      </w:r>
      <w:proofErr w:type="spellStart"/>
      <w:r w:rsidRPr="0056529F">
        <w:rPr>
          <w:rFonts w:asciiTheme="majorBidi" w:eastAsia="Times New Roman" w:hAnsiTheme="majorBidi" w:cstheme="majorBidi"/>
          <w:sz w:val="28"/>
          <w:szCs w:val="28"/>
        </w:rPr>
        <w:t>blockchain</w:t>
      </w:r>
      <w:proofErr w:type="spellEnd"/>
      <w:r w:rsidRPr="0056529F">
        <w:rPr>
          <w:rFonts w:asciiTheme="majorBidi" w:eastAsia="Times New Roman" w:hAnsiTheme="majorBidi" w:cstheme="majorBidi"/>
          <w:sz w:val="28"/>
          <w:szCs w:val="28"/>
        </w:rPr>
        <w:t xml:space="preserve"> show promise for personalized learning. This can be done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with new, specific technologies that ensure that learning continues on secure and efficient pathways, increasing the ecosystem effectiveness (</w:t>
      </w:r>
      <w:proofErr w:type="spellStart"/>
      <w:r w:rsidRPr="0056529F">
        <w:rPr>
          <w:rFonts w:asciiTheme="majorBidi" w:eastAsia="Times New Roman" w:hAnsiTheme="majorBidi" w:cstheme="majorBidi"/>
          <w:sz w:val="28"/>
          <w:szCs w:val="28"/>
        </w:rPr>
        <w:t>Marougkas</w:t>
      </w:r>
      <w:proofErr w:type="spellEnd"/>
      <w:r w:rsidRPr="0056529F">
        <w:rPr>
          <w:rFonts w:asciiTheme="majorBidi" w:eastAsia="Times New Roman" w:hAnsiTheme="majorBidi" w:cstheme="majorBidi"/>
          <w:sz w:val="28"/>
          <w:szCs w:val="28"/>
        </w:rPr>
        <w:t xml:space="preserve"> et al., 2023). For example, augmented reality has also led to interactive &amp; immersive educational experiences—especially in the engineering &amp;</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medicine fields.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Equity in Access</w:t>
      </w: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The gap in access to personalized e-learning tools based on socio-economic factors presents an</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urgent challenge. It is important to build equitable access to maximize the value of</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these advancements (</w:t>
      </w:r>
      <w:proofErr w:type="spellStart"/>
      <w:r w:rsidRPr="0056529F">
        <w:rPr>
          <w:rFonts w:asciiTheme="majorBidi" w:eastAsia="Times New Roman" w:hAnsiTheme="majorBidi" w:cstheme="majorBidi"/>
          <w:sz w:val="28"/>
          <w:szCs w:val="28"/>
        </w:rPr>
        <w:t>Kizilcec</w:t>
      </w:r>
      <w:proofErr w:type="spellEnd"/>
      <w:r w:rsidRPr="0056529F">
        <w:rPr>
          <w:rFonts w:asciiTheme="majorBidi" w:eastAsia="Times New Roman" w:hAnsiTheme="majorBidi" w:cstheme="majorBidi"/>
          <w:sz w:val="28"/>
          <w:szCs w:val="28"/>
        </w:rPr>
        <w:t xml:space="preserve"> &amp; </w:t>
      </w:r>
      <w:proofErr w:type="spellStart"/>
      <w:r w:rsidRPr="0056529F">
        <w:rPr>
          <w:rFonts w:asciiTheme="majorBidi" w:eastAsia="Times New Roman" w:hAnsiTheme="majorBidi" w:cstheme="majorBidi"/>
          <w:sz w:val="28"/>
          <w:szCs w:val="28"/>
        </w:rPr>
        <w:t>Halawa</w:t>
      </w:r>
      <w:proofErr w:type="spellEnd"/>
      <w:r w:rsidRPr="0056529F">
        <w:rPr>
          <w:rFonts w:asciiTheme="majorBidi" w:eastAsia="Times New Roman" w:hAnsiTheme="majorBidi" w:cstheme="majorBidi"/>
          <w:sz w:val="28"/>
          <w:szCs w:val="28"/>
        </w:rPr>
        <w:t>, 2020). Government-funded initiatives and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low-cost internet solutions can bridge these gaps.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b/>
          <w:bCs/>
          <w:color w:val="FF0000"/>
          <w:sz w:val="28"/>
          <w:szCs w:val="28"/>
        </w:rPr>
      </w:pPr>
      <w:r w:rsidRPr="0056529F">
        <w:rPr>
          <w:rFonts w:asciiTheme="majorBidi" w:eastAsia="Times New Roman" w:hAnsiTheme="majorBidi" w:cstheme="majorBidi"/>
          <w:b/>
          <w:bCs/>
          <w:color w:val="FF0000"/>
          <w:sz w:val="28"/>
          <w:szCs w:val="28"/>
        </w:rPr>
        <w:t>Methodology</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Mixed-Methods Approach</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In this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research a mixed-methods approach was adopted with three distinct phases: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Systematic</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Literature Review (Qualitative)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Objective: Identify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the conceptual foundations of personalized e-learning.</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Data Sources: IEEE Explore, Springer, JSTOR</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Google Scholar.</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Studies included were peer-reviewed and focused on user-centered e-leaning systems, LMS implementation as well as e-leaning pedagogical scenarios (Chen et al., 2021).</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lastRenderedPageBreak/>
        <w:t> </w:t>
      </w:r>
      <w:r w:rsidRPr="0056529F">
        <w:rPr>
          <w:rFonts w:asciiTheme="majorBidi" w:eastAsia="Times New Roman" w:hAnsiTheme="majorBidi" w:cstheme="majorBidi"/>
          <w:sz w:val="28"/>
          <w:szCs w:val="28"/>
        </w:rPr>
        <w:t>We use quantitative expert prioritization.</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Objective: Rank identified components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using expert input.</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Design: </w:t>
      </w:r>
      <w:proofErr w:type="spellStart"/>
      <w:r w:rsidRPr="0056529F">
        <w:rPr>
          <w:rFonts w:asciiTheme="majorBidi" w:eastAsia="Times New Roman" w:hAnsiTheme="majorBidi" w:cstheme="majorBidi"/>
          <w:sz w:val="28"/>
          <w:szCs w:val="28"/>
        </w:rPr>
        <w:t>Likert</w:t>
      </w:r>
      <w:proofErr w:type="spellEnd"/>
      <w:r w:rsidRPr="0056529F">
        <w:rPr>
          <w:rFonts w:asciiTheme="majorBidi" w:eastAsia="Times New Roman" w:hAnsiTheme="majorBidi" w:cstheme="majorBidi"/>
          <w:sz w:val="28"/>
          <w:szCs w:val="28"/>
        </w:rPr>
        <w:t>-type scale structured questionnaire.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Participants/context: Educational communities, LMS developers, and university lecturers (Wang &amp; De la Torre</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2022).</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Survey to Measure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User Perception (Quantitative)</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Objective: To portray users' perspectives on</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LMS elements.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 xml:space="preserve">Conducted with a sample: 300 active </w:t>
      </w:r>
      <w:proofErr w:type="spellStart"/>
      <w:r w:rsidRPr="0056529F">
        <w:rPr>
          <w:rFonts w:asciiTheme="majorBidi" w:eastAsia="Times New Roman" w:hAnsiTheme="majorBidi" w:cstheme="majorBidi"/>
          <w:sz w:val="28"/>
          <w:szCs w:val="28"/>
        </w:rPr>
        <w:t>Coursera</w:t>
      </w:r>
      <w:proofErr w:type="spellEnd"/>
      <w:r w:rsidRPr="0056529F">
        <w:rPr>
          <w:rFonts w:asciiTheme="majorBidi" w:eastAsia="Times New Roman" w:hAnsiTheme="majorBidi" w:cstheme="majorBidi"/>
          <w:sz w:val="28"/>
          <w:szCs w:val="28"/>
        </w:rPr>
        <w:t xml:space="preserve"> users selected using stratified</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random sampling (Sun &amp; Wu, 2023)</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Data Analysis</w:t>
      </w: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Phase 1 will use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inductive coding and thematic analysis (Braun &amp; Clarke, 2006), whereas statistical approaches like structural equation modeling will be used in Phase 2. Phase 3 will employ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descriptive and inferential analyses to identify trends and associations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b/>
          <w:bCs/>
          <w:color w:val="FF0000"/>
          <w:sz w:val="28"/>
          <w:szCs w:val="28"/>
        </w:rPr>
      </w:pPr>
      <w:r w:rsidRPr="0056529F">
        <w:rPr>
          <w:rFonts w:asciiTheme="majorBidi" w:eastAsia="Times New Roman" w:hAnsiTheme="majorBidi" w:cstheme="majorBidi"/>
          <w:b/>
          <w:bCs/>
          <w:color w:val="FF0000"/>
          <w:sz w:val="28"/>
          <w:szCs w:val="28"/>
        </w:rPr>
        <w:t>Conclusion</w:t>
      </w: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This study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seeks to contribute a holistic framework for personalized e-learning thereby combining theoretical as well as practical research with domain expert and learner perspectives. Decoding these challenges such as data privacy, resource limitations, and technological barriers, the research is aimed at pursuing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LMS designs and educational outcomes. The innovations considered are promising, but they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will only be realized if these challenges are addressed collectively.</w:t>
      </w: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bookmarkStart w:id="0" w:name="_GoBack"/>
      <w:bookmarkEnd w:id="0"/>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b/>
          <w:bCs/>
          <w:color w:val="FF0000"/>
          <w:sz w:val="28"/>
          <w:szCs w:val="28"/>
        </w:rPr>
      </w:pPr>
      <w:r w:rsidRPr="0056529F">
        <w:rPr>
          <w:rFonts w:asciiTheme="majorBidi" w:eastAsia="Times New Roman" w:hAnsiTheme="majorBidi" w:cstheme="majorBidi"/>
          <w:b/>
          <w:bCs/>
          <w:color w:val="FF0000"/>
          <w:sz w:val="28"/>
          <w:szCs w:val="28"/>
        </w:rPr>
        <w:lastRenderedPageBreak/>
        <w:t>References</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 xml:space="preserve">Braun, V. &amp; Clarke, V. (2006). </w:t>
      </w:r>
      <w:proofErr w:type="spellStart"/>
      <w:r w:rsidRPr="0056529F">
        <w:rPr>
          <w:rFonts w:asciiTheme="majorBidi" w:eastAsia="Times New Roman" w:hAnsiTheme="majorBidi" w:cstheme="majorBidi"/>
          <w:sz w:val="28"/>
          <w:szCs w:val="28"/>
        </w:rPr>
        <w:t>Behaviour</w:t>
      </w:r>
      <w:proofErr w:type="spellEnd"/>
      <w:r w:rsidRPr="0056529F">
        <w:rPr>
          <w:rFonts w:asciiTheme="majorBidi" w:eastAsia="Times New Roman" w:hAnsiTheme="majorBidi" w:cstheme="majorBidi"/>
          <w:sz w:val="28"/>
          <w:szCs w:val="28"/>
        </w:rPr>
        <w:t xml:space="preserve"> Research and Therapy, 8591</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4. Qualitative Research in Psychology</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3(2), 77–101.</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Bourkoukou</w:t>
      </w:r>
      <w:proofErr w:type="spellEnd"/>
      <w:r w:rsidRPr="0056529F">
        <w:rPr>
          <w:rFonts w:asciiTheme="majorBidi" w:eastAsia="Times New Roman" w:hAnsiTheme="majorBidi" w:cstheme="majorBidi"/>
          <w:sz w:val="28"/>
          <w:szCs w:val="28"/>
        </w:rPr>
        <w:t>, E.</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&amp; El </w:t>
      </w:r>
      <w:proofErr w:type="spellStart"/>
      <w:r w:rsidRPr="0056529F">
        <w:rPr>
          <w:rFonts w:asciiTheme="majorBidi" w:eastAsia="Times New Roman" w:hAnsiTheme="majorBidi" w:cstheme="majorBidi"/>
          <w:sz w:val="28"/>
          <w:szCs w:val="28"/>
        </w:rPr>
        <w:t>Bachari</w:t>
      </w:r>
      <w:proofErr w:type="spellEnd"/>
      <w:r w:rsidRPr="0056529F">
        <w:rPr>
          <w:rFonts w:asciiTheme="majorBidi" w:eastAsia="Times New Roman" w:hAnsiTheme="majorBidi" w:cstheme="majorBidi"/>
          <w:sz w:val="28"/>
          <w:szCs w:val="28"/>
        </w:rPr>
        <w:t>, E. (2016). Recommendation Systems On E-Learning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Based On Collaborative Filtering And Learners’ Preference Educational Technology</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&amp; Society, 19(1), 253–263.</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Chen, G., Li, X</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&amp; </w:t>
      </w:r>
      <w:proofErr w:type="spellStart"/>
      <w:r w:rsidRPr="0056529F">
        <w:rPr>
          <w:rFonts w:asciiTheme="majorBidi" w:eastAsia="Times New Roman" w:hAnsiTheme="majorBidi" w:cstheme="majorBidi"/>
          <w:sz w:val="28"/>
          <w:szCs w:val="28"/>
        </w:rPr>
        <w:t>Zheng</w:t>
      </w:r>
      <w:proofErr w:type="spellEnd"/>
      <w:r w:rsidRPr="0056529F">
        <w:rPr>
          <w:rFonts w:asciiTheme="majorBidi" w:eastAsia="Times New Roman" w:hAnsiTheme="majorBidi" w:cstheme="majorBidi"/>
          <w:sz w:val="28"/>
          <w:szCs w:val="28"/>
        </w:rPr>
        <w:t>, X. (2021). The ‘Personalized Learning’ Revolution: How</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AI is Reshaping Education IEEE Access, 9</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146968–146978.</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Dichev</w:t>
      </w:r>
      <w:proofErr w:type="spell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C</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xml:space="preserve"> </w:t>
      </w:r>
      <w:proofErr w:type="spellStart"/>
      <w:r w:rsidRPr="0056529F">
        <w:rPr>
          <w:rFonts w:asciiTheme="majorBidi" w:eastAsia="Times New Roman" w:hAnsiTheme="majorBidi" w:cstheme="majorBidi"/>
          <w:sz w:val="28"/>
          <w:szCs w:val="28"/>
        </w:rPr>
        <w:t>Dicheva</w:t>
      </w:r>
      <w:proofErr w:type="spellEnd"/>
      <w:r w:rsidRPr="0056529F">
        <w:rPr>
          <w:rFonts w:asciiTheme="majorBidi" w:eastAsia="Times New Roman" w:hAnsiTheme="majorBidi" w:cstheme="majorBidi"/>
          <w:sz w:val="28"/>
          <w:szCs w:val="28"/>
        </w:rPr>
        <w:t xml:space="preserve"> D. (2017). </w:t>
      </w:r>
      <w:proofErr w:type="spellStart"/>
      <w:r w:rsidRPr="0056529F">
        <w:rPr>
          <w:rFonts w:asciiTheme="majorBidi" w:eastAsia="Times New Roman" w:hAnsiTheme="majorBidi" w:cstheme="majorBidi"/>
          <w:sz w:val="28"/>
          <w:szCs w:val="28"/>
        </w:rPr>
        <w:t>Gamifying</w:t>
      </w:r>
      <w:proofErr w:type="spellEnd"/>
      <w:r w:rsidRPr="0056529F">
        <w:rPr>
          <w:rFonts w:asciiTheme="majorBidi" w:eastAsia="Times New Roman" w:hAnsiTheme="majorBidi" w:cstheme="majorBidi"/>
          <w:sz w:val="28"/>
          <w:szCs w:val="28"/>
        </w:rPr>
        <w:t xml:space="preserve"> learning: What we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know, what we think we know, and what we don’t know. International Journal of</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Educational Technology in Higher Education, 14(1), 1–36.</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Hooshyar</w:t>
      </w:r>
      <w:proofErr w:type="spellEnd"/>
      <w:r w:rsidRPr="0056529F">
        <w:rPr>
          <w:rFonts w:asciiTheme="majorBidi" w:eastAsia="Times New Roman" w:hAnsiTheme="majorBidi" w:cstheme="majorBidi"/>
          <w:sz w:val="28"/>
          <w:szCs w:val="28"/>
        </w:rPr>
        <w:t>, D., et al. (2020). A</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Review of Adaptive Learning Systems 104, 106169Computers in</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Human Behavior.</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Kizilcec</w:t>
      </w:r>
      <w:proofErr w:type="spellEnd"/>
      <w:r w:rsidRPr="0056529F">
        <w:rPr>
          <w:rFonts w:asciiTheme="majorBidi" w:eastAsia="Times New Roman" w:hAnsiTheme="majorBidi" w:cstheme="majorBidi"/>
          <w:sz w:val="28"/>
          <w:szCs w:val="28"/>
        </w:rPr>
        <w:t>, R. F., &amp;</w:t>
      </w:r>
      <w:r w:rsidRPr="0056529F">
        <w:rPr>
          <w:rFonts w:asciiTheme="majorBidi" w:eastAsia="Times New Roman" w:hAnsiTheme="majorBidi" w:cstheme="majorBidi"/>
          <w:sz w:val="28"/>
          <w:szCs w:val="28"/>
        </w:rPr>
        <w:t> </w:t>
      </w:r>
      <w:proofErr w:type="spellStart"/>
      <w:r w:rsidRPr="0056529F">
        <w:rPr>
          <w:rFonts w:asciiTheme="majorBidi" w:eastAsia="Times New Roman" w:hAnsiTheme="majorBidi" w:cstheme="majorBidi"/>
          <w:sz w:val="28"/>
          <w:szCs w:val="28"/>
        </w:rPr>
        <w:t>Halawa</w:t>
      </w:r>
      <w:proofErr w:type="spellEnd"/>
      <w:r w:rsidRPr="0056529F">
        <w:rPr>
          <w:rFonts w:asciiTheme="majorBidi" w:eastAsia="Times New Roman" w:hAnsiTheme="majorBidi" w:cstheme="majorBidi"/>
          <w:sz w:val="28"/>
          <w:szCs w:val="28"/>
        </w:rPr>
        <w:t>, S. (2020). Sociology: The</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 xml:space="preserve">Ultimate Guide to Online Learning eBook </w:t>
      </w:r>
      <w:proofErr w:type="spellStart"/>
      <w:r w:rsidRPr="0056529F">
        <w:rPr>
          <w:rFonts w:asciiTheme="majorBidi" w:eastAsia="Times New Roman" w:hAnsiTheme="majorBidi" w:cstheme="majorBidi"/>
          <w:sz w:val="28"/>
          <w:szCs w:val="28"/>
        </w:rPr>
        <w:t>бесплатное</w:t>
      </w:r>
      <w:proofErr w:type="spellEnd"/>
      <w:r w:rsidRPr="0056529F">
        <w:rPr>
          <w:rFonts w:asciiTheme="majorBidi" w:eastAsia="Times New Roman" w:hAnsiTheme="majorBidi" w:cstheme="majorBidi"/>
          <w:sz w:val="28"/>
          <w:szCs w:val="28"/>
        </w:rPr>
        <w:t xml:space="preserve"> </w:t>
      </w:r>
      <w:proofErr w:type="spellStart"/>
      <w:r w:rsidRPr="0056529F">
        <w:rPr>
          <w:rFonts w:asciiTheme="majorBidi" w:eastAsia="Times New Roman" w:hAnsiTheme="majorBidi" w:cstheme="majorBidi"/>
          <w:sz w:val="28"/>
          <w:szCs w:val="28"/>
        </w:rPr>
        <w:t>скачивание</w:t>
      </w:r>
      <w:proofErr w:type="spellEnd"/>
      <w:r w:rsidRPr="0056529F">
        <w:rPr>
          <w:rFonts w:asciiTheme="majorBidi" w:eastAsia="Times New Roman" w:hAnsiTheme="majorBidi" w:cstheme="majorBidi"/>
          <w:sz w:val="28"/>
          <w:szCs w:val="28"/>
        </w:rPr>
        <w:t xml:space="preserve"> Science Advances, 6(11)</w:t>
      </w:r>
      <w:proofErr w:type="gramStart"/>
      <w:r w:rsidRPr="0056529F">
        <w:rPr>
          <w:rFonts w:asciiTheme="majorBidi" w:eastAsia="Times New Roman" w:hAnsiTheme="majorBidi" w:cstheme="majorBidi"/>
          <w:sz w:val="28"/>
          <w:szCs w:val="28"/>
        </w:rPr>
        <w:t>,</w:t>
      </w:r>
      <w:proofErr w:type="gramEnd"/>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eaay0837.</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proofErr w:type="spellStart"/>
      <w:r w:rsidRPr="0056529F">
        <w:rPr>
          <w:rFonts w:asciiTheme="majorBidi" w:eastAsia="Times New Roman" w:hAnsiTheme="majorBidi" w:cstheme="majorBidi"/>
          <w:sz w:val="28"/>
          <w:szCs w:val="28"/>
        </w:rPr>
        <w:t>Murtaza</w:t>
      </w:r>
      <w:proofErr w:type="spellEnd"/>
      <w:r w:rsidRPr="0056529F">
        <w:rPr>
          <w:rFonts w:asciiTheme="majorBidi" w:eastAsia="Times New Roman" w:hAnsiTheme="majorBidi" w:cstheme="majorBidi"/>
          <w:sz w:val="28"/>
          <w:szCs w:val="28"/>
        </w:rPr>
        <w:t>, A., et al. (2022). Challenges, impedimentary factors and remedies of AI-based personalized e-learning</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systems IEEE Transactions</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on Learning Technologies, 15(4), 1032–1046.</w:t>
      </w:r>
    </w:p>
    <w:p w:rsidR="0056529F" w:rsidRPr="0056529F" w:rsidRDefault="0056529F" w:rsidP="0056529F">
      <w:pPr>
        <w:bidi w:val="0"/>
        <w:spacing w:before="100" w:beforeAutospacing="1" w:after="100" w:afterAutospacing="1" w:line="240" w:lineRule="auto"/>
        <w:jc w:val="both"/>
        <w:rPr>
          <w:rFonts w:asciiTheme="majorBidi" w:eastAsia="Times New Roman" w:hAnsiTheme="majorBidi" w:cstheme="majorBidi"/>
          <w:sz w:val="28"/>
          <w:szCs w:val="28"/>
        </w:rPr>
      </w:pPr>
      <w:r w:rsidRPr="0056529F">
        <w:rPr>
          <w:rFonts w:asciiTheme="majorBidi" w:eastAsia="Times New Roman" w:hAnsiTheme="majorBidi" w:cstheme="majorBidi"/>
          <w:sz w:val="28"/>
          <w:szCs w:val="28"/>
        </w:rPr>
        <w:t>Sun, H., &amp; Wu, G. (2023). All text is up to</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October 2023. Educational</w:t>
      </w:r>
      <w:r w:rsidRPr="0056529F">
        <w:rPr>
          <w:rFonts w:asciiTheme="majorBidi" w:eastAsia="Times New Roman" w:hAnsiTheme="majorBidi" w:cstheme="majorBidi"/>
          <w:sz w:val="28"/>
          <w:szCs w:val="28"/>
        </w:rPr>
        <w:t> </w:t>
      </w:r>
      <w:r w:rsidRPr="0056529F">
        <w:rPr>
          <w:rFonts w:asciiTheme="majorBidi" w:eastAsia="Times New Roman" w:hAnsiTheme="majorBidi" w:cstheme="majorBidi"/>
          <w:sz w:val="28"/>
          <w:szCs w:val="28"/>
        </w:rPr>
        <w:t>Research Review, 30, Article 100356.</w:t>
      </w:r>
    </w:p>
    <w:p w:rsidR="000651AE" w:rsidRPr="0056529F" w:rsidRDefault="000651AE" w:rsidP="0056529F">
      <w:pPr>
        <w:jc w:val="both"/>
        <w:rPr>
          <w:rFonts w:asciiTheme="majorBidi" w:hAnsiTheme="majorBidi" w:cstheme="majorBidi"/>
          <w:sz w:val="28"/>
          <w:szCs w:val="28"/>
          <w:rtl/>
        </w:rPr>
      </w:pPr>
    </w:p>
    <w:sectPr w:rsidR="000651AE" w:rsidRPr="0056529F" w:rsidSect="00B75819">
      <w:pgSz w:w="11906" w:h="16838"/>
      <w:pgMar w:top="1440" w:right="1440" w:bottom="1440" w:left="1440" w:header="708" w:footer="708" w:gutter="0"/>
      <w:cols w:space="708"/>
      <w:bidi/>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195610"/>
    <w:multiLevelType w:val="hybridMultilevel"/>
    <w:tmpl w:val="2EAA9D98"/>
    <w:lvl w:ilvl="0" w:tplc="D9D41AB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496"/>
    <w:rsid w:val="000651AE"/>
    <w:rsid w:val="0056529F"/>
    <w:rsid w:val="006D0810"/>
    <w:rsid w:val="00B75819"/>
    <w:rsid w:val="00D67496"/>
    <w:rsid w:val="00DF225E"/>
    <w:rsid w:val="00F135B4"/>
    <w:rsid w:val="00F51D89"/>
    <w:rsid w:val="00F97C3E"/>
  </w:rsids>
  <m:mathPr>
    <m:mathFont m:val="Cambria Math"/>
    <m:brkBin m:val="before"/>
    <m:brkBinSub m:val="--"/>
    <m:smallFrac m:val="0"/>
    <m:dispDef/>
    <m:lMargin m:val="0"/>
    <m:rMargin m:val="0"/>
    <m:defJc m:val="centerGroup"/>
    <m:wrapIndent m:val="1440"/>
    <m:intLim m:val="subSup"/>
    <m:naryLim m:val="undOvr"/>
  </m:mathPr>
  <w:themeFontLang w:val="en-US" w:bidi="fa-I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6D93A0-E171-4EF7-9FF3-93BF6924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fa-IR"/>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D89"/>
    <w:pPr>
      <w:ind w:left="720"/>
      <w:contextualSpacing/>
    </w:pPr>
  </w:style>
  <w:style w:type="paragraph" w:styleId="NormalWeb">
    <w:name w:val="Normal (Web)"/>
    <w:basedOn w:val="Normal"/>
    <w:uiPriority w:val="99"/>
    <w:semiHidden/>
    <w:unhideWhenUsed/>
    <w:rsid w:val="00F135B4"/>
    <w:pPr>
      <w:bidi w:val="0"/>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5385029">
      <w:bodyDiv w:val="1"/>
      <w:marLeft w:val="0"/>
      <w:marRight w:val="0"/>
      <w:marTop w:val="0"/>
      <w:marBottom w:val="0"/>
      <w:divBdr>
        <w:top w:val="none" w:sz="0" w:space="0" w:color="auto"/>
        <w:left w:val="none" w:sz="0" w:space="0" w:color="auto"/>
        <w:bottom w:val="none" w:sz="0" w:space="0" w:color="auto"/>
        <w:right w:val="none" w:sz="0" w:space="0" w:color="auto"/>
      </w:divBdr>
    </w:div>
    <w:div w:id="102767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7</Pages>
  <Words>1967</Words>
  <Characters>11217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yass</dc:creator>
  <cp:keywords/>
  <dc:description/>
  <cp:lastModifiedBy>yass</cp:lastModifiedBy>
  <cp:revision>5</cp:revision>
  <dcterms:created xsi:type="dcterms:W3CDTF">2025-01-03T14:00:00Z</dcterms:created>
  <dcterms:modified xsi:type="dcterms:W3CDTF">2025-01-13T18:38:00Z</dcterms:modified>
</cp:coreProperties>
</file>