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AB81A1" w14:textId="609CA993" w:rsidR="00CF1645" w:rsidRPr="006D73D1" w:rsidRDefault="00CF1645" w:rsidP="006D73D1">
      <w:pPr>
        <w:spacing w:line="360" w:lineRule="auto"/>
        <w:jc w:val="center"/>
        <w:rPr>
          <w:rFonts w:ascii="Arial" w:hAnsi="Arial" w:cs="Arial"/>
          <w:sz w:val="22"/>
          <w:szCs w:val="22"/>
        </w:rPr>
      </w:pPr>
      <w:r w:rsidRPr="006D73D1">
        <w:rPr>
          <w:rFonts w:ascii="Arial" w:hAnsi="Arial" w:cs="Arial"/>
          <w:sz w:val="22"/>
          <w:szCs w:val="22"/>
        </w:rPr>
        <w:t>Tamyne Cossa</w:t>
      </w:r>
    </w:p>
    <w:p w14:paraId="40CAB4BA" w14:textId="3DA843DB" w:rsidR="00CF1645" w:rsidRPr="006D73D1" w:rsidRDefault="00CF1645" w:rsidP="006D73D1">
      <w:pPr>
        <w:spacing w:line="360" w:lineRule="auto"/>
        <w:jc w:val="center"/>
        <w:rPr>
          <w:rFonts w:ascii="Arial" w:hAnsi="Arial" w:cs="Arial"/>
          <w:sz w:val="22"/>
          <w:szCs w:val="22"/>
        </w:rPr>
      </w:pPr>
      <w:r w:rsidRPr="006D73D1">
        <w:rPr>
          <w:rFonts w:ascii="Arial" w:hAnsi="Arial" w:cs="Arial"/>
          <w:sz w:val="22"/>
          <w:szCs w:val="22"/>
        </w:rPr>
        <w:t>2507591</w:t>
      </w:r>
    </w:p>
    <w:p w14:paraId="627AAB49" w14:textId="7DD3468B" w:rsidR="00CF1645" w:rsidRPr="006D73D1" w:rsidRDefault="00CF1645" w:rsidP="006D73D1">
      <w:pPr>
        <w:spacing w:line="360" w:lineRule="auto"/>
        <w:jc w:val="center"/>
        <w:rPr>
          <w:rFonts w:ascii="Arial" w:hAnsi="Arial" w:cs="Arial"/>
          <w:sz w:val="22"/>
          <w:szCs w:val="22"/>
        </w:rPr>
      </w:pPr>
      <w:r w:rsidRPr="006D73D1">
        <w:rPr>
          <w:rFonts w:ascii="Arial" w:hAnsi="Arial" w:cs="Arial"/>
          <w:sz w:val="22"/>
          <w:szCs w:val="22"/>
        </w:rPr>
        <w:t>LCHS4008</w:t>
      </w:r>
    </w:p>
    <w:p w14:paraId="7804469A" w14:textId="56E604E4" w:rsidR="00CF1645" w:rsidRPr="006D73D1" w:rsidRDefault="00CF1645" w:rsidP="006D73D1">
      <w:pPr>
        <w:spacing w:line="360" w:lineRule="auto"/>
        <w:jc w:val="center"/>
        <w:rPr>
          <w:rFonts w:ascii="Arial" w:hAnsi="Arial" w:cs="Arial"/>
          <w:sz w:val="22"/>
          <w:szCs w:val="22"/>
        </w:rPr>
      </w:pPr>
      <w:r w:rsidRPr="006D73D1">
        <w:rPr>
          <w:rFonts w:ascii="Arial" w:hAnsi="Arial" w:cs="Arial"/>
          <w:sz w:val="22"/>
          <w:szCs w:val="22"/>
        </w:rPr>
        <w:t>Introduction to Public Health</w:t>
      </w:r>
    </w:p>
    <w:p w14:paraId="27D164E2" w14:textId="432DFFCB" w:rsidR="006D73D1" w:rsidRPr="006D73D1" w:rsidRDefault="006D73D1" w:rsidP="006D73D1">
      <w:pPr>
        <w:spacing w:line="360" w:lineRule="auto"/>
        <w:jc w:val="center"/>
        <w:rPr>
          <w:rFonts w:ascii="Arial" w:hAnsi="Arial" w:cs="Arial"/>
          <w:sz w:val="22"/>
          <w:szCs w:val="22"/>
        </w:rPr>
      </w:pPr>
      <w:r w:rsidRPr="006D73D1">
        <w:rPr>
          <w:rFonts w:ascii="Arial" w:hAnsi="Arial" w:cs="Arial"/>
          <w:sz w:val="22"/>
          <w:szCs w:val="22"/>
        </w:rPr>
        <w:t>Written Report: Dementia as a Public Health Issue</w:t>
      </w:r>
    </w:p>
    <w:p w14:paraId="7DFE22AD" w14:textId="4DE245D2" w:rsidR="00CF1645" w:rsidRPr="006D73D1" w:rsidRDefault="00CF1645" w:rsidP="006D73D1">
      <w:pPr>
        <w:spacing w:line="360" w:lineRule="auto"/>
        <w:jc w:val="center"/>
        <w:rPr>
          <w:rFonts w:ascii="Arial" w:hAnsi="Arial" w:cs="Arial"/>
          <w:sz w:val="22"/>
          <w:szCs w:val="22"/>
        </w:rPr>
      </w:pPr>
      <w:r w:rsidRPr="006D73D1">
        <w:rPr>
          <w:rFonts w:ascii="Arial" w:hAnsi="Arial" w:cs="Arial"/>
          <w:sz w:val="22"/>
          <w:szCs w:val="22"/>
        </w:rPr>
        <w:t>Gillian Weaver</w:t>
      </w:r>
    </w:p>
    <w:p w14:paraId="0645F631" w14:textId="77777777" w:rsidR="00CF1645" w:rsidRPr="006D73D1" w:rsidRDefault="00CF1645" w:rsidP="006D73D1">
      <w:pPr>
        <w:spacing w:line="360" w:lineRule="auto"/>
        <w:rPr>
          <w:rFonts w:ascii="Arial" w:hAnsi="Arial" w:cs="Arial"/>
          <w:b/>
          <w:bCs/>
          <w:sz w:val="22"/>
          <w:szCs w:val="22"/>
        </w:rPr>
      </w:pPr>
    </w:p>
    <w:p w14:paraId="0AFA7E89" w14:textId="77777777" w:rsidR="00CF1645" w:rsidRPr="006D73D1" w:rsidRDefault="00CF1645" w:rsidP="006D73D1">
      <w:pPr>
        <w:spacing w:line="360" w:lineRule="auto"/>
        <w:rPr>
          <w:rFonts w:ascii="Arial" w:hAnsi="Arial" w:cs="Arial"/>
          <w:b/>
          <w:bCs/>
          <w:sz w:val="22"/>
          <w:szCs w:val="22"/>
        </w:rPr>
      </w:pPr>
    </w:p>
    <w:p w14:paraId="73616DC8" w14:textId="77777777" w:rsidR="00CF1645" w:rsidRPr="006D73D1" w:rsidRDefault="00CF1645" w:rsidP="006D73D1">
      <w:pPr>
        <w:spacing w:line="360" w:lineRule="auto"/>
        <w:rPr>
          <w:rFonts w:ascii="Arial" w:hAnsi="Arial" w:cs="Arial"/>
          <w:b/>
          <w:bCs/>
          <w:sz w:val="22"/>
          <w:szCs w:val="22"/>
        </w:rPr>
      </w:pPr>
    </w:p>
    <w:p w14:paraId="3172039A" w14:textId="77777777" w:rsidR="00CF1645" w:rsidRPr="006D73D1" w:rsidRDefault="00CF1645" w:rsidP="006D73D1">
      <w:pPr>
        <w:spacing w:line="360" w:lineRule="auto"/>
        <w:rPr>
          <w:rFonts w:ascii="Arial" w:hAnsi="Arial" w:cs="Arial"/>
          <w:b/>
          <w:bCs/>
          <w:sz w:val="22"/>
          <w:szCs w:val="22"/>
        </w:rPr>
      </w:pPr>
    </w:p>
    <w:p w14:paraId="07A2EA63" w14:textId="77777777" w:rsidR="00CF1645" w:rsidRPr="006D73D1" w:rsidRDefault="00CF1645" w:rsidP="006D73D1">
      <w:pPr>
        <w:spacing w:line="360" w:lineRule="auto"/>
        <w:rPr>
          <w:rFonts w:ascii="Arial" w:hAnsi="Arial" w:cs="Arial"/>
          <w:b/>
          <w:bCs/>
          <w:sz w:val="22"/>
          <w:szCs w:val="22"/>
        </w:rPr>
      </w:pPr>
    </w:p>
    <w:p w14:paraId="64825258" w14:textId="77777777" w:rsidR="00CF1645" w:rsidRPr="006D73D1" w:rsidRDefault="00CF1645" w:rsidP="006D73D1">
      <w:pPr>
        <w:spacing w:line="360" w:lineRule="auto"/>
        <w:rPr>
          <w:rFonts w:ascii="Arial" w:hAnsi="Arial" w:cs="Arial"/>
          <w:b/>
          <w:bCs/>
          <w:sz w:val="22"/>
          <w:szCs w:val="22"/>
        </w:rPr>
      </w:pPr>
    </w:p>
    <w:p w14:paraId="22741F9C" w14:textId="77777777" w:rsidR="00CF1645" w:rsidRPr="006D73D1" w:rsidRDefault="00CF1645" w:rsidP="006D73D1">
      <w:pPr>
        <w:spacing w:line="360" w:lineRule="auto"/>
        <w:rPr>
          <w:rFonts w:ascii="Arial" w:hAnsi="Arial" w:cs="Arial"/>
          <w:b/>
          <w:bCs/>
          <w:sz w:val="22"/>
          <w:szCs w:val="22"/>
        </w:rPr>
      </w:pPr>
    </w:p>
    <w:p w14:paraId="401A6617" w14:textId="77777777" w:rsidR="00CF1645" w:rsidRPr="006D73D1" w:rsidRDefault="00CF1645" w:rsidP="006D73D1">
      <w:pPr>
        <w:spacing w:line="360" w:lineRule="auto"/>
        <w:rPr>
          <w:rFonts w:ascii="Arial" w:hAnsi="Arial" w:cs="Arial"/>
          <w:b/>
          <w:bCs/>
          <w:sz w:val="22"/>
          <w:szCs w:val="22"/>
        </w:rPr>
      </w:pPr>
    </w:p>
    <w:p w14:paraId="483037C0" w14:textId="77777777" w:rsidR="00CF1645" w:rsidRPr="006D73D1" w:rsidRDefault="00CF1645" w:rsidP="006D73D1">
      <w:pPr>
        <w:spacing w:line="360" w:lineRule="auto"/>
        <w:rPr>
          <w:rFonts w:ascii="Arial" w:hAnsi="Arial" w:cs="Arial"/>
          <w:b/>
          <w:bCs/>
          <w:sz w:val="22"/>
          <w:szCs w:val="22"/>
        </w:rPr>
      </w:pPr>
    </w:p>
    <w:p w14:paraId="74137E64" w14:textId="77777777" w:rsidR="00CF1645" w:rsidRPr="006D73D1" w:rsidRDefault="00CF1645" w:rsidP="006D73D1">
      <w:pPr>
        <w:spacing w:line="360" w:lineRule="auto"/>
        <w:rPr>
          <w:rFonts w:ascii="Arial" w:hAnsi="Arial" w:cs="Arial"/>
          <w:b/>
          <w:bCs/>
          <w:sz w:val="22"/>
          <w:szCs w:val="22"/>
        </w:rPr>
      </w:pPr>
    </w:p>
    <w:p w14:paraId="22054FD1" w14:textId="77777777" w:rsidR="00CF1645" w:rsidRPr="006D73D1" w:rsidRDefault="00CF1645" w:rsidP="006D73D1">
      <w:pPr>
        <w:spacing w:line="360" w:lineRule="auto"/>
        <w:rPr>
          <w:rFonts w:ascii="Arial" w:hAnsi="Arial" w:cs="Arial"/>
          <w:b/>
          <w:bCs/>
          <w:sz w:val="22"/>
          <w:szCs w:val="22"/>
        </w:rPr>
      </w:pPr>
    </w:p>
    <w:p w14:paraId="1519BBCF" w14:textId="77777777" w:rsidR="00CF1645" w:rsidRPr="006D73D1" w:rsidRDefault="00CF1645" w:rsidP="006D73D1">
      <w:pPr>
        <w:spacing w:line="360" w:lineRule="auto"/>
        <w:rPr>
          <w:rFonts w:ascii="Arial" w:hAnsi="Arial" w:cs="Arial"/>
          <w:b/>
          <w:bCs/>
          <w:sz w:val="22"/>
          <w:szCs w:val="22"/>
        </w:rPr>
      </w:pPr>
    </w:p>
    <w:p w14:paraId="0E02B95B" w14:textId="77777777" w:rsidR="00CF1645" w:rsidRPr="006D73D1" w:rsidRDefault="00CF1645" w:rsidP="006D73D1">
      <w:pPr>
        <w:spacing w:line="360" w:lineRule="auto"/>
        <w:rPr>
          <w:rFonts w:ascii="Arial" w:hAnsi="Arial" w:cs="Arial"/>
          <w:b/>
          <w:bCs/>
          <w:sz w:val="22"/>
          <w:szCs w:val="22"/>
        </w:rPr>
      </w:pPr>
    </w:p>
    <w:p w14:paraId="6967D353" w14:textId="77777777" w:rsidR="00CF1645" w:rsidRPr="006D73D1" w:rsidRDefault="00CF1645" w:rsidP="006D73D1">
      <w:pPr>
        <w:spacing w:line="360" w:lineRule="auto"/>
        <w:rPr>
          <w:rFonts w:ascii="Arial" w:hAnsi="Arial" w:cs="Arial"/>
          <w:b/>
          <w:bCs/>
          <w:sz w:val="22"/>
          <w:szCs w:val="22"/>
        </w:rPr>
      </w:pPr>
    </w:p>
    <w:p w14:paraId="0B6CE779" w14:textId="77777777" w:rsidR="00CF1645" w:rsidRPr="006D73D1" w:rsidRDefault="00CF1645" w:rsidP="006D73D1">
      <w:pPr>
        <w:spacing w:line="360" w:lineRule="auto"/>
        <w:rPr>
          <w:rFonts w:ascii="Arial" w:hAnsi="Arial" w:cs="Arial"/>
          <w:b/>
          <w:bCs/>
          <w:sz w:val="22"/>
          <w:szCs w:val="22"/>
        </w:rPr>
      </w:pPr>
    </w:p>
    <w:p w14:paraId="42A1C0FC" w14:textId="77777777" w:rsidR="00CF1645" w:rsidRPr="006D73D1" w:rsidRDefault="00CF1645" w:rsidP="006D73D1">
      <w:pPr>
        <w:spacing w:line="360" w:lineRule="auto"/>
        <w:rPr>
          <w:rFonts w:ascii="Arial" w:hAnsi="Arial" w:cs="Arial"/>
          <w:b/>
          <w:bCs/>
          <w:sz w:val="22"/>
          <w:szCs w:val="22"/>
        </w:rPr>
      </w:pPr>
    </w:p>
    <w:p w14:paraId="7CB1A371" w14:textId="77777777" w:rsidR="00CF1645" w:rsidRPr="006D73D1" w:rsidRDefault="00CF1645" w:rsidP="006D73D1">
      <w:pPr>
        <w:spacing w:line="360" w:lineRule="auto"/>
        <w:rPr>
          <w:rFonts w:ascii="Arial" w:hAnsi="Arial" w:cs="Arial"/>
          <w:b/>
          <w:bCs/>
          <w:sz w:val="22"/>
          <w:szCs w:val="22"/>
        </w:rPr>
      </w:pPr>
    </w:p>
    <w:p w14:paraId="106E5B4B" w14:textId="77777777" w:rsidR="00CF1645" w:rsidRPr="006D73D1" w:rsidRDefault="00CF1645" w:rsidP="006D73D1">
      <w:pPr>
        <w:spacing w:line="360" w:lineRule="auto"/>
        <w:rPr>
          <w:rFonts w:ascii="Arial" w:hAnsi="Arial" w:cs="Arial"/>
          <w:b/>
          <w:bCs/>
          <w:sz w:val="22"/>
          <w:szCs w:val="22"/>
        </w:rPr>
      </w:pPr>
    </w:p>
    <w:p w14:paraId="47E73001" w14:textId="77777777" w:rsidR="00CF1645" w:rsidRPr="006D73D1" w:rsidRDefault="00CF1645" w:rsidP="006D73D1">
      <w:pPr>
        <w:spacing w:line="360" w:lineRule="auto"/>
        <w:rPr>
          <w:rFonts w:ascii="Arial" w:hAnsi="Arial" w:cs="Arial"/>
          <w:b/>
          <w:bCs/>
          <w:sz w:val="22"/>
          <w:szCs w:val="22"/>
        </w:rPr>
      </w:pPr>
    </w:p>
    <w:p w14:paraId="50C500EC" w14:textId="77777777" w:rsidR="00CF1645" w:rsidRPr="006D73D1" w:rsidRDefault="00CF1645" w:rsidP="006D73D1">
      <w:pPr>
        <w:spacing w:line="360" w:lineRule="auto"/>
        <w:rPr>
          <w:rFonts w:ascii="Arial" w:hAnsi="Arial" w:cs="Arial"/>
          <w:b/>
          <w:bCs/>
          <w:sz w:val="22"/>
          <w:szCs w:val="22"/>
        </w:rPr>
      </w:pPr>
    </w:p>
    <w:p w14:paraId="01553EDE" w14:textId="77777777" w:rsidR="00CF1645" w:rsidRPr="006D73D1" w:rsidRDefault="00CF1645" w:rsidP="006D73D1">
      <w:pPr>
        <w:spacing w:line="360" w:lineRule="auto"/>
        <w:rPr>
          <w:rFonts w:ascii="Arial" w:hAnsi="Arial" w:cs="Arial"/>
          <w:b/>
          <w:bCs/>
          <w:sz w:val="22"/>
          <w:szCs w:val="22"/>
        </w:rPr>
      </w:pPr>
    </w:p>
    <w:p w14:paraId="0C6A8ABB" w14:textId="77777777" w:rsidR="00CF1645" w:rsidRPr="006D73D1" w:rsidRDefault="00CF1645" w:rsidP="006D73D1">
      <w:pPr>
        <w:spacing w:line="360" w:lineRule="auto"/>
        <w:rPr>
          <w:rFonts w:ascii="Arial" w:hAnsi="Arial" w:cs="Arial"/>
          <w:b/>
          <w:bCs/>
          <w:sz w:val="22"/>
          <w:szCs w:val="22"/>
        </w:rPr>
      </w:pPr>
    </w:p>
    <w:p w14:paraId="4EB9A721" w14:textId="1532275E" w:rsidR="6682D1A9" w:rsidRPr="006D73D1" w:rsidRDefault="6682D1A9" w:rsidP="006D73D1">
      <w:pPr>
        <w:spacing w:line="360" w:lineRule="auto"/>
        <w:ind w:left="3600"/>
        <w:rPr>
          <w:rFonts w:ascii="Arial" w:hAnsi="Arial" w:cs="Arial"/>
          <w:b/>
          <w:bCs/>
          <w:sz w:val="22"/>
          <w:szCs w:val="22"/>
        </w:rPr>
      </w:pPr>
      <w:r w:rsidRPr="006D73D1">
        <w:rPr>
          <w:rFonts w:ascii="Arial" w:hAnsi="Arial" w:cs="Arial"/>
          <w:b/>
          <w:bCs/>
          <w:sz w:val="22"/>
          <w:szCs w:val="22"/>
        </w:rPr>
        <w:t>Contents</w:t>
      </w:r>
      <w:r w:rsidR="005E1A5B" w:rsidRPr="006D73D1">
        <w:rPr>
          <w:rFonts w:ascii="Arial" w:hAnsi="Arial" w:cs="Arial"/>
          <w:b/>
          <w:bCs/>
          <w:sz w:val="22"/>
          <w:szCs w:val="22"/>
        </w:rPr>
        <w:t xml:space="preserve"> Page</w:t>
      </w:r>
    </w:p>
    <w:p w14:paraId="0A41AD4C" w14:textId="4EBB2865" w:rsidR="005E1A5B" w:rsidRPr="006D73D1" w:rsidRDefault="005E1A5B" w:rsidP="006D73D1">
      <w:pPr>
        <w:spacing w:line="360" w:lineRule="auto"/>
        <w:rPr>
          <w:rFonts w:ascii="Arial" w:hAnsi="Arial" w:cs="Arial"/>
          <w:b/>
          <w:bCs/>
          <w:sz w:val="22"/>
          <w:szCs w:val="22"/>
        </w:rPr>
      </w:pPr>
    </w:p>
    <w:p w14:paraId="14A1FAE1" w14:textId="7D09911D"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1. Introduction</w:t>
      </w:r>
    </w:p>
    <w:p w14:paraId="25223B0B" w14:textId="73111159"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2. Approaches Used to Measure and Monitor Dementia</w:t>
      </w:r>
    </w:p>
    <w:p w14:paraId="2D3FDC67" w14:textId="70D3816F"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3. How Dementia is Managed and Controlled</w:t>
      </w:r>
    </w:p>
    <w:p w14:paraId="05F7393B" w14:textId="7D197422"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4. Health and Social Care Support Services for Dementia</w:t>
      </w:r>
    </w:p>
    <w:p w14:paraId="785B4FCB" w14:textId="54894372"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5. Consequences of Dementia on Individuals and Communities</w:t>
      </w:r>
    </w:p>
    <w:p w14:paraId="621103E6" w14:textId="30ED5970"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6. Conclusion</w:t>
      </w:r>
    </w:p>
    <w:p w14:paraId="1CF909ED" w14:textId="1C8CDC2E" w:rsidR="005E1A5B" w:rsidRPr="006D73D1" w:rsidRDefault="005E1A5B" w:rsidP="006D73D1">
      <w:pPr>
        <w:spacing w:line="360" w:lineRule="auto"/>
        <w:rPr>
          <w:rFonts w:ascii="Arial" w:hAnsi="Arial" w:cs="Arial"/>
          <w:b/>
          <w:bCs/>
          <w:sz w:val="22"/>
          <w:szCs w:val="22"/>
        </w:rPr>
      </w:pPr>
      <w:r w:rsidRPr="006D73D1">
        <w:rPr>
          <w:rFonts w:ascii="Arial" w:hAnsi="Arial" w:cs="Arial"/>
          <w:b/>
          <w:bCs/>
          <w:sz w:val="22"/>
          <w:szCs w:val="22"/>
        </w:rPr>
        <w:t>7. References</w:t>
      </w:r>
    </w:p>
    <w:p w14:paraId="30561E76" w14:textId="67CCC83D" w:rsidR="5433F519" w:rsidRPr="006D73D1" w:rsidRDefault="5433F519" w:rsidP="006D73D1">
      <w:pPr>
        <w:pStyle w:val="ListParagraph"/>
        <w:spacing w:line="360" w:lineRule="auto"/>
        <w:rPr>
          <w:rFonts w:ascii="Arial" w:hAnsi="Arial" w:cs="Arial"/>
          <w:b/>
          <w:bCs/>
          <w:sz w:val="22"/>
          <w:szCs w:val="22"/>
        </w:rPr>
      </w:pPr>
    </w:p>
    <w:p w14:paraId="505BE418" w14:textId="0156CCE9" w:rsidR="54FEE6B2" w:rsidRPr="006D73D1" w:rsidRDefault="54FEE6B2" w:rsidP="006D73D1">
      <w:pPr>
        <w:spacing w:line="360" w:lineRule="auto"/>
        <w:rPr>
          <w:rFonts w:ascii="Arial" w:hAnsi="Arial" w:cs="Arial"/>
          <w:b/>
          <w:bCs/>
          <w:sz w:val="22"/>
          <w:szCs w:val="22"/>
        </w:rPr>
      </w:pPr>
    </w:p>
    <w:p w14:paraId="6B29690B" w14:textId="02D4F22C" w:rsidR="2FD83D21" w:rsidRPr="006D73D1" w:rsidRDefault="2FD83D21" w:rsidP="006D73D1">
      <w:pPr>
        <w:spacing w:line="360" w:lineRule="auto"/>
        <w:rPr>
          <w:rFonts w:ascii="Arial" w:hAnsi="Arial" w:cs="Arial"/>
          <w:b/>
          <w:bCs/>
          <w:sz w:val="22"/>
          <w:szCs w:val="22"/>
        </w:rPr>
      </w:pPr>
    </w:p>
    <w:p w14:paraId="75353191" w14:textId="52513398" w:rsidR="2FD83D21" w:rsidRPr="006D73D1" w:rsidRDefault="2FD83D21" w:rsidP="006D73D1">
      <w:pPr>
        <w:spacing w:line="360" w:lineRule="auto"/>
        <w:rPr>
          <w:rFonts w:ascii="Arial" w:hAnsi="Arial" w:cs="Arial"/>
          <w:b/>
          <w:bCs/>
          <w:sz w:val="22"/>
          <w:szCs w:val="22"/>
        </w:rPr>
      </w:pPr>
    </w:p>
    <w:p w14:paraId="4D750606" w14:textId="4A02A3C8" w:rsidR="2FD83D21" w:rsidRPr="006D73D1" w:rsidRDefault="2FD83D21" w:rsidP="006D73D1">
      <w:pPr>
        <w:spacing w:line="360" w:lineRule="auto"/>
        <w:rPr>
          <w:rFonts w:ascii="Arial" w:hAnsi="Arial" w:cs="Arial"/>
          <w:b/>
          <w:bCs/>
          <w:sz w:val="22"/>
          <w:szCs w:val="22"/>
        </w:rPr>
      </w:pPr>
    </w:p>
    <w:p w14:paraId="4953A699" w14:textId="6C17A321" w:rsidR="2FD83D21" w:rsidRPr="006D73D1" w:rsidRDefault="2FD83D21" w:rsidP="006D73D1">
      <w:pPr>
        <w:spacing w:line="360" w:lineRule="auto"/>
        <w:rPr>
          <w:rFonts w:ascii="Arial" w:hAnsi="Arial" w:cs="Arial"/>
          <w:b/>
          <w:bCs/>
          <w:sz w:val="22"/>
          <w:szCs w:val="22"/>
        </w:rPr>
      </w:pPr>
    </w:p>
    <w:p w14:paraId="158856AB" w14:textId="1B25569E" w:rsidR="2FD83D21" w:rsidRPr="006D73D1" w:rsidRDefault="2FD83D21" w:rsidP="006D73D1">
      <w:pPr>
        <w:spacing w:line="360" w:lineRule="auto"/>
        <w:rPr>
          <w:rFonts w:ascii="Arial" w:hAnsi="Arial" w:cs="Arial"/>
          <w:b/>
          <w:bCs/>
          <w:sz w:val="22"/>
          <w:szCs w:val="22"/>
        </w:rPr>
      </w:pPr>
    </w:p>
    <w:p w14:paraId="46AE189F" w14:textId="1105EF25" w:rsidR="2FD83D21" w:rsidRPr="006D73D1" w:rsidRDefault="2FD83D21" w:rsidP="006D73D1">
      <w:pPr>
        <w:spacing w:line="360" w:lineRule="auto"/>
        <w:rPr>
          <w:rFonts w:ascii="Arial" w:hAnsi="Arial" w:cs="Arial"/>
          <w:b/>
          <w:bCs/>
          <w:sz w:val="22"/>
          <w:szCs w:val="22"/>
        </w:rPr>
      </w:pPr>
    </w:p>
    <w:p w14:paraId="025319E1" w14:textId="07C29F61" w:rsidR="2FD83D21" w:rsidRPr="006D73D1" w:rsidRDefault="2FD83D21" w:rsidP="006D73D1">
      <w:pPr>
        <w:spacing w:line="360" w:lineRule="auto"/>
        <w:rPr>
          <w:rFonts w:ascii="Arial" w:hAnsi="Arial" w:cs="Arial"/>
          <w:b/>
          <w:bCs/>
          <w:sz w:val="22"/>
          <w:szCs w:val="22"/>
        </w:rPr>
      </w:pPr>
    </w:p>
    <w:p w14:paraId="50711B71" w14:textId="5F68DC40" w:rsidR="2FD83D21" w:rsidRPr="006D73D1" w:rsidRDefault="2FD83D21" w:rsidP="006D73D1">
      <w:pPr>
        <w:spacing w:line="360" w:lineRule="auto"/>
        <w:rPr>
          <w:rFonts w:ascii="Arial" w:hAnsi="Arial" w:cs="Arial"/>
          <w:b/>
          <w:bCs/>
          <w:sz w:val="22"/>
          <w:szCs w:val="22"/>
        </w:rPr>
      </w:pPr>
    </w:p>
    <w:p w14:paraId="59654F80" w14:textId="56DBF1D5" w:rsidR="2FD83D21" w:rsidRPr="006D73D1" w:rsidRDefault="2FD83D21" w:rsidP="006D73D1">
      <w:pPr>
        <w:spacing w:line="360" w:lineRule="auto"/>
        <w:rPr>
          <w:rFonts w:ascii="Arial" w:hAnsi="Arial" w:cs="Arial"/>
          <w:b/>
          <w:bCs/>
          <w:sz w:val="22"/>
          <w:szCs w:val="22"/>
        </w:rPr>
      </w:pPr>
    </w:p>
    <w:p w14:paraId="115F0E25" w14:textId="4A492C19" w:rsidR="2FD83D21" w:rsidRPr="006D73D1" w:rsidRDefault="2FD83D21" w:rsidP="006D73D1">
      <w:pPr>
        <w:spacing w:line="360" w:lineRule="auto"/>
        <w:rPr>
          <w:rFonts w:ascii="Arial" w:hAnsi="Arial" w:cs="Arial"/>
          <w:b/>
          <w:bCs/>
          <w:sz w:val="22"/>
          <w:szCs w:val="22"/>
        </w:rPr>
      </w:pPr>
    </w:p>
    <w:p w14:paraId="667C274C" w14:textId="25439C45" w:rsidR="333DE092" w:rsidRPr="006D73D1" w:rsidRDefault="333DE092" w:rsidP="006D73D1">
      <w:pPr>
        <w:spacing w:line="360" w:lineRule="auto"/>
        <w:rPr>
          <w:rFonts w:ascii="Arial" w:hAnsi="Arial" w:cs="Arial"/>
          <w:b/>
          <w:bCs/>
          <w:sz w:val="22"/>
          <w:szCs w:val="22"/>
        </w:rPr>
      </w:pPr>
    </w:p>
    <w:p w14:paraId="43400A4F" w14:textId="77777777" w:rsidR="00CF1645" w:rsidRPr="006D73D1" w:rsidRDefault="00CF1645" w:rsidP="006D73D1">
      <w:pPr>
        <w:spacing w:line="360" w:lineRule="auto"/>
        <w:rPr>
          <w:rFonts w:ascii="Arial" w:hAnsi="Arial" w:cs="Arial"/>
          <w:b/>
          <w:bCs/>
          <w:sz w:val="22"/>
          <w:szCs w:val="22"/>
        </w:rPr>
      </w:pPr>
    </w:p>
    <w:p w14:paraId="6F223601" w14:textId="77777777" w:rsidR="00C6722C" w:rsidRDefault="00C6722C" w:rsidP="006D73D1">
      <w:pPr>
        <w:spacing w:line="360" w:lineRule="auto"/>
        <w:rPr>
          <w:rFonts w:ascii="Arial" w:hAnsi="Arial" w:cs="Arial"/>
          <w:b/>
          <w:bCs/>
          <w:sz w:val="22"/>
          <w:szCs w:val="22"/>
        </w:rPr>
      </w:pPr>
    </w:p>
    <w:p w14:paraId="05147814" w14:textId="6283F4C1" w:rsidR="00CF1645" w:rsidRPr="006D73D1" w:rsidRDefault="73753EC9" w:rsidP="006D73D1">
      <w:pPr>
        <w:spacing w:line="360" w:lineRule="auto"/>
        <w:rPr>
          <w:rFonts w:ascii="Arial" w:hAnsi="Arial" w:cs="Arial"/>
          <w:b/>
          <w:bCs/>
          <w:sz w:val="22"/>
          <w:szCs w:val="22"/>
        </w:rPr>
      </w:pPr>
      <w:r w:rsidRPr="006D73D1">
        <w:rPr>
          <w:rFonts w:ascii="Arial" w:hAnsi="Arial" w:cs="Arial"/>
          <w:b/>
          <w:bCs/>
          <w:sz w:val="22"/>
          <w:szCs w:val="22"/>
        </w:rPr>
        <w:lastRenderedPageBreak/>
        <w:t>Written</w:t>
      </w:r>
      <w:r w:rsidR="00CF1645" w:rsidRPr="006D73D1">
        <w:rPr>
          <w:rFonts w:ascii="Arial" w:hAnsi="Arial" w:cs="Arial"/>
          <w:b/>
          <w:bCs/>
          <w:sz w:val="22"/>
          <w:szCs w:val="22"/>
        </w:rPr>
        <w:t xml:space="preserve"> Report – Dementia </w:t>
      </w:r>
      <w:r w:rsidR="00C6722C">
        <w:rPr>
          <w:rFonts w:ascii="Arial" w:hAnsi="Arial" w:cs="Arial"/>
          <w:b/>
          <w:bCs/>
          <w:sz w:val="22"/>
          <w:szCs w:val="22"/>
        </w:rPr>
        <w:t>as a public health issue</w:t>
      </w:r>
    </w:p>
    <w:p w14:paraId="7D4F451E" w14:textId="51EAFA54" w:rsidR="00CF1645" w:rsidRPr="006D73D1" w:rsidRDefault="73753EC9" w:rsidP="006D73D1">
      <w:pPr>
        <w:spacing w:line="360" w:lineRule="auto"/>
        <w:rPr>
          <w:rFonts w:ascii="Arial" w:hAnsi="Arial" w:cs="Arial"/>
          <w:b/>
          <w:bCs/>
          <w:sz w:val="22"/>
          <w:szCs w:val="22"/>
        </w:rPr>
      </w:pPr>
      <w:r w:rsidRPr="006D73D1">
        <w:rPr>
          <w:rFonts w:ascii="Arial" w:hAnsi="Arial" w:cs="Arial"/>
          <w:b/>
          <w:bCs/>
          <w:sz w:val="22"/>
          <w:szCs w:val="22"/>
        </w:rPr>
        <w:t>Introduction</w:t>
      </w:r>
    </w:p>
    <w:p w14:paraId="651B9665" w14:textId="1147654F"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Dementia is an umbrella term for a group of progressive neurological conditions that affect memory, thinking, behaviour, communication, and the ability to carry out daily activities. It includes Alzheimer’s disease, vascular dementia, dementia with Lewy bodies, and frontotemporal dementia. Alzheimer’s disease is the most common form, accounting for around 60–70% of cases globally (World Health Organization, 2025).</w:t>
      </w:r>
      <w:r w:rsidR="006D73D1" w:rsidRPr="006D73D1">
        <w:rPr>
          <w:rFonts w:ascii="Arial" w:hAnsi="Arial" w:cs="Arial"/>
          <w:sz w:val="22"/>
          <w:szCs w:val="22"/>
        </w:rPr>
        <w:t xml:space="preserve"> </w:t>
      </w:r>
    </w:p>
    <w:p w14:paraId="6E657C54" w14:textId="5A7767C0" w:rsidR="00CF1645" w:rsidRDefault="00CF1645" w:rsidP="006D73D1">
      <w:pPr>
        <w:spacing w:line="360" w:lineRule="auto"/>
        <w:rPr>
          <w:rFonts w:ascii="Arial" w:hAnsi="Arial" w:cs="Arial"/>
          <w:sz w:val="22"/>
          <w:szCs w:val="22"/>
        </w:rPr>
      </w:pPr>
      <w:r w:rsidRPr="006D73D1">
        <w:rPr>
          <w:rFonts w:ascii="Arial" w:hAnsi="Arial" w:cs="Arial"/>
          <w:sz w:val="22"/>
          <w:szCs w:val="22"/>
        </w:rPr>
        <w:t xml:space="preserve">Dementia is a major public health issue in the UK due to an ageing population and increased life expectancy. Around one million people are currently living with dementia in the UK, and this figure is expected to rise significantly in the coming decades (Alzheimer’s Society, 2025). </w:t>
      </w:r>
      <w:proofErr w:type="gramStart"/>
      <w:r w:rsidRPr="006D73D1">
        <w:rPr>
          <w:rFonts w:ascii="Arial" w:hAnsi="Arial" w:cs="Arial"/>
          <w:sz w:val="22"/>
          <w:szCs w:val="22"/>
        </w:rPr>
        <w:t>This places</w:t>
      </w:r>
      <w:proofErr w:type="gramEnd"/>
      <w:r w:rsidRPr="006D73D1">
        <w:rPr>
          <w:rFonts w:ascii="Arial" w:hAnsi="Arial" w:cs="Arial"/>
          <w:sz w:val="22"/>
          <w:szCs w:val="22"/>
        </w:rPr>
        <w:t xml:space="preserve"> increasing pressure on the NHS, social care services, and informal carers.</w:t>
      </w:r>
      <w:r w:rsidR="00BD7049" w:rsidRPr="006D73D1">
        <w:rPr>
          <w:rFonts w:ascii="Arial" w:hAnsi="Arial" w:cs="Arial"/>
          <w:sz w:val="22"/>
          <w:szCs w:val="22"/>
        </w:rPr>
        <w:t xml:space="preserve"> </w:t>
      </w:r>
      <w:r w:rsidR="00BD7049" w:rsidRPr="006D73D1">
        <w:rPr>
          <w:rFonts w:ascii="Arial" w:hAnsi="Arial" w:cs="Arial"/>
          <w:sz w:val="22"/>
          <w:szCs w:val="22"/>
        </w:rPr>
        <w:t>According to the World Health Organization (2025), over 55 million people worldwide are currently living with dementia, with almost 10 million new cases diagnosed annually, demonstrating the growing global severity of the condition.</w:t>
      </w:r>
      <w:r w:rsidR="00C6722C">
        <w:rPr>
          <w:rFonts w:ascii="Arial" w:hAnsi="Arial" w:cs="Arial"/>
          <w:sz w:val="22"/>
          <w:szCs w:val="22"/>
        </w:rPr>
        <w:t xml:space="preserve"> </w:t>
      </w:r>
    </w:p>
    <w:p w14:paraId="2E791699" w14:textId="7B063F11" w:rsidR="00C6722C" w:rsidRPr="006D73D1" w:rsidRDefault="00C6722C" w:rsidP="006D73D1">
      <w:pPr>
        <w:spacing w:line="360" w:lineRule="auto"/>
        <w:rPr>
          <w:rFonts w:ascii="Arial" w:hAnsi="Arial" w:cs="Arial"/>
          <w:sz w:val="22"/>
          <w:szCs w:val="22"/>
        </w:rPr>
      </w:pPr>
      <w:r w:rsidRPr="006D73D1">
        <w:rPr>
          <w:rFonts w:ascii="Arial" w:hAnsi="Arial" w:cs="Arial"/>
          <w:sz w:val="22"/>
          <w:szCs w:val="22"/>
        </w:rPr>
        <w:t>Common signs and symptoms include memory loss, confusion, communication difficulties, mood changes, impaired judgement, personality changes, and reduced ability to complete everyday tasks independently.</w:t>
      </w:r>
    </w:p>
    <w:p w14:paraId="465F81F9"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This report examines how dementia is measured, monitored, and managed in the UK, and evaluates its wider impact on individuals and society.</w:t>
      </w:r>
    </w:p>
    <w:p w14:paraId="590A172E" w14:textId="65345344" w:rsidR="00CF1645" w:rsidRPr="006D73D1" w:rsidRDefault="1857FF40" w:rsidP="006D73D1">
      <w:pPr>
        <w:spacing w:line="360" w:lineRule="auto"/>
        <w:rPr>
          <w:rFonts w:ascii="Arial" w:hAnsi="Arial" w:cs="Arial"/>
          <w:b/>
          <w:bCs/>
          <w:sz w:val="22"/>
          <w:szCs w:val="22"/>
        </w:rPr>
      </w:pPr>
      <w:r w:rsidRPr="006D73D1">
        <w:rPr>
          <w:rFonts w:ascii="Arial" w:hAnsi="Arial" w:cs="Arial"/>
          <w:b/>
          <w:bCs/>
          <w:sz w:val="22"/>
          <w:szCs w:val="22"/>
        </w:rPr>
        <w:t>2</w:t>
      </w:r>
      <w:r w:rsidR="1FBE7CD5" w:rsidRPr="006D73D1">
        <w:rPr>
          <w:rFonts w:ascii="Arial" w:hAnsi="Arial" w:cs="Arial"/>
          <w:b/>
          <w:bCs/>
          <w:sz w:val="22"/>
          <w:szCs w:val="22"/>
        </w:rPr>
        <w:t xml:space="preserve"> </w:t>
      </w:r>
      <w:r w:rsidR="00CF1645" w:rsidRPr="006D73D1">
        <w:rPr>
          <w:rFonts w:ascii="Arial" w:hAnsi="Arial" w:cs="Arial"/>
          <w:b/>
          <w:bCs/>
          <w:sz w:val="22"/>
          <w:szCs w:val="22"/>
        </w:rPr>
        <w:t>Approaches Used to Measure and Monitor Dementia</w:t>
      </w:r>
    </w:p>
    <w:p w14:paraId="732824DD"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Accurate diagnosis and monitoring are essential for early intervention and effective care planning. In the UK, dementia is assessed using cognitive screening tools, clinical evaluation, imaging techniques, and population-level data systems.</w:t>
      </w:r>
    </w:p>
    <w:p w14:paraId="661B145D"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One of the most widely used tools is the Mini-Mental State Examination (MMSE). This assesses memory, attention, language, and orientation. It is widely used because it is quick and simple; however, it has limitations. Results can be influenced by education level, language ability, and cultural background, which may reduce accuracy and lead to misdiagnosis. It is also less effective at identifying early-stage or mild cognitive impairment, meaning some individuals may only be diagnosed once the disease has progressed.</w:t>
      </w:r>
    </w:p>
    <w:p w14:paraId="37E92B26"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To address these limitations, the Montreal Cognitive Assessment (MoCA) is increasingly used, particularly in memory clinics. MoCA is more sensitive in detecting mild cognitive impairment compared to MMSE (</w:t>
      </w:r>
      <w:proofErr w:type="spellStart"/>
      <w:r w:rsidRPr="006D73D1">
        <w:rPr>
          <w:rFonts w:ascii="Arial" w:hAnsi="Arial" w:cs="Arial"/>
          <w:sz w:val="22"/>
          <w:szCs w:val="22"/>
        </w:rPr>
        <w:t>Nasreddine</w:t>
      </w:r>
      <w:proofErr w:type="spellEnd"/>
      <w:r w:rsidRPr="006D73D1">
        <w:rPr>
          <w:rFonts w:ascii="Arial" w:hAnsi="Arial" w:cs="Arial"/>
          <w:sz w:val="22"/>
          <w:szCs w:val="22"/>
        </w:rPr>
        <w:t xml:space="preserve"> et al., 2005). However, it is less commonly used in routine primary care due to training requirements and time constraints. This </w:t>
      </w:r>
      <w:r w:rsidRPr="006D73D1">
        <w:rPr>
          <w:rFonts w:ascii="Arial" w:hAnsi="Arial" w:cs="Arial"/>
          <w:sz w:val="22"/>
          <w:szCs w:val="22"/>
        </w:rPr>
        <w:lastRenderedPageBreak/>
        <w:t>highlights a key issue in UK dementia services: more accurate tools are not always the most practical at scale, particularly within overstretched GP services.</w:t>
      </w:r>
    </w:p>
    <w:p w14:paraId="072911D9"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Diagnosis is also supported by multidisciplinary assessment, involving GPs, neurologists, psychiatrists, psychologists, and specialist nurses. This is important because symptoms of dementia can overlap with depression, delirium, medication side effects, and other neurological conditions, meaning single-test diagnosis is unreliable. This multidisciplinary approach improves diagnostic accuracy but can also result in longer waiting times due to service demand.</w:t>
      </w:r>
    </w:p>
    <w:p w14:paraId="4D9E586B"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In addition, neuroimaging techniques such as MRI and PET scans can identify structural brain changes associated with dementia, while biomarkers in cerebrospinal fluid can help detect abnormal proteins linked to Alzheimer’s disease. These methods improve diagnostic precision and allow earlier differentiation between dementia types. However, access is limited due to high cost and variation in NHS service provision, leading to regional inequalities. Patients in rural or underfunded areas may experience significantly longer delays in accessing specialist investigations.</w:t>
      </w:r>
    </w:p>
    <w:p w14:paraId="4EB2EF9D"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At a population level, dementia is monitored using NHS Digital data, GP registers, and national diagnosis rates. Despite these systems, underdiagnosis remains a major issue. It is estimated that a significant proportion of people living with dementia in the UK do not have a formal diagnosis, meaning they may not access appropriate support services such as care planning, medication, or financial assistance (Alzheimer’s Society, 2025).</w:t>
      </w:r>
    </w:p>
    <w:p w14:paraId="419F45B5"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Emerging technologies such as artificial intelligence and wearable devices are being explored to detect early behavioural changes such as sleep disruption, movement patterns, and speech changes. While these may improve future monitoring, concerns remain around privacy, ethical use of data, and feasibility within NHS systems, particularly regarding informed consent and long-term monitoring in vulnerable populations.</w:t>
      </w:r>
    </w:p>
    <w:p w14:paraId="16420B45"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Overall, dementia measurement and monitoring in the UK has improved significantly, but limitations in access, consistency, early detection, and service capacity remain key challenges.</w:t>
      </w:r>
    </w:p>
    <w:p w14:paraId="7EB719B9" w14:textId="64F5EC0F" w:rsidR="00CF1645" w:rsidRPr="006D73D1" w:rsidRDefault="43A59ED3" w:rsidP="006D73D1">
      <w:pPr>
        <w:spacing w:line="360" w:lineRule="auto"/>
        <w:rPr>
          <w:rFonts w:ascii="Arial" w:hAnsi="Arial" w:cs="Arial"/>
          <w:b/>
          <w:bCs/>
          <w:sz w:val="22"/>
          <w:szCs w:val="22"/>
        </w:rPr>
      </w:pPr>
      <w:r w:rsidRPr="006D73D1">
        <w:rPr>
          <w:rFonts w:ascii="Arial" w:hAnsi="Arial" w:cs="Arial"/>
          <w:b/>
          <w:bCs/>
          <w:sz w:val="22"/>
          <w:szCs w:val="22"/>
        </w:rPr>
        <w:t xml:space="preserve">3 </w:t>
      </w:r>
      <w:r w:rsidR="00CF1645" w:rsidRPr="006D73D1">
        <w:rPr>
          <w:rFonts w:ascii="Arial" w:hAnsi="Arial" w:cs="Arial"/>
          <w:b/>
          <w:bCs/>
          <w:sz w:val="22"/>
          <w:szCs w:val="22"/>
        </w:rPr>
        <w:t>How Dementia is Managed and Controlled</w:t>
      </w:r>
    </w:p>
    <w:p w14:paraId="5162CF3C"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There is currently no cure for dementia, so management focuses on slowing progression, managing symptoms, and improving quality of life. Treatment involves both medication and non-medication approaches.</w:t>
      </w:r>
    </w:p>
    <w:p w14:paraId="56B5028B"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lastRenderedPageBreak/>
        <w:t>Pharmacological treatments include cholinesterase inhibitors such as donepezil and rivastigmine, and memantine for moderate to severe Alzheimer’s disease. These drugs may temporarily improve cognition and daily functioning, but they do not stop disease progression (NICE, 2022). Effectiveness varies between individuals, and side effects such as nausea and dizziness can also limit long-term use, highlighting the need for complementary non-drug approaches.</w:t>
      </w:r>
    </w:p>
    <w:p w14:paraId="792F6EDA"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As a result, non-pharmacological interventions play a major role. These include cognitive stimulation therapy, reminiscence therapy, music therapy, and structured social activities. These approaches improve wellbeing, communication, and behaviour, and are particularly effective in reducing agitation and anxiety in later stages of dementia. However, availability varies across the UK due to differences in local authority funding, staffing levels, and service prioritisation, meaning access is not equitable nationwide.</w:t>
      </w:r>
    </w:p>
    <w:p w14:paraId="2BBC91AA"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A key approach in dementia care is person-centred care, which focuses on individual preferences, identity, and abilities. This approach improves dignity and quality of life (Brooker, 2007). However, in practice, implementation can be limited by staff shortages, high workloads, and limited training in care homes, leading to inconsistency in care quality.</w:t>
      </w:r>
    </w:p>
    <w:p w14:paraId="7C2CF2F5"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UK policy, including NICE guidance, emphasises early diagnosis, integrated care, and coordinated support between health and social care. However, fragmentation between NHS and local authority social care services often leads to inconsistent support for individuals and families. Delays in social care assessments can also reduce the effectiveness of early intervention strategies.</w:t>
      </w:r>
    </w:p>
    <w:p w14:paraId="637196CA"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Public health approaches are also important. The Lancet Commission (2020) identifies that up to 40% of dementia cases may be linked to modifiable risk factors such as smoking, obesity, physical inactivity, diabetes, hearing loss, and social isolation. This has led to increased focus on prevention strategies, particularly those targeting cardiovascular health and mid-life interventions, as evidence suggests early lifestyle changes reduce long-term risk.</w:t>
      </w:r>
    </w:p>
    <w:p w14:paraId="17B2B1E8"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Family carers play a central role in dementia management, often providing unpaid personal care, emotional support, and supervision. However, caring can lead to stress, poor mental health, and financial strain. Many carers reduce working hours or leave employment entirely. Although respite services exist, access is often limited due to funding pressures in social care and long waiting lists.</w:t>
      </w:r>
    </w:p>
    <w:p w14:paraId="3D5FC1AF"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Overall, dementia management in the UK is increasingly holistic, but challenges remain around resource limitations, service fragmentation, workforce capacity, and unequal access.</w:t>
      </w:r>
    </w:p>
    <w:p w14:paraId="364A9653" w14:textId="77777777" w:rsidR="00A006AD" w:rsidRPr="006D73D1" w:rsidRDefault="00A006AD" w:rsidP="006D73D1">
      <w:pPr>
        <w:spacing w:line="360" w:lineRule="auto"/>
        <w:rPr>
          <w:rFonts w:ascii="Arial" w:hAnsi="Arial" w:cs="Arial"/>
          <w:sz w:val="22"/>
          <w:szCs w:val="22"/>
        </w:rPr>
      </w:pPr>
    </w:p>
    <w:p w14:paraId="6A2CAC7C" w14:textId="77777777" w:rsidR="00363A87" w:rsidRPr="006D73D1" w:rsidRDefault="00A006AD" w:rsidP="006D73D1">
      <w:pPr>
        <w:spacing w:line="360" w:lineRule="auto"/>
        <w:rPr>
          <w:rFonts w:ascii="Arial" w:hAnsi="Arial" w:cs="Arial"/>
          <w:sz w:val="22"/>
          <w:szCs w:val="22"/>
        </w:rPr>
      </w:pPr>
      <w:r w:rsidRPr="006D73D1">
        <w:rPr>
          <w:rFonts w:ascii="Arial" w:hAnsi="Arial" w:cs="Arial"/>
          <w:sz w:val="22"/>
          <w:szCs w:val="22"/>
        </w:rPr>
        <w:t xml:space="preserve">4. </w:t>
      </w:r>
      <w:r w:rsidRPr="006D73D1">
        <w:rPr>
          <w:rFonts w:ascii="Arial" w:hAnsi="Arial" w:cs="Arial"/>
          <w:b/>
          <w:bCs/>
          <w:sz w:val="22"/>
          <w:szCs w:val="22"/>
        </w:rPr>
        <w:t>Health and Social Care Support Services for Dementia</w:t>
      </w:r>
    </w:p>
    <w:p w14:paraId="19CFF708" w14:textId="5041BD37" w:rsidR="00363A87" w:rsidRPr="00363A87" w:rsidRDefault="00363A87" w:rsidP="006D73D1">
      <w:pPr>
        <w:spacing w:line="360" w:lineRule="auto"/>
        <w:rPr>
          <w:rFonts w:ascii="Arial" w:hAnsi="Arial" w:cs="Arial"/>
          <w:sz w:val="22"/>
          <w:szCs w:val="22"/>
        </w:rPr>
      </w:pPr>
      <w:r w:rsidRPr="00363A87">
        <w:rPr>
          <w:rFonts w:ascii="Arial" w:eastAsia="Times New Roman" w:hAnsi="Arial" w:cs="Arial"/>
          <w:color w:val="000000"/>
          <w:kern w:val="0"/>
          <w:sz w:val="22"/>
          <w:szCs w:val="22"/>
          <w:lang w:eastAsia="en-GB"/>
          <w14:ligatures w14:val="none"/>
        </w:rPr>
        <w:t>Individuals living with dementia often require a combination of health and social care services to meet their physical, emotional, psychological, and practical needs within the community. Effective support is essential to maintain independence, improve quality of life, and reduce unnecessary hospital admissions</w:t>
      </w:r>
      <w:r w:rsidR="00C6722C" w:rsidRPr="00C6722C">
        <w:t xml:space="preserve"> </w:t>
      </w:r>
      <w:r w:rsidR="00C6722C" w:rsidRPr="00C6722C">
        <w:rPr>
          <w:rFonts w:ascii="Arial" w:eastAsia="Times New Roman" w:hAnsi="Arial" w:cs="Arial"/>
          <w:color w:val="000000"/>
          <w:kern w:val="0"/>
          <w:sz w:val="22"/>
          <w:szCs w:val="22"/>
          <w:lang w:eastAsia="en-GB"/>
          <w14:ligatures w14:val="none"/>
        </w:rPr>
        <w:t>(NICE, 2022)</w:t>
      </w:r>
      <w:r w:rsidR="00C6722C">
        <w:rPr>
          <w:rFonts w:ascii="Arial" w:eastAsia="Times New Roman" w:hAnsi="Arial" w:cs="Arial"/>
          <w:color w:val="000000"/>
          <w:kern w:val="0"/>
          <w:sz w:val="22"/>
          <w:szCs w:val="22"/>
          <w:lang w:eastAsia="en-GB"/>
          <w14:ligatures w14:val="none"/>
        </w:rPr>
        <w:t xml:space="preserve">. </w:t>
      </w:r>
      <w:r w:rsidR="006D73D1" w:rsidRPr="006D73D1">
        <w:rPr>
          <w:rFonts w:ascii="Arial" w:eastAsia="Times New Roman" w:hAnsi="Arial" w:cs="Arial"/>
          <w:color w:val="000000"/>
          <w:kern w:val="0"/>
          <w:sz w:val="22"/>
          <w:szCs w:val="22"/>
          <w:lang w:eastAsia="en-GB"/>
          <w14:ligatures w14:val="none"/>
        </w:rPr>
        <w:t>Effective dementia support requires integrated health and social care services to improve quality of life and reduce avoidable hospital admissions (NICE, 2022).</w:t>
      </w:r>
    </w:p>
    <w:p w14:paraId="5A44BF80" w14:textId="77777777" w:rsidR="00363A87" w:rsidRPr="00363A87" w:rsidRDefault="00363A87" w:rsidP="006D73D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63A87">
        <w:rPr>
          <w:rFonts w:ascii="Arial" w:eastAsia="Times New Roman" w:hAnsi="Arial" w:cs="Arial"/>
          <w:color w:val="000000"/>
          <w:kern w:val="0"/>
          <w:sz w:val="22"/>
          <w:szCs w:val="22"/>
          <w:lang w:eastAsia="en-GB"/>
          <w14:ligatures w14:val="none"/>
        </w:rPr>
        <w:t xml:space="preserve">Health services play a significant role in diagnosis, treatment, and ongoing monitoring. General Practitioners (GPs) are often the first point of contact and can identify symptoms, make referrals, and coordinate ongoing care. Memory clinics provide specialist assessments and cognitive testing to support diagnosis and treatment planning. Neurologists and psychiatrists may also become involved where symptoms are </w:t>
      </w:r>
      <w:proofErr w:type="gramStart"/>
      <w:r w:rsidRPr="00363A87">
        <w:rPr>
          <w:rFonts w:ascii="Arial" w:eastAsia="Times New Roman" w:hAnsi="Arial" w:cs="Arial"/>
          <w:color w:val="000000"/>
          <w:kern w:val="0"/>
          <w:sz w:val="22"/>
          <w:szCs w:val="22"/>
          <w:lang w:eastAsia="en-GB"/>
          <w14:ligatures w14:val="none"/>
        </w:rPr>
        <w:t>complex</w:t>
      </w:r>
      <w:proofErr w:type="gramEnd"/>
      <w:r w:rsidRPr="00363A87">
        <w:rPr>
          <w:rFonts w:ascii="Arial" w:eastAsia="Times New Roman" w:hAnsi="Arial" w:cs="Arial"/>
          <w:color w:val="000000"/>
          <w:kern w:val="0"/>
          <w:sz w:val="22"/>
          <w:szCs w:val="22"/>
          <w:lang w:eastAsia="en-GB"/>
          <w14:ligatures w14:val="none"/>
        </w:rPr>
        <w:t xml:space="preserve"> or additional mental health difficulties are present.</w:t>
      </w:r>
    </w:p>
    <w:p w14:paraId="1A738A49" w14:textId="77777777" w:rsidR="00363A87" w:rsidRPr="00363A87" w:rsidRDefault="00363A87" w:rsidP="006D73D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63A87">
        <w:rPr>
          <w:rFonts w:ascii="Arial" w:eastAsia="Times New Roman" w:hAnsi="Arial" w:cs="Arial"/>
          <w:color w:val="000000"/>
          <w:kern w:val="0"/>
          <w:sz w:val="22"/>
          <w:szCs w:val="22"/>
          <w:lang w:eastAsia="en-GB"/>
          <w14:ligatures w14:val="none"/>
        </w:rPr>
        <w:t>Community-based healthcare professionals are equally important. Dementia specialist nurses provide emotional support, practical advice, and education for families managing the condition. Occupational therapists help individuals adapt daily activities and maintain independence through environmental adjustments and assistive strategies. Community nurses support medication management, physical health monitoring, and personal care needs within the home.</w:t>
      </w:r>
    </w:p>
    <w:p w14:paraId="5D8CE4DD" w14:textId="77777777" w:rsidR="00363A87" w:rsidRPr="00363A87" w:rsidRDefault="00363A87" w:rsidP="006D73D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63A87">
        <w:rPr>
          <w:rFonts w:ascii="Arial" w:eastAsia="Times New Roman" w:hAnsi="Arial" w:cs="Arial"/>
          <w:color w:val="000000"/>
          <w:kern w:val="0"/>
          <w:sz w:val="22"/>
          <w:szCs w:val="22"/>
          <w:lang w:eastAsia="en-GB"/>
          <w14:ligatures w14:val="none"/>
        </w:rPr>
        <w:t>Mental health services may also be required to support individuals experiencing anxiety, depression, behavioural difficulties, or distress associated with dementia progression.</w:t>
      </w:r>
    </w:p>
    <w:p w14:paraId="0134E408" w14:textId="77777777" w:rsidR="00363A87" w:rsidRPr="00363A87" w:rsidRDefault="00363A87" w:rsidP="006D73D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63A87">
        <w:rPr>
          <w:rFonts w:ascii="Arial" w:eastAsia="Times New Roman" w:hAnsi="Arial" w:cs="Arial"/>
          <w:color w:val="000000"/>
          <w:kern w:val="0"/>
          <w:sz w:val="22"/>
          <w:szCs w:val="22"/>
          <w:lang w:eastAsia="en-GB"/>
          <w14:ligatures w14:val="none"/>
        </w:rPr>
        <w:t>Social care services are essential in supporting both individuals and carers. Domiciliary care services can assist with daily living tasks such as washing, dressing, meal preparation, and medication prompts, helping individuals remain in their own homes for longer. Where independent living becomes unsafe, residential care homes or specialist dementia care settings may be required.</w:t>
      </w:r>
    </w:p>
    <w:p w14:paraId="651CB00A" w14:textId="0CB608E5" w:rsidR="00363A87" w:rsidRPr="00363A87" w:rsidRDefault="00363A87" w:rsidP="006D73D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63A87">
        <w:rPr>
          <w:rFonts w:ascii="Arial" w:eastAsia="Times New Roman" w:hAnsi="Arial" w:cs="Arial"/>
          <w:color w:val="000000"/>
          <w:kern w:val="0"/>
          <w:sz w:val="22"/>
          <w:szCs w:val="22"/>
          <w:lang w:eastAsia="en-GB"/>
          <w14:ligatures w14:val="none"/>
        </w:rPr>
        <w:t>Respite services provide temporary relief for unpaid carers, helping to reduce stress and burnout</w:t>
      </w:r>
      <w:r w:rsidR="00C6722C">
        <w:rPr>
          <w:rFonts w:ascii="Arial" w:eastAsia="Times New Roman" w:hAnsi="Arial" w:cs="Arial"/>
          <w:color w:val="000000"/>
          <w:kern w:val="0"/>
          <w:sz w:val="22"/>
          <w:szCs w:val="22"/>
          <w:lang w:eastAsia="en-GB"/>
          <w14:ligatures w14:val="none"/>
        </w:rPr>
        <w:t xml:space="preserve"> </w:t>
      </w:r>
      <w:r w:rsidR="00C6722C" w:rsidRPr="00C6722C">
        <w:rPr>
          <w:rFonts w:ascii="Arial" w:eastAsia="Times New Roman" w:hAnsi="Arial" w:cs="Arial"/>
          <w:color w:val="000000"/>
          <w:kern w:val="0"/>
          <w:sz w:val="22"/>
          <w:szCs w:val="22"/>
          <w:lang w:eastAsia="en-GB"/>
          <w14:ligatures w14:val="none"/>
        </w:rPr>
        <w:t>(Alzheimer’s Society, 2025)</w:t>
      </w:r>
      <w:r w:rsidR="00C6722C">
        <w:rPr>
          <w:rFonts w:ascii="Arial" w:eastAsia="Times New Roman" w:hAnsi="Arial" w:cs="Arial"/>
          <w:color w:val="000000"/>
          <w:kern w:val="0"/>
          <w:sz w:val="22"/>
          <w:szCs w:val="22"/>
          <w:lang w:eastAsia="en-GB"/>
          <w14:ligatures w14:val="none"/>
        </w:rPr>
        <w:t xml:space="preserve">. </w:t>
      </w:r>
      <w:r w:rsidRPr="00363A87">
        <w:rPr>
          <w:rFonts w:ascii="Arial" w:eastAsia="Times New Roman" w:hAnsi="Arial" w:cs="Arial"/>
          <w:color w:val="000000"/>
          <w:kern w:val="0"/>
          <w:sz w:val="22"/>
          <w:szCs w:val="22"/>
          <w:lang w:eastAsia="en-GB"/>
          <w14:ligatures w14:val="none"/>
        </w:rPr>
        <w:t xml:space="preserve"> Day centres also offer structured activities, social interaction, and cognitive stimulation while reducing isolation. Carer support groups provide emotional support, information, and opportunities for shared experiences. Social workers </w:t>
      </w:r>
      <w:r w:rsidRPr="00363A87">
        <w:rPr>
          <w:rFonts w:ascii="Arial" w:eastAsia="Times New Roman" w:hAnsi="Arial" w:cs="Arial"/>
          <w:color w:val="000000"/>
          <w:kern w:val="0"/>
          <w:sz w:val="22"/>
          <w:szCs w:val="22"/>
          <w:lang w:eastAsia="en-GB"/>
          <w14:ligatures w14:val="none"/>
        </w:rPr>
        <w:lastRenderedPageBreak/>
        <w:t>may coordinate care packages, financial support, and safeguarding interventions where vulnerability or neglect becomes a concern.</w:t>
      </w:r>
    </w:p>
    <w:p w14:paraId="189A6520" w14:textId="77777777" w:rsidR="00363A87" w:rsidRPr="00363A87" w:rsidRDefault="00363A87" w:rsidP="006D73D1">
      <w:pPr>
        <w:spacing w:before="100" w:beforeAutospacing="1" w:after="100" w:afterAutospacing="1" w:line="360" w:lineRule="auto"/>
        <w:rPr>
          <w:rFonts w:ascii="Arial" w:eastAsia="Times New Roman" w:hAnsi="Arial" w:cs="Arial"/>
          <w:color w:val="000000"/>
          <w:kern w:val="0"/>
          <w:sz w:val="22"/>
          <w:szCs w:val="22"/>
          <w:lang w:eastAsia="en-GB"/>
          <w14:ligatures w14:val="none"/>
        </w:rPr>
      </w:pPr>
      <w:r w:rsidRPr="00363A87">
        <w:rPr>
          <w:rFonts w:ascii="Arial" w:eastAsia="Times New Roman" w:hAnsi="Arial" w:cs="Arial"/>
          <w:color w:val="000000"/>
          <w:kern w:val="0"/>
          <w:sz w:val="22"/>
          <w:szCs w:val="22"/>
          <w:lang w:eastAsia="en-GB"/>
          <w14:ligatures w14:val="none"/>
        </w:rPr>
        <w:t>However, despite the availability of these services, access can vary significantly across the UK due to workforce shortages, funding pressures, regional inequalities, and long waiting times. This means many families may struggle to access timely and consistent support.</w:t>
      </w:r>
    </w:p>
    <w:p w14:paraId="1D963D74" w14:textId="4C3BD116" w:rsidR="00CF1645" w:rsidRPr="006D73D1" w:rsidRDefault="00A006AD" w:rsidP="006D73D1">
      <w:pPr>
        <w:spacing w:line="360" w:lineRule="auto"/>
        <w:rPr>
          <w:rFonts w:ascii="Arial" w:hAnsi="Arial" w:cs="Arial"/>
          <w:b/>
          <w:bCs/>
          <w:sz w:val="22"/>
          <w:szCs w:val="22"/>
        </w:rPr>
      </w:pPr>
      <w:r w:rsidRPr="006D73D1">
        <w:rPr>
          <w:rFonts w:ascii="Arial" w:hAnsi="Arial" w:cs="Arial"/>
          <w:b/>
          <w:bCs/>
          <w:sz w:val="22"/>
          <w:szCs w:val="22"/>
        </w:rPr>
        <w:t xml:space="preserve">5. </w:t>
      </w:r>
      <w:r w:rsidR="00CF1645" w:rsidRPr="006D73D1">
        <w:rPr>
          <w:rFonts w:ascii="Arial" w:hAnsi="Arial" w:cs="Arial"/>
          <w:b/>
          <w:bCs/>
          <w:sz w:val="22"/>
          <w:szCs w:val="22"/>
        </w:rPr>
        <w:t>Consequences of Dementia on Individuals and Communities</w:t>
      </w:r>
    </w:p>
    <w:p w14:paraId="27C04DAE"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Dementia has significant impacts on individuals, families, healthcare systems, and society.</w:t>
      </w:r>
    </w:p>
    <w:p w14:paraId="1770CB14"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For individuals, dementia leads to progressive loss of memory, reasoning, and independence. This affects the ability to complete daily tasks such as cooking, dressing, and managing medication. Behavioural symptoms such as anxiety, aggression, confusion, sleep disturbance, and depression are also common, reducing quality of life and increasing reliance on carers.</w:t>
      </w:r>
    </w:p>
    <w:p w14:paraId="5D2B80F3"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For families and carers, dementia creates emotional, physical, and financial strain. Many carers provide long-term unpaid care without formal training or adequate support. This can lead to stress, exhaustion, social isolation, and carer burnout, particularly when combined with employment responsibilities or other family commitments.</w:t>
      </w:r>
    </w:p>
    <w:p w14:paraId="68FEDD71"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Economically, dementia places a major burden on the UK. The total cost is estimated at over £40 billion per year, with social care and unpaid care forming the largest proportion (Dementia Statistics Hub, 2025). These costs are expected to rise as prevalence increases, creating long-term sustainability challenges for both NHS and local authority budgets.</w:t>
      </w:r>
    </w:p>
    <w:p w14:paraId="148218DC"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Healthcare services are also significantly affected. People with dementia are more likely to require hospital admissions, longer stays, and specialist care. Hospital environments can also worsen confusion and distress in dementia patients, particularly when staff lack dementia-specific training. A large proportion of care home residents live with dementia or severe cognitive impairment, increasing demand for long-term residential care services.</w:t>
      </w:r>
    </w:p>
    <w:p w14:paraId="5E007D79"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Dementia also contributes to social inequality. Stigma and misunderstanding may delay diagnosis or prevent individuals from seeking help, particularly in some minority ethnic communities where awareness or culturally appropriate services may be limited. Dementia-friendly initiatives aim to improve awareness and inclusion, but impact varies depending on local funding and community engagement.</w:t>
      </w:r>
    </w:p>
    <w:p w14:paraId="53DA64B8"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Overall, dementia has wide-ranging consequences that affect health, social wellbeing, and economic sustainability.</w:t>
      </w:r>
    </w:p>
    <w:p w14:paraId="7C56D7E8" w14:textId="6D5D0DC5" w:rsidR="00CF1645" w:rsidRPr="006D73D1" w:rsidRDefault="00A006AD" w:rsidP="006D73D1">
      <w:pPr>
        <w:spacing w:line="360" w:lineRule="auto"/>
        <w:rPr>
          <w:rFonts w:ascii="Arial" w:hAnsi="Arial" w:cs="Arial"/>
          <w:b/>
          <w:bCs/>
          <w:sz w:val="22"/>
          <w:szCs w:val="22"/>
        </w:rPr>
      </w:pPr>
      <w:r w:rsidRPr="006D73D1">
        <w:rPr>
          <w:rFonts w:ascii="Arial" w:hAnsi="Arial" w:cs="Arial"/>
          <w:b/>
          <w:bCs/>
          <w:sz w:val="22"/>
          <w:szCs w:val="22"/>
        </w:rPr>
        <w:lastRenderedPageBreak/>
        <w:t>6.</w:t>
      </w:r>
      <w:r w:rsidR="13E9D2CB" w:rsidRPr="006D73D1">
        <w:rPr>
          <w:rFonts w:ascii="Arial" w:hAnsi="Arial" w:cs="Arial"/>
          <w:b/>
          <w:bCs/>
          <w:sz w:val="22"/>
          <w:szCs w:val="22"/>
        </w:rPr>
        <w:t xml:space="preserve"> </w:t>
      </w:r>
      <w:r w:rsidR="00CF1645" w:rsidRPr="006D73D1">
        <w:rPr>
          <w:rFonts w:ascii="Arial" w:hAnsi="Arial" w:cs="Arial"/>
          <w:b/>
          <w:bCs/>
          <w:sz w:val="22"/>
          <w:szCs w:val="22"/>
        </w:rPr>
        <w:t>Conclusion</w:t>
      </w:r>
    </w:p>
    <w:p w14:paraId="2AA5E328"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Dementia is a growing public health challenge in the UK. While significant progress has been made in diagnosis, monitoring, and management, important limitations remain.</w:t>
      </w:r>
    </w:p>
    <w:p w14:paraId="39084362" w14:textId="77777777"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Measurement and monitoring systems are improving through cognitive testing, imaging, and data collection; however, underdiagnosis, unequal access to specialist services, and regional variation remain significant issues. Management is increasingly person-centred and multidisciplinary, but fragmented health and social care systems, alongside workforce shortages, limit consistency of support.</w:t>
      </w:r>
    </w:p>
    <w:p w14:paraId="0D0DD5E1" w14:textId="7B4CAC05" w:rsidR="00CF1645" w:rsidRPr="006D73D1" w:rsidRDefault="00CF1645" w:rsidP="006D73D1">
      <w:pPr>
        <w:spacing w:line="360" w:lineRule="auto"/>
        <w:rPr>
          <w:rFonts w:ascii="Arial" w:hAnsi="Arial" w:cs="Arial"/>
          <w:sz w:val="22"/>
          <w:szCs w:val="22"/>
        </w:rPr>
      </w:pPr>
      <w:r w:rsidRPr="006D73D1">
        <w:rPr>
          <w:rFonts w:ascii="Arial" w:hAnsi="Arial" w:cs="Arial"/>
          <w:sz w:val="22"/>
          <w:szCs w:val="22"/>
        </w:rPr>
        <w:t>As dementia prevalence continues to rise, investment in early diagnosis, workforce development, integrated care, and prevention strategies will be essential to ensure sustainable and effective long-term care.</w:t>
      </w:r>
      <w:r w:rsidR="004D4B66" w:rsidRPr="006D73D1">
        <w:rPr>
          <w:rFonts w:ascii="Arial" w:hAnsi="Arial" w:cs="Arial"/>
          <w:sz w:val="22"/>
          <w:szCs w:val="22"/>
        </w:rPr>
        <w:t xml:space="preserve"> </w:t>
      </w:r>
      <w:r w:rsidR="004D4B66" w:rsidRPr="006D73D1">
        <w:rPr>
          <w:rFonts w:ascii="Arial" w:hAnsi="Arial" w:cs="Arial"/>
          <w:sz w:val="22"/>
          <w:szCs w:val="22"/>
        </w:rPr>
        <w:t>Furthermore, growing prevalence means dementia will continue to place increasing pressure on health and social care systems, highlighting the urgent need for sustainable funding, improved workforce training, and equitable access to specialist support services. Greater emphasis on prevention, early intervention, and integrated care models will be essential in improving outcomes for individuals, carers, and communities in the future.</w:t>
      </w:r>
    </w:p>
    <w:p w14:paraId="7D08F2D6" w14:textId="77777777" w:rsidR="00CF1645" w:rsidRPr="006D73D1" w:rsidRDefault="00CF1645" w:rsidP="006D73D1">
      <w:pPr>
        <w:spacing w:line="360" w:lineRule="auto"/>
        <w:rPr>
          <w:rFonts w:ascii="Arial" w:hAnsi="Arial" w:cs="Arial"/>
          <w:sz w:val="22"/>
          <w:szCs w:val="22"/>
        </w:rPr>
      </w:pPr>
    </w:p>
    <w:p w14:paraId="4D7453AE" w14:textId="7F43D479" w:rsidR="0039246E" w:rsidRPr="006D73D1" w:rsidRDefault="0039246E" w:rsidP="006D73D1">
      <w:pPr>
        <w:spacing w:line="360" w:lineRule="auto"/>
        <w:rPr>
          <w:rFonts w:ascii="Arial" w:hAnsi="Arial" w:cs="Arial"/>
          <w:b/>
          <w:bCs/>
          <w:sz w:val="22"/>
          <w:szCs w:val="22"/>
        </w:rPr>
      </w:pPr>
      <w:r w:rsidRPr="006D73D1">
        <w:rPr>
          <w:rFonts w:ascii="Arial" w:hAnsi="Arial" w:cs="Arial"/>
          <w:sz w:val="22"/>
          <w:szCs w:val="22"/>
        </w:rPr>
        <w:t xml:space="preserve">7. </w:t>
      </w:r>
      <w:r w:rsidR="00CF1645" w:rsidRPr="006D73D1">
        <w:rPr>
          <w:rFonts w:ascii="Arial" w:hAnsi="Arial" w:cs="Arial"/>
          <w:b/>
          <w:bCs/>
          <w:sz w:val="22"/>
          <w:szCs w:val="22"/>
        </w:rPr>
        <w:t>References</w:t>
      </w:r>
    </w:p>
    <w:p w14:paraId="5F925628" w14:textId="0602A938" w:rsidR="0039246E" w:rsidRPr="006D73D1" w:rsidRDefault="0039246E" w:rsidP="006D73D1">
      <w:pPr>
        <w:spacing w:line="360" w:lineRule="auto"/>
        <w:rPr>
          <w:rFonts w:ascii="Arial" w:hAnsi="Arial" w:cs="Arial"/>
          <w:sz w:val="22"/>
          <w:szCs w:val="22"/>
        </w:rPr>
      </w:pPr>
      <w:r w:rsidRPr="006D73D1">
        <w:rPr>
          <w:rFonts w:ascii="Arial" w:hAnsi="Arial" w:cs="Arial"/>
          <w:sz w:val="22"/>
          <w:szCs w:val="22"/>
        </w:rPr>
        <w:t xml:space="preserve">Alzheimer’s Society (2025) *Dementia statistics*. Available at: </w:t>
      </w:r>
      <w:hyperlink r:id="rId7" w:history="1">
        <w:r w:rsidR="005E2421" w:rsidRPr="006D73D1">
          <w:rPr>
            <w:rStyle w:val="Hyperlink"/>
            <w:rFonts w:ascii="Arial" w:hAnsi="Arial" w:cs="Arial"/>
            <w:sz w:val="22"/>
            <w:szCs w:val="22"/>
          </w:rPr>
          <w:t>https://www.alzheimers.org.uk/about-dementi</w:t>
        </w:r>
        <w:r w:rsidR="005E2421" w:rsidRPr="006D73D1">
          <w:rPr>
            <w:rStyle w:val="Hyperlink"/>
            <w:rFonts w:ascii="Arial" w:hAnsi="Arial" w:cs="Arial"/>
            <w:sz w:val="22"/>
            <w:szCs w:val="22"/>
          </w:rPr>
          <w:t>a</w:t>
        </w:r>
      </w:hyperlink>
      <w:r w:rsidR="005E2421" w:rsidRPr="006D73D1">
        <w:rPr>
          <w:rFonts w:ascii="Arial" w:hAnsi="Arial" w:cs="Arial"/>
          <w:sz w:val="22"/>
          <w:szCs w:val="22"/>
        </w:rPr>
        <w:t xml:space="preserve"> </w:t>
      </w:r>
      <w:r w:rsidRPr="006D73D1">
        <w:rPr>
          <w:rFonts w:ascii="Arial" w:hAnsi="Arial" w:cs="Arial"/>
          <w:sz w:val="22"/>
          <w:szCs w:val="22"/>
        </w:rPr>
        <w:t xml:space="preserve"> (Accessed: 21 May 2026).</w:t>
      </w:r>
    </w:p>
    <w:p w14:paraId="7F3E0B72" w14:textId="7301CDCB" w:rsidR="0039246E" w:rsidRPr="006D73D1" w:rsidRDefault="0039246E" w:rsidP="006D73D1">
      <w:pPr>
        <w:spacing w:line="360" w:lineRule="auto"/>
        <w:rPr>
          <w:rFonts w:ascii="Arial" w:hAnsi="Arial" w:cs="Arial"/>
          <w:sz w:val="22"/>
          <w:szCs w:val="22"/>
        </w:rPr>
      </w:pPr>
      <w:r w:rsidRPr="006D73D1">
        <w:rPr>
          <w:rFonts w:ascii="Arial" w:hAnsi="Arial" w:cs="Arial"/>
          <w:sz w:val="22"/>
          <w:szCs w:val="22"/>
        </w:rPr>
        <w:t>Brooker, D. (2007) *Person-Centred Dementia Care: Making Services Better*. London: Jessica Kingsley Publishers.</w:t>
      </w:r>
    </w:p>
    <w:p w14:paraId="53E0E75B" w14:textId="0E7243F4" w:rsidR="0039246E" w:rsidRPr="006D73D1" w:rsidRDefault="0039246E" w:rsidP="006D73D1">
      <w:pPr>
        <w:spacing w:line="360" w:lineRule="auto"/>
        <w:rPr>
          <w:rFonts w:ascii="Arial" w:hAnsi="Arial" w:cs="Arial"/>
          <w:sz w:val="22"/>
          <w:szCs w:val="22"/>
        </w:rPr>
      </w:pPr>
      <w:r w:rsidRPr="006D73D1">
        <w:rPr>
          <w:rFonts w:ascii="Arial" w:hAnsi="Arial" w:cs="Arial"/>
          <w:sz w:val="22"/>
          <w:szCs w:val="22"/>
        </w:rPr>
        <w:t xml:space="preserve">Dementia Statistics Hub (2025) *Economic impact of dementia in the UK*. Available at: </w:t>
      </w:r>
      <w:hyperlink r:id="rId8" w:history="1">
        <w:r w:rsidR="005E2421" w:rsidRPr="006D73D1">
          <w:rPr>
            <w:rStyle w:val="Hyperlink"/>
            <w:rFonts w:ascii="Arial" w:hAnsi="Arial" w:cs="Arial"/>
            <w:sz w:val="22"/>
            <w:szCs w:val="22"/>
          </w:rPr>
          <w:t>https://www.dementiastatistics.org</w:t>
        </w:r>
      </w:hyperlink>
      <w:r w:rsidR="005E2421" w:rsidRPr="006D73D1">
        <w:rPr>
          <w:rFonts w:ascii="Arial" w:hAnsi="Arial" w:cs="Arial"/>
          <w:sz w:val="22"/>
          <w:szCs w:val="22"/>
        </w:rPr>
        <w:t xml:space="preserve"> </w:t>
      </w:r>
      <w:r w:rsidRPr="006D73D1">
        <w:rPr>
          <w:rFonts w:ascii="Arial" w:hAnsi="Arial" w:cs="Arial"/>
          <w:sz w:val="22"/>
          <w:szCs w:val="22"/>
        </w:rPr>
        <w:t xml:space="preserve"> (Accessed: 21 May 2026).</w:t>
      </w:r>
    </w:p>
    <w:p w14:paraId="22C3C3CE" w14:textId="73C24AA0" w:rsidR="0039246E" w:rsidRPr="006D73D1" w:rsidRDefault="0039246E" w:rsidP="006D73D1">
      <w:pPr>
        <w:spacing w:line="360" w:lineRule="auto"/>
        <w:rPr>
          <w:rFonts w:ascii="Arial" w:hAnsi="Arial" w:cs="Arial"/>
          <w:sz w:val="22"/>
          <w:szCs w:val="22"/>
        </w:rPr>
      </w:pPr>
      <w:r w:rsidRPr="006D73D1">
        <w:rPr>
          <w:rFonts w:ascii="Arial" w:hAnsi="Arial" w:cs="Arial"/>
          <w:sz w:val="22"/>
          <w:szCs w:val="22"/>
        </w:rPr>
        <w:t xml:space="preserve">Department of Health and Social Care (2022) *Living well with dementia: A national dementia strategy*. Available at: </w:t>
      </w:r>
      <w:hyperlink r:id="rId9" w:history="1">
        <w:r w:rsidR="005E2421" w:rsidRPr="006D73D1">
          <w:rPr>
            <w:rStyle w:val="Hyperlink"/>
            <w:rFonts w:ascii="Arial" w:hAnsi="Arial" w:cs="Arial"/>
            <w:sz w:val="22"/>
            <w:szCs w:val="22"/>
          </w:rPr>
          <w:t>https://www.gov.uk/government/publications/living-well-with-dementia-a-national-dementia-strategy</w:t>
        </w:r>
      </w:hyperlink>
      <w:r w:rsidR="005E2421" w:rsidRPr="006D73D1">
        <w:rPr>
          <w:rFonts w:ascii="Arial" w:hAnsi="Arial" w:cs="Arial"/>
          <w:sz w:val="22"/>
          <w:szCs w:val="22"/>
        </w:rPr>
        <w:t xml:space="preserve"> </w:t>
      </w:r>
      <w:r w:rsidRPr="006D73D1">
        <w:rPr>
          <w:rFonts w:ascii="Arial" w:hAnsi="Arial" w:cs="Arial"/>
          <w:sz w:val="22"/>
          <w:szCs w:val="22"/>
        </w:rPr>
        <w:t>(Accessed: 21 May 2026).</w:t>
      </w:r>
    </w:p>
    <w:p w14:paraId="43439CB7" w14:textId="199E11D9" w:rsidR="0039246E" w:rsidRPr="006D73D1" w:rsidRDefault="0039246E" w:rsidP="006D73D1">
      <w:pPr>
        <w:spacing w:line="360" w:lineRule="auto"/>
        <w:rPr>
          <w:rFonts w:ascii="Arial" w:hAnsi="Arial" w:cs="Arial"/>
          <w:sz w:val="22"/>
          <w:szCs w:val="22"/>
        </w:rPr>
      </w:pPr>
      <w:r w:rsidRPr="006D73D1">
        <w:rPr>
          <w:rFonts w:ascii="Arial" w:hAnsi="Arial" w:cs="Arial"/>
          <w:sz w:val="22"/>
          <w:szCs w:val="22"/>
        </w:rPr>
        <w:t>Lancet Commission (2020) ‘Dementia prevention, intervention and care’, *The Lancet*, 396(10248), pp. 413–446. doi:10.1016/S0140-6736(20)30367-6.</w:t>
      </w:r>
    </w:p>
    <w:p w14:paraId="109C8E42" w14:textId="49CFB41E" w:rsidR="0039246E" w:rsidRPr="006D73D1" w:rsidRDefault="0039246E" w:rsidP="006D73D1">
      <w:pPr>
        <w:spacing w:line="360" w:lineRule="auto"/>
        <w:rPr>
          <w:rFonts w:ascii="Arial" w:hAnsi="Arial" w:cs="Arial"/>
          <w:sz w:val="22"/>
          <w:szCs w:val="22"/>
        </w:rPr>
      </w:pPr>
      <w:proofErr w:type="spellStart"/>
      <w:r w:rsidRPr="006D73D1">
        <w:rPr>
          <w:rFonts w:ascii="Arial" w:hAnsi="Arial" w:cs="Arial"/>
          <w:sz w:val="22"/>
          <w:szCs w:val="22"/>
        </w:rPr>
        <w:t>Nasreddine</w:t>
      </w:r>
      <w:proofErr w:type="spellEnd"/>
      <w:r w:rsidRPr="006D73D1">
        <w:rPr>
          <w:rFonts w:ascii="Arial" w:hAnsi="Arial" w:cs="Arial"/>
          <w:sz w:val="22"/>
          <w:szCs w:val="22"/>
        </w:rPr>
        <w:t xml:space="preserve">, Z.S., Phillips, N.A., </w:t>
      </w:r>
      <w:proofErr w:type="spellStart"/>
      <w:r w:rsidRPr="006D73D1">
        <w:rPr>
          <w:rFonts w:ascii="Arial" w:hAnsi="Arial" w:cs="Arial"/>
          <w:sz w:val="22"/>
          <w:szCs w:val="22"/>
        </w:rPr>
        <w:t>Bédirian</w:t>
      </w:r>
      <w:proofErr w:type="spellEnd"/>
      <w:r w:rsidRPr="006D73D1">
        <w:rPr>
          <w:rFonts w:ascii="Arial" w:hAnsi="Arial" w:cs="Arial"/>
          <w:sz w:val="22"/>
          <w:szCs w:val="22"/>
        </w:rPr>
        <w:t xml:space="preserve">, V., Charbonneau, S., Whitehead, V., Collin, I., Cummings, J.L. and </w:t>
      </w:r>
      <w:proofErr w:type="spellStart"/>
      <w:r w:rsidRPr="006D73D1">
        <w:rPr>
          <w:rFonts w:ascii="Arial" w:hAnsi="Arial" w:cs="Arial"/>
          <w:sz w:val="22"/>
          <w:szCs w:val="22"/>
        </w:rPr>
        <w:t>Chertkow</w:t>
      </w:r>
      <w:proofErr w:type="spellEnd"/>
      <w:r w:rsidRPr="006D73D1">
        <w:rPr>
          <w:rFonts w:ascii="Arial" w:hAnsi="Arial" w:cs="Arial"/>
          <w:sz w:val="22"/>
          <w:szCs w:val="22"/>
        </w:rPr>
        <w:t xml:space="preserve">, H. (2005) ‘The Montreal Cognitive Assessment (MoCA): A </w:t>
      </w:r>
      <w:r w:rsidRPr="006D73D1">
        <w:rPr>
          <w:rFonts w:ascii="Arial" w:hAnsi="Arial" w:cs="Arial"/>
          <w:sz w:val="22"/>
          <w:szCs w:val="22"/>
        </w:rPr>
        <w:lastRenderedPageBreak/>
        <w:t>brief screening tool for mild cognitive impairment’, *Journal of the American Geriatrics Society*, 53(4), pp. 695–699.</w:t>
      </w:r>
    </w:p>
    <w:p w14:paraId="602DB969" w14:textId="434145AC" w:rsidR="0039246E" w:rsidRPr="006D73D1" w:rsidRDefault="0039246E" w:rsidP="006D73D1">
      <w:pPr>
        <w:spacing w:line="360" w:lineRule="auto"/>
        <w:rPr>
          <w:rFonts w:ascii="Arial" w:hAnsi="Arial" w:cs="Arial"/>
          <w:sz w:val="22"/>
          <w:szCs w:val="22"/>
        </w:rPr>
      </w:pPr>
      <w:r w:rsidRPr="006D73D1">
        <w:rPr>
          <w:rFonts w:ascii="Arial" w:hAnsi="Arial" w:cs="Arial"/>
          <w:sz w:val="22"/>
          <w:szCs w:val="22"/>
        </w:rPr>
        <w:t xml:space="preserve">National Institute for Health and Care Excellence (NICE) (2022) *Dementia: assessment, management and support for people living with dementia (NG97).* Available at: </w:t>
      </w:r>
      <w:hyperlink r:id="rId10" w:history="1">
        <w:r w:rsidR="00590674" w:rsidRPr="006D73D1">
          <w:rPr>
            <w:rStyle w:val="Hyperlink"/>
            <w:rFonts w:ascii="Arial" w:hAnsi="Arial" w:cs="Arial"/>
            <w:sz w:val="22"/>
            <w:szCs w:val="22"/>
          </w:rPr>
          <w:t>https://www.nice.org.uk/guidance/ng97</w:t>
        </w:r>
      </w:hyperlink>
      <w:r w:rsidR="00590674" w:rsidRPr="006D73D1">
        <w:rPr>
          <w:rFonts w:ascii="Arial" w:hAnsi="Arial" w:cs="Arial"/>
          <w:sz w:val="22"/>
          <w:szCs w:val="22"/>
        </w:rPr>
        <w:t xml:space="preserve"> </w:t>
      </w:r>
      <w:r w:rsidRPr="006D73D1">
        <w:rPr>
          <w:rFonts w:ascii="Arial" w:hAnsi="Arial" w:cs="Arial"/>
          <w:sz w:val="22"/>
          <w:szCs w:val="22"/>
        </w:rPr>
        <w:t xml:space="preserve"> (Accessed: 21 May 2026).</w:t>
      </w:r>
    </w:p>
    <w:p w14:paraId="15A21B5D" w14:textId="6654EB56" w:rsidR="00CF1645" w:rsidRPr="00CF1645" w:rsidRDefault="0039246E" w:rsidP="006D73D1">
      <w:pPr>
        <w:spacing w:line="360" w:lineRule="auto"/>
        <w:rPr>
          <w:rFonts w:ascii="Arial" w:hAnsi="Arial" w:cs="Arial"/>
          <w:sz w:val="22"/>
          <w:szCs w:val="22"/>
        </w:rPr>
      </w:pPr>
      <w:r w:rsidRPr="006D73D1">
        <w:rPr>
          <w:rFonts w:ascii="Arial" w:hAnsi="Arial" w:cs="Arial"/>
          <w:sz w:val="22"/>
          <w:szCs w:val="22"/>
        </w:rPr>
        <w:t xml:space="preserve">World Health Organization (2025) *Dementia fact sheet*. Available at: </w:t>
      </w:r>
      <w:hyperlink r:id="rId11" w:history="1">
        <w:r w:rsidR="00590674" w:rsidRPr="006D73D1">
          <w:rPr>
            <w:rStyle w:val="Hyperlink"/>
            <w:rFonts w:ascii="Arial" w:hAnsi="Arial" w:cs="Arial"/>
            <w:sz w:val="22"/>
            <w:szCs w:val="22"/>
          </w:rPr>
          <w:t>https://www.who.int/news-room/fact-sheets/detail/dementia</w:t>
        </w:r>
      </w:hyperlink>
      <w:r w:rsidR="00590674" w:rsidRPr="006D73D1">
        <w:rPr>
          <w:rFonts w:ascii="Arial" w:hAnsi="Arial" w:cs="Arial"/>
          <w:sz w:val="22"/>
          <w:szCs w:val="22"/>
        </w:rPr>
        <w:t xml:space="preserve"> </w:t>
      </w:r>
      <w:r w:rsidRPr="006D73D1">
        <w:rPr>
          <w:rFonts w:ascii="Arial" w:hAnsi="Arial" w:cs="Arial"/>
          <w:sz w:val="22"/>
          <w:szCs w:val="22"/>
        </w:rPr>
        <w:t xml:space="preserve"> (Accessed: 21 May</w:t>
      </w:r>
      <w:r w:rsidRPr="0039246E">
        <w:rPr>
          <w:rFonts w:ascii="Arial" w:hAnsi="Arial" w:cs="Arial"/>
          <w:sz w:val="22"/>
          <w:szCs w:val="22"/>
        </w:rPr>
        <w:t xml:space="preserve"> 2026).</w:t>
      </w:r>
    </w:p>
    <w:sectPr w:rsidR="00CF1645" w:rsidRPr="00CF1645">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664F77" w14:textId="77777777" w:rsidR="00FC0BBC" w:rsidRDefault="00FC0BBC" w:rsidP="00C6722C">
      <w:pPr>
        <w:spacing w:after="0" w:line="240" w:lineRule="auto"/>
      </w:pPr>
      <w:r>
        <w:separator/>
      </w:r>
    </w:p>
  </w:endnote>
  <w:endnote w:type="continuationSeparator" w:id="0">
    <w:p w14:paraId="533A0BCB" w14:textId="77777777" w:rsidR="00FC0BBC" w:rsidRDefault="00FC0BBC" w:rsidP="00C6722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6610743"/>
      <w:docPartObj>
        <w:docPartGallery w:val="Page Numbers (Bottom of Page)"/>
        <w:docPartUnique/>
      </w:docPartObj>
    </w:sdtPr>
    <w:sdtContent>
      <w:p w14:paraId="11A3CD64" w14:textId="4EBB4F62" w:rsidR="00C6722C" w:rsidRDefault="00C6722C" w:rsidP="00DD27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7B7CF97" w14:textId="77777777" w:rsidR="00C6722C" w:rsidRDefault="00C6722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05404249"/>
      <w:docPartObj>
        <w:docPartGallery w:val="Page Numbers (Bottom of Page)"/>
        <w:docPartUnique/>
      </w:docPartObj>
    </w:sdtPr>
    <w:sdtContent>
      <w:p w14:paraId="34508DC7" w14:textId="0BA21F1D" w:rsidR="00C6722C" w:rsidRDefault="00C6722C" w:rsidP="00DD270B">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B336F7" w14:textId="77777777" w:rsidR="00C6722C" w:rsidRDefault="00C6722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1FE4DB" w14:textId="77777777" w:rsidR="00FC0BBC" w:rsidRDefault="00FC0BBC" w:rsidP="00C6722C">
      <w:pPr>
        <w:spacing w:after="0" w:line="240" w:lineRule="auto"/>
      </w:pPr>
      <w:r>
        <w:separator/>
      </w:r>
    </w:p>
  </w:footnote>
  <w:footnote w:type="continuationSeparator" w:id="0">
    <w:p w14:paraId="08F1E38D" w14:textId="77777777" w:rsidR="00FC0BBC" w:rsidRDefault="00FC0BBC" w:rsidP="00C6722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DD46C"/>
    <w:multiLevelType w:val="hybridMultilevel"/>
    <w:tmpl w:val="FFFFFFFF"/>
    <w:lvl w:ilvl="0" w:tplc="AF3C249C">
      <w:start w:val="1"/>
      <w:numFmt w:val="decimal"/>
      <w:lvlText w:val="%1."/>
      <w:lvlJc w:val="left"/>
      <w:pPr>
        <w:ind w:left="720" w:hanging="360"/>
      </w:pPr>
    </w:lvl>
    <w:lvl w:ilvl="1" w:tplc="D1729C8E">
      <w:start w:val="1"/>
      <w:numFmt w:val="lowerLetter"/>
      <w:lvlText w:val="%2."/>
      <w:lvlJc w:val="left"/>
      <w:pPr>
        <w:ind w:left="1440" w:hanging="360"/>
      </w:pPr>
    </w:lvl>
    <w:lvl w:ilvl="2" w:tplc="5E485AC8">
      <w:start w:val="1"/>
      <w:numFmt w:val="lowerRoman"/>
      <w:lvlText w:val="%3."/>
      <w:lvlJc w:val="right"/>
      <w:pPr>
        <w:ind w:left="2160" w:hanging="180"/>
      </w:pPr>
    </w:lvl>
    <w:lvl w:ilvl="3" w:tplc="1CA8CA7E">
      <w:start w:val="1"/>
      <w:numFmt w:val="decimal"/>
      <w:lvlText w:val="%4."/>
      <w:lvlJc w:val="left"/>
      <w:pPr>
        <w:ind w:left="2880" w:hanging="360"/>
      </w:pPr>
    </w:lvl>
    <w:lvl w:ilvl="4" w:tplc="F26A956C">
      <w:start w:val="1"/>
      <w:numFmt w:val="lowerLetter"/>
      <w:lvlText w:val="%5."/>
      <w:lvlJc w:val="left"/>
      <w:pPr>
        <w:ind w:left="3600" w:hanging="360"/>
      </w:pPr>
    </w:lvl>
    <w:lvl w:ilvl="5" w:tplc="E0BC3954">
      <w:start w:val="1"/>
      <w:numFmt w:val="lowerRoman"/>
      <w:lvlText w:val="%6."/>
      <w:lvlJc w:val="right"/>
      <w:pPr>
        <w:ind w:left="4320" w:hanging="180"/>
      </w:pPr>
    </w:lvl>
    <w:lvl w:ilvl="6" w:tplc="A3CE7D3C">
      <w:start w:val="1"/>
      <w:numFmt w:val="decimal"/>
      <w:lvlText w:val="%7."/>
      <w:lvlJc w:val="left"/>
      <w:pPr>
        <w:ind w:left="5040" w:hanging="360"/>
      </w:pPr>
    </w:lvl>
    <w:lvl w:ilvl="7" w:tplc="ED50DDCC">
      <w:start w:val="1"/>
      <w:numFmt w:val="lowerLetter"/>
      <w:lvlText w:val="%8."/>
      <w:lvlJc w:val="left"/>
      <w:pPr>
        <w:ind w:left="5760" w:hanging="360"/>
      </w:pPr>
    </w:lvl>
    <w:lvl w:ilvl="8" w:tplc="578E48C4">
      <w:start w:val="1"/>
      <w:numFmt w:val="lowerRoman"/>
      <w:lvlText w:val="%9."/>
      <w:lvlJc w:val="right"/>
      <w:pPr>
        <w:ind w:left="6480" w:hanging="180"/>
      </w:pPr>
    </w:lvl>
  </w:abstractNum>
  <w:abstractNum w:abstractNumId="1" w15:restartNumberingAfterBreak="0">
    <w:nsid w:val="1C4D5F38"/>
    <w:multiLevelType w:val="hybridMultilevel"/>
    <w:tmpl w:val="1AE4E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14D4FC"/>
    <w:multiLevelType w:val="hybridMultilevel"/>
    <w:tmpl w:val="FFFFFFFF"/>
    <w:lvl w:ilvl="0" w:tplc="1CB6F5BE">
      <w:start w:val="1"/>
      <w:numFmt w:val="decimal"/>
      <w:lvlText w:val="%1."/>
      <w:lvlJc w:val="left"/>
      <w:pPr>
        <w:ind w:left="720" w:hanging="360"/>
      </w:pPr>
    </w:lvl>
    <w:lvl w:ilvl="1" w:tplc="0A0CD75A">
      <w:start w:val="1"/>
      <w:numFmt w:val="lowerLetter"/>
      <w:lvlText w:val="%2."/>
      <w:lvlJc w:val="left"/>
      <w:pPr>
        <w:ind w:left="1440" w:hanging="360"/>
      </w:pPr>
    </w:lvl>
    <w:lvl w:ilvl="2" w:tplc="41CEE178">
      <w:start w:val="1"/>
      <w:numFmt w:val="lowerRoman"/>
      <w:lvlText w:val="%3."/>
      <w:lvlJc w:val="right"/>
      <w:pPr>
        <w:ind w:left="2160" w:hanging="180"/>
      </w:pPr>
    </w:lvl>
    <w:lvl w:ilvl="3" w:tplc="6A84E94C">
      <w:start w:val="1"/>
      <w:numFmt w:val="decimal"/>
      <w:lvlText w:val="%4."/>
      <w:lvlJc w:val="left"/>
      <w:pPr>
        <w:ind w:left="2880" w:hanging="360"/>
      </w:pPr>
    </w:lvl>
    <w:lvl w:ilvl="4" w:tplc="90E2A7D2">
      <w:start w:val="1"/>
      <w:numFmt w:val="lowerLetter"/>
      <w:lvlText w:val="%5."/>
      <w:lvlJc w:val="left"/>
      <w:pPr>
        <w:ind w:left="3600" w:hanging="360"/>
      </w:pPr>
    </w:lvl>
    <w:lvl w:ilvl="5" w:tplc="8EFAAFB2">
      <w:start w:val="1"/>
      <w:numFmt w:val="lowerRoman"/>
      <w:lvlText w:val="%6."/>
      <w:lvlJc w:val="right"/>
      <w:pPr>
        <w:ind w:left="4320" w:hanging="180"/>
      </w:pPr>
    </w:lvl>
    <w:lvl w:ilvl="6" w:tplc="AA9E2366">
      <w:start w:val="1"/>
      <w:numFmt w:val="decimal"/>
      <w:lvlText w:val="%7."/>
      <w:lvlJc w:val="left"/>
      <w:pPr>
        <w:ind w:left="5040" w:hanging="360"/>
      </w:pPr>
    </w:lvl>
    <w:lvl w:ilvl="7" w:tplc="4CF830C0">
      <w:start w:val="1"/>
      <w:numFmt w:val="lowerLetter"/>
      <w:lvlText w:val="%8."/>
      <w:lvlJc w:val="left"/>
      <w:pPr>
        <w:ind w:left="5760" w:hanging="360"/>
      </w:pPr>
    </w:lvl>
    <w:lvl w:ilvl="8" w:tplc="C4023246">
      <w:start w:val="1"/>
      <w:numFmt w:val="lowerRoman"/>
      <w:lvlText w:val="%9."/>
      <w:lvlJc w:val="right"/>
      <w:pPr>
        <w:ind w:left="6480" w:hanging="180"/>
      </w:pPr>
    </w:lvl>
  </w:abstractNum>
  <w:abstractNum w:abstractNumId="3" w15:restartNumberingAfterBreak="0">
    <w:nsid w:val="3FEE4D7F"/>
    <w:multiLevelType w:val="hybridMultilevel"/>
    <w:tmpl w:val="FFFFFFFF"/>
    <w:lvl w:ilvl="0" w:tplc="DACA1DE6">
      <w:start w:val="1"/>
      <w:numFmt w:val="decimal"/>
      <w:lvlText w:val="%1."/>
      <w:lvlJc w:val="left"/>
      <w:pPr>
        <w:ind w:left="720" w:hanging="360"/>
      </w:pPr>
    </w:lvl>
    <w:lvl w:ilvl="1" w:tplc="6AE4237C">
      <w:start w:val="1"/>
      <w:numFmt w:val="lowerLetter"/>
      <w:lvlText w:val="%2."/>
      <w:lvlJc w:val="left"/>
      <w:pPr>
        <w:ind w:left="1440" w:hanging="360"/>
      </w:pPr>
    </w:lvl>
    <w:lvl w:ilvl="2" w:tplc="A14A0E1C">
      <w:start w:val="1"/>
      <w:numFmt w:val="lowerRoman"/>
      <w:lvlText w:val="%3."/>
      <w:lvlJc w:val="right"/>
      <w:pPr>
        <w:ind w:left="2160" w:hanging="180"/>
      </w:pPr>
    </w:lvl>
    <w:lvl w:ilvl="3" w:tplc="9272AA46">
      <w:start w:val="1"/>
      <w:numFmt w:val="decimal"/>
      <w:lvlText w:val="%4."/>
      <w:lvlJc w:val="left"/>
      <w:pPr>
        <w:ind w:left="2880" w:hanging="360"/>
      </w:pPr>
    </w:lvl>
    <w:lvl w:ilvl="4" w:tplc="BD5AAC44">
      <w:start w:val="1"/>
      <w:numFmt w:val="lowerLetter"/>
      <w:lvlText w:val="%5."/>
      <w:lvlJc w:val="left"/>
      <w:pPr>
        <w:ind w:left="3600" w:hanging="360"/>
      </w:pPr>
    </w:lvl>
    <w:lvl w:ilvl="5" w:tplc="40FC7C32">
      <w:start w:val="1"/>
      <w:numFmt w:val="lowerRoman"/>
      <w:lvlText w:val="%6."/>
      <w:lvlJc w:val="right"/>
      <w:pPr>
        <w:ind w:left="4320" w:hanging="180"/>
      </w:pPr>
    </w:lvl>
    <w:lvl w:ilvl="6" w:tplc="E60625D0">
      <w:start w:val="1"/>
      <w:numFmt w:val="decimal"/>
      <w:lvlText w:val="%7."/>
      <w:lvlJc w:val="left"/>
      <w:pPr>
        <w:ind w:left="5040" w:hanging="360"/>
      </w:pPr>
    </w:lvl>
    <w:lvl w:ilvl="7" w:tplc="26F040B0">
      <w:start w:val="1"/>
      <w:numFmt w:val="lowerLetter"/>
      <w:lvlText w:val="%8."/>
      <w:lvlJc w:val="left"/>
      <w:pPr>
        <w:ind w:left="5760" w:hanging="360"/>
      </w:pPr>
    </w:lvl>
    <w:lvl w:ilvl="8" w:tplc="352E8866">
      <w:start w:val="1"/>
      <w:numFmt w:val="lowerRoman"/>
      <w:lvlText w:val="%9."/>
      <w:lvlJc w:val="right"/>
      <w:pPr>
        <w:ind w:left="6480" w:hanging="180"/>
      </w:pPr>
    </w:lvl>
  </w:abstractNum>
  <w:abstractNum w:abstractNumId="4" w15:restartNumberingAfterBreak="0">
    <w:nsid w:val="6575132F"/>
    <w:multiLevelType w:val="hybridMultilevel"/>
    <w:tmpl w:val="3D429E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03433240">
    <w:abstractNumId w:val="0"/>
  </w:num>
  <w:num w:numId="2" w16cid:durableId="2042433702">
    <w:abstractNumId w:val="2"/>
  </w:num>
  <w:num w:numId="3" w16cid:durableId="438835827">
    <w:abstractNumId w:val="3"/>
  </w:num>
  <w:num w:numId="4" w16cid:durableId="1744404097">
    <w:abstractNumId w:val="4"/>
  </w:num>
  <w:num w:numId="5" w16cid:durableId="8953561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1645"/>
    <w:rsid w:val="00050B28"/>
    <w:rsid w:val="00055601"/>
    <w:rsid w:val="00056F6A"/>
    <w:rsid w:val="00077B28"/>
    <w:rsid w:val="000A79DD"/>
    <w:rsid w:val="000F6159"/>
    <w:rsid w:val="00110299"/>
    <w:rsid w:val="00125EE0"/>
    <w:rsid w:val="001A1490"/>
    <w:rsid w:val="00212310"/>
    <w:rsid w:val="00272CBC"/>
    <w:rsid w:val="002D1A98"/>
    <w:rsid w:val="00363A87"/>
    <w:rsid w:val="0039246E"/>
    <w:rsid w:val="003E4922"/>
    <w:rsid w:val="003E7BD5"/>
    <w:rsid w:val="003F2672"/>
    <w:rsid w:val="00404306"/>
    <w:rsid w:val="00457EF5"/>
    <w:rsid w:val="004A5ADE"/>
    <w:rsid w:val="004D188F"/>
    <w:rsid w:val="004D4B66"/>
    <w:rsid w:val="0057332F"/>
    <w:rsid w:val="00574E94"/>
    <w:rsid w:val="00590674"/>
    <w:rsid w:val="005C1788"/>
    <w:rsid w:val="005E1A5B"/>
    <w:rsid w:val="005E2421"/>
    <w:rsid w:val="005F43F1"/>
    <w:rsid w:val="005F462C"/>
    <w:rsid w:val="00653B5F"/>
    <w:rsid w:val="006B521F"/>
    <w:rsid w:val="006C1D9F"/>
    <w:rsid w:val="006D73D1"/>
    <w:rsid w:val="007635EC"/>
    <w:rsid w:val="00766B62"/>
    <w:rsid w:val="00804C4D"/>
    <w:rsid w:val="008D645E"/>
    <w:rsid w:val="009812D9"/>
    <w:rsid w:val="00A006AD"/>
    <w:rsid w:val="00AF64D4"/>
    <w:rsid w:val="00B3653E"/>
    <w:rsid w:val="00B52E3D"/>
    <w:rsid w:val="00B61E28"/>
    <w:rsid w:val="00B82511"/>
    <w:rsid w:val="00BC251B"/>
    <w:rsid w:val="00BD7049"/>
    <w:rsid w:val="00C075F3"/>
    <w:rsid w:val="00C6722C"/>
    <w:rsid w:val="00CA3B32"/>
    <w:rsid w:val="00CD6937"/>
    <w:rsid w:val="00CE0CF7"/>
    <w:rsid w:val="00CF05BA"/>
    <w:rsid w:val="00CF1645"/>
    <w:rsid w:val="00D65248"/>
    <w:rsid w:val="00DA213D"/>
    <w:rsid w:val="00DB619B"/>
    <w:rsid w:val="00DC01F4"/>
    <w:rsid w:val="00DE039B"/>
    <w:rsid w:val="00E20283"/>
    <w:rsid w:val="00E34F78"/>
    <w:rsid w:val="00EC3E90"/>
    <w:rsid w:val="00F23788"/>
    <w:rsid w:val="00F46B75"/>
    <w:rsid w:val="00F73096"/>
    <w:rsid w:val="00F734F6"/>
    <w:rsid w:val="00FA1B30"/>
    <w:rsid w:val="00FB7192"/>
    <w:rsid w:val="00FC0BBC"/>
    <w:rsid w:val="00FD2B5E"/>
    <w:rsid w:val="00FE1D25"/>
    <w:rsid w:val="022EF05B"/>
    <w:rsid w:val="028EC9AC"/>
    <w:rsid w:val="042F470B"/>
    <w:rsid w:val="05FE1A10"/>
    <w:rsid w:val="0C2941D4"/>
    <w:rsid w:val="0D5805F4"/>
    <w:rsid w:val="0F2A9197"/>
    <w:rsid w:val="0F7B24D4"/>
    <w:rsid w:val="12C4E835"/>
    <w:rsid w:val="13E9D2CB"/>
    <w:rsid w:val="1565F22C"/>
    <w:rsid w:val="16B6AEC2"/>
    <w:rsid w:val="1857FF40"/>
    <w:rsid w:val="1F265C2B"/>
    <w:rsid w:val="1F992804"/>
    <w:rsid w:val="1FBE7CD5"/>
    <w:rsid w:val="2056A208"/>
    <w:rsid w:val="22B4E05F"/>
    <w:rsid w:val="23EF176C"/>
    <w:rsid w:val="24BE4E2B"/>
    <w:rsid w:val="25AD48FC"/>
    <w:rsid w:val="2962CB7D"/>
    <w:rsid w:val="2A770FDE"/>
    <w:rsid w:val="2FD83D21"/>
    <w:rsid w:val="315E340F"/>
    <w:rsid w:val="333DE092"/>
    <w:rsid w:val="3F3F1789"/>
    <w:rsid w:val="43797B83"/>
    <w:rsid w:val="43A59ED3"/>
    <w:rsid w:val="4573EBBE"/>
    <w:rsid w:val="473880FE"/>
    <w:rsid w:val="49EBA05E"/>
    <w:rsid w:val="4B1A02E5"/>
    <w:rsid w:val="4DB8ACA1"/>
    <w:rsid w:val="502A4540"/>
    <w:rsid w:val="5371164E"/>
    <w:rsid w:val="53A9F03A"/>
    <w:rsid w:val="53D5F759"/>
    <w:rsid w:val="5433F519"/>
    <w:rsid w:val="54FEE6B2"/>
    <w:rsid w:val="566DF940"/>
    <w:rsid w:val="58968DF8"/>
    <w:rsid w:val="5B2D4A0A"/>
    <w:rsid w:val="5BBEF4F0"/>
    <w:rsid w:val="5CF1F131"/>
    <w:rsid w:val="62C6AB2E"/>
    <w:rsid w:val="62F6B936"/>
    <w:rsid w:val="63B25639"/>
    <w:rsid w:val="6682D1A9"/>
    <w:rsid w:val="680453B1"/>
    <w:rsid w:val="6B578E94"/>
    <w:rsid w:val="6BEF421C"/>
    <w:rsid w:val="6C6A9F2F"/>
    <w:rsid w:val="6C8AC0A2"/>
    <w:rsid w:val="72E6C359"/>
    <w:rsid w:val="72EB9CD0"/>
    <w:rsid w:val="736B3DB9"/>
    <w:rsid w:val="73753EC9"/>
    <w:rsid w:val="75DFCB50"/>
    <w:rsid w:val="77C8AEEF"/>
    <w:rsid w:val="7D993008"/>
    <w:rsid w:val="7ED1BBE4"/>
    <w:rsid w:val="7FA38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0C969D7E"/>
  <w15:chartTrackingRefBased/>
  <w15:docId w15:val="{0EE1A60F-11A7-4C06-A267-7399CBD09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F16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16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16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16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16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16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16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16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16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16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16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16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16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16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16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16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16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1645"/>
    <w:rPr>
      <w:rFonts w:eastAsiaTheme="majorEastAsia" w:cstheme="majorBidi"/>
      <w:color w:val="272727" w:themeColor="text1" w:themeTint="D8"/>
    </w:rPr>
  </w:style>
  <w:style w:type="paragraph" w:styleId="Title">
    <w:name w:val="Title"/>
    <w:basedOn w:val="Normal"/>
    <w:next w:val="Normal"/>
    <w:link w:val="TitleChar"/>
    <w:uiPriority w:val="10"/>
    <w:qFormat/>
    <w:rsid w:val="00CF16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16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16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16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1645"/>
    <w:pPr>
      <w:spacing w:before="160"/>
      <w:jc w:val="center"/>
    </w:pPr>
    <w:rPr>
      <w:i/>
      <w:iCs/>
      <w:color w:val="404040" w:themeColor="text1" w:themeTint="BF"/>
    </w:rPr>
  </w:style>
  <w:style w:type="character" w:customStyle="1" w:styleId="QuoteChar">
    <w:name w:val="Quote Char"/>
    <w:basedOn w:val="DefaultParagraphFont"/>
    <w:link w:val="Quote"/>
    <w:uiPriority w:val="29"/>
    <w:rsid w:val="00CF1645"/>
    <w:rPr>
      <w:i/>
      <w:iCs/>
      <w:color w:val="404040" w:themeColor="text1" w:themeTint="BF"/>
    </w:rPr>
  </w:style>
  <w:style w:type="paragraph" w:styleId="ListParagraph">
    <w:name w:val="List Paragraph"/>
    <w:basedOn w:val="Normal"/>
    <w:uiPriority w:val="34"/>
    <w:qFormat/>
    <w:rsid w:val="00CF1645"/>
    <w:pPr>
      <w:ind w:left="720"/>
      <w:contextualSpacing/>
    </w:pPr>
  </w:style>
  <w:style w:type="character" w:styleId="IntenseEmphasis">
    <w:name w:val="Intense Emphasis"/>
    <w:basedOn w:val="DefaultParagraphFont"/>
    <w:uiPriority w:val="21"/>
    <w:qFormat/>
    <w:rsid w:val="00CF1645"/>
    <w:rPr>
      <w:i/>
      <w:iCs/>
      <w:color w:val="0F4761" w:themeColor="accent1" w:themeShade="BF"/>
    </w:rPr>
  </w:style>
  <w:style w:type="paragraph" w:styleId="IntenseQuote">
    <w:name w:val="Intense Quote"/>
    <w:basedOn w:val="Normal"/>
    <w:next w:val="Normal"/>
    <w:link w:val="IntenseQuoteChar"/>
    <w:uiPriority w:val="30"/>
    <w:qFormat/>
    <w:rsid w:val="00CF16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1645"/>
    <w:rPr>
      <w:i/>
      <w:iCs/>
      <w:color w:val="0F4761" w:themeColor="accent1" w:themeShade="BF"/>
    </w:rPr>
  </w:style>
  <w:style w:type="character" w:styleId="IntenseReference">
    <w:name w:val="Intense Reference"/>
    <w:basedOn w:val="DefaultParagraphFont"/>
    <w:uiPriority w:val="32"/>
    <w:qFormat/>
    <w:rsid w:val="00CF1645"/>
    <w:rPr>
      <w:b/>
      <w:bCs/>
      <w:smallCaps/>
      <w:color w:val="0F4761" w:themeColor="accent1" w:themeShade="BF"/>
      <w:spacing w:val="5"/>
    </w:rPr>
  </w:style>
  <w:style w:type="character" w:styleId="Hyperlink">
    <w:name w:val="Hyperlink"/>
    <w:basedOn w:val="DefaultParagraphFont"/>
    <w:uiPriority w:val="99"/>
    <w:unhideWhenUsed/>
    <w:rsid w:val="00CF1645"/>
    <w:rPr>
      <w:color w:val="467886" w:themeColor="hyperlink"/>
      <w:u w:val="single"/>
    </w:rPr>
  </w:style>
  <w:style w:type="character" w:styleId="UnresolvedMention">
    <w:name w:val="Unresolved Mention"/>
    <w:basedOn w:val="DefaultParagraphFont"/>
    <w:uiPriority w:val="99"/>
    <w:semiHidden/>
    <w:unhideWhenUsed/>
    <w:rsid w:val="00CF1645"/>
    <w:rPr>
      <w:color w:val="605E5C"/>
      <w:shd w:val="clear" w:color="auto" w:fill="E1DFDD"/>
    </w:rPr>
  </w:style>
  <w:style w:type="paragraph" w:styleId="NormalWeb">
    <w:name w:val="Normal (Web)"/>
    <w:basedOn w:val="Normal"/>
    <w:uiPriority w:val="99"/>
    <w:semiHidden/>
    <w:unhideWhenUsed/>
    <w:rsid w:val="00363A8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6D73D1"/>
    <w:rPr>
      <w:color w:val="96607D" w:themeColor="followedHyperlink"/>
      <w:u w:val="single"/>
    </w:rPr>
  </w:style>
  <w:style w:type="paragraph" w:styleId="Footer">
    <w:name w:val="footer"/>
    <w:basedOn w:val="Normal"/>
    <w:link w:val="FooterChar"/>
    <w:uiPriority w:val="99"/>
    <w:unhideWhenUsed/>
    <w:rsid w:val="00C6722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722C"/>
  </w:style>
  <w:style w:type="character" w:styleId="PageNumber">
    <w:name w:val="page number"/>
    <w:basedOn w:val="DefaultParagraphFont"/>
    <w:uiPriority w:val="99"/>
    <w:semiHidden/>
    <w:unhideWhenUsed/>
    <w:rsid w:val="00C672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dementiastatistics.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alzheimers.org.uk/about-dementia"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who.int/news-room/fact-sheets/detail/dementia"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nice.org.uk/guidance/ng97" TargetMode="External"/><Relationship Id="rId4" Type="http://schemas.openxmlformats.org/officeDocument/2006/relationships/webSettings" Target="webSettings.xml"/><Relationship Id="rId9" Type="http://schemas.openxmlformats.org/officeDocument/2006/relationships/hyperlink" Target="https://www.gov.uk/government/publications/living-well-with-dementia-a-national-dementia-strateg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35</TotalTime>
  <Pages>9</Pages>
  <Words>2424</Words>
  <Characters>13821</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16213</CharactersWithSpaces>
  <SharedDoc>false</SharedDoc>
  <HLinks>
    <vt:vector size="30" baseType="variant">
      <vt:variant>
        <vt:i4>5570567</vt:i4>
      </vt:variant>
      <vt:variant>
        <vt:i4>12</vt:i4>
      </vt:variant>
      <vt:variant>
        <vt:i4>0</vt:i4>
      </vt:variant>
      <vt:variant>
        <vt:i4>5</vt:i4>
      </vt:variant>
      <vt:variant>
        <vt:lpwstr>https://www.who.int/news-room/fact-sheets/detail/dementia</vt:lpwstr>
      </vt:variant>
      <vt:variant>
        <vt:lpwstr/>
      </vt:variant>
      <vt:variant>
        <vt:i4>5963792</vt:i4>
      </vt:variant>
      <vt:variant>
        <vt:i4>9</vt:i4>
      </vt:variant>
      <vt:variant>
        <vt:i4>0</vt:i4>
      </vt:variant>
      <vt:variant>
        <vt:i4>5</vt:i4>
      </vt:variant>
      <vt:variant>
        <vt:lpwstr>https://www.nice.org.uk/guidance/ng97</vt:lpwstr>
      </vt:variant>
      <vt:variant>
        <vt:lpwstr/>
      </vt:variant>
      <vt:variant>
        <vt:i4>720971</vt:i4>
      </vt:variant>
      <vt:variant>
        <vt:i4>6</vt:i4>
      </vt:variant>
      <vt:variant>
        <vt:i4>0</vt:i4>
      </vt:variant>
      <vt:variant>
        <vt:i4>5</vt:i4>
      </vt:variant>
      <vt:variant>
        <vt:lpwstr>https://www.gov.uk/government/publications/living-well-with-dementia-a-national-dementia-strategy</vt:lpwstr>
      </vt:variant>
      <vt:variant>
        <vt:lpwstr/>
      </vt:variant>
      <vt:variant>
        <vt:i4>3932286</vt:i4>
      </vt:variant>
      <vt:variant>
        <vt:i4>3</vt:i4>
      </vt:variant>
      <vt:variant>
        <vt:i4>0</vt:i4>
      </vt:variant>
      <vt:variant>
        <vt:i4>5</vt:i4>
      </vt:variant>
      <vt:variant>
        <vt:lpwstr>https://www.dementiastatistics.org/</vt:lpwstr>
      </vt:variant>
      <vt:variant>
        <vt:lpwstr/>
      </vt:variant>
      <vt:variant>
        <vt:i4>5111884</vt:i4>
      </vt:variant>
      <vt:variant>
        <vt:i4>0</vt:i4>
      </vt:variant>
      <vt:variant>
        <vt:i4>0</vt:i4>
      </vt:variant>
      <vt:variant>
        <vt:i4>5</vt:i4>
      </vt:variant>
      <vt:variant>
        <vt:lpwstr>https://www.alzheimers.org.uk/about-dementia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Tamyne Summer Cossa (2507591)</dc:creator>
  <cp:keywords/>
  <dc:description/>
  <cp:lastModifiedBy>Tamyne Summer Cossa (2507591)</cp:lastModifiedBy>
  <cp:revision>3</cp:revision>
  <dcterms:created xsi:type="dcterms:W3CDTF">2026-06-05T09:54:00Z</dcterms:created>
  <dcterms:modified xsi:type="dcterms:W3CDTF">2026-06-05T10:35:00Z</dcterms:modified>
</cp:coreProperties>
</file>