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72524" w14:textId="77777777" w:rsidR="00C17C2A" w:rsidRPr="00914965" w:rsidRDefault="00C17C2A" w:rsidP="00C17C2A">
      <w:pPr>
        <w:spacing w:line="720" w:lineRule="auto"/>
        <w:ind w:left="-1020" w:right="-150"/>
        <w:rPr>
          <w:rFonts w:asciiTheme="minorHAnsi" w:eastAsiaTheme="minorEastAsia" w:hAnsiTheme="minorHAnsi"/>
          <w:sz w:val="24"/>
          <w:lang w:eastAsia="ja-JP"/>
        </w:rPr>
      </w:pPr>
      <w:r w:rsidRPr="00914965">
        <w:rPr>
          <w:b/>
          <w:bCs/>
          <w:color w:val="000000" w:themeColor="text1"/>
          <w:sz w:val="24"/>
          <w:lang w:eastAsia="ja-JP"/>
        </w:rPr>
        <w:t>Student Name                     Bertha Amoah</w:t>
      </w:r>
      <w:r w:rsidRPr="00914965">
        <w:rPr>
          <w:color w:val="000000" w:themeColor="text1"/>
          <w:sz w:val="24"/>
          <w:lang w:eastAsia="ja-JP"/>
        </w:rPr>
        <w:t xml:space="preserve"> </w:t>
      </w:r>
    </w:p>
    <w:p w14:paraId="4D58B1DD" w14:textId="77777777" w:rsidR="00C17C2A" w:rsidRPr="00914965" w:rsidRDefault="00C17C2A" w:rsidP="00C17C2A">
      <w:pPr>
        <w:spacing w:line="720" w:lineRule="auto"/>
        <w:ind w:left="-1020" w:right="-150"/>
        <w:rPr>
          <w:rFonts w:asciiTheme="minorHAnsi" w:eastAsiaTheme="minorEastAsia" w:hAnsiTheme="minorHAnsi"/>
          <w:sz w:val="24"/>
          <w:lang w:eastAsia="ja-JP"/>
        </w:rPr>
      </w:pPr>
      <w:r w:rsidRPr="00914965">
        <w:rPr>
          <w:b/>
          <w:bCs/>
          <w:color w:val="000000" w:themeColor="text1"/>
          <w:sz w:val="24"/>
          <w:lang w:eastAsia="ja-JP"/>
        </w:rPr>
        <w:t xml:space="preserve"> Student Number                 2324071</w:t>
      </w:r>
      <w:r w:rsidRPr="00914965">
        <w:rPr>
          <w:color w:val="000000" w:themeColor="text1"/>
          <w:sz w:val="24"/>
          <w:lang w:eastAsia="ja-JP"/>
        </w:rPr>
        <w:t xml:space="preserve"> </w:t>
      </w:r>
    </w:p>
    <w:p w14:paraId="5EAC58AE" w14:textId="66A00905" w:rsidR="00C17C2A" w:rsidRPr="00914965" w:rsidRDefault="00C17C2A" w:rsidP="00C17C2A">
      <w:pPr>
        <w:spacing w:line="720" w:lineRule="auto"/>
        <w:ind w:left="-1020" w:right="-150"/>
        <w:rPr>
          <w:rFonts w:asciiTheme="minorHAnsi" w:eastAsiaTheme="minorEastAsia" w:hAnsiTheme="minorHAnsi"/>
          <w:sz w:val="24"/>
          <w:lang w:eastAsia="ja-JP"/>
        </w:rPr>
      </w:pPr>
      <w:r w:rsidRPr="00914965">
        <w:rPr>
          <w:b/>
          <w:bCs/>
          <w:color w:val="000000" w:themeColor="text1"/>
          <w:sz w:val="24"/>
          <w:lang w:eastAsia="ja-JP"/>
        </w:rPr>
        <w:t xml:space="preserve"> Module Code                      BMHP</w:t>
      </w:r>
      <w:r>
        <w:rPr>
          <w:b/>
          <w:bCs/>
          <w:color w:val="000000" w:themeColor="text1"/>
          <w:sz w:val="24"/>
          <w:lang w:eastAsia="ja-JP"/>
        </w:rPr>
        <w:t>602</w:t>
      </w:r>
      <w:r w:rsidR="004C72C9">
        <w:rPr>
          <w:b/>
          <w:bCs/>
          <w:color w:val="000000" w:themeColor="text1"/>
          <w:sz w:val="24"/>
          <w:lang w:eastAsia="ja-JP"/>
        </w:rPr>
        <w:t>6</w:t>
      </w:r>
      <w:r w:rsidRPr="00914965">
        <w:rPr>
          <w:color w:val="000000" w:themeColor="text1"/>
          <w:sz w:val="24"/>
          <w:lang w:eastAsia="ja-JP"/>
        </w:rPr>
        <w:t xml:space="preserve"> </w:t>
      </w:r>
    </w:p>
    <w:p w14:paraId="14D2EC8C" w14:textId="558E3017" w:rsidR="00C17C2A" w:rsidRPr="00914965" w:rsidRDefault="00C17C2A" w:rsidP="00C17C2A">
      <w:pPr>
        <w:spacing w:line="720" w:lineRule="auto"/>
        <w:ind w:left="-1020" w:right="-150"/>
        <w:rPr>
          <w:rFonts w:asciiTheme="minorHAnsi" w:eastAsiaTheme="minorEastAsia" w:hAnsiTheme="minorHAnsi"/>
          <w:b/>
          <w:bCs/>
          <w:sz w:val="24"/>
          <w:lang w:eastAsia="ja-JP"/>
        </w:rPr>
      </w:pPr>
      <w:r w:rsidRPr="00914965">
        <w:rPr>
          <w:b/>
          <w:bCs/>
          <w:color w:val="000000" w:themeColor="text1"/>
          <w:sz w:val="24"/>
          <w:lang w:eastAsia="ja-JP"/>
        </w:rPr>
        <w:t xml:space="preserve"> Module Name                     </w:t>
      </w:r>
      <w:r w:rsidR="004D1351">
        <w:rPr>
          <w:b/>
          <w:bCs/>
          <w:color w:val="000000" w:themeColor="text1"/>
          <w:sz w:val="24"/>
          <w:lang w:eastAsia="ja-JP"/>
        </w:rPr>
        <w:t>Digital Transformatio</w:t>
      </w:r>
      <w:r w:rsidR="00FC2152">
        <w:rPr>
          <w:b/>
          <w:bCs/>
          <w:color w:val="000000" w:themeColor="text1"/>
          <w:sz w:val="24"/>
          <w:lang w:eastAsia="ja-JP"/>
        </w:rPr>
        <w:t>n in the Health and Care Professions</w:t>
      </w:r>
    </w:p>
    <w:p w14:paraId="7AC96875" w14:textId="22733CF9" w:rsidR="00C17C2A" w:rsidRPr="00914965" w:rsidRDefault="00C17C2A" w:rsidP="00C17C2A">
      <w:pPr>
        <w:spacing w:line="720" w:lineRule="auto"/>
        <w:ind w:left="-1020" w:right="-150"/>
        <w:rPr>
          <w:rFonts w:asciiTheme="minorHAnsi" w:eastAsiaTheme="minorEastAsia" w:hAnsiTheme="minorHAnsi"/>
          <w:sz w:val="24"/>
          <w:lang w:eastAsia="ja-JP"/>
        </w:rPr>
      </w:pPr>
      <w:r w:rsidRPr="00914965">
        <w:rPr>
          <w:b/>
          <w:bCs/>
          <w:color w:val="000000" w:themeColor="text1"/>
          <w:sz w:val="24"/>
          <w:lang w:eastAsia="ja-JP"/>
        </w:rPr>
        <w:t xml:space="preserve"> Assignment Title               Component</w:t>
      </w:r>
      <w:r w:rsidR="00F75967">
        <w:rPr>
          <w:b/>
          <w:bCs/>
          <w:color w:val="000000" w:themeColor="text1"/>
          <w:sz w:val="24"/>
          <w:lang w:eastAsia="ja-JP"/>
        </w:rPr>
        <w:t xml:space="preserve"> 1</w:t>
      </w:r>
      <w:r w:rsidRPr="00914965">
        <w:rPr>
          <w:b/>
          <w:bCs/>
          <w:color w:val="000000" w:themeColor="text1"/>
          <w:sz w:val="24"/>
          <w:lang w:eastAsia="ja-JP"/>
        </w:rPr>
        <w:t>:</w:t>
      </w:r>
      <w:r w:rsidRPr="007E15A4">
        <w:rPr>
          <w:b/>
          <w:bCs/>
          <w:color w:val="000000" w:themeColor="text1"/>
          <w:sz w:val="24"/>
          <w:lang w:eastAsia="ja-JP"/>
        </w:rPr>
        <w:t xml:space="preserve"> Written Assignment (</w:t>
      </w:r>
      <w:r>
        <w:rPr>
          <w:b/>
          <w:bCs/>
          <w:color w:val="000000" w:themeColor="text1"/>
          <w:sz w:val="24"/>
          <w:lang w:eastAsia="ja-JP"/>
        </w:rPr>
        <w:t>Report)</w:t>
      </w:r>
    </w:p>
    <w:p w14:paraId="1BB95A26" w14:textId="2FD36569" w:rsidR="00C17C2A" w:rsidRPr="00914965" w:rsidRDefault="00C17C2A" w:rsidP="00C17C2A">
      <w:pPr>
        <w:spacing w:line="720" w:lineRule="auto"/>
        <w:ind w:left="-1020" w:right="-150"/>
        <w:rPr>
          <w:rFonts w:asciiTheme="minorHAnsi" w:eastAsiaTheme="minorEastAsia" w:hAnsiTheme="minorHAnsi"/>
          <w:sz w:val="24"/>
          <w:lang w:eastAsia="ja-JP"/>
        </w:rPr>
      </w:pPr>
      <w:r w:rsidRPr="00914965">
        <w:rPr>
          <w:b/>
          <w:bCs/>
          <w:color w:val="000000" w:themeColor="text1"/>
          <w:sz w:val="24"/>
          <w:lang w:eastAsia="ja-JP"/>
        </w:rPr>
        <w:t xml:space="preserve"> Lecturer’s Name                </w:t>
      </w:r>
      <w:r w:rsidR="00197471">
        <w:rPr>
          <w:b/>
          <w:bCs/>
          <w:color w:val="000000" w:themeColor="text1"/>
          <w:sz w:val="24"/>
          <w:lang w:eastAsia="ja-JP"/>
        </w:rPr>
        <w:t>Z</w:t>
      </w:r>
      <w:r w:rsidR="00255653">
        <w:rPr>
          <w:b/>
          <w:bCs/>
          <w:color w:val="000000" w:themeColor="text1"/>
          <w:sz w:val="24"/>
          <w:lang w:eastAsia="ja-JP"/>
        </w:rPr>
        <w:t>akiyyah Ahmed</w:t>
      </w:r>
    </w:p>
    <w:p w14:paraId="30C43135" w14:textId="1A4CECE0" w:rsidR="00C17C2A" w:rsidRPr="00914965" w:rsidRDefault="00C17C2A" w:rsidP="00C17C2A">
      <w:pPr>
        <w:spacing w:line="720" w:lineRule="auto"/>
        <w:ind w:left="-1020" w:right="-150"/>
        <w:rPr>
          <w:b/>
          <w:bCs/>
          <w:color w:val="000000" w:themeColor="text1"/>
          <w:sz w:val="24"/>
          <w:lang w:eastAsia="ja-JP"/>
        </w:rPr>
      </w:pPr>
      <w:r w:rsidRPr="00914965">
        <w:rPr>
          <w:b/>
          <w:bCs/>
          <w:color w:val="000000" w:themeColor="text1"/>
          <w:sz w:val="24"/>
          <w:lang w:eastAsia="ja-JP"/>
        </w:rPr>
        <w:t xml:space="preserve"> Due Date                             </w:t>
      </w:r>
      <w:r w:rsidR="00B360A6">
        <w:rPr>
          <w:b/>
          <w:bCs/>
          <w:color w:val="000000" w:themeColor="text1"/>
          <w:sz w:val="24"/>
          <w:lang w:eastAsia="ja-JP"/>
        </w:rPr>
        <w:t>1</w:t>
      </w:r>
      <w:r w:rsidR="00B360A6" w:rsidRPr="00B360A6">
        <w:rPr>
          <w:b/>
          <w:bCs/>
          <w:color w:val="000000" w:themeColor="text1"/>
          <w:sz w:val="24"/>
          <w:vertAlign w:val="superscript"/>
          <w:lang w:eastAsia="ja-JP"/>
        </w:rPr>
        <w:t>st</w:t>
      </w:r>
      <w:r w:rsidR="00B360A6">
        <w:rPr>
          <w:b/>
          <w:bCs/>
          <w:color w:val="000000" w:themeColor="text1"/>
          <w:sz w:val="24"/>
          <w:lang w:eastAsia="ja-JP"/>
        </w:rPr>
        <w:t xml:space="preserve"> </w:t>
      </w:r>
      <w:r>
        <w:rPr>
          <w:b/>
          <w:bCs/>
          <w:color w:val="000000" w:themeColor="text1"/>
          <w:sz w:val="24"/>
          <w:lang w:eastAsia="ja-JP"/>
        </w:rPr>
        <w:t xml:space="preserve">March </w:t>
      </w:r>
      <w:r w:rsidRPr="00914965">
        <w:rPr>
          <w:b/>
          <w:bCs/>
          <w:color w:val="000000" w:themeColor="text1"/>
          <w:sz w:val="24"/>
          <w:lang w:eastAsia="ja-JP"/>
        </w:rPr>
        <w:t>202</w:t>
      </w:r>
      <w:r>
        <w:rPr>
          <w:b/>
          <w:bCs/>
          <w:color w:val="000000" w:themeColor="text1"/>
          <w:sz w:val="24"/>
          <w:lang w:eastAsia="ja-JP"/>
        </w:rPr>
        <w:t>6</w:t>
      </w:r>
    </w:p>
    <w:p w14:paraId="06A0A715" w14:textId="77777777" w:rsidR="0091560B" w:rsidRDefault="0091560B" w:rsidP="0091560B">
      <w:pPr>
        <w:spacing w:line="278" w:lineRule="auto"/>
        <w:jc w:val="left"/>
        <w:rPr>
          <w:b/>
          <w:bCs/>
          <w:lang w:val="en-US"/>
        </w:rPr>
      </w:pPr>
    </w:p>
    <w:p w14:paraId="0FCED996" w14:textId="77777777" w:rsidR="00410234" w:rsidRDefault="00410234" w:rsidP="0091560B">
      <w:pPr>
        <w:spacing w:line="278" w:lineRule="auto"/>
        <w:jc w:val="left"/>
        <w:rPr>
          <w:b/>
          <w:bCs/>
          <w:lang w:val="en-US"/>
        </w:rPr>
      </w:pPr>
    </w:p>
    <w:p w14:paraId="37D163EB" w14:textId="77777777" w:rsidR="00410234" w:rsidRDefault="00410234" w:rsidP="0091560B">
      <w:pPr>
        <w:spacing w:line="278" w:lineRule="auto"/>
        <w:jc w:val="left"/>
        <w:rPr>
          <w:b/>
          <w:bCs/>
          <w:lang w:val="en-US"/>
        </w:rPr>
      </w:pPr>
    </w:p>
    <w:p w14:paraId="6580466C" w14:textId="77777777" w:rsidR="00410234" w:rsidRDefault="00410234" w:rsidP="0091560B">
      <w:pPr>
        <w:spacing w:line="278" w:lineRule="auto"/>
        <w:jc w:val="left"/>
        <w:rPr>
          <w:b/>
          <w:bCs/>
          <w:lang w:val="en-US"/>
        </w:rPr>
      </w:pPr>
    </w:p>
    <w:p w14:paraId="68E8A56D" w14:textId="77777777" w:rsidR="00410234" w:rsidRDefault="00410234" w:rsidP="0091560B">
      <w:pPr>
        <w:spacing w:line="278" w:lineRule="auto"/>
        <w:jc w:val="left"/>
        <w:rPr>
          <w:b/>
          <w:bCs/>
          <w:lang w:val="en-US"/>
        </w:rPr>
      </w:pPr>
    </w:p>
    <w:p w14:paraId="093CCB8C" w14:textId="77777777" w:rsidR="00410234" w:rsidRDefault="00410234" w:rsidP="0091560B">
      <w:pPr>
        <w:spacing w:line="278" w:lineRule="auto"/>
        <w:jc w:val="left"/>
        <w:rPr>
          <w:b/>
          <w:bCs/>
          <w:lang w:val="en-US"/>
        </w:rPr>
      </w:pPr>
    </w:p>
    <w:p w14:paraId="0E59C731" w14:textId="77777777" w:rsidR="00410234" w:rsidRDefault="00410234" w:rsidP="0091560B">
      <w:pPr>
        <w:spacing w:line="278" w:lineRule="auto"/>
        <w:jc w:val="left"/>
        <w:rPr>
          <w:b/>
          <w:bCs/>
          <w:lang w:val="en-US"/>
        </w:rPr>
      </w:pPr>
    </w:p>
    <w:p w14:paraId="72BF9890" w14:textId="77777777" w:rsidR="00410234" w:rsidRDefault="00410234" w:rsidP="0091560B">
      <w:pPr>
        <w:spacing w:line="278" w:lineRule="auto"/>
        <w:jc w:val="left"/>
        <w:rPr>
          <w:b/>
          <w:bCs/>
          <w:lang w:val="en-US"/>
        </w:rPr>
      </w:pPr>
    </w:p>
    <w:p w14:paraId="0A438D3E" w14:textId="77777777" w:rsidR="00410234" w:rsidRDefault="00410234" w:rsidP="0091560B">
      <w:pPr>
        <w:spacing w:line="278" w:lineRule="auto"/>
        <w:jc w:val="left"/>
        <w:rPr>
          <w:b/>
          <w:bCs/>
          <w:lang w:val="en-US"/>
        </w:rPr>
      </w:pPr>
    </w:p>
    <w:p w14:paraId="5545BF2A" w14:textId="77777777" w:rsidR="00410234" w:rsidRDefault="00410234" w:rsidP="0091560B">
      <w:pPr>
        <w:spacing w:line="278" w:lineRule="auto"/>
        <w:jc w:val="left"/>
        <w:rPr>
          <w:b/>
          <w:bCs/>
          <w:lang w:val="en-US"/>
        </w:rPr>
      </w:pPr>
    </w:p>
    <w:p w14:paraId="3D4B819B" w14:textId="77777777" w:rsidR="00410234" w:rsidRDefault="00410234" w:rsidP="0091560B">
      <w:pPr>
        <w:spacing w:line="278" w:lineRule="auto"/>
        <w:jc w:val="left"/>
        <w:rPr>
          <w:b/>
          <w:bCs/>
          <w:lang w:val="en-US"/>
        </w:rPr>
      </w:pPr>
    </w:p>
    <w:p w14:paraId="6E4C6040" w14:textId="77777777" w:rsidR="00410234" w:rsidRDefault="00410234" w:rsidP="0091560B">
      <w:pPr>
        <w:spacing w:line="278" w:lineRule="auto"/>
        <w:jc w:val="left"/>
        <w:rPr>
          <w:b/>
          <w:bCs/>
          <w:lang w:val="en-US"/>
        </w:rPr>
      </w:pPr>
    </w:p>
    <w:p w14:paraId="6A1E68AD" w14:textId="77777777" w:rsidR="00410234" w:rsidRDefault="00410234" w:rsidP="0091560B">
      <w:pPr>
        <w:spacing w:line="278" w:lineRule="auto"/>
        <w:jc w:val="left"/>
        <w:rPr>
          <w:b/>
          <w:bCs/>
          <w:lang w:val="en-US"/>
        </w:rPr>
      </w:pPr>
    </w:p>
    <w:p w14:paraId="6A306CD4" w14:textId="77777777" w:rsidR="00410234" w:rsidRDefault="00410234" w:rsidP="0091560B">
      <w:pPr>
        <w:spacing w:line="278" w:lineRule="auto"/>
        <w:jc w:val="left"/>
        <w:rPr>
          <w:b/>
          <w:bCs/>
          <w:lang w:val="en-US"/>
        </w:rPr>
      </w:pPr>
    </w:p>
    <w:p w14:paraId="5C368BBF" w14:textId="455D1311" w:rsidR="0091560B" w:rsidRDefault="0091560B" w:rsidP="004D1351">
      <w:pPr>
        <w:spacing w:line="278" w:lineRule="auto"/>
        <w:rPr>
          <w:b/>
          <w:bCs/>
          <w:lang w:val="en-US"/>
        </w:rPr>
      </w:pPr>
    </w:p>
    <w:sdt>
      <w:sdtPr>
        <w:rPr>
          <w:rFonts w:ascii="Arial" w:eastAsiaTheme="minorHAnsi" w:hAnsi="Arial" w:cstheme="minorBidi"/>
          <w:color w:val="auto"/>
          <w:kern w:val="2"/>
          <w:sz w:val="22"/>
          <w:szCs w:val="24"/>
          <w:lang w:val="en-GB"/>
          <w14:ligatures w14:val="standardContextual"/>
        </w:rPr>
        <w:id w:val="602535465"/>
        <w:docPartObj>
          <w:docPartGallery w:val="Table of Contents"/>
          <w:docPartUnique/>
        </w:docPartObj>
      </w:sdtPr>
      <w:sdtEndPr>
        <w:rPr>
          <w:b/>
          <w:bCs/>
          <w:noProof/>
        </w:rPr>
      </w:sdtEndPr>
      <w:sdtContent>
        <w:p w14:paraId="649AC5D0" w14:textId="77777777" w:rsidR="0091560B" w:rsidRPr="00282AF1" w:rsidRDefault="0091560B" w:rsidP="0091560B">
          <w:pPr>
            <w:pStyle w:val="TOCHeading"/>
            <w:jc w:val="center"/>
            <w:rPr>
              <w:rFonts w:ascii="Arial" w:hAnsi="Arial" w:cs="Arial"/>
              <w:b/>
              <w:bCs/>
              <w:color w:val="auto"/>
            </w:rPr>
          </w:pPr>
          <w:r w:rsidRPr="00282AF1">
            <w:rPr>
              <w:rFonts w:ascii="Arial" w:hAnsi="Arial" w:cs="Arial"/>
              <w:b/>
              <w:bCs/>
              <w:color w:val="auto"/>
            </w:rPr>
            <w:t>Table of Contents</w:t>
          </w:r>
        </w:p>
        <w:p w14:paraId="20A3A22B" w14:textId="77777777" w:rsidR="0091560B" w:rsidRDefault="0091560B" w:rsidP="0091560B">
          <w:pPr>
            <w:pStyle w:val="TOC1"/>
            <w:tabs>
              <w:tab w:val="right" w:leader="dot" w:pos="9016"/>
            </w:tabs>
            <w:rPr>
              <w:noProof/>
            </w:rPr>
          </w:pPr>
          <w:r>
            <w:fldChar w:fldCharType="begin"/>
          </w:r>
          <w:r>
            <w:instrText xml:space="preserve"> TOC \o "1-3" \h \z \u </w:instrText>
          </w:r>
          <w:r>
            <w:fldChar w:fldCharType="separate"/>
          </w:r>
          <w:hyperlink w:anchor="_Toc220765221" w:history="1">
            <w:r w:rsidRPr="00A57439">
              <w:rPr>
                <w:rStyle w:val="Hyperlink"/>
                <w:noProof/>
                <w:lang w:val="en-US"/>
              </w:rPr>
              <w:t>i) Introduction</w:t>
            </w:r>
            <w:r>
              <w:rPr>
                <w:noProof/>
                <w:webHidden/>
              </w:rPr>
              <w:tab/>
            </w:r>
            <w:r>
              <w:rPr>
                <w:noProof/>
                <w:webHidden/>
              </w:rPr>
              <w:fldChar w:fldCharType="begin"/>
            </w:r>
            <w:r>
              <w:rPr>
                <w:noProof/>
                <w:webHidden/>
              </w:rPr>
              <w:instrText xml:space="preserve"> PAGEREF _Toc220765221 \h </w:instrText>
            </w:r>
            <w:r>
              <w:rPr>
                <w:noProof/>
                <w:webHidden/>
              </w:rPr>
            </w:r>
            <w:r>
              <w:rPr>
                <w:noProof/>
                <w:webHidden/>
              </w:rPr>
              <w:fldChar w:fldCharType="separate"/>
            </w:r>
            <w:r>
              <w:rPr>
                <w:noProof/>
                <w:webHidden/>
              </w:rPr>
              <w:t>3</w:t>
            </w:r>
            <w:r>
              <w:rPr>
                <w:noProof/>
                <w:webHidden/>
              </w:rPr>
              <w:fldChar w:fldCharType="end"/>
            </w:r>
          </w:hyperlink>
        </w:p>
        <w:p w14:paraId="40910AC9" w14:textId="77777777" w:rsidR="0091560B" w:rsidRDefault="0091560B" w:rsidP="0091560B">
          <w:pPr>
            <w:pStyle w:val="TOC1"/>
            <w:tabs>
              <w:tab w:val="right" w:leader="dot" w:pos="9016"/>
            </w:tabs>
            <w:rPr>
              <w:noProof/>
            </w:rPr>
          </w:pPr>
          <w:hyperlink w:anchor="_Toc220765222" w:history="1">
            <w:r w:rsidRPr="00A57439">
              <w:rPr>
                <w:rStyle w:val="Hyperlink"/>
                <w:noProof/>
                <w:lang w:val="en-IN"/>
              </w:rPr>
              <w:t>ii) Chosen Areas</w:t>
            </w:r>
            <w:r>
              <w:rPr>
                <w:noProof/>
                <w:webHidden/>
              </w:rPr>
              <w:tab/>
            </w:r>
            <w:r>
              <w:rPr>
                <w:noProof/>
                <w:webHidden/>
              </w:rPr>
              <w:fldChar w:fldCharType="begin"/>
            </w:r>
            <w:r>
              <w:rPr>
                <w:noProof/>
                <w:webHidden/>
              </w:rPr>
              <w:instrText xml:space="preserve"> PAGEREF _Toc220765222 \h </w:instrText>
            </w:r>
            <w:r>
              <w:rPr>
                <w:noProof/>
                <w:webHidden/>
              </w:rPr>
            </w:r>
            <w:r>
              <w:rPr>
                <w:noProof/>
                <w:webHidden/>
              </w:rPr>
              <w:fldChar w:fldCharType="separate"/>
            </w:r>
            <w:r>
              <w:rPr>
                <w:noProof/>
                <w:webHidden/>
              </w:rPr>
              <w:t>4</w:t>
            </w:r>
            <w:r>
              <w:rPr>
                <w:noProof/>
                <w:webHidden/>
              </w:rPr>
              <w:fldChar w:fldCharType="end"/>
            </w:r>
          </w:hyperlink>
        </w:p>
        <w:p w14:paraId="17579F95" w14:textId="77777777" w:rsidR="0091560B" w:rsidRDefault="0091560B" w:rsidP="0091560B">
          <w:pPr>
            <w:pStyle w:val="TOC2"/>
            <w:tabs>
              <w:tab w:val="right" w:leader="dot" w:pos="9016"/>
            </w:tabs>
            <w:rPr>
              <w:noProof/>
            </w:rPr>
          </w:pPr>
          <w:hyperlink w:anchor="_Toc220765223" w:history="1">
            <w:r w:rsidRPr="00A57439">
              <w:rPr>
                <w:rStyle w:val="Hyperlink"/>
                <w:noProof/>
                <w:lang w:val="en-IN"/>
              </w:rPr>
              <w:t>Workforce Area</w:t>
            </w:r>
            <w:r>
              <w:rPr>
                <w:noProof/>
                <w:webHidden/>
              </w:rPr>
              <w:tab/>
            </w:r>
            <w:r>
              <w:rPr>
                <w:noProof/>
                <w:webHidden/>
              </w:rPr>
              <w:fldChar w:fldCharType="begin"/>
            </w:r>
            <w:r>
              <w:rPr>
                <w:noProof/>
                <w:webHidden/>
              </w:rPr>
              <w:instrText xml:space="preserve"> PAGEREF _Toc220765223 \h </w:instrText>
            </w:r>
            <w:r>
              <w:rPr>
                <w:noProof/>
                <w:webHidden/>
              </w:rPr>
            </w:r>
            <w:r>
              <w:rPr>
                <w:noProof/>
                <w:webHidden/>
              </w:rPr>
              <w:fldChar w:fldCharType="separate"/>
            </w:r>
            <w:r>
              <w:rPr>
                <w:noProof/>
                <w:webHidden/>
              </w:rPr>
              <w:t>4</w:t>
            </w:r>
            <w:r>
              <w:rPr>
                <w:noProof/>
                <w:webHidden/>
              </w:rPr>
              <w:fldChar w:fldCharType="end"/>
            </w:r>
          </w:hyperlink>
        </w:p>
        <w:p w14:paraId="1791D373" w14:textId="77777777" w:rsidR="0091560B" w:rsidRDefault="0091560B" w:rsidP="0091560B">
          <w:pPr>
            <w:pStyle w:val="TOC2"/>
            <w:tabs>
              <w:tab w:val="right" w:leader="dot" w:pos="9016"/>
            </w:tabs>
            <w:rPr>
              <w:noProof/>
            </w:rPr>
          </w:pPr>
          <w:hyperlink w:anchor="_Toc220765224" w:history="1">
            <w:r w:rsidRPr="00A57439">
              <w:rPr>
                <w:rStyle w:val="Hyperlink"/>
                <w:noProof/>
                <w:lang w:val="en-US"/>
              </w:rPr>
              <w:t>Service Delivery Area</w:t>
            </w:r>
            <w:r>
              <w:rPr>
                <w:noProof/>
                <w:webHidden/>
              </w:rPr>
              <w:tab/>
            </w:r>
            <w:r>
              <w:rPr>
                <w:noProof/>
                <w:webHidden/>
              </w:rPr>
              <w:fldChar w:fldCharType="begin"/>
            </w:r>
            <w:r>
              <w:rPr>
                <w:noProof/>
                <w:webHidden/>
              </w:rPr>
              <w:instrText xml:space="preserve"> PAGEREF _Toc220765224 \h </w:instrText>
            </w:r>
            <w:r>
              <w:rPr>
                <w:noProof/>
                <w:webHidden/>
              </w:rPr>
            </w:r>
            <w:r>
              <w:rPr>
                <w:noProof/>
                <w:webHidden/>
              </w:rPr>
              <w:fldChar w:fldCharType="separate"/>
            </w:r>
            <w:r>
              <w:rPr>
                <w:noProof/>
                <w:webHidden/>
              </w:rPr>
              <w:t>6</w:t>
            </w:r>
            <w:r>
              <w:rPr>
                <w:noProof/>
                <w:webHidden/>
              </w:rPr>
              <w:fldChar w:fldCharType="end"/>
            </w:r>
          </w:hyperlink>
        </w:p>
        <w:p w14:paraId="50699EB8" w14:textId="77777777" w:rsidR="0091560B" w:rsidRDefault="0091560B" w:rsidP="0091560B">
          <w:pPr>
            <w:pStyle w:val="TOC1"/>
            <w:tabs>
              <w:tab w:val="right" w:leader="dot" w:pos="9016"/>
            </w:tabs>
            <w:rPr>
              <w:noProof/>
            </w:rPr>
          </w:pPr>
          <w:hyperlink w:anchor="_Toc220765225" w:history="1">
            <w:r w:rsidRPr="00A57439">
              <w:rPr>
                <w:rStyle w:val="Hyperlink"/>
                <w:noProof/>
                <w:lang w:val="en-US"/>
              </w:rPr>
              <w:t>iii) Conclusion and Recommendations</w:t>
            </w:r>
            <w:r>
              <w:rPr>
                <w:noProof/>
                <w:webHidden/>
              </w:rPr>
              <w:tab/>
            </w:r>
            <w:r>
              <w:rPr>
                <w:noProof/>
                <w:webHidden/>
              </w:rPr>
              <w:fldChar w:fldCharType="begin"/>
            </w:r>
            <w:r>
              <w:rPr>
                <w:noProof/>
                <w:webHidden/>
              </w:rPr>
              <w:instrText xml:space="preserve"> PAGEREF _Toc220765225 \h </w:instrText>
            </w:r>
            <w:r>
              <w:rPr>
                <w:noProof/>
                <w:webHidden/>
              </w:rPr>
            </w:r>
            <w:r>
              <w:rPr>
                <w:noProof/>
                <w:webHidden/>
              </w:rPr>
              <w:fldChar w:fldCharType="separate"/>
            </w:r>
            <w:r>
              <w:rPr>
                <w:noProof/>
                <w:webHidden/>
              </w:rPr>
              <w:t>8</w:t>
            </w:r>
            <w:r>
              <w:rPr>
                <w:noProof/>
                <w:webHidden/>
              </w:rPr>
              <w:fldChar w:fldCharType="end"/>
            </w:r>
          </w:hyperlink>
        </w:p>
        <w:p w14:paraId="7EFADEAB" w14:textId="77777777" w:rsidR="0091560B" w:rsidRDefault="0091560B" w:rsidP="0091560B">
          <w:pPr>
            <w:pStyle w:val="TOC2"/>
            <w:tabs>
              <w:tab w:val="right" w:leader="dot" w:pos="9016"/>
            </w:tabs>
            <w:rPr>
              <w:noProof/>
            </w:rPr>
          </w:pPr>
          <w:hyperlink w:anchor="_Toc220765226" w:history="1">
            <w:r w:rsidRPr="00A57439">
              <w:rPr>
                <w:rStyle w:val="Hyperlink"/>
                <w:noProof/>
                <w:lang w:val="en-US"/>
              </w:rPr>
              <w:t>Summary of Findings</w:t>
            </w:r>
            <w:r>
              <w:rPr>
                <w:noProof/>
                <w:webHidden/>
              </w:rPr>
              <w:tab/>
            </w:r>
            <w:r>
              <w:rPr>
                <w:noProof/>
                <w:webHidden/>
              </w:rPr>
              <w:fldChar w:fldCharType="begin"/>
            </w:r>
            <w:r>
              <w:rPr>
                <w:noProof/>
                <w:webHidden/>
              </w:rPr>
              <w:instrText xml:space="preserve"> PAGEREF _Toc220765226 \h </w:instrText>
            </w:r>
            <w:r>
              <w:rPr>
                <w:noProof/>
                <w:webHidden/>
              </w:rPr>
            </w:r>
            <w:r>
              <w:rPr>
                <w:noProof/>
                <w:webHidden/>
              </w:rPr>
              <w:fldChar w:fldCharType="separate"/>
            </w:r>
            <w:r>
              <w:rPr>
                <w:noProof/>
                <w:webHidden/>
              </w:rPr>
              <w:t>8</w:t>
            </w:r>
            <w:r>
              <w:rPr>
                <w:noProof/>
                <w:webHidden/>
              </w:rPr>
              <w:fldChar w:fldCharType="end"/>
            </w:r>
          </w:hyperlink>
        </w:p>
        <w:p w14:paraId="793D408D" w14:textId="77777777" w:rsidR="0091560B" w:rsidRDefault="0091560B" w:rsidP="0091560B">
          <w:pPr>
            <w:pStyle w:val="TOC2"/>
            <w:tabs>
              <w:tab w:val="right" w:leader="dot" w:pos="9016"/>
            </w:tabs>
            <w:rPr>
              <w:noProof/>
            </w:rPr>
          </w:pPr>
          <w:hyperlink w:anchor="_Toc220765227" w:history="1">
            <w:r w:rsidRPr="00A57439">
              <w:rPr>
                <w:rStyle w:val="Hyperlink"/>
                <w:noProof/>
                <w:lang w:val="en-US"/>
              </w:rPr>
              <w:t>Importance of the Recent Digital Innovation</w:t>
            </w:r>
            <w:r>
              <w:rPr>
                <w:noProof/>
                <w:webHidden/>
              </w:rPr>
              <w:tab/>
            </w:r>
            <w:r>
              <w:rPr>
                <w:noProof/>
                <w:webHidden/>
              </w:rPr>
              <w:fldChar w:fldCharType="begin"/>
            </w:r>
            <w:r>
              <w:rPr>
                <w:noProof/>
                <w:webHidden/>
              </w:rPr>
              <w:instrText xml:space="preserve"> PAGEREF _Toc220765227 \h </w:instrText>
            </w:r>
            <w:r>
              <w:rPr>
                <w:noProof/>
                <w:webHidden/>
              </w:rPr>
            </w:r>
            <w:r>
              <w:rPr>
                <w:noProof/>
                <w:webHidden/>
              </w:rPr>
              <w:fldChar w:fldCharType="separate"/>
            </w:r>
            <w:r>
              <w:rPr>
                <w:noProof/>
                <w:webHidden/>
              </w:rPr>
              <w:t>8</w:t>
            </w:r>
            <w:r>
              <w:rPr>
                <w:noProof/>
                <w:webHidden/>
              </w:rPr>
              <w:fldChar w:fldCharType="end"/>
            </w:r>
          </w:hyperlink>
        </w:p>
        <w:p w14:paraId="3DE259EF" w14:textId="77777777" w:rsidR="0091560B" w:rsidRDefault="0091560B" w:rsidP="0091560B">
          <w:pPr>
            <w:pStyle w:val="TOC2"/>
            <w:tabs>
              <w:tab w:val="right" w:leader="dot" w:pos="9016"/>
            </w:tabs>
            <w:rPr>
              <w:noProof/>
            </w:rPr>
          </w:pPr>
          <w:hyperlink w:anchor="_Toc220765228" w:history="1">
            <w:r w:rsidRPr="00A57439">
              <w:rPr>
                <w:rStyle w:val="Hyperlink"/>
                <w:noProof/>
                <w:lang w:val="en-US"/>
              </w:rPr>
              <w:t>Recommendations</w:t>
            </w:r>
            <w:r>
              <w:rPr>
                <w:noProof/>
                <w:webHidden/>
              </w:rPr>
              <w:tab/>
            </w:r>
            <w:r>
              <w:rPr>
                <w:noProof/>
                <w:webHidden/>
              </w:rPr>
              <w:fldChar w:fldCharType="begin"/>
            </w:r>
            <w:r>
              <w:rPr>
                <w:noProof/>
                <w:webHidden/>
              </w:rPr>
              <w:instrText xml:space="preserve"> PAGEREF _Toc220765228 \h </w:instrText>
            </w:r>
            <w:r>
              <w:rPr>
                <w:noProof/>
                <w:webHidden/>
              </w:rPr>
            </w:r>
            <w:r>
              <w:rPr>
                <w:noProof/>
                <w:webHidden/>
              </w:rPr>
              <w:fldChar w:fldCharType="separate"/>
            </w:r>
            <w:r>
              <w:rPr>
                <w:noProof/>
                <w:webHidden/>
              </w:rPr>
              <w:t>8</w:t>
            </w:r>
            <w:r>
              <w:rPr>
                <w:noProof/>
                <w:webHidden/>
              </w:rPr>
              <w:fldChar w:fldCharType="end"/>
            </w:r>
          </w:hyperlink>
        </w:p>
        <w:p w14:paraId="2FA0F147" w14:textId="77777777" w:rsidR="0091560B" w:rsidRDefault="0091560B" w:rsidP="0091560B">
          <w:pPr>
            <w:pStyle w:val="TOC1"/>
            <w:tabs>
              <w:tab w:val="right" w:leader="dot" w:pos="9016"/>
            </w:tabs>
            <w:rPr>
              <w:noProof/>
            </w:rPr>
          </w:pPr>
          <w:hyperlink w:anchor="_Toc220765229" w:history="1">
            <w:r w:rsidRPr="00A57439">
              <w:rPr>
                <w:rStyle w:val="Hyperlink"/>
                <w:noProof/>
                <w:lang w:val="en-US"/>
              </w:rPr>
              <w:t>iv) Reference List</w:t>
            </w:r>
            <w:r>
              <w:rPr>
                <w:noProof/>
                <w:webHidden/>
              </w:rPr>
              <w:tab/>
            </w:r>
            <w:r>
              <w:rPr>
                <w:noProof/>
                <w:webHidden/>
              </w:rPr>
              <w:fldChar w:fldCharType="begin"/>
            </w:r>
            <w:r>
              <w:rPr>
                <w:noProof/>
                <w:webHidden/>
              </w:rPr>
              <w:instrText xml:space="preserve"> PAGEREF _Toc220765229 \h </w:instrText>
            </w:r>
            <w:r>
              <w:rPr>
                <w:noProof/>
                <w:webHidden/>
              </w:rPr>
            </w:r>
            <w:r>
              <w:rPr>
                <w:noProof/>
                <w:webHidden/>
              </w:rPr>
              <w:fldChar w:fldCharType="separate"/>
            </w:r>
            <w:r>
              <w:rPr>
                <w:noProof/>
                <w:webHidden/>
              </w:rPr>
              <w:t>9</w:t>
            </w:r>
            <w:r>
              <w:rPr>
                <w:noProof/>
                <w:webHidden/>
              </w:rPr>
              <w:fldChar w:fldCharType="end"/>
            </w:r>
          </w:hyperlink>
        </w:p>
        <w:p w14:paraId="4C550743" w14:textId="77777777" w:rsidR="0091560B" w:rsidRDefault="0091560B" w:rsidP="0091560B">
          <w:r>
            <w:rPr>
              <w:b/>
              <w:bCs/>
              <w:noProof/>
            </w:rPr>
            <w:fldChar w:fldCharType="end"/>
          </w:r>
        </w:p>
      </w:sdtContent>
    </w:sdt>
    <w:p w14:paraId="75046057" w14:textId="77777777" w:rsidR="0091560B" w:rsidRDefault="0091560B" w:rsidP="0091560B">
      <w:pPr>
        <w:spacing w:line="278" w:lineRule="auto"/>
        <w:rPr>
          <w:b/>
          <w:bCs/>
          <w:lang w:val="en-US"/>
        </w:rPr>
      </w:pPr>
      <w:r>
        <w:rPr>
          <w:b/>
          <w:bCs/>
          <w:lang w:val="en-US"/>
        </w:rPr>
        <w:br w:type="page"/>
      </w:r>
    </w:p>
    <w:p w14:paraId="43F0E2FD" w14:textId="77777777" w:rsidR="0091560B" w:rsidRDefault="0091560B" w:rsidP="0091560B">
      <w:pPr>
        <w:pStyle w:val="Heading1"/>
        <w:rPr>
          <w:rFonts w:ascii="Arial" w:hAnsi="Arial" w:cs="Arial"/>
          <w:b/>
          <w:bCs/>
          <w:color w:val="auto"/>
          <w:sz w:val="24"/>
          <w:szCs w:val="24"/>
          <w:lang w:val="en-US"/>
        </w:rPr>
      </w:pPr>
      <w:bookmarkStart w:id="0" w:name="_Toc220765221"/>
      <w:r w:rsidRPr="00410234">
        <w:rPr>
          <w:rFonts w:ascii="Arial" w:hAnsi="Arial" w:cs="Arial"/>
          <w:b/>
          <w:bCs/>
          <w:color w:val="auto"/>
          <w:sz w:val="24"/>
          <w:szCs w:val="24"/>
          <w:lang w:val="en-US"/>
        </w:rPr>
        <w:lastRenderedPageBreak/>
        <w:t>i) Introduction</w:t>
      </w:r>
      <w:bookmarkEnd w:id="0"/>
    </w:p>
    <w:p w14:paraId="0BEE7D58" w14:textId="77777777" w:rsidR="00410234" w:rsidRPr="00410234" w:rsidRDefault="00410234" w:rsidP="00410234">
      <w:pPr>
        <w:rPr>
          <w:lang w:val="en-US"/>
        </w:rPr>
      </w:pPr>
    </w:p>
    <w:p w14:paraId="0B40E7A5" w14:textId="77777777" w:rsidR="0091560B" w:rsidRDefault="0091560B" w:rsidP="0091560B">
      <w:pPr>
        <w:rPr>
          <w:lang w:val="en-IN"/>
        </w:rPr>
      </w:pPr>
      <w:r w:rsidRPr="009D10BD">
        <w:rPr>
          <w:lang w:val="en-IN"/>
        </w:rPr>
        <w:t>This report will be a critical analysis of the NHS App as a failed digital innovation in the UK health care. The NHS App can also describe itself as a national digital tool, which was introduced by NHS England in 2019. This application enables patients to make use of the NHS services on their phones or tablets. Individuals will be able to book GP appointments, order repeat prescriptions, view parts of their medical records and access NHS 111 (NHS England, 2023).</w:t>
      </w:r>
    </w:p>
    <w:p w14:paraId="54034F5A" w14:textId="77777777" w:rsidR="0091560B" w:rsidRPr="00480AF3" w:rsidRDefault="0091560B" w:rsidP="0091560B">
      <w:pPr>
        <w:rPr>
          <w:lang w:val="en-IN"/>
        </w:rPr>
      </w:pPr>
      <w:r w:rsidRPr="00480AF3">
        <w:rPr>
          <w:lang w:val="en-IN"/>
        </w:rPr>
        <w:t>The NHS App is also important as it aids in transforming the health care in England online</w:t>
      </w:r>
      <w:r>
        <w:rPr>
          <w:lang w:val="en-IN"/>
        </w:rPr>
        <w:t xml:space="preserve"> (</w:t>
      </w:r>
      <w:r w:rsidRPr="008C2E8D">
        <w:rPr>
          <w:lang w:val="en-IN"/>
        </w:rPr>
        <w:t>gov.uk</w:t>
      </w:r>
      <w:r>
        <w:rPr>
          <w:lang w:val="en-IN"/>
        </w:rPr>
        <w:t>, 2025)</w:t>
      </w:r>
      <w:r w:rsidRPr="00480AF3">
        <w:rPr>
          <w:lang w:val="en-IN"/>
        </w:rPr>
        <w:t>. This app is designed to enhance efficiency, reduce pressure on services, and provide access to care for other patients. The innovation is also in line with the NHS Long Term Plan, which will engage in encouraging the use of digital-first methods when delivering the service (NHS England, 2019).</w:t>
      </w:r>
    </w:p>
    <w:p w14:paraId="1E080232" w14:textId="77777777" w:rsidR="0091560B" w:rsidRDefault="0091560B" w:rsidP="0091560B">
      <w:pPr>
        <w:rPr>
          <w:lang w:val="en-IN"/>
        </w:rPr>
      </w:pPr>
      <w:r w:rsidRPr="00480AF3">
        <w:rPr>
          <w:lang w:val="en-IN"/>
        </w:rPr>
        <w:t>This report is going to revolve around the effect of the NHS App on the workforce and service delivery. Both positive and negative results are going to be addressed. They will be provided with the evidence of research conducted in the UK, policy reports, and case studies to bring a critical assessment of this digital innovation.</w:t>
      </w:r>
    </w:p>
    <w:p w14:paraId="3448EB1E" w14:textId="77777777" w:rsidR="0091560B" w:rsidRDefault="0091560B" w:rsidP="0091560B">
      <w:pPr>
        <w:spacing w:line="278" w:lineRule="auto"/>
        <w:jc w:val="left"/>
        <w:rPr>
          <w:lang w:val="en-IN"/>
        </w:rPr>
      </w:pPr>
      <w:r>
        <w:rPr>
          <w:lang w:val="en-IN"/>
        </w:rPr>
        <w:br w:type="page"/>
      </w:r>
    </w:p>
    <w:p w14:paraId="6C70A527" w14:textId="77777777" w:rsidR="0091560B" w:rsidRPr="00410234" w:rsidRDefault="0091560B" w:rsidP="0091560B">
      <w:pPr>
        <w:pStyle w:val="Heading1"/>
        <w:rPr>
          <w:rFonts w:ascii="Arial" w:hAnsi="Arial" w:cs="Arial"/>
          <w:b/>
          <w:bCs/>
          <w:color w:val="auto"/>
          <w:sz w:val="24"/>
          <w:szCs w:val="24"/>
          <w:lang w:val="en-IN"/>
        </w:rPr>
      </w:pPr>
      <w:bookmarkStart w:id="1" w:name="_Toc220765222"/>
      <w:r w:rsidRPr="00410234">
        <w:rPr>
          <w:rFonts w:ascii="Arial" w:hAnsi="Arial" w:cs="Arial"/>
          <w:b/>
          <w:bCs/>
          <w:color w:val="auto"/>
          <w:sz w:val="24"/>
          <w:szCs w:val="24"/>
          <w:lang w:val="en-IN"/>
        </w:rPr>
        <w:lastRenderedPageBreak/>
        <w:t>ii) Chosen Areas</w:t>
      </w:r>
      <w:bookmarkEnd w:id="1"/>
    </w:p>
    <w:p w14:paraId="387CBF68" w14:textId="77777777" w:rsidR="0091560B" w:rsidRDefault="0091560B" w:rsidP="0091560B">
      <w:pPr>
        <w:rPr>
          <w:lang w:val="en-IN"/>
        </w:rPr>
      </w:pPr>
      <w:r>
        <w:rPr>
          <w:lang w:val="en-IN"/>
        </w:rPr>
        <w:t xml:space="preserve">This present section focuses on Workforce and Service Delivery areas and also discusses how the NHS App (innovation) impacts them. The benefits and challenges of this innovation will be discussed in this section. I addition, NHS England has used as a case study analysis. According to </w:t>
      </w:r>
      <w:r w:rsidRPr="007C53AD">
        <w:rPr>
          <w:lang w:val="en-IN"/>
        </w:rPr>
        <w:t>England. NHS. In the UK (</w:t>
      </w:r>
      <w:r>
        <w:rPr>
          <w:lang w:val="en-IN"/>
        </w:rPr>
        <w:t>2025</w:t>
      </w:r>
      <w:r w:rsidRPr="007C53AD">
        <w:rPr>
          <w:lang w:val="en-IN"/>
        </w:rPr>
        <w:t>)</w:t>
      </w:r>
      <w:r>
        <w:rPr>
          <w:lang w:val="en-IN"/>
        </w:rPr>
        <w:t xml:space="preserve">, the NHS App is an essential and secure digital innovation in England, with over 34 million users. </w:t>
      </w:r>
    </w:p>
    <w:p w14:paraId="24C7C489" w14:textId="77777777" w:rsidR="0091560B" w:rsidRPr="00410234" w:rsidRDefault="0091560B" w:rsidP="0091560B">
      <w:pPr>
        <w:pStyle w:val="Heading2"/>
        <w:rPr>
          <w:rFonts w:ascii="Arial" w:hAnsi="Arial" w:cs="Arial"/>
          <w:b/>
          <w:bCs/>
          <w:color w:val="auto"/>
          <w:sz w:val="24"/>
          <w:szCs w:val="24"/>
          <w:lang w:val="en-IN"/>
        </w:rPr>
      </w:pPr>
      <w:bookmarkStart w:id="2" w:name="_Toc220765223"/>
      <w:r w:rsidRPr="00410234">
        <w:rPr>
          <w:rFonts w:ascii="Arial" w:hAnsi="Arial" w:cs="Arial"/>
          <w:b/>
          <w:bCs/>
          <w:color w:val="auto"/>
          <w:sz w:val="24"/>
          <w:szCs w:val="24"/>
          <w:lang w:val="en-IN"/>
        </w:rPr>
        <w:t>Workforce Area</w:t>
      </w:r>
      <w:bookmarkEnd w:id="2"/>
      <w:r w:rsidRPr="00410234">
        <w:rPr>
          <w:rFonts w:ascii="Arial" w:hAnsi="Arial" w:cs="Arial"/>
          <w:b/>
          <w:bCs/>
          <w:color w:val="auto"/>
          <w:sz w:val="24"/>
          <w:szCs w:val="24"/>
          <w:lang w:val="en-IN"/>
        </w:rPr>
        <w:t xml:space="preserve"> </w:t>
      </w:r>
    </w:p>
    <w:p w14:paraId="1ECB87C0" w14:textId="77777777" w:rsidR="0091560B" w:rsidRPr="00282AF1" w:rsidRDefault="0091560B" w:rsidP="0091560B">
      <w:pPr>
        <w:rPr>
          <w:b/>
          <w:bCs/>
          <w:lang w:val="en-IN"/>
        </w:rPr>
      </w:pPr>
      <w:r w:rsidRPr="00282AF1">
        <w:rPr>
          <w:b/>
          <w:bCs/>
          <w:lang w:val="en-IN"/>
        </w:rPr>
        <w:t xml:space="preserve">Changes to Job Roles </w:t>
      </w:r>
    </w:p>
    <w:p w14:paraId="01238B46" w14:textId="77777777" w:rsidR="0091560B" w:rsidRPr="0009274F" w:rsidRDefault="0091560B" w:rsidP="0091560B">
      <w:pPr>
        <w:rPr>
          <w:lang w:val="en-IN"/>
        </w:rPr>
      </w:pPr>
      <w:r w:rsidRPr="0009274F">
        <w:rPr>
          <w:lang w:val="en-IN"/>
        </w:rPr>
        <w:t>The advent of the NHS App has also transformed the job descriptions in the primary and secondary care within England</w:t>
      </w:r>
      <w:r>
        <w:rPr>
          <w:lang w:val="en-IN"/>
        </w:rPr>
        <w:t xml:space="preserve"> (</w:t>
      </w:r>
      <w:r w:rsidRPr="008C2E8D">
        <w:rPr>
          <w:lang w:val="en-IN"/>
        </w:rPr>
        <w:t>Reidy</w:t>
      </w:r>
      <w:r>
        <w:rPr>
          <w:lang w:val="en-IN"/>
        </w:rPr>
        <w:t xml:space="preserve"> </w:t>
      </w:r>
      <w:r w:rsidRPr="00B060F2">
        <w:rPr>
          <w:i/>
          <w:iCs/>
          <w:lang w:val="en-IN"/>
        </w:rPr>
        <w:t>et al</w:t>
      </w:r>
      <w:r>
        <w:rPr>
          <w:lang w:val="en-IN"/>
        </w:rPr>
        <w:t>., 2025)</w:t>
      </w:r>
      <w:r w:rsidRPr="0009274F">
        <w:rPr>
          <w:lang w:val="en-IN"/>
        </w:rPr>
        <w:t>. The GP practise administrative personnel have also found that administrative processes like appointment booking and processing repeat prescriptions have also been reduced because, in many cases, these processes are now done by the patient digitally. According to NHS England (2023), the number of NHS App users has topped 30 million people, as a result of which the demand has been redirected to online services, namely NHS apps. The transformation has enabled certain employees to pay more attention to multifaceted patient questions and the coordination of care. The task of administrative interaction face-to-face has, however, also raised issues of role deskilling and job insecurity, especially for reception and clerical workers. Although it might enhance efficiency, digitalisation is likely to underestimate the role of relational and gatekeeping of frontline administrative employees.</w:t>
      </w:r>
    </w:p>
    <w:p w14:paraId="4BA2AA96" w14:textId="27913007" w:rsidR="0091560B" w:rsidRDefault="0091560B" w:rsidP="0091560B">
      <w:pPr>
        <w:rPr>
          <w:lang w:val="en-IN"/>
        </w:rPr>
      </w:pPr>
      <w:r w:rsidRPr="0009274F">
        <w:rPr>
          <w:lang w:val="en-IN"/>
        </w:rPr>
        <w:t xml:space="preserve">Clinical functions have changed as well. Nurses and general practitioners communicate with patients </w:t>
      </w:r>
      <w:r w:rsidR="00521A1F" w:rsidRPr="0009274F">
        <w:rPr>
          <w:lang w:val="en-IN"/>
        </w:rPr>
        <w:t>increasingly</w:t>
      </w:r>
      <w:r w:rsidRPr="0009274F">
        <w:rPr>
          <w:lang w:val="en-IN"/>
        </w:rPr>
        <w:t xml:space="preserve"> with the help of digital records and requests created by apps</w:t>
      </w:r>
      <w:r>
        <w:rPr>
          <w:lang w:val="en-IN"/>
        </w:rPr>
        <w:t xml:space="preserve"> (</w:t>
      </w:r>
      <w:r w:rsidRPr="00AE49B7">
        <w:t>Lloyd</w:t>
      </w:r>
      <w:r>
        <w:t xml:space="preserve"> </w:t>
      </w:r>
      <w:r w:rsidRPr="00B060F2">
        <w:rPr>
          <w:i/>
          <w:iCs/>
        </w:rPr>
        <w:t>et al</w:t>
      </w:r>
      <w:r>
        <w:t>., 2024)</w:t>
      </w:r>
      <w:r w:rsidRPr="0009274F">
        <w:rPr>
          <w:lang w:val="en-IN"/>
        </w:rPr>
        <w:t>. This has facilitated quicker provision of patient information, though it has added to the sense of workload. Research indicates that digitising may not necessarily shrink demand but may transcribe it, whereby clinicians carry more electronic requests that need professional acumen (</w:t>
      </w:r>
      <w:r w:rsidRPr="00AE49B7">
        <w:rPr>
          <w:lang w:val="en-IN"/>
        </w:rPr>
        <w:t>Chawla</w:t>
      </w:r>
      <w:r w:rsidRPr="0009274F">
        <w:rPr>
          <w:lang w:val="en-IN"/>
        </w:rPr>
        <w:t xml:space="preserve"> </w:t>
      </w:r>
      <w:r w:rsidRPr="00B060F2">
        <w:rPr>
          <w:i/>
          <w:iCs/>
          <w:lang w:val="en-IN"/>
        </w:rPr>
        <w:t>et al</w:t>
      </w:r>
      <w:r w:rsidRPr="0009274F">
        <w:rPr>
          <w:lang w:val="en-IN"/>
        </w:rPr>
        <w:t>., 202</w:t>
      </w:r>
      <w:r>
        <w:rPr>
          <w:lang w:val="en-IN"/>
        </w:rPr>
        <w:t>3</w:t>
      </w:r>
      <w:r w:rsidRPr="0009274F">
        <w:rPr>
          <w:lang w:val="en-IN"/>
        </w:rPr>
        <w:t>).</w:t>
      </w:r>
    </w:p>
    <w:p w14:paraId="3A771223" w14:textId="77777777" w:rsidR="0091560B" w:rsidRPr="00282AF1" w:rsidRDefault="0091560B" w:rsidP="0091560B">
      <w:pPr>
        <w:rPr>
          <w:b/>
          <w:bCs/>
          <w:lang w:val="en-IN"/>
        </w:rPr>
      </w:pPr>
      <w:r w:rsidRPr="00282AF1">
        <w:rPr>
          <w:b/>
          <w:bCs/>
          <w:lang w:val="en-IN"/>
        </w:rPr>
        <w:t xml:space="preserve">Skills, Training, and Role Competency </w:t>
      </w:r>
    </w:p>
    <w:p w14:paraId="04FF9F43" w14:textId="7D31F767" w:rsidR="0091560B" w:rsidRDefault="0091560B" w:rsidP="0091560B">
      <w:r w:rsidRPr="0034639A">
        <w:t xml:space="preserve">The NHS App has raised the demand for digital skills in the workforce. The staff have now been required to know how to operate apps, assist patients who have issues accessing the apps, and handle electronically generated data. According to NHS Digital (2024), </w:t>
      </w:r>
      <w:r>
        <w:t xml:space="preserve">NHS England has also </w:t>
      </w:r>
      <w:r w:rsidR="00521A1F">
        <w:t>invested</w:t>
      </w:r>
      <w:r>
        <w:t xml:space="preserve"> on the digital capability framework along with the training programmes to support and develop the transition</w:t>
      </w:r>
      <w:r w:rsidRPr="0034639A">
        <w:t>. This notwithstanding, digital confidence is skewed. According to the findings of the NHS Digital Workforce Survey (2022), it was concluded that fifty-eight percent of NHS workers were sufficiently trained to effectively deploy digital technologies in their roles.</w:t>
      </w:r>
    </w:p>
    <w:p w14:paraId="5D8D78F2" w14:textId="77777777" w:rsidR="0091560B" w:rsidRDefault="0091560B" w:rsidP="0091560B">
      <w:r w:rsidRPr="0034639A">
        <w:lastRenderedPageBreak/>
        <w:t xml:space="preserve">This is one of the weaknesses of the innovation, which can be evidenced by this skills gap. Training and deployment processes have mostly been adopted as one, and the result has been learning as a reaction, which becomes frustrating. It might be especially felt by older employees and non-clinical personnel, with digital inequalities reinforced in the workforce. </w:t>
      </w:r>
      <w:r w:rsidRPr="00735768">
        <w:t xml:space="preserve">Employees who are digitally confident on the other hand are able to have job satisfaction and career development opportunities (Papageorgiou </w:t>
      </w:r>
      <w:r w:rsidRPr="00CF180B">
        <w:rPr>
          <w:i/>
          <w:iCs/>
        </w:rPr>
        <w:t>et al.,</w:t>
      </w:r>
      <w:r w:rsidRPr="00735768">
        <w:t xml:space="preserve"> 2025). The imbalance in the benefits suggests that the NHS App will assist in the modernisation of workforce, but long-term and extensive training policies would be essential in order to make it successful.</w:t>
      </w:r>
    </w:p>
    <w:p w14:paraId="1765D12E" w14:textId="77777777" w:rsidR="0091560B" w:rsidRPr="00282AF1" w:rsidRDefault="0091560B" w:rsidP="0091560B">
      <w:pPr>
        <w:rPr>
          <w:b/>
          <w:bCs/>
          <w:lang w:val="en-IN"/>
        </w:rPr>
      </w:pPr>
      <w:r w:rsidRPr="00282AF1">
        <w:rPr>
          <w:b/>
          <w:bCs/>
          <w:lang w:val="en-IN"/>
        </w:rPr>
        <w:t xml:space="preserve">Benefits and Challenges for the Workforce </w:t>
      </w:r>
    </w:p>
    <w:p w14:paraId="38168F74" w14:textId="77777777" w:rsidR="0091560B" w:rsidRPr="00620055" w:rsidRDefault="0091560B" w:rsidP="0091560B">
      <w:pPr>
        <w:rPr>
          <w:lang w:val="en-US"/>
        </w:rPr>
      </w:pPr>
      <w:r w:rsidRPr="00620055">
        <w:rPr>
          <w:lang w:val="en-US"/>
        </w:rPr>
        <w:t>Enhanced efficiency is one of the primary advantages of the NHS App to the workforce. Robotic processes guarantee less duplication and minimise management. According to NHS England, millions of man-hours have been saved each year with the help of digital tools, such as the NHS App, which has reduced unwarranted appointments and paperwork (NHS England, 2023). Clinical safety and accuracy are also achieved by access to current patient information.</w:t>
      </w:r>
    </w:p>
    <w:p w14:paraId="548A2264" w14:textId="77777777" w:rsidR="0091560B" w:rsidRPr="00620055" w:rsidRDefault="0091560B" w:rsidP="0091560B">
      <w:pPr>
        <w:rPr>
          <w:lang w:val="en-US"/>
        </w:rPr>
      </w:pPr>
      <w:r w:rsidRPr="00620055">
        <w:rPr>
          <w:lang w:val="en-US"/>
        </w:rPr>
        <w:t xml:space="preserve">Nevertheless, these advantages are disputable. Opponents believe that the efficiency gain does not necessarily come at the front line. </w:t>
      </w:r>
      <w:r>
        <w:rPr>
          <w:lang w:val="en-US"/>
        </w:rPr>
        <w:t>Users</w:t>
      </w:r>
      <w:r w:rsidRPr="00620055">
        <w:rPr>
          <w:lang w:val="en-US"/>
        </w:rPr>
        <w:t>' demands can be higher, and the staff may be under additional pressure due to the enhanced access of patients instead of decreasing the pressure. Resistance to change can also be traced, especially in cases when employees believe that technologies are being forced upon them without sufficient consultation. Resistance does not merely denote the unwillingness, but could be the validity of workload, data control, and patient security.</w:t>
      </w:r>
    </w:p>
    <w:p w14:paraId="52563A95" w14:textId="3F3AD0A4" w:rsidR="0091560B" w:rsidRDefault="0091560B" w:rsidP="0091560B">
      <w:pPr>
        <w:rPr>
          <w:lang w:val="en-US"/>
        </w:rPr>
      </w:pPr>
      <w:r w:rsidRPr="001D6071">
        <w:rPr>
          <w:lang w:val="en-US"/>
        </w:rPr>
        <w:t xml:space="preserve">Relatively, NHS England presents NHS App as a workforce transformation, whereas professional organizations such as the British Medical Association have requested a more realistic analysis of the effects of digital workload (england.nhs.uk, 2023). This oppression demonstrates the appeal of moderately applied implementation that should consider not only the </w:t>
      </w:r>
      <w:r w:rsidR="00410234" w:rsidRPr="001D6071">
        <w:rPr>
          <w:lang w:val="en-US"/>
        </w:rPr>
        <w:t>organizational</w:t>
      </w:r>
      <w:r w:rsidRPr="001D6071">
        <w:rPr>
          <w:lang w:val="en-US"/>
        </w:rPr>
        <w:t xml:space="preserve"> goals but also the welfare of employees.</w:t>
      </w:r>
      <w:r w:rsidRPr="00620055">
        <w:rPr>
          <w:lang w:val="en-US"/>
        </w:rPr>
        <w:t xml:space="preserve"> In general, the NHS App has reconfigured the population of the workforce and skill needs beyond repair. It has its advantages in efficacy and information access, and its disadvantages are in the imbalance of training, distortion of the roles, and a rise in digital workload. An essential workforce strategy approach should consider such issues to secure a green digital implementation</w:t>
      </w:r>
      <w:r>
        <w:rPr>
          <w:lang w:val="en-US"/>
        </w:rPr>
        <w:t xml:space="preserve"> (</w:t>
      </w:r>
      <w:r w:rsidRPr="00AE49B7">
        <w:t>Leesakul</w:t>
      </w:r>
      <w:r>
        <w:t xml:space="preserve"> </w:t>
      </w:r>
      <w:r w:rsidRPr="009C4633">
        <w:rPr>
          <w:i/>
          <w:iCs/>
        </w:rPr>
        <w:t>et al</w:t>
      </w:r>
      <w:r>
        <w:t>., 2022)</w:t>
      </w:r>
      <w:r w:rsidRPr="00620055">
        <w:rPr>
          <w:lang w:val="en-US"/>
        </w:rPr>
        <w:t>.</w:t>
      </w:r>
    </w:p>
    <w:p w14:paraId="14998C56" w14:textId="77777777" w:rsidR="00410234" w:rsidRDefault="00410234" w:rsidP="0091560B">
      <w:pPr>
        <w:pStyle w:val="Heading2"/>
        <w:rPr>
          <w:rFonts w:ascii="Arial" w:hAnsi="Arial" w:cs="Arial"/>
          <w:b/>
          <w:bCs/>
          <w:color w:val="auto"/>
          <w:sz w:val="24"/>
          <w:szCs w:val="24"/>
          <w:lang w:val="en-US"/>
        </w:rPr>
      </w:pPr>
      <w:bookmarkStart w:id="3" w:name="_Toc220765224"/>
    </w:p>
    <w:p w14:paraId="51124151" w14:textId="382F95FB" w:rsidR="0091560B" w:rsidRPr="00410234" w:rsidRDefault="0091560B" w:rsidP="0091560B">
      <w:pPr>
        <w:pStyle w:val="Heading2"/>
        <w:rPr>
          <w:rFonts w:ascii="Arial" w:hAnsi="Arial" w:cs="Arial"/>
          <w:b/>
          <w:bCs/>
          <w:color w:val="auto"/>
          <w:sz w:val="24"/>
          <w:szCs w:val="24"/>
          <w:lang w:val="en-US"/>
        </w:rPr>
      </w:pPr>
      <w:r w:rsidRPr="00410234">
        <w:rPr>
          <w:rFonts w:ascii="Arial" w:hAnsi="Arial" w:cs="Arial"/>
          <w:b/>
          <w:bCs/>
          <w:color w:val="auto"/>
          <w:sz w:val="24"/>
          <w:szCs w:val="24"/>
          <w:lang w:val="en-US"/>
        </w:rPr>
        <w:t>Service Delivery Area</w:t>
      </w:r>
      <w:bookmarkEnd w:id="3"/>
      <w:r w:rsidRPr="00410234">
        <w:rPr>
          <w:rFonts w:ascii="Arial" w:hAnsi="Arial" w:cs="Arial"/>
          <w:b/>
          <w:bCs/>
          <w:color w:val="auto"/>
          <w:sz w:val="24"/>
          <w:szCs w:val="24"/>
          <w:lang w:val="en-US"/>
        </w:rPr>
        <w:t xml:space="preserve"> </w:t>
      </w:r>
    </w:p>
    <w:p w14:paraId="44609C70" w14:textId="77777777" w:rsidR="0091560B" w:rsidRPr="00282AF1" w:rsidRDefault="0091560B" w:rsidP="0091560B">
      <w:pPr>
        <w:rPr>
          <w:b/>
          <w:bCs/>
          <w:lang w:val="en-US"/>
        </w:rPr>
      </w:pPr>
      <w:r w:rsidRPr="00282AF1">
        <w:rPr>
          <w:b/>
          <w:bCs/>
          <w:lang w:val="en-US"/>
        </w:rPr>
        <w:t xml:space="preserve">Changes in Workflows </w:t>
      </w:r>
    </w:p>
    <w:p w14:paraId="495E50A0" w14:textId="0E1D08E9" w:rsidR="0091560B" w:rsidRPr="00D51E73" w:rsidRDefault="0091560B" w:rsidP="0091560B">
      <w:pPr>
        <w:rPr>
          <w:lang w:val="en-US"/>
        </w:rPr>
      </w:pPr>
      <w:r w:rsidRPr="00D51E73">
        <w:rPr>
          <w:lang w:val="en-US"/>
        </w:rPr>
        <w:t>The NHS App transformed the service delivery processes in NHS England. A lot of ordinary businesses are being done online</w:t>
      </w:r>
      <w:r>
        <w:rPr>
          <w:lang w:val="en-US"/>
        </w:rPr>
        <w:t xml:space="preserve"> (</w:t>
      </w:r>
      <w:r w:rsidRPr="005F1C6D">
        <w:t>Gurstein and Wyatt</w:t>
      </w:r>
      <w:r>
        <w:t>, 2023)</w:t>
      </w:r>
      <w:r w:rsidRPr="00D51E73">
        <w:rPr>
          <w:lang w:val="en-US"/>
        </w:rPr>
        <w:t xml:space="preserve">. Patients </w:t>
      </w:r>
      <w:r w:rsidR="00521A1F" w:rsidRPr="00D51E73">
        <w:rPr>
          <w:lang w:val="en-US"/>
        </w:rPr>
        <w:t>can</w:t>
      </w:r>
      <w:r w:rsidRPr="00D51E73">
        <w:rPr>
          <w:lang w:val="en-US"/>
        </w:rPr>
        <w:t xml:space="preserve"> make GP appointments and order repeat prescriptions, as well as see test results without calling the practice. This has </w:t>
      </w:r>
      <w:r w:rsidR="00410234" w:rsidRPr="00D51E73">
        <w:rPr>
          <w:lang w:val="en-US"/>
        </w:rPr>
        <w:t>minimized</w:t>
      </w:r>
      <w:r w:rsidRPr="00D51E73">
        <w:rPr>
          <w:lang w:val="en-US"/>
        </w:rPr>
        <w:t xml:space="preserve"> the use of phone calls and face-to-face visits. According to the NHS England (2023), the NHS App helped more than 500 million users to gain access to the system in a single year. This is a significant change in access to services.</w:t>
      </w:r>
    </w:p>
    <w:p w14:paraId="4247DF18" w14:textId="732FD451" w:rsidR="0091560B" w:rsidRPr="00D51E73" w:rsidRDefault="0091560B" w:rsidP="0091560B">
      <w:pPr>
        <w:rPr>
          <w:lang w:val="en-US"/>
        </w:rPr>
      </w:pPr>
      <w:r w:rsidRPr="00D51E73">
        <w:rPr>
          <w:lang w:val="en-US"/>
        </w:rPr>
        <w:t>To handle digital requests, GP practices have changed their workflows. The processes have been simplified with online booking of appointments and prescription orders</w:t>
      </w:r>
      <w:r>
        <w:rPr>
          <w:lang w:val="en-US"/>
        </w:rPr>
        <w:t xml:space="preserve"> (</w:t>
      </w:r>
      <w:r w:rsidRPr="005F1C6D">
        <w:rPr>
          <w:lang w:val="en-IN"/>
        </w:rPr>
        <w:t>Motulsky</w:t>
      </w:r>
      <w:r>
        <w:rPr>
          <w:lang w:val="en-IN"/>
        </w:rPr>
        <w:t xml:space="preserve"> </w:t>
      </w:r>
      <w:r w:rsidRPr="00226E2E">
        <w:rPr>
          <w:i/>
          <w:iCs/>
          <w:lang w:val="en-IN"/>
        </w:rPr>
        <w:t>et al</w:t>
      </w:r>
      <w:r>
        <w:rPr>
          <w:lang w:val="en-IN"/>
        </w:rPr>
        <w:t>., 2023)</w:t>
      </w:r>
      <w:r w:rsidRPr="00D51E73">
        <w:rPr>
          <w:lang w:val="en-US"/>
        </w:rPr>
        <w:t xml:space="preserve">. But this has not eliminated the workload. Rather, work has not been confined to reception desks but to a digital triage system. Employees are now expected to attend to online requests in addition to conventional services. This </w:t>
      </w:r>
      <w:r w:rsidR="00410234" w:rsidRPr="00D51E73">
        <w:rPr>
          <w:lang w:val="en-US"/>
        </w:rPr>
        <w:t>system</w:t>
      </w:r>
      <w:r w:rsidRPr="00D51E73">
        <w:rPr>
          <w:lang w:val="en-US"/>
        </w:rPr>
        <w:t xml:space="preserve"> can add complexity, particularly in under-resourced practices. </w:t>
      </w:r>
    </w:p>
    <w:p w14:paraId="5A4674CF" w14:textId="77777777" w:rsidR="0091560B" w:rsidRPr="00282AF1" w:rsidRDefault="0091560B" w:rsidP="0091560B">
      <w:pPr>
        <w:rPr>
          <w:b/>
          <w:bCs/>
          <w:lang w:val="en-US"/>
        </w:rPr>
      </w:pPr>
      <w:r w:rsidRPr="00282AF1">
        <w:rPr>
          <w:b/>
          <w:bCs/>
          <w:lang w:val="en-US"/>
        </w:rPr>
        <w:t xml:space="preserve">Communication and Information Sharing </w:t>
      </w:r>
    </w:p>
    <w:p w14:paraId="5BFC01EA" w14:textId="0A407E6E" w:rsidR="0091560B" w:rsidRPr="00D51E73" w:rsidRDefault="0091560B" w:rsidP="0091560B">
      <w:pPr>
        <w:rPr>
          <w:lang w:val="en-US"/>
        </w:rPr>
      </w:pPr>
      <w:r w:rsidRPr="00D51E73">
        <w:rPr>
          <w:lang w:val="en-US"/>
        </w:rPr>
        <w:t xml:space="preserve">The NHS App has enhanced </w:t>
      </w:r>
      <w:r w:rsidR="00410234" w:rsidRPr="00D51E73">
        <w:rPr>
          <w:lang w:val="en-US"/>
        </w:rPr>
        <w:t>communication</w:t>
      </w:r>
      <w:r w:rsidRPr="00D51E73">
        <w:rPr>
          <w:lang w:val="en-US"/>
        </w:rPr>
        <w:t xml:space="preserve"> between services and patients</w:t>
      </w:r>
      <w:r>
        <w:rPr>
          <w:lang w:val="en-US"/>
        </w:rPr>
        <w:t xml:space="preserve"> (</w:t>
      </w:r>
      <w:r w:rsidRPr="005F1C6D">
        <w:rPr>
          <w:lang w:val="en-IN"/>
        </w:rPr>
        <w:t>Russell</w:t>
      </w:r>
      <w:r>
        <w:rPr>
          <w:lang w:val="en-IN"/>
        </w:rPr>
        <w:t xml:space="preserve"> </w:t>
      </w:r>
      <w:r w:rsidRPr="00226E2E">
        <w:rPr>
          <w:i/>
          <w:iCs/>
          <w:lang w:val="en-IN"/>
        </w:rPr>
        <w:t>et al.</w:t>
      </w:r>
      <w:r>
        <w:rPr>
          <w:lang w:val="en-IN"/>
        </w:rPr>
        <w:t>, 2025)</w:t>
      </w:r>
      <w:r w:rsidRPr="00D51E73">
        <w:rPr>
          <w:lang w:val="en-US"/>
        </w:rPr>
        <w:t xml:space="preserve">. The patients may obtain </w:t>
      </w:r>
      <w:r w:rsidR="00410234" w:rsidRPr="00D51E73">
        <w:rPr>
          <w:lang w:val="en-US"/>
        </w:rPr>
        <w:t>messages</w:t>
      </w:r>
      <w:r w:rsidRPr="00D51E73">
        <w:rPr>
          <w:lang w:val="en-US"/>
        </w:rPr>
        <w:t xml:space="preserve">, notifications, and reminders on the app itself. This helps </w:t>
      </w:r>
      <w:r w:rsidR="00410234" w:rsidRPr="00D51E73">
        <w:rPr>
          <w:lang w:val="en-US"/>
        </w:rPr>
        <w:t>with</w:t>
      </w:r>
      <w:r w:rsidRPr="00D51E73">
        <w:rPr>
          <w:lang w:val="en-US"/>
        </w:rPr>
        <w:t xml:space="preserve"> increasing the speed of sharing information and </w:t>
      </w:r>
      <w:r w:rsidR="00410234" w:rsidRPr="00D51E73">
        <w:rPr>
          <w:lang w:val="en-US"/>
        </w:rPr>
        <w:t>minimizing</w:t>
      </w:r>
      <w:r w:rsidRPr="00D51E73">
        <w:rPr>
          <w:lang w:val="en-US"/>
        </w:rPr>
        <w:t xml:space="preserve"> missed appointments. The NHS England estimates that the use of the digital reminder helps to decrease non-attendance, which costs the NHS approximately 1 billion annually.</w:t>
      </w:r>
    </w:p>
    <w:p w14:paraId="6DE24A3E" w14:textId="77777777" w:rsidR="0091560B" w:rsidRDefault="0091560B" w:rsidP="0091560B">
      <w:pPr>
        <w:rPr>
          <w:lang w:val="en-US"/>
        </w:rPr>
      </w:pPr>
      <w:r w:rsidRPr="00D51E73">
        <w:rPr>
          <w:lang w:val="en-US"/>
        </w:rPr>
        <w:t>The personal health information can be accessed better with the help of the app. Patients are able to see the elements of their GP record, such as allergies and drugs</w:t>
      </w:r>
      <w:r>
        <w:rPr>
          <w:lang w:val="en-US"/>
        </w:rPr>
        <w:t xml:space="preserve"> (</w:t>
      </w:r>
      <w:r w:rsidRPr="005F1C6D">
        <w:t>Grey</w:t>
      </w:r>
      <w:r>
        <w:t xml:space="preserve"> </w:t>
      </w:r>
      <w:r w:rsidRPr="00EF20FE">
        <w:rPr>
          <w:i/>
          <w:iCs/>
        </w:rPr>
        <w:t>et al.,</w:t>
      </w:r>
      <w:r>
        <w:t xml:space="preserve"> 2023)</w:t>
      </w:r>
      <w:r w:rsidRPr="00D51E73">
        <w:rPr>
          <w:lang w:val="en-US"/>
        </w:rPr>
        <w:t>. This undergoes transparency and patient participation. Informed patients can become more productive in terms of care. Nevertheless, this transformation generates dilemmas, as well. Clinicians complain about more patient requests regarding the test results that have been viewed without clarification. This may cause anxiety and additional follow-ups. Communication can be accelerated, but it is not necessarily clarified.</w:t>
      </w:r>
    </w:p>
    <w:p w14:paraId="1D471D5E" w14:textId="77777777" w:rsidR="0091560B" w:rsidRPr="00282AF1" w:rsidRDefault="0091560B" w:rsidP="0091560B">
      <w:pPr>
        <w:rPr>
          <w:b/>
          <w:bCs/>
          <w:lang w:val="en-US"/>
        </w:rPr>
      </w:pPr>
      <w:r w:rsidRPr="00282AF1">
        <w:rPr>
          <w:b/>
          <w:bCs/>
          <w:lang w:val="en-US"/>
        </w:rPr>
        <w:t xml:space="preserve">Efficiency and System Performance </w:t>
      </w:r>
    </w:p>
    <w:p w14:paraId="4C3E67E7" w14:textId="77777777" w:rsidR="0091560B" w:rsidRPr="006A75EC" w:rsidRDefault="0091560B" w:rsidP="0091560B">
      <w:pPr>
        <w:rPr>
          <w:lang w:val="en-US"/>
        </w:rPr>
      </w:pPr>
      <w:r w:rsidRPr="006A75EC">
        <w:rPr>
          <w:lang w:val="en-US"/>
        </w:rPr>
        <w:t>Digital access is aimed at improving the efficiency of the NHS and relieving the burden on front-line services</w:t>
      </w:r>
      <w:r>
        <w:rPr>
          <w:lang w:val="en-US"/>
        </w:rPr>
        <w:t xml:space="preserve"> (</w:t>
      </w:r>
      <w:r w:rsidRPr="005F1C6D">
        <w:t>Grey</w:t>
      </w:r>
      <w:r>
        <w:t xml:space="preserve"> </w:t>
      </w:r>
      <w:r w:rsidRPr="00CC27BB">
        <w:rPr>
          <w:i/>
          <w:iCs/>
        </w:rPr>
        <w:t>et al.,</w:t>
      </w:r>
      <w:r>
        <w:t xml:space="preserve"> 2023)</w:t>
      </w:r>
      <w:r w:rsidRPr="006A75EC">
        <w:rPr>
          <w:lang w:val="en-US"/>
        </w:rPr>
        <w:t xml:space="preserve">. According to NHS England (2023), the application has contributed to the elimination of both unnecessary GP appointments and administrative </w:t>
      </w:r>
      <w:r w:rsidRPr="006A75EC">
        <w:rPr>
          <w:lang w:val="en-US"/>
        </w:rPr>
        <w:lastRenderedPageBreak/>
        <w:t>processing. To date, millions of transactions are made every month through the adoption of online prescription ordering.</w:t>
      </w:r>
    </w:p>
    <w:p w14:paraId="1124F112" w14:textId="6F9223AB" w:rsidR="0091560B" w:rsidRPr="006A75EC" w:rsidRDefault="0091560B" w:rsidP="0091560B">
      <w:pPr>
        <w:rPr>
          <w:lang w:val="en-US"/>
        </w:rPr>
      </w:pPr>
      <w:r w:rsidRPr="006A75EC">
        <w:rPr>
          <w:lang w:val="en-US"/>
        </w:rPr>
        <w:t xml:space="preserve">Though there are practices that record time saving, others show an escalated demand. More frequent contact with services can be stimulated with easier access. This is referred to as the supply-induced demand. Digital tools can thus result in efficiency </w:t>
      </w:r>
      <w:r w:rsidR="00521A1F" w:rsidRPr="006A75EC">
        <w:rPr>
          <w:lang w:val="en-US"/>
        </w:rPr>
        <w:t>at</w:t>
      </w:r>
      <w:r w:rsidRPr="006A75EC">
        <w:rPr>
          <w:lang w:val="en-US"/>
        </w:rPr>
        <w:t xml:space="preserve"> a system level and pressure on a practice level. This is one of the weaknesses of </w:t>
      </w:r>
      <w:r w:rsidR="00521A1F" w:rsidRPr="006A75EC">
        <w:rPr>
          <w:lang w:val="en-US"/>
        </w:rPr>
        <w:t>innovation</w:t>
      </w:r>
      <w:r w:rsidRPr="006A75EC">
        <w:rPr>
          <w:lang w:val="en-US"/>
        </w:rPr>
        <w:t>. The gains in efficiency are spatially disproportionate and relative.</w:t>
      </w:r>
    </w:p>
    <w:p w14:paraId="51410572" w14:textId="77777777" w:rsidR="0091560B" w:rsidRPr="00282AF1" w:rsidRDefault="0091560B" w:rsidP="0091560B">
      <w:pPr>
        <w:rPr>
          <w:b/>
          <w:bCs/>
          <w:lang w:val="en-US"/>
        </w:rPr>
      </w:pPr>
      <w:r w:rsidRPr="00282AF1">
        <w:rPr>
          <w:b/>
          <w:bCs/>
          <w:lang w:val="en-US"/>
        </w:rPr>
        <w:t xml:space="preserve">Short-Term Challenges: Cost and Integration </w:t>
      </w:r>
    </w:p>
    <w:p w14:paraId="467AD250" w14:textId="77777777" w:rsidR="0091560B" w:rsidRDefault="0091560B" w:rsidP="0091560B">
      <w:pPr>
        <w:rPr>
          <w:lang w:val="en-US"/>
        </w:rPr>
      </w:pPr>
      <w:r w:rsidRPr="00010D92">
        <w:rPr>
          <w:lang w:val="en-US"/>
        </w:rPr>
        <w:t xml:space="preserve">The start-up cost of adopting the NHS app was also very high (Conway </w:t>
      </w:r>
      <w:r w:rsidRPr="00010D92">
        <w:rPr>
          <w:i/>
          <w:iCs/>
          <w:lang w:val="en-US"/>
        </w:rPr>
        <w:t>et al</w:t>
      </w:r>
      <w:r w:rsidRPr="00010D92">
        <w:rPr>
          <w:lang w:val="en-US"/>
        </w:rPr>
        <w:t>., 2023). Investments in software development, cybersecurity and system maintenance were required. It was also not easy to combine with the existing GP systems. Different clinical IT systems are in use in England and interoperability has proved to be fluctuating. This weakened pre-adoption and introduced service quality inequalities.</w:t>
      </w:r>
    </w:p>
    <w:p w14:paraId="70E3101D" w14:textId="77777777" w:rsidR="0091560B" w:rsidRDefault="0091560B" w:rsidP="0091560B">
      <w:pPr>
        <w:rPr>
          <w:lang w:val="en-US"/>
        </w:rPr>
      </w:pPr>
      <w:r w:rsidRPr="006A75EC">
        <w:rPr>
          <w:lang w:val="en-US"/>
        </w:rPr>
        <w:t>Further costs were the staff training and change management. There were practices that did not have the resources needed to extend the app into their daily functions. Roll out suffered through a short-term disruption. Especially, smaller or rural practices were influenced. It presents these issues as they demonstrate that digital innovation is a long-term investment as opposed to technological responses.</w:t>
      </w:r>
    </w:p>
    <w:p w14:paraId="51EE2C8F" w14:textId="77777777" w:rsidR="0091560B" w:rsidRPr="00282AF1" w:rsidRDefault="0091560B" w:rsidP="0091560B">
      <w:pPr>
        <w:rPr>
          <w:b/>
          <w:bCs/>
          <w:lang w:val="en-US"/>
        </w:rPr>
      </w:pPr>
      <w:r w:rsidRPr="00282AF1">
        <w:rPr>
          <w:b/>
          <w:bCs/>
          <w:lang w:val="en-US"/>
        </w:rPr>
        <w:t>UK-Based Case Study Evidence</w:t>
      </w:r>
    </w:p>
    <w:p w14:paraId="393045E3" w14:textId="77777777" w:rsidR="0091560B" w:rsidRPr="004735F7" w:rsidRDefault="0091560B" w:rsidP="0091560B">
      <w:pPr>
        <w:rPr>
          <w:lang w:val="en-US"/>
        </w:rPr>
      </w:pPr>
      <w:r w:rsidRPr="004735F7">
        <w:rPr>
          <w:lang w:val="en-US"/>
        </w:rPr>
        <w:t>The NHS App serves NHS England as the exemplary model of digital-first services</w:t>
      </w:r>
      <w:r>
        <w:rPr>
          <w:lang w:val="en-US"/>
        </w:rPr>
        <w:t xml:space="preserve"> (</w:t>
      </w:r>
      <w:r w:rsidRPr="00647745">
        <w:t>Pope</w:t>
      </w:r>
      <w:r>
        <w:t xml:space="preserve"> </w:t>
      </w:r>
      <w:r w:rsidRPr="001D129C">
        <w:rPr>
          <w:i/>
          <w:iCs/>
        </w:rPr>
        <w:t>et al</w:t>
      </w:r>
      <w:r>
        <w:t>., 2023)</w:t>
      </w:r>
      <w:r w:rsidRPr="004735F7">
        <w:rPr>
          <w:lang w:val="en-US"/>
        </w:rPr>
        <w:t>. The application was also instrumental in the provision of vaccination records and NHS COVID Pass services during the COVID-19 pandemic. In 2022, the app had accessed more than 18 million COVID passes. This exhibited the ability of the app to facilitate bulk public health provision.</w:t>
      </w:r>
    </w:p>
    <w:p w14:paraId="0BF5EA70" w14:textId="4DA8561C" w:rsidR="0091560B" w:rsidRDefault="0091560B" w:rsidP="0091560B">
      <w:pPr>
        <w:rPr>
          <w:lang w:val="en-US"/>
        </w:rPr>
      </w:pPr>
      <w:r w:rsidRPr="004735F7">
        <w:rPr>
          <w:lang w:val="en-US"/>
        </w:rPr>
        <w:t xml:space="preserve">Nevertheless, the pandemic revealed shortcomings, as well. The quick growth brought to the fore digital </w:t>
      </w:r>
      <w:r w:rsidR="00410234" w:rsidRPr="004735F7">
        <w:rPr>
          <w:lang w:val="en-US"/>
        </w:rPr>
        <w:t>marginalization</w:t>
      </w:r>
      <w:r w:rsidRPr="004735F7">
        <w:rPr>
          <w:lang w:val="en-US"/>
        </w:rPr>
        <w:t xml:space="preserve"> and overload. These lessons demonstrate that the NHS App can be used to facilitate delivering services </w:t>
      </w:r>
      <w:r w:rsidR="00410234" w:rsidRPr="004735F7">
        <w:rPr>
          <w:lang w:val="en-US"/>
        </w:rPr>
        <w:t>on a scale</w:t>
      </w:r>
      <w:r w:rsidRPr="004735F7">
        <w:rPr>
          <w:lang w:val="en-US"/>
        </w:rPr>
        <w:t>, but its performance is contingent on the infrastructure, the staff (capacity), and patient support.</w:t>
      </w:r>
      <w:r>
        <w:rPr>
          <w:lang w:val="en-US"/>
        </w:rPr>
        <w:t xml:space="preserve"> </w:t>
      </w:r>
      <w:r w:rsidRPr="004735F7">
        <w:rPr>
          <w:lang w:val="en-US"/>
        </w:rPr>
        <w:t>In general, NHS App has radically changed the workflow of service delivery, communication, and performance</w:t>
      </w:r>
      <w:r>
        <w:rPr>
          <w:lang w:val="en-US"/>
        </w:rPr>
        <w:t xml:space="preserve"> (</w:t>
      </w:r>
      <w:r w:rsidRPr="00647745">
        <w:rPr>
          <w:lang w:val="en-IN"/>
        </w:rPr>
        <w:t>england.nhs.uk</w:t>
      </w:r>
      <w:r>
        <w:rPr>
          <w:lang w:val="en-IN"/>
        </w:rPr>
        <w:t>, 2026)</w:t>
      </w:r>
      <w:r w:rsidRPr="004735F7">
        <w:rPr>
          <w:lang w:val="en-US"/>
        </w:rPr>
        <w:t xml:space="preserve">. Its </w:t>
      </w:r>
      <w:r w:rsidR="00410234" w:rsidRPr="004735F7">
        <w:rPr>
          <w:lang w:val="en-US"/>
        </w:rPr>
        <w:t xml:space="preserve">advantages </w:t>
      </w:r>
      <w:r w:rsidR="00521A1F" w:rsidRPr="004735F7">
        <w:rPr>
          <w:lang w:val="en-US"/>
        </w:rPr>
        <w:t>are</w:t>
      </w:r>
      <w:r w:rsidRPr="004735F7">
        <w:rPr>
          <w:lang w:val="en-US"/>
        </w:rPr>
        <w:t xml:space="preserve"> access and scalability. It has such weaknesses as integration problems, asymmetric improvement of efficiency, and implementation problems in the short term.</w:t>
      </w:r>
    </w:p>
    <w:p w14:paraId="742F7D69" w14:textId="77777777" w:rsidR="0091560B" w:rsidRDefault="0091560B" w:rsidP="0091560B">
      <w:pPr>
        <w:spacing w:line="278" w:lineRule="auto"/>
        <w:jc w:val="left"/>
        <w:rPr>
          <w:lang w:val="en-US"/>
        </w:rPr>
      </w:pPr>
      <w:r>
        <w:rPr>
          <w:lang w:val="en-US"/>
        </w:rPr>
        <w:br w:type="page"/>
      </w:r>
    </w:p>
    <w:p w14:paraId="5CEB2439" w14:textId="77777777" w:rsidR="0091560B" w:rsidRPr="00410234" w:rsidRDefault="0091560B" w:rsidP="0091560B">
      <w:pPr>
        <w:pStyle w:val="Heading1"/>
        <w:rPr>
          <w:rFonts w:ascii="Arial" w:hAnsi="Arial" w:cs="Arial"/>
          <w:b/>
          <w:bCs/>
          <w:color w:val="auto"/>
          <w:sz w:val="24"/>
          <w:szCs w:val="24"/>
          <w:lang w:val="en-US"/>
        </w:rPr>
      </w:pPr>
      <w:bookmarkStart w:id="4" w:name="_Toc220765225"/>
      <w:r w:rsidRPr="00410234">
        <w:rPr>
          <w:rFonts w:ascii="Arial" w:hAnsi="Arial" w:cs="Arial"/>
          <w:b/>
          <w:bCs/>
          <w:color w:val="auto"/>
          <w:sz w:val="24"/>
          <w:szCs w:val="24"/>
          <w:lang w:val="en-US"/>
        </w:rPr>
        <w:lastRenderedPageBreak/>
        <w:t>iii) Conclusion and Recommendations</w:t>
      </w:r>
      <w:bookmarkEnd w:id="4"/>
    </w:p>
    <w:p w14:paraId="43D97AF2" w14:textId="77777777" w:rsidR="0091560B" w:rsidRPr="00410234" w:rsidRDefault="0091560B" w:rsidP="0091560B">
      <w:pPr>
        <w:pStyle w:val="Heading2"/>
        <w:rPr>
          <w:rFonts w:ascii="Arial" w:hAnsi="Arial" w:cs="Arial"/>
          <w:b/>
          <w:bCs/>
          <w:color w:val="auto"/>
          <w:sz w:val="24"/>
          <w:szCs w:val="24"/>
          <w:lang w:val="en-US"/>
        </w:rPr>
      </w:pPr>
      <w:bookmarkStart w:id="5" w:name="_Toc220765226"/>
      <w:r w:rsidRPr="00410234">
        <w:rPr>
          <w:rFonts w:ascii="Arial" w:hAnsi="Arial" w:cs="Arial"/>
          <w:b/>
          <w:bCs/>
          <w:color w:val="auto"/>
          <w:sz w:val="24"/>
          <w:szCs w:val="24"/>
          <w:lang w:val="en-US"/>
        </w:rPr>
        <w:t>Summary of Findings</w:t>
      </w:r>
      <w:bookmarkEnd w:id="5"/>
    </w:p>
    <w:p w14:paraId="094E6065" w14:textId="6C078077" w:rsidR="0091560B" w:rsidRPr="00D35466" w:rsidRDefault="0091560B" w:rsidP="0091560B">
      <w:pPr>
        <w:rPr>
          <w:lang w:val="en-US"/>
        </w:rPr>
      </w:pPr>
      <w:r w:rsidRPr="00D35466">
        <w:rPr>
          <w:lang w:val="en-US"/>
        </w:rPr>
        <w:t xml:space="preserve">This report reviewed the NHS App as an example of a digital innovation that has been implemented in the past decade and evaluated its role in workforce and service provision. The results indicated that the NHS App had altered job descriptions, alleviated </w:t>
      </w:r>
      <w:r w:rsidR="00410234" w:rsidRPr="00D35466">
        <w:rPr>
          <w:lang w:val="en-US"/>
        </w:rPr>
        <w:t>several</w:t>
      </w:r>
      <w:r w:rsidRPr="00D35466">
        <w:rPr>
          <w:lang w:val="en-US"/>
        </w:rPr>
        <w:t xml:space="preserve"> administrative functions, and augmented the requirement of digital abilities among the employees. It has also enhanced service availability, communications and scalability of the system. Nevertheless, some obstacles were also reported, such as an increased workload in digital, unbalanced staff training, system integration issues, and digital exclusion of </w:t>
      </w:r>
      <w:r w:rsidR="00410234" w:rsidRPr="00D35466">
        <w:rPr>
          <w:lang w:val="en-US"/>
        </w:rPr>
        <w:t>users</w:t>
      </w:r>
      <w:r w:rsidRPr="00D35466">
        <w:rPr>
          <w:lang w:val="en-US"/>
        </w:rPr>
        <w:t xml:space="preserve"> and services.</w:t>
      </w:r>
    </w:p>
    <w:p w14:paraId="1ED4CB4D" w14:textId="77777777" w:rsidR="0091560B" w:rsidRPr="00410234" w:rsidRDefault="0091560B" w:rsidP="0091560B">
      <w:pPr>
        <w:pStyle w:val="Heading2"/>
        <w:rPr>
          <w:rFonts w:ascii="Arial" w:hAnsi="Arial" w:cs="Arial"/>
          <w:b/>
          <w:bCs/>
          <w:color w:val="auto"/>
          <w:sz w:val="24"/>
          <w:szCs w:val="24"/>
          <w:lang w:val="en-US"/>
        </w:rPr>
      </w:pPr>
      <w:bookmarkStart w:id="6" w:name="_Toc220765227"/>
      <w:r w:rsidRPr="00410234">
        <w:rPr>
          <w:rFonts w:ascii="Arial" w:hAnsi="Arial" w:cs="Arial"/>
          <w:b/>
          <w:bCs/>
          <w:color w:val="auto"/>
          <w:sz w:val="24"/>
          <w:szCs w:val="24"/>
          <w:lang w:val="en-US"/>
        </w:rPr>
        <w:t>Importance of the Recent Digital Innovation</w:t>
      </w:r>
      <w:bookmarkEnd w:id="6"/>
      <w:r w:rsidRPr="00410234">
        <w:rPr>
          <w:rFonts w:ascii="Arial" w:hAnsi="Arial" w:cs="Arial"/>
          <w:b/>
          <w:bCs/>
          <w:color w:val="auto"/>
          <w:sz w:val="24"/>
          <w:szCs w:val="24"/>
          <w:lang w:val="en-US"/>
        </w:rPr>
        <w:t xml:space="preserve"> </w:t>
      </w:r>
    </w:p>
    <w:p w14:paraId="6487FCD2" w14:textId="61A695ED" w:rsidR="0091560B" w:rsidRDefault="0091560B" w:rsidP="0091560B">
      <w:pPr>
        <w:rPr>
          <w:lang w:val="en-US"/>
        </w:rPr>
      </w:pPr>
      <w:r w:rsidRPr="00D35466">
        <w:rPr>
          <w:lang w:val="en-US"/>
        </w:rPr>
        <w:t xml:space="preserve">It was necessary to choose a digital innovation of the past decade reflecting the existing NHS plans and demands. The NHS App was consistent with the recent policies like the NHS Long Term Plan and was a response to contemporary issues, including the increased demand and the COVID-19 pandemic. </w:t>
      </w:r>
      <w:r w:rsidR="00410234" w:rsidRPr="00D35466">
        <w:rPr>
          <w:lang w:val="en-US"/>
        </w:rPr>
        <w:t>Earlier</w:t>
      </w:r>
      <w:r w:rsidRPr="00D35466">
        <w:rPr>
          <w:lang w:val="en-US"/>
        </w:rPr>
        <w:t xml:space="preserve"> technologies would have failed to capture the magnitude, speed, or intricacy of the modern digital change in the NHS.</w:t>
      </w:r>
    </w:p>
    <w:p w14:paraId="4FFAF8CD" w14:textId="77777777" w:rsidR="0091560B" w:rsidRPr="00410234" w:rsidRDefault="0091560B" w:rsidP="0091560B">
      <w:pPr>
        <w:pStyle w:val="Heading2"/>
        <w:rPr>
          <w:rFonts w:ascii="Arial" w:hAnsi="Arial" w:cs="Arial"/>
          <w:b/>
          <w:bCs/>
          <w:color w:val="auto"/>
          <w:sz w:val="24"/>
          <w:szCs w:val="24"/>
          <w:lang w:val="en-US"/>
        </w:rPr>
      </w:pPr>
      <w:bookmarkStart w:id="7" w:name="_Toc220765228"/>
      <w:r w:rsidRPr="00410234">
        <w:rPr>
          <w:rFonts w:ascii="Arial" w:hAnsi="Arial" w:cs="Arial"/>
          <w:b/>
          <w:bCs/>
          <w:color w:val="auto"/>
          <w:sz w:val="24"/>
          <w:szCs w:val="24"/>
          <w:lang w:val="en-US"/>
        </w:rPr>
        <w:t>Recommendations</w:t>
      </w:r>
      <w:bookmarkEnd w:id="7"/>
      <w:r w:rsidRPr="00410234">
        <w:rPr>
          <w:rFonts w:ascii="Arial" w:hAnsi="Arial" w:cs="Arial"/>
          <w:b/>
          <w:bCs/>
          <w:color w:val="auto"/>
          <w:sz w:val="24"/>
          <w:szCs w:val="24"/>
          <w:lang w:val="en-US"/>
        </w:rPr>
        <w:t xml:space="preserve"> </w:t>
      </w:r>
    </w:p>
    <w:p w14:paraId="6A27BB9E" w14:textId="77777777" w:rsidR="0091560B" w:rsidRPr="0077662A" w:rsidRDefault="0091560B" w:rsidP="0091560B">
      <w:pPr>
        <w:rPr>
          <w:lang w:val="en-US"/>
        </w:rPr>
      </w:pPr>
      <w:r w:rsidRPr="0065548F">
        <w:rPr>
          <w:b/>
          <w:bCs/>
          <w:lang w:val="en-US"/>
        </w:rPr>
        <w:t>Improving workforce digital training:</w:t>
      </w:r>
      <w:r>
        <w:rPr>
          <w:lang w:val="en-US"/>
        </w:rPr>
        <w:t xml:space="preserve"> </w:t>
      </w:r>
      <w:r w:rsidRPr="0077662A">
        <w:rPr>
          <w:lang w:val="en-US"/>
        </w:rPr>
        <w:t>The NHS England must offer role-specific, structured digital training, and offer it before the implementation of the NHS App</w:t>
      </w:r>
      <w:r>
        <w:rPr>
          <w:lang w:val="en-US"/>
        </w:rPr>
        <w:t xml:space="preserve"> (</w:t>
      </w:r>
      <w:r w:rsidRPr="00647745">
        <w:t>Wakeling</w:t>
      </w:r>
      <w:r>
        <w:t xml:space="preserve"> </w:t>
      </w:r>
      <w:r w:rsidRPr="00685ADE">
        <w:rPr>
          <w:i/>
          <w:iCs/>
        </w:rPr>
        <w:t>et al</w:t>
      </w:r>
      <w:r>
        <w:t>., 2025)</w:t>
      </w:r>
      <w:r w:rsidRPr="0077662A">
        <w:rPr>
          <w:lang w:val="en-US"/>
        </w:rPr>
        <w:t>. One significant impediment is the lack of time and trust of the staff. This will be met by defended learning time and continuous encouragement, especially in the case of non</w:t>
      </w:r>
      <w:r>
        <w:rPr>
          <w:lang w:val="en-US"/>
        </w:rPr>
        <w:t>-</w:t>
      </w:r>
      <w:r w:rsidRPr="0077662A">
        <w:rPr>
          <w:lang w:val="en-US"/>
        </w:rPr>
        <w:t>clinical and older personnel.</w:t>
      </w:r>
    </w:p>
    <w:p w14:paraId="115592DD" w14:textId="7E847606" w:rsidR="0091560B" w:rsidRDefault="0091560B" w:rsidP="0091560B">
      <w:pPr>
        <w:rPr>
          <w:lang w:val="en-US"/>
        </w:rPr>
      </w:pPr>
      <w:r w:rsidRPr="0065548F">
        <w:rPr>
          <w:b/>
          <w:bCs/>
          <w:lang w:val="en-US"/>
        </w:rPr>
        <w:t>Reducing digital exclusion and workload pressure:</w:t>
      </w:r>
      <w:r>
        <w:rPr>
          <w:lang w:val="en-US"/>
        </w:rPr>
        <w:t xml:space="preserve"> </w:t>
      </w:r>
      <w:r w:rsidRPr="0077662A">
        <w:rPr>
          <w:lang w:val="en-US"/>
        </w:rPr>
        <w:t xml:space="preserve">The policymakers ought to focus on long-term investment in </w:t>
      </w:r>
      <w:r w:rsidR="00410234" w:rsidRPr="0077662A">
        <w:rPr>
          <w:lang w:val="en-US"/>
        </w:rPr>
        <w:t>IT interoperability</w:t>
      </w:r>
      <w:r w:rsidRPr="0077662A">
        <w:rPr>
          <w:lang w:val="en-US"/>
        </w:rPr>
        <w:t xml:space="preserve"> throughout the NHS services</w:t>
      </w:r>
      <w:r>
        <w:rPr>
          <w:lang w:val="en-US"/>
        </w:rPr>
        <w:t xml:space="preserve"> (</w:t>
      </w:r>
      <w:r w:rsidRPr="00647745">
        <w:rPr>
          <w:lang w:val="en-IN"/>
        </w:rPr>
        <w:t>Li</w:t>
      </w:r>
      <w:r>
        <w:rPr>
          <w:lang w:val="en-IN"/>
        </w:rPr>
        <w:t xml:space="preserve"> </w:t>
      </w:r>
      <w:r w:rsidRPr="00685ADE">
        <w:rPr>
          <w:i/>
          <w:iCs/>
          <w:lang w:val="en-IN"/>
        </w:rPr>
        <w:t>et al.,</w:t>
      </w:r>
      <w:r>
        <w:rPr>
          <w:lang w:val="en-IN"/>
        </w:rPr>
        <w:t xml:space="preserve"> 2023)</w:t>
      </w:r>
      <w:r w:rsidRPr="0077662A">
        <w:rPr>
          <w:lang w:val="en-US"/>
        </w:rPr>
        <w:t>. Disjointed digital infrastructure is one of the obstacles. The use of consistent nationally shared standards and the maintenance of stable funding would facilitate a much more comfortable integration and elimination of the variability in service delivery.</w:t>
      </w:r>
    </w:p>
    <w:p w14:paraId="1AEFE26F" w14:textId="77777777" w:rsidR="0091560B" w:rsidRDefault="0091560B" w:rsidP="0091560B">
      <w:pPr>
        <w:spacing w:line="278" w:lineRule="auto"/>
        <w:jc w:val="left"/>
        <w:rPr>
          <w:lang w:val="en-US"/>
        </w:rPr>
      </w:pPr>
      <w:r>
        <w:rPr>
          <w:lang w:val="en-US"/>
        </w:rPr>
        <w:br w:type="page"/>
      </w:r>
    </w:p>
    <w:p w14:paraId="7FCE6E00" w14:textId="77777777" w:rsidR="0091560B" w:rsidRPr="00410234" w:rsidRDefault="0091560B" w:rsidP="0091560B">
      <w:pPr>
        <w:pStyle w:val="Heading1"/>
        <w:rPr>
          <w:rFonts w:ascii="Arial" w:hAnsi="Arial" w:cs="Arial"/>
          <w:b/>
          <w:bCs/>
          <w:color w:val="auto"/>
          <w:sz w:val="24"/>
          <w:szCs w:val="24"/>
          <w:lang w:val="en-US"/>
        </w:rPr>
      </w:pPr>
      <w:bookmarkStart w:id="8" w:name="_Toc220765229"/>
      <w:r w:rsidRPr="00410234">
        <w:rPr>
          <w:rFonts w:ascii="Arial" w:hAnsi="Arial" w:cs="Arial"/>
          <w:b/>
          <w:bCs/>
          <w:color w:val="auto"/>
          <w:sz w:val="24"/>
          <w:szCs w:val="24"/>
          <w:lang w:val="en-US"/>
        </w:rPr>
        <w:lastRenderedPageBreak/>
        <w:t>iv) Reference List</w:t>
      </w:r>
      <w:bookmarkEnd w:id="8"/>
      <w:r w:rsidRPr="00410234">
        <w:rPr>
          <w:rFonts w:ascii="Arial" w:hAnsi="Arial" w:cs="Arial"/>
          <w:b/>
          <w:bCs/>
          <w:color w:val="auto"/>
          <w:sz w:val="24"/>
          <w:szCs w:val="24"/>
          <w:lang w:val="en-US"/>
        </w:rPr>
        <w:t xml:space="preserve"> </w:t>
      </w:r>
    </w:p>
    <w:p w14:paraId="2D5EE040" w14:textId="77777777" w:rsidR="0091560B" w:rsidRDefault="0091560B" w:rsidP="0091560B">
      <w:pPr>
        <w:rPr>
          <w:lang w:val="en-IN"/>
        </w:rPr>
      </w:pPr>
      <w:r w:rsidRPr="00AE49B7">
        <w:rPr>
          <w:lang w:val="en-IN"/>
        </w:rPr>
        <w:t xml:space="preserve">Chawla, R.N., Goyal, P. and Saxena, D.K. (2023) </w:t>
      </w:r>
      <w:r>
        <w:rPr>
          <w:lang w:val="en-IN"/>
        </w:rPr>
        <w:t>‘</w:t>
      </w:r>
      <w:r w:rsidRPr="00AE49B7">
        <w:rPr>
          <w:lang w:val="en-IN"/>
        </w:rPr>
        <w:t>The role of CIO in digital transformation: an exploratory study.</w:t>
      </w:r>
      <w:r>
        <w:rPr>
          <w:lang w:val="en-IN"/>
        </w:rPr>
        <w:t>’</w:t>
      </w:r>
      <w:r w:rsidRPr="00AE49B7">
        <w:rPr>
          <w:lang w:val="en-IN"/>
        </w:rPr>
        <w:t> </w:t>
      </w:r>
      <w:r w:rsidRPr="00AE49B7">
        <w:rPr>
          <w:i/>
          <w:iCs/>
          <w:lang w:val="en-IN"/>
        </w:rPr>
        <w:t>Information Systems and e-Business Management</w:t>
      </w:r>
      <w:r w:rsidRPr="00AE49B7">
        <w:rPr>
          <w:lang w:val="en-IN"/>
        </w:rPr>
        <w:t xml:space="preserve">, [online] 21(4), pp.797–835. </w:t>
      </w:r>
      <w:r w:rsidRPr="008C2E8D">
        <w:rPr>
          <w:lang w:val="en-IN"/>
        </w:rPr>
        <w:t>Available at:</w:t>
      </w:r>
      <w:r w:rsidRPr="00AE49B7">
        <w:t xml:space="preserve"> </w:t>
      </w:r>
      <w:r w:rsidRPr="00AE49B7">
        <w:rPr>
          <w:lang w:val="en-IN"/>
        </w:rPr>
        <w:t>doi:https://doi.org/10.1007/s10257-023-00651-1.</w:t>
      </w:r>
    </w:p>
    <w:p w14:paraId="2BCDC09B" w14:textId="77777777" w:rsidR="0091560B" w:rsidRDefault="0091560B" w:rsidP="0091560B">
      <w:pPr>
        <w:rPr>
          <w:lang w:val="en-IN"/>
        </w:rPr>
      </w:pPr>
      <w:r w:rsidRPr="00647745">
        <w:t xml:space="preserve">Conway, A.M., Concannon, M., Brown, S., Hussain, H., Marland, A., Griffiths, M., Plummer, B., Warrington, K., Bridges, C., Lightning-Jones, K. and Cook, N. </w:t>
      </w:r>
      <w:r>
        <w:t>(</w:t>
      </w:r>
      <w:r w:rsidRPr="00647745">
        <w:t>2025</w:t>
      </w:r>
      <w:r>
        <w:t>)</w:t>
      </w:r>
      <w:r w:rsidRPr="00647745">
        <w:t xml:space="preserve"> </w:t>
      </w:r>
      <w:r>
        <w:t>‘</w:t>
      </w:r>
      <w:r w:rsidRPr="00647745">
        <w:t>Overcoming data management challenges in oncology research: Lessons from an NHS, industry, technology start-up and academic collaboration.</w:t>
      </w:r>
      <w:r>
        <w:t>’</w:t>
      </w:r>
      <w:r w:rsidRPr="00647745">
        <w:t> </w:t>
      </w:r>
      <w:r w:rsidRPr="00647745">
        <w:rPr>
          <w:i/>
          <w:iCs/>
        </w:rPr>
        <w:t>European Journal of Cancer</w:t>
      </w:r>
      <w:r w:rsidRPr="00647745">
        <w:t>, p.115705.</w:t>
      </w:r>
      <w:r w:rsidRPr="00647745">
        <w:rPr>
          <w:lang w:val="en-IN"/>
        </w:rPr>
        <w:t xml:space="preserve"> </w:t>
      </w:r>
      <w:r w:rsidRPr="00AE49B7">
        <w:rPr>
          <w:lang w:val="en-IN"/>
        </w:rPr>
        <w:t>Available at:</w:t>
      </w:r>
      <w:r>
        <w:rPr>
          <w:lang w:val="en-IN"/>
        </w:rPr>
        <w:t xml:space="preserve"> </w:t>
      </w:r>
      <w:hyperlink r:id="rId4" w:history="1">
        <w:r w:rsidRPr="00484859">
          <w:rPr>
            <w:rStyle w:val="Hyperlink"/>
            <w:lang w:val="en-IN"/>
          </w:rPr>
          <w:t>https://doi.org/10.1016/j.ejca.2025.115705</w:t>
        </w:r>
      </w:hyperlink>
      <w:r>
        <w:rPr>
          <w:lang w:val="en-IN"/>
        </w:rPr>
        <w:t xml:space="preserve"> </w:t>
      </w:r>
    </w:p>
    <w:p w14:paraId="0F62CD7B" w14:textId="77777777" w:rsidR="0091560B" w:rsidRDefault="0091560B" w:rsidP="0091560B">
      <w:pPr>
        <w:rPr>
          <w:lang w:val="en-IN"/>
        </w:rPr>
      </w:pPr>
      <w:r w:rsidRPr="008C2E8D">
        <w:rPr>
          <w:lang w:val="en-IN"/>
        </w:rPr>
        <w:t>digital.nhs.UK (</w:t>
      </w:r>
      <w:r>
        <w:rPr>
          <w:lang w:val="en-IN"/>
        </w:rPr>
        <w:t>2019</w:t>
      </w:r>
      <w:r w:rsidRPr="008C2E8D">
        <w:rPr>
          <w:lang w:val="en-IN"/>
        </w:rPr>
        <w:t>) Available at: https://digital.nhs.uk/about-nhs-digital/digital-first-messaging (Accessed: 31 January 2026).</w:t>
      </w:r>
    </w:p>
    <w:p w14:paraId="5C71B2FC" w14:textId="77777777" w:rsidR="0091560B" w:rsidRDefault="0091560B" w:rsidP="0091560B">
      <w:pPr>
        <w:rPr>
          <w:lang w:val="en-IN"/>
        </w:rPr>
      </w:pPr>
      <w:r w:rsidRPr="00AE49B7">
        <w:rPr>
          <w:lang w:val="en-IN"/>
        </w:rPr>
        <w:t>England, N. (2023). </w:t>
      </w:r>
      <w:r w:rsidRPr="00AE49B7">
        <w:rPr>
          <w:i/>
          <w:iCs/>
          <w:lang w:val="en-IN"/>
        </w:rPr>
        <w:t>NHS England,» NHS Long Term Workforce Plan</w:t>
      </w:r>
      <w:r w:rsidRPr="00AE49B7">
        <w:rPr>
          <w:lang w:val="en-IN"/>
        </w:rPr>
        <w:t>. [online] England.nhs.uk. Available at: https://www.england.nhs.uk/long-read/nhs-long-term-workforce-plan-2/ [Accessed 31 Jan. 2026].</w:t>
      </w:r>
    </w:p>
    <w:p w14:paraId="10EC5C72" w14:textId="77777777" w:rsidR="0091560B" w:rsidRDefault="0091560B" w:rsidP="0091560B">
      <w:pPr>
        <w:rPr>
          <w:lang w:val="en-IN"/>
        </w:rPr>
      </w:pPr>
      <w:r w:rsidRPr="008C2E8D">
        <w:rPr>
          <w:lang w:val="en-IN"/>
        </w:rPr>
        <w:t>England, N. (2025). </w:t>
      </w:r>
      <w:r w:rsidRPr="008C2E8D">
        <w:rPr>
          <w:i/>
          <w:iCs/>
          <w:lang w:val="en-IN"/>
        </w:rPr>
        <w:t>NHS England» Review of NHS performance and delivery</w:t>
      </w:r>
      <w:r w:rsidRPr="008C2E8D">
        <w:rPr>
          <w:lang w:val="en-IN"/>
        </w:rPr>
        <w:t>. [online] England.nhs.uk. Available at: https://www.england.nhs.uk/long-read/review-of-nhs-performance-and-delivery/ [Accessed 31 Jan. 2026].</w:t>
      </w:r>
    </w:p>
    <w:p w14:paraId="56A32E4C" w14:textId="77777777" w:rsidR="0091560B" w:rsidRDefault="0091560B" w:rsidP="0091560B">
      <w:pPr>
        <w:rPr>
          <w:lang w:val="en-IN"/>
        </w:rPr>
      </w:pPr>
      <w:r w:rsidRPr="00647745">
        <w:rPr>
          <w:lang w:val="en-IN"/>
        </w:rPr>
        <w:t>England, N. (2026). </w:t>
      </w:r>
      <w:r w:rsidRPr="00647745">
        <w:rPr>
          <w:i/>
          <w:iCs/>
          <w:lang w:val="en-IN"/>
        </w:rPr>
        <w:t>NHS England» Medium Term Planning Framework – delivering change together 2026/27 to 2028/29</w:t>
      </w:r>
      <w:r w:rsidRPr="00647745">
        <w:rPr>
          <w:lang w:val="en-IN"/>
        </w:rPr>
        <w:t>. [online] England.nhs.uk. Available at: https://www.england.nhs.uk/long-read/medium-term-planning-framework-delivering-change-together-2026-27-to-2028-29/ [Accessed 31 Jan. 2026].</w:t>
      </w:r>
    </w:p>
    <w:p w14:paraId="4D33EBE1" w14:textId="77777777" w:rsidR="0091560B" w:rsidRDefault="0091560B" w:rsidP="0091560B">
      <w:pPr>
        <w:rPr>
          <w:lang w:val="en-IN"/>
        </w:rPr>
      </w:pPr>
      <w:r w:rsidRPr="00AE49B7">
        <w:rPr>
          <w:lang w:val="en-IN"/>
        </w:rPr>
        <w:t>‌</w:t>
      </w:r>
      <w:r w:rsidRPr="005F1C6D">
        <w:t xml:space="preserve">Faulkner-Gurstein, R. and Wyatt, D. </w:t>
      </w:r>
      <w:r>
        <w:t>(</w:t>
      </w:r>
      <w:r w:rsidRPr="005F1C6D">
        <w:t>2023</w:t>
      </w:r>
      <w:r>
        <w:t>)</w:t>
      </w:r>
      <w:r w:rsidRPr="005F1C6D">
        <w:t xml:space="preserve"> </w:t>
      </w:r>
      <w:r>
        <w:t>‘</w:t>
      </w:r>
      <w:r w:rsidRPr="005F1C6D">
        <w:t>Platform NHS: reconfiguring a public service in the age of digital capitalism.</w:t>
      </w:r>
      <w:r>
        <w:t>’</w:t>
      </w:r>
      <w:r w:rsidRPr="005F1C6D">
        <w:t> </w:t>
      </w:r>
      <w:r w:rsidRPr="005F1C6D">
        <w:rPr>
          <w:i/>
          <w:iCs/>
        </w:rPr>
        <w:t>Science, Technology, &amp; Human Values</w:t>
      </w:r>
      <w:r w:rsidRPr="005F1C6D">
        <w:t>, </w:t>
      </w:r>
      <w:r w:rsidRPr="005F1C6D">
        <w:rPr>
          <w:i/>
          <w:iCs/>
        </w:rPr>
        <w:t>48</w:t>
      </w:r>
      <w:r w:rsidRPr="005F1C6D">
        <w:t>(4), pp.888-908.</w:t>
      </w:r>
      <w:r w:rsidRPr="005F1C6D">
        <w:rPr>
          <w:lang w:val="en-IN"/>
        </w:rPr>
        <w:t xml:space="preserve"> </w:t>
      </w:r>
      <w:r w:rsidRPr="00AE49B7">
        <w:rPr>
          <w:lang w:val="en-IN"/>
        </w:rPr>
        <w:t>Available at:</w:t>
      </w:r>
      <w:r w:rsidRPr="005F1C6D">
        <w:t xml:space="preserve"> </w:t>
      </w:r>
      <w:hyperlink r:id="rId5" w:history="1">
        <w:r w:rsidRPr="00484859">
          <w:rPr>
            <w:rStyle w:val="Hyperlink"/>
            <w:lang w:val="en-IN"/>
          </w:rPr>
          <w:t>https://doi.org/10.1177/01622439211055697</w:t>
        </w:r>
      </w:hyperlink>
      <w:r>
        <w:rPr>
          <w:lang w:val="en-IN"/>
        </w:rPr>
        <w:t xml:space="preserve"> </w:t>
      </w:r>
    </w:p>
    <w:p w14:paraId="5BED0182" w14:textId="77777777" w:rsidR="0091560B" w:rsidRDefault="0091560B" w:rsidP="0091560B">
      <w:pPr>
        <w:rPr>
          <w:lang w:val="en-IN"/>
        </w:rPr>
      </w:pPr>
      <w:r w:rsidRPr="005F1C6D">
        <w:t xml:space="preserve">Grey, M.P., Dhavalikar, N., Boyce, R.D. and Kane-Gill, S.L. </w:t>
      </w:r>
      <w:r>
        <w:t>(</w:t>
      </w:r>
      <w:r w:rsidRPr="005F1C6D">
        <w:t>2023</w:t>
      </w:r>
      <w:r>
        <w:t>)</w:t>
      </w:r>
      <w:r w:rsidRPr="005F1C6D">
        <w:t xml:space="preserve"> </w:t>
      </w:r>
      <w:r>
        <w:t>‘</w:t>
      </w:r>
      <w:r w:rsidRPr="005F1C6D">
        <w:t>Qualitative analysis of healthcare provider perspectives on evaluating beta-lactam allergies.</w:t>
      </w:r>
      <w:r>
        <w:t>’</w:t>
      </w:r>
      <w:r w:rsidRPr="005F1C6D">
        <w:t> </w:t>
      </w:r>
      <w:r w:rsidRPr="005F1C6D">
        <w:rPr>
          <w:i/>
          <w:iCs/>
        </w:rPr>
        <w:t>Journal of Hospital Infection</w:t>
      </w:r>
      <w:r w:rsidRPr="005F1C6D">
        <w:t>, </w:t>
      </w:r>
      <w:r w:rsidRPr="005F1C6D">
        <w:rPr>
          <w:i/>
          <w:iCs/>
        </w:rPr>
        <w:t>141</w:t>
      </w:r>
      <w:r w:rsidRPr="005F1C6D">
        <w:t>, pp.198-208.</w:t>
      </w:r>
      <w:r w:rsidRPr="005F1C6D">
        <w:rPr>
          <w:lang w:val="en-IN"/>
        </w:rPr>
        <w:t xml:space="preserve"> </w:t>
      </w:r>
      <w:r w:rsidRPr="00AE49B7">
        <w:rPr>
          <w:lang w:val="en-IN"/>
        </w:rPr>
        <w:t>Available at:</w:t>
      </w:r>
      <w:r w:rsidRPr="005F1C6D">
        <w:t xml:space="preserve"> </w:t>
      </w:r>
      <w:hyperlink r:id="rId6" w:history="1">
        <w:r w:rsidRPr="00484859">
          <w:rPr>
            <w:rStyle w:val="Hyperlink"/>
            <w:lang w:val="en-IN"/>
          </w:rPr>
          <w:t>https://doi.org/10.1016/j.jhin.2023.07.024</w:t>
        </w:r>
      </w:hyperlink>
      <w:r>
        <w:rPr>
          <w:lang w:val="en-IN"/>
        </w:rPr>
        <w:t xml:space="preserve"> </w:t>
      </w:r>
    </w:p>
    <w:p w14:paraId="2E5FD236" w14:textId="77777777" w:rsidR="0091560B" w:rsidRDefault="0091560B" w:rsidP="0091560B">
      <w:pPr>
        <w:rPr>
          <w:lang w:val="en-IN"/>
        </w:rPr>
      </w:pPr>
      <w:r w:rsidRPr="008C2E8D">
        <w:rPr>
          <w:lang w:val="en-IN"/>
        </w:rPr>
        <w:t>Health (2025) </w:t>
      </w:r>
      <w:r w:rsidRPr="008C2E8D">
        <w:rPr>
          <w:i/>
          <w:iCs/>
          <w:lang w:val="en-IN"/>
        </w:rPr>
        <w:t>NHS App overhaul will break down barriers to healthcare and reduce inequalities</w:t>
      </w:r>
      <w:r w:rsidRPr="008C2E8D">
        <w:rPr>
          <w:lang w:val="en-IN"/>
        </w:rPr>
        <w:t>. [online] GOV.UK. Available at: https://www.gov.uk/government/news/nhs-app-overhaul-will-break-down-barriers-to-healthcare-and-reduce-inequalities [Accessed 31 Jan. 2026].</w:t>
      </w:r>
    </w:p>
    <w:p w14:paraId="2D10305E" w14:textId="77777777" w:rsidR="0091560B" w:rsidRPr="00AE49B7" w:rsidRDefault="0091560B" w:rsidP="0091560B">
      <w:pPr>
        <w:rPr>
          <w:lang w:val="en-IN"/>
        </w:rPr>
      </w:pPr>
      <w:r w:rsidRPr="00AE49B7">
        <w:lastRenderedPageBreak/>
        <w:t xml:space="preserve">Leesakul, N., Oostveen, A.M., Eimontaite, I., Wilson, M.L. and Hyde, R. </w:t>
      </w:r>
      <w:r>
        <w:t>(</w:t>
      </w:r>
      <w:r w:rsidRPr="00AE49B7">
        <w:t>2022</w:t>
      </w:r>
      <w:r>
        <w:t>)</w:t>
      </w:r>
      <w:r w:rsidRPr="00AE49B7">
        <w:t xml:space="preserve"> </w:t>
      </w:r>
      <w:r>
        <w:t>‘</w:t>
      </w:r>
      <w:r w:rsidRPr="00AE49B7">
        <w:t>Workplace 4.0: Exploring the implications of technology adoption in digital manufacturing on a sustainable workforce.</w:t>
      </w:r>
      <w:r>
        <w:t>’</w:t>
      </w:r>
      <w:r w:rsidRPr="00AE49B7">
        <w:t> </w:t>
      </w:r>
      <w:r w:rsidRPr="00AE49B7">
        <w:rPr>
          <w:i/>
          <w:iCs/>
        </w:rPr>
        <w:t>Sustainability</w:t>
      </w:r>
      <w:r w:rsidRPr="00AE49B7">
        <w:t>, </w:t>
      </w:r>
      <w:r w:rsidRPr="00AE49B7">
        <w:rPr>
          <w:i/>
          <w:iCs/>
        </w:rPr>
        <w:t>14</w:t>
      </w:r>
      <w:r w:rsidRPr="00AE49B7">
        <w:t>(6), p.3311.</w:t>
      </w:r>
      <w:r w:rsidRPr="00AE49B7">
        <w:rPr>
          <w:lang w:val="en-IN"/>
        </w:rPr>
        <w:t xml:space="preserve"> Available at:</w:t>
      </w:r>
      <w:r w:rsidRPr="00AE49B7">
        <w:t xml:space="preserve"> </w:t>
      </w:r>
      <w:hyperlink r:id="rId7" w:history="1">
        <w:r w:rsidRPr="00484859">
          <w:rPr>
            <w:rStyle w:val="Hyperlink"/>
            <w:lang w:val="en-IN"/>
          </w:rPr>
          <w:t>https://doi.org/10.3390/su14063311</w:t>
        </w:r>
      </w:hyperlink>
      <w:r>
        <w:rPr>
          <w:lang w:val="en-IN"/>
        </w:rPr>
        <w:t xml:space="preserve"> </w:t>
      </w:r>
    </w:p>
    <w:p w14:paraId="611C5C50" w14:textId="77777777" w:rsidR="0091560B" w:rsidRPr="00647745" w:rsidRDefault="0091560B" w:rsidP="0091560B">
      <w:pPr>
        <w:rPr>
          <w:lang w:val="en-IN"/>
        </w:rPr>
      </w:pPr>
      <w:r w:rsidRPr="00647745">
        <w:rPr>
          <w:lang w:val="en-IN"/>
        </w:rPr>
        <w:t xml:space="preserve">Li, E., Lounsbury, O., Clarke, J., Hutan Ashrafian, Darzi, A. and Neves, A.L. (2023) </w:t>
      </w:r>
      <w:r>
        <w:rPr>
          <w:lang w:val="en-IN"/>
        </w:rPr>
        <w:t>‘</w:t>
      </w:r>
      <w:r w:rsidRPr="00647745">
        <w:rPr>
          <w:lang w:val="en-IN"/>
        </w:rPr>
        <w:t>Perceptions of chief clinical information officers on the state of electronic health records systems interoperability in NHS England: a qualitative interview study.</w:t>
      </w:r>
      <w:r>
        <w:rPr>
          <w:lang w:val="en-IN"/>
        </w:rPr>
        <w:t>’</w:t>
      </w:r>
      <w:r w:rsidRPr="00647745">
        <w:rPr>
          <w:lang w:val="en-IN"/>
        </w:rPr>
        <w:t> </w:t>
      </w:r>
      <w:r w:rsidRPr="00647745">
        <w:rPr>
          <w:i/>
          <w:iCs/>
          <w:lang w:val="en-IN"/>
        </w:rPr>
        <w:t>BMC Medical Informatics and Decision Making</w:t>
      </w:r>
      <w:r w:rsidRPr="00647745">
        <w:rPr>
          <w:lang w:val="en-IN"/>
        </w:rPr>
        <w:t>, [online] 23(1), pp.158–158. doi:https://doi.org/10.1186/s12911-023-02255-8.</w:t>
      </w:r>
    </w:p>
    <w:p w14:paraId="180E64EC" w14:textId="77777777" w:rsidR="0091560B" w:rsidRDefault="0091560B" w:rsidP="0091560B">
      <w:pPr>
        <w:rPr>
          <w:lang w:val="en-IN"/>
        </w:rPr>
      </w:pPr>
      <w:r w:rsidRPr="00AE49B7">
        <w:t xml:space="preserve">Lloyd, S., Long, K., Probst, Y., Di Donato, J., Oshni Alvandi, A., Roach, J. and Bain, C. </w:t>
      </w:r>
      <w:r>
        <w:t>(</w:t>
      </w:r>
      <w:r w:rsidRPr="00AE49B7">
        <w:t>2024</w:t>
      </w:r>
      <w:r>
        <w:t>)</w:t>
      </w:r>
      <w:r w:rsidRPr="00AE49B7">
        <w:t xml:space="preserve"> </w:t>
      </w:r>
      <w:r>
        <w:t>‘</w:t>
      </w:r>
      <w:r w:rsidRPr="00AE49B7">
        <w:t>Medical and nursing clinician perspectives on the usability of the hospital electronic medical record: A qualitative analysis.</w:t>
      </w:r>
      <w:r>
        <w:t>’</w:t>
      </w:r>
      <w:r w:rsidRPr="00AE49B7">
        <w:t> </w:t>
      </w:r>
      <w:r w:rsidRPr="00AE49B7">
        <w:rPr>
          <w:i/>
          <w:iCs/>
        </w:rPr>
        <w:t>Health Information Management Journal</w:t>
      </w:r>
      <w:r w:rsidRPr="00AE49B7">
        <w:t>, </w:t>
      </w:r>
      <w:r w:rsidRPr="00AE49B7">
        <w:rPr>
          <w:i/>
          <w:iCs/>
        </w:rPr>
        <w:t>53</w:t>
      </w:r>
      <w:r w:rsidRPr="00AE49B7">
        <w:t>(3), pp.189-197.</w:t>
      </w:r>
      <w:r>
        <w:t xml:space="preserve"> </w:t>
      </w:r>
      <w:r w:rsidRPr="008C2E8D">
        <w:rPr>
          <w:lang w:val="en-IN"/>
        </w:rPr>
        <w:t>Available at:</w:t>
      </w:r>
      <w:r w:rsidRPr="00AE49B7">
        <w:t xml:space="preserve"> </w:t>
      </w:r>
      <w:hyperlink r:id="rId8" w:history="1">
        <w:r w:rsidRPr="00484859">
          <w:rPr>
            <w:rStyle w:val="Hyperlink"/>
            <w:lang w:val="en-IN"/>
          </w:rPr>
          <w:t>https://doi.org/10.1177/18333583231154624</w:t>
        </w:r>
      </w:hyperlink>
      <w:r>
        <w:rPr>
          <w:lang w:val="en-IN"/>
        </w:rPr>
        <w:t xml:space="preserve"> </w:t>
      </w:r>
    </w:p>
    <w:p w14:paraId="7B426EDF" w14:textId="77777777" w:rsidR="0091560B" w:rsidRDefault="0091560B" w:rsidP="0091560B">
      <w:pPr>
        <w:rPr>
          <w:lang w:val="en-IN"/>
        </w:rPr>
      </w:pPr>
      <w:r w:rsidRPr="005F1C6D">
        <w:rPr>
          <w:lang w:val="en-IN"/>
        </w:rPr>
        <w:t xml:space="preserve">Motulsky, A., Bosson-Rieutort, D., Usher, S., David, G., Moreault, M.P., Gagnon, M.P., Schuster, T. and Sicotte, C. </w:t>
      </w:r>
      <w:r>
        <w:rPr>
          <w:lang w:val="en-IN"/>
        </w:rPr>
        <w:t>(</w:t>
      </w:r>
      <w:r w:rsidRPr="005F1C6D">
        <w:rPr>
          <w:lang w:val="en-IN"/>
        </w:rPr>
        <w:t>2023</w:t>
      </w:r>
      <w:r>
        <w:rPr>
          <w:lang w:val="en-IN"/>
        </w:rPr>
        <w:t>)</w:t>
      </w:r>
      <w:r w:rsidRPr="005F1C6D">
        <w:rPr>
          <w:lang w:val="en-IN"/>
        </w:rPr>
        <w:t xml:space="preserve"> </w:t>
      </w:r>
      <w:r>
        <w:rPr>
          <w:lang w:val="en-IN"/>
        </w:rPr>
        <w:t>‘</w:t>
      </w:r>
      <w:r w:rsidRPr="005F1C6D">
        <w:rPr>
          <w:lang w:val="en-IN"/>
        </w:rPr>
        <w:t>Evaluation of a national e-booking system for medical consultation in primary care in a universal health system.</w:t>
      </w:r>
      <w:r>
        <w:rPr>
          <w:lang w:val="en-IN"/>
        </w:rPr>
        <w:t>’</w:t>
      </w:r>
      <w:r w:rsidRPr="005F1C6D">
        <w:rPr>
          <w:lang w:val="en-IN"/>
        </w:rPr>
        <w:t xml:space="preserve"> Health Policy, 131, p.104759. </w:t>
      </w:r>
      <w:r w:rsidRPr="00AE49B7">
        <w:rPr>
          <w:lang w:val="en-IN"/>
        </w:rPr>
        <w:t>Available at:</w:t>
      </w:r>
      <w:r w:rsidRPr="005F1C6D">
        <w:t xml:space="preserve"> </w:t>
      </w:r>
      <w:hyperlink r:id="rId9" w:history="1">
        <w:r w:rsidRPr="00484859">
          <w:rPr>
            <w:rStyle w:val="Hyperlink"/>
            <w:lang w:val="en-IN"/>
          </w:rPr>
          <w:t>https://doi.org/10.1016/j.healthpol.2023.104759</w:t>
        </w:r>
      </w:hyperlink>
      <w:r>
        <w:rPr>
          <w:lang w:val="en-IN"/>
        </w:rPr>
        <w:t xml:space="preserve"> </w:t>
      </w:r>
    </w:p>
    <w:p w14:paraId="3EA4699B" w14:textId="77777777" w:rsidR="0091560B" w:rsidRDefault="0091560B" w:rsidP="0091560B">
      <w:pPr>
        <w:rPr>
          <w:lang w:val="en-IN"/>
        </w:rPr>
      </w:pPr>
      <w:r w:rsidRPr="00AE49B7">
        <w:t xml:space="preserve">Papageorgiou, G., Christofi, K., Gelinou, A., Efstathiades, A. and Tsappi, E. </w:t>
      </w:r>
      <w:r>
        <w:t>(</w:t>
      </w:r>
      <w:r w:rsidRPr="00AE49B7">
        <w:t>2025</w:t>
      </w:r>
      <w:r>
        <w:t>)</w:t>
      </w:r>
      <w:r w:rsidRPr="00AE49B7">
        <w:t xml:space="preserve"> </w:t>
      </w:r>
      <w:r>
        <w:t>‘</w:t>
      </w:r>
      <w:r w:rsidRPr="00AE49B7">
        <w:t>Employee empowerment and job satisfaction in the evolving digital banking workplace.</w:t>
      </w:r>
      <w:r>
        <w:t>’</w:t>
      </w:r>
      <w:r w:rsidRPr="00AE49B7">
        <w:t> </w:t>
      </w:r>
      <w:r w:rsidRPr="00AE49B7">
        <w:rPr>
          <w:i/>
          <w:iCs/>
        </w:rPr>
        <w:t>International Journal of Economics and Business Research</w:t>
      </w:r>
      <w:r w:rsidRPr="00AE49B7">
        <w:t>, </w:t>
      </w:r>
      <w:r w:rsidRPr="00AE49B7">
        <w:rPr>
          <w:i/>
          <w:iCs/>
        </w:rPr>
        <w:t>29</w:t>
      </w:r>
      <w:r w:rsidRPr="00AE49B7">
        <w:t>(8), pp.41-60.</w:t>
      </w:r>
      <w:r w:rsidRPr="00AE49B7">
        <w:rPr>
          <w:lang w:val="en-IN"/>
        </w:rPr>
        <w:t xml:space="preserve"> </w:t>
      </w:r>
      <w:r w:rsidRPr="008C2E8D">
        <w:rPr>
          <w:lang w:val="en-IN"/>
        </w:rPr>
        <w:t>Available at:</w:t>
      </w:r>
      <w:r w:rsidRPr="00AE49B7">
        <w:t xml:space="preserve"> </w:t>
      </w:r>
      <w:hyperlink r:id="rId10" w:history="1">
        <w:r w:rsidRPr="00484859">
          <w:rPr>
            <w:rStyle w:val="Hyperlink"/>
            <w:lang w:val="en-IN"/>
          </w:rPr>
          <w:t>https://doi.org/10.1504/IJEBR.2025.144288</w:t>
        </w:r>
      </w:hyperlink>
      <w:r>
        <w:rPr>
          <w:lang w:val="en-IN"/>
        </w:rPr>
        <w:t xml:space="preserve"> </w:t>
      </w:r>
    </w:p>
    <w:p w14:paraId="44743E3E" w14:textId="77777777" w:rsidR="0091560B" w:rsidRDefault="0091560B" w:rsidP="0091560B">
      <w:pPr>
        <w:rPr>
          <w:lang w:val="en-IN"/>
        </w:rPr>
      </w:pPr>
      <w:r w:rsidRPr="00647745">
        <w:t xml:space="preserve">Pope, C., MacLellan, J., Prichard, J. and Turnbull, J. </w:t>
      </w:r>
      <w:r>
        <w:t>(</w:t>
      </w:r>
      <w:r w:rsidRPr="00647745">
        <w:t>2023</w:t>
      </w:r>
      <w:r>
        <w:t>)</w:t>
      </w:r>
      <w:r w:rsidRPr="00647745">
        <w:t xml:space="preserve"> </w:t>
      </w:r>
      <w:r>
        <w:t>‘</w:t>
      </w:r>
      <w:r w:rsidRPr="00647745">
        <w:t>The remarkable invisibility of NHS 111 online.</w:t>
      </w:r>
      <w:r>
        <w:t>’</w:t>
      </w:r>
      <w:r w:rsidRPr="00647745">
        <w:t> </w:t>
      </w:r>
      <w:r w:rsidRPr="00647745">
        <w:rPr>
          <w:i/>
          <w:iCs/>
        </w:rPr>
        <w:t>Sociology of Health &amp; Illness</w:t>
      </w:r>
      <w:r w:rsidRPr="00647745">
        <w:t>, </w:t>
      </w:r>
      <w:r w:rsidRPr="00647745">
        <w:rPr>
          <w:i/>
          <w:iCs/>
        </w:rPr>
        <w:t>45</w:t>
      </w:r>
      <w:r w:rsidRPr="00647745">
        <w:t>(4), pp.772-790.</w:t>
      </w:r>
      <w:r w:rsidRPr="00647745">
        <w:rPr>
          <w:lang w:val="en-IN"/>
        </w:rPr>
        <w:t xml:space="preserve"> </w:t>
      </w:r>
      <w:r w:rsidRPr="00AE49B7">
        <w:rPr>
          <w:lang w:val="en-IN"/>
        </w:rPr>
        <w:t>Available at:</w:t>
      </w:r>
      <w:r w:rsidRPr="00647745">
        <w:t xml:space="preserve"> </w:t>
      </w:r>
      <w:hyperlink r:id="rId11" w:history="1">
        <w:r w:rsidRPr="00484859">
          <w:rPr>
            <w:rStyle w:val="Hyperlink"/>
            <w:lang w:val="en-IN"/>
          </w:rPr>
          <w:t>https://doi.org/10.1111/1467-9566.13591</w:t>
        </w:r>
      </w:hyperlink>
      <w:r>
        <w:rPr>
          <w:lang w:val="en-IN"/>
        </w:rPr>
        <w:t xml:space="preserve"> </w:t>
      </w:r>
    </w:p>
    <w:p w14:paraId="3A84AFAF" w14:textId="77777777" w:rsidR="0091560B" w:rsidRDefault="0091560B" w:rsidP="0091560B">
      <w:pPr>
        <w:rPr>
          <w:lang w:val="en-IN"/>
        </w:rPr>
      </w:pPr>
      <w:r w:rsidRPr="008C2E8D">
        <w:rPr>
          <w:lang w:val="en-IN"/>
        </w:rPr>
        <w:t xml:space="preserve">Reidy, C., Chrysanthi Papoutsi, KC, S., Gudgin, B., Laverty, A.A., Greaves, F. and Powell, J. (2025) </w:t>
      </w:r>
      <w:r>
        <w:rPr>
          <w:lang w:val="en-IN"/>
        </w:rPr>
        <w:t>‘</w:t>
      </w:r>
      <w:r w:rsidRPr="008C2E8D">
        <w:rPr>
          <w:lang w:val="en-IN"/>
        </w:rPr>
        <w:t>Qualitative evaluation of the implementation and national roll-out of the NHS App in England.</w:t>
      </w:r>
      <w:r>
        <w:rPr>
          <w:lang w:val="en-IN"/>
        </w:rPr>
        <w:t>’</w:t>
      </w:r>
      <w:r w:rsidRPr="008C2E8D">
        <w:rPr>
          <w:lang w:val="en-IN"/>
        </w:rPr>
        <w:t> </w:t>
      </w:r>
      <w:r w:rsidRPr="008C2E8D">
        <w:rPr>
          <w:i/>
          <w:iCs/>
          <w:lang w:val="en-IN"/>
        </w:rPr>
        <w:t>BMC Medicine</w:t>
      </w:r>
      <w:r w:rsidRPr="008C2E8D">
        <w:rPr>
          <w:lang w:val="en-IN"/>
        </w:rPr>
        <w:t>, [online] 23(1), pp.20–20. Available at: doi:https://doi.org/10.1186/s12916-024-03842-w.</w:t>
      </w:r>
    </w:p>
    <w:p w14:paraId="0F549A47" w14:textId="77777777" w:rsidR="0091560B" w:rsidRDefault="0091560B" w:rsidP="0091560B">
      <w:pPr>
        <w:rPr>
          <w:lang w:val="en-IN"/>
        </w:rPr>
      </w:pPr>
      <w:r w:rsidRPr="005F1C6D">
        <w:rPr>
          <w:lang w:val="en-IN"/>
        </w:rPr>
        <w:t xml:space="preserve">Russell, S., Stocker, R., Zoë Cockshott, Mason, S., Knight, J., Hanratty, B. and Preston, N. (2025) </w:t>
      </w:r>
      <w:r>
        <w:rPr>
          <w:lang w:val="en-IN"/>
        </w:rPr>
        <w:t>‘</w:t>
      </w:r>
      <w:r w:rsidRPr="005F1C6D">
        <w:rPr>
          <w:lang w:val="en-IN"/>
        </w:rPr>
        <w:t>Use of a digital application to enhance communication and triage between care homes and national health service community services in the United Kingdom: a qualitative evaluation.</w:t>
      </w:r>
      <w:r>
        <w:rPr>
          <w:lang w:val="en-IN"/>
        </w:rPr>
        <w:t>’</w:t>
      </w:r>
      <w:r w:rsidRPr="005F1C6D">
        <w:rPr>
          <w:lang w:val="en-IN"/>
        </w:rPr>
        <w:t> </w:t>
      </w:r>
      <w:r w:rsidRPr="005F1C6D">
        <w:rPr>
          <w:i/>
          <w:iCs/>
          <w:lang w:val="en-IN"/>
        </w:rPr>
        <w:t>BMC Geriatrics</w:t>
      </w:r>
      <w:r w:rsidRPr="005F1C6D">
        <w:rPr>
          <w:lang w:val="en-IN"/>
        </w:rPr>
        <w:t xml:space="preserve">, [online] 25(1), pp.875–875. </w:t>
      </w:r>
      <w:r w:rsidRPr="00AE49B7">
        <w:rPr>
          <w:lang w:val="en-IN"/>
        </w:rPr>
        <w:t>Available at:</w:t>
      </w:r>
      <w:r w:rsidRPr="005F1C6D">
        <w:t xml:space="preserve"> </w:t>
      </w:r>
      <w:r w:rsidRPr="005F1C6D">
        <w:rPr>
          <w:lang w:val="en-IN"/>
        </w:rPr>
        <w:t>doi:https://doi.org/10.1186/s12877-025-06217-9.</w:t>
      </w:r>
    </w:p>
    <w:p w14:paraId="3BAF5722" w14:textId="77777777" w:rsidR="0091560B" w:rsidRDefault="0091560B" w:rsidP="0091560B">
      <w:pPr>
        <w:rPr>
          <w:lang w:val="en-IN"/>
        </w:rPr>
      </w:pPr>
      <w:r w:rsidRPr="00647745">
        <w:lastRenderedPageBreak/>
        <w:t xml:space="preserve">Wakeling, J., New, H., Hall, A. and Christie, L. </w:t>
      </w:r>
      <w:r>
        <w:t>(</w:t>
      </w:r>
      <w:r w:rsidRPr="00647745">
        <w:t>2025</w:t>
      </w:r>
      <w:r>
        <w:t>)</w:t>
      </w:r>
      <w:r w:rsidRPr="00647745">
        <w:t xml:space="preserve"> </w:t>
      </w:r>
      <w:r>
        <w:t>‘</w:t>
      </w:r>
      <w:r w:rsidRPr="00647745">
        <w:t>Addressing the learning and development needs of the NHS support workforce: a qualitative study of what helps and hinders.</w:t>
      </w:r>
      <w:r>
        <w:t>’</w:t>
      </w:r>
      <w:r w:rsidRPr="00647745">
        <w:t> </w:t>
      </w:r>
      <w:r w:rsidRPr="00647745">
        <w:rPr>
          <w:i/>
          <w:iCs/>
        </w:rPr>
        <w:t>British Journal of Healthcare Management</w:t>
      </w:r>
      <w:r w:rsidRPr="00647745">
        <w:t>, </w:t>
      </w:r>
      <w:r w:rsidRPr="00647745">
        <w:rPr>
          <w:i/>
          <w:iCs/>
        </w:rPr>
        <w:t>31</w:t>
      </w:r>
      <w:r w:rsidRPr="00647745">
        <w:t>(6), pp.1-12.</w:t>
      </w:r>
      <w:r w:rsidRPr="00647745">
        <w:rPr>
          <w:lang w:val="en-IN"/>
        </w:rPr>
        <w:t xml:space="preserve"> </w:t>
      </w:r>
      <w:r w:rsidRPr="00AE49B7">
        <w:rPr>
          <w:lang w:val="en-IN"/>
        </w:rPr>
        <w:t>Available at:</w:t>
      </w:r>
      <w:r w:rsidRPr="00647745">
        <w:t xml:space="preserve"> </w:t>
      </w:r>
      <w:hyperlink r:id="rId12" w:history="1">
        <w:r w:rsidRPr="00484859">
          <w:rPr>
            <w:rStyle w:val="Hyperlink"/>
            <w:lang w:val="en-IN"/>
          </w:rPr>
          <w:t>https://doi.org/10.12968/bjhc.2025.0020</w:t>
        </w:r>
      </w:hyperlink>
      <w:r>
        <w:rPr>
          <w:lang w:val="en-IN"/>
        </w:rPr>
        <w:t xml:space="preserve"> </w:t>
      </w:r>
    </w:p>
    <w:p w14:paraId="50AE75D0" w14:textId="77777777" w:rsidR="0091560B" w:rsidRPr="00685ADE" w:rsidRDefault="0091560B" w:rsidP="0091560B">
      <w:pPr>
        <w:rPr>
          <w:lang w:val="en-US"/>
        </w:rPr>
      </w:pPr>
    </w:p>
    <w:p w14:paraId="2106734F" w14:textId="77777777" w:rsidR="00C23985" w:rsidRDefault="00C23985"/>
    <w:sectPr w:rsidR="00C23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60B"/>
    <w:rsid w:val="00197471"/>
    <w:rsid w:val="00205337"/>
    <w:rsid w:val="00255653"/>
    <w:rsid w:val="00410234"/>
    <w:rsid w:val="004C72C9"/>
    <w:rsid w:val="004D1351"/>
    <w:rsid w:val="00521A1F"/>
    <w:rsid w:val="00620679"/>
    <w:rsid w:val="0086066C"/>
    <w:rsid w:val="0091560B"/>
    <w:rsid w:val="009959EE"/>
    <w:rsid w:val="00A32375"/>
    <w:rsid w:val="00A6712E"/>
    <w:rsid w:val="00B360A6"/>
    <w:rsid w:val="00C17C2A"/>
    <w:rsid w:val="00C23985"/>
    <w:rsid w:val="00F75967"/>
    <w:rsid w:val="00FC2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73DC"/>
  <w15:chartTrackingRefBased/>
  <w15:docId w15:val="{1DDD38CF-FBBE-4E0A-96E0-0AA92CA66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560B"/>
    <w:pPr>
      <w:spacing w:line="360" w:lineRule="auto"/>
      <w:jc w:val="both"/>
    </w:pPr>
    <w:rPr>
      <w:rFonts w:ascii="Arial" w:hAnsi="Arial"/>
      <w:kern w:val="2"/>
      <w:szCs w:val="24"/>
      <w14:ligatures w14:val="standardContextual"/>
    </w:rPr>
  </w:style>
  <w:style w:type="paragraph" w:styleId="Heading1">
    <w:name w:val="heading 1"/>
    <w:basedOn w:val="Normal"/>
    <w:next w:val="Normal"/>
    <w:link w:val="Heading1Char"/>
    <w:uiPriority w:val="9"/>
    <w:qFormat/>
    <w:rsid w:val="0091560B"/>
    <w:pPr>
      <w:keepNext/>
      <w:keepLines/>
      <w:spacing w:before="360" w:after="80" w:line="259" w:lineRule="auto"/>
      <w:jc w:val="left"/>
      <w:outlineLvl w:val="0"/>
    </w:pPr>
    <w:rPr>
      <w:rFonts w:asciiTheme="majorHAnsi" w:eastAsiaTheme="majorEastAsia" w:hAnsiTheme="majorHAnsi" w:cstheme="majorBidi"/>
      <w:color w:val="0F4761" w:themeColor="accent1" w:themeShade="BF"/>
      <w:kern w:val="0"/>
      <w:sz w:val="40"/>
      <w:szCs w:val="40"/>
      <w14:ligatures w14:val="none"/>
    </w:rPr>
  </w:style>
  <w:style w:type="paragraph" w:styleId="Heading2">
    <w:name w:val="heading 2"/>
    <w:basedOn w:val="Normal"/>
    <w:next w:val="Normal"/>
    <w:link w:val="Heading2Char"/>
    <w:uiPriority w:val="9"/>
    <w:unhideWhenUsed/>
    <w:qFormat/>
    <w:rsid w:val="0091560B"/>
    <w:pPr>
      <w:keepNext/>
      <w:keepLines/>
      <w:spacing w:before="160" w:after="80" w:line="259" w:lineRule="auto"/>
      <w:jc w:val="left"/>
      <w:outlineLvl w:val="1"/>
    </w:pPr>
    <w:rPr>
      <w:rFonts w:asciiTheme="majorHAnsi" w:eastAsiaTheme="majorEastAsia" w:hAnsiTheme="majorHAnsi" w:cstheme="majorBidi"/>
      <w:color w:val="0F4761" w:themeColor="accent1" w:themeShade="BF"/>
      <w:kern w:val="0"/>
      <w:sz w:val="32"/>
      <w:szCs w:val="32"/>
      <w14:ligatures w14:val="none"/>
    </w:rPr>
  </w:style>
  <w:style w:type="paragraph" w:styleId="Heading3">
    <w:name w:val="heading 3"/>
    <w:basedOn w:val="Normal"/>
    <w:next w:val="Normal"/>
    <w:link w:val="Heading3Char"/>
    <w:uiPriority w:val="9"/>
    <w:semiHidden/>
    <w:unhideWhenUsed/>
    <w:qFormat/>
    <w:rsid w:val="0091560B"/>
    <w:pPr>
      <w:keepNext/>
      <w:keepLines/>
      <w:spacing w:before="160" w:after="80" w:line="259" w:lineRule="auto"/>
      <w:jc w:val="left"/>
      <w:outlineLvl w:val="2"/>
    </w:pPr>
    <w:rPr>
      <w:rFonts w:asciiTheme="minorHAnsi" w:eastAsiaTheme="majorEastAsia" w:hAnsiTheme="minorHAnsi" w:cstheme="majorBidi"/>
      <w:color w:val="0F4761" w:themeColor="accent1" w:themeShade="BF"/>
      <w:kern w:val="0"/>
      <w:sz w:val="28"/>
      <w:szCs w:val="28"/>
      <w14:ligatures w14:val="none"/>
    </w:rPr>
  </w:style>
  <w:style w:type="paragraph" w:styleId="Heading4">
    <w:name w:val="heading 4"/>
    <w:basedOn w:val="Normal"/>
    <w:next w:val="Normal"/>
    <w:link w:val="Heading4Char"/>
    <w:uiPriority w:val="9"/>
    <w:semiHidden/>
    <w:unhideWhenUsed/>
    <w:qFormat/>
    <w:rsid w:val="0091560B"/>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0"/>
      <w:szCs w:val="22"/>
      <w14:ligatures w14:val="none"/>
    </w:rPr>
  </w:style>
  <w:style w:type="paragraph" w:styleId="Heading5">
    <w:name w:val="heading 5"/>
    <w:basedOn w:val="Normal"/>
    <w:next w:val="Normal"/>
    <w:link w:val="Heading5Char"/>
    <w:uiPriority w:val="9"/>
    <w:semiHidden/>
    <w:unhideWhenUsed/>
    <w:qFormat/>
    <w:rsid w:val="0091560B"/>
    <w:pPr>
      <w:keepNext/>
      <w:keepLines/>
      <w:spacing w:before="80" w:after="40" w:line="259" w:lineRule="auto"/>
      <w:jc w:val="left"/>
      <w:outlineLvl w:val="4"/>
    </w:pPr>
    <w:rPr>
      <w:rFonts w:asciiTheme="minorHAnsi" w:eastAsiaTheme="majorEastAsia" w:hAnsiTheme="minorHAnsi" w:cstheme="majorBidi"/>
      <w:color w:val="0F4761" w:themeColor="accent1" w:themeShade="BF"/>
      <w:kern w:val="0"/>
      <w:szCs w:val="22"/>
      <w14:ligatures w14:val="none"/>
    </w:rPr>
  </w:style>
  <w:style w:type="paragraph" w:styleId="Heading6">
    <w:name w:val="heading 6"/>
    <w:basedOn w:val="Normal"/>
    <w:next w:val="Normal"/>
    <w:link w:val="Heading6Char"/>
    <w:uiPriority w:val="9"/>
    <w:semiHidden/>
    <w:unhideWhenUsed/>
    <w:qFormat/>
    <w:rsid w:val="0091560B"/>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0"/>
      <w:szCs w:val="22"/>
      <w14:ligatures w14:val="none"/>
    </w:rPr>
  </w:style>
  <w:style w:type="paragraph" w:styleId="Heading7">
    <w:name w:val="heading 7"/>
    <w:basedOn w:val="Normal"/>
    <w:next w:val="Normal"/>
    <w:link w:val="Heading7Char"/>
    <w:uiPriority w:val="9"/>
    <w:semiHidden/>
    <w:unhideWhenUsed/>
    <w:qFormat/>
    <w:rsid w:val="0091560B"/>
    <w:pPr>
      <w:keepNext/>
      <w:keepLines/>
      <w:spacing w:before="40" w:after="0" w:line="259" w:lineRule="auto"/>
      <w:jc w:val="left"/>
      <w:outlineLvl w:val="6"/>
    </w:pPr>
    <w:rPr>
      <w:rFonts w:asciiTheme="minorHAnsi" w:eastAsiaTheme="majorEastAsia" w:hAnsiTheme="minorHAnsi" w:cstheme="majorBidi"/>
      <w:color w:val="595959" w:themeColor="text1" w:themeTint="A6"/>
      <w:kern w:val="0"/>
      <w:szCs w:val="22"/>
      <w14:ligatures w14:val="none"/>
    </w:rPr>
  </w:style>
  <w:style w:type="paragraph" w:styleId="Heading8">
    <w:name w:val="heading 8"/>
    <w:basedOn w:val="Normal"/>
    <w:next w:val="Normal"/>
    <w:link w:val="Heading8Char"/>
    <w:uiPriority w:val="9"/>
    <w:semiHidden/>
    <w:unhideWhenUsed/>
    <w:qFormat/>
    <w:rsid w:val="0091560B"/>
    <w:pPr>
      <w:keepNext/>
      <w:keepLines/>
      <w:spacing w:after="0" w:line="259" w:lineRule="auto"/>
      <w:jc w:val="left"/>
      <w:outlineLvl w:val="7"/>
    </w:pPr>
    <w:rPr>
      <w:rFonts w:asciiTheme="minorHAnsi" w:eastAsiaTheme="majorEastAsia" w:hAnsiTheme="minorHAnsi" w:cstheme="majorBidi"/>
      <w:i/>
      <w:iCs/>
      <w:color w:val="272727" w:themeColor="text1" w:themeTint="D8"/>
      <w:kern w:val="0"/>
      <w:szCs w:val="22"/>
      <w14:ligatures w14:val="none"/>
    </w:rPr>
  </w:style>
  <w:style w:type="paragraph" w:styleId="Heading9">
    <w:name w:val="heading 9"/>
    <w:basedOn w:val="Normal"/>
    <w:next w:val="Normal"/>
    <w:link w:val="Heading9Char"/>
    <w:uiPriority w:val="9"/>
    <w:semiHidden/>
    <w:unhideWhenUsed/>
    <w:qFormat/>
    <w:rsid w:val="0091560B"/>
    <w:pPr>
      <w:keepNext/>
      <w:keepLines/>
      <w:spacing w:after="0" w:line="259" w:lineRule="auto"/>
      <w:jc w:val="left"/>
      <w:outlineLvl w:val="8"/>
    </w:pPr>
    <w:rPr>
      <w:rFonts w:asciiTheme="minorHAnsi" w:eastAsiaTheme="majorEastAsia" w:hAnsiTheme="minorHAnsi" w:cstheme="majorBidi"/>
      <w:color w:val="272727" w:themeColor="text1" w:themeTint="D8"/>
      <w:kern w:val="0"/>
      <w:szCs w:val="2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6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56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6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6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6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6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6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6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60B"/>
    <w:rPr>
      <w:rFonts w:eastAsiaTheme="majorEastAsia" w:cstheme="majorBidi"/>
      <w:color w:val="272727" w:themeColor="text1" w:themeTint="D8"/>
    </w:rPr>
  </w:style>
  <w:style w:type="paragraph" w:styleId="Title">
    <w:name w:val="Title"/>
    <w:basedOn w:val="Normal"/>
    <w:next w:val="Normal"/>
    <w:link w:val="TitleChar"/>
    <w:uiPriority w:val="10"/>
    <w:qFormat/>
    <w:rsid w:val="0091560B"/>
    <w:pPr>
      <w:spacing w:after="80" w:line="240" w:lineRule="auto"/>
      <w:contextualSpacing/>
      <w:jc w:val="left"/>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9156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60B"/>
    <w:pPr>
      <w:numPr>
        <w:ilvl w:val="1"/>
      </w:numPr>
      <w:spacing w:line="259" w:lineRule="auto"/>
      <w:jc w:val="left"/>
    </w:pPr>
    <w:rPr>
      <w:rFonts w:asciiTheme="minorHAnsi" w:eastAsiaTheme="majorEastAsia" w:hAnsiTheme="minorHAnsi" w:cstheme="majorBidi"/>
      <w:color w:val="595959" w:themeColor="text1" w:themeTint="A6"/>
      <w:spacing w:val="15"/>
      <w:kern w:val="0"/>
      <w:sz w:val="28"/>
      <w:szCs w:val="28"/>
      <w14:ligatures w14:val="none"/>
    </w:rPr>
  </w:style>
  <w:style w:type="character" w:customStyle="1" w:styleId="SubtitleChar">
    <w:name w:val="Subtitle Char"/>
    <w:basedOn w:val="DefaultParagraphFont"/>
    <w:link w:val="Subtitle"/>
    <w:uiPriority w:val="11"/>
    <w:rsid w:val="009156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60B"/>
    <w:pPr>
      <w:spacing w:before="160" w:line="259" w:lineRule="auto"/>
      <w:jc w:val="center"/>
    </w:pPr>
    <w:rPr>
      <w:rFonts w:asciiTheme="minorHAnsi" w:hAnsiTheme="minorHAnsi"/>
      <w:i/>
      <w:iCs/>
      <w:color w:val="404040" w:themeColor="text1" w:themeTint="BF"/>
      <w:kern w:val="0"/>
      <w:szCs w:val="22"/>
      <w14:ligatures w14:val="none"/>
    </w:rPr>
  </w:style>
  <w:style w:type="character" w:customStyle="1" w:styleId="QuoteChar">
    <w:name w:val="Quote Char"/>
    <w:basedOn w:val="DefaultParagraphFont"/>
    <w:link w:val="Quote"/>
    <w:uiPriority w:val="29"/>
    <w:rsid w:val="0091560B"/>
    <w:rPr>
      <w:i/>
      <w:iCs/>
      <w:color w:val="404040" w:themeColor="text1" w:themeTint="BF"/>
    </w:rPr>
  </w:style>
  <w:style w:type="paragraph" w:styleId="ListParagraph">
    <w:name w:val="List Paragraph"/>
    <w:basedOn w:val="Normal"/>
    <w:uiPriority w:val="34"/>
    <w:qFormat/>
    <w:rsid w:val="0091560B"/>
    <w:pPr>
      <w:spacing w:line="259" w:lineRule="auto"/>
      <w:ind w:left="720"/>
      <w:contextualSpacing/>
      <w:jc w:val="left"/>
    </w:pPr>
    <w:rPr>
      <w:rFonts w:asciiTheme="minorHAnsi" w:hAnsiTheme="minorHAnsi"/>
      <w:kern w:val="0"/>
      <w:szCs w:val="22"/>
      <w14:ligatures w14:val="none"/>
    </w:rPr>
  </w:style>
  <w:style w:type="character" w:styleId="IntenseEmphasis">
    <w:name w:val="Intense Emphasis"/>
    <w:basedOn w:val="DefaultParagraphFont"/>
    <w:uiPriority w:val="21"/>
    <w:qFormat/>
    <w:rsid w:val="0091560B"/>
    <w:rPr>
      <w:i/>
      <w:iCs/>
      <w:color w:val="0F4761" w:themeColor="accent1" w:themeShade="BF"/>
    </w:rPr>
  </w:style>
  <w:style w:type="paragraph" w:styleId="IntenseQuote">
    <w:name w:val="Intense Quote"/>
    <w:basedOn w:val="Normal"/>
    <w:next w:val="Normal"/>
    <w:link w:val="IntenseQuoteChar"/>
    <w:uiPriority w:val="30"/>
    <w:qFormat/>
    <w:rsid w:val="0091560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0"/>
      <w:szCs w:val="22"/>
      <w14:ligatures w14:val="none"/>
    </w:rPr>
  </w:style>
  <w:style w:type="character" w:customStyle="1" w:styleId="IntenseQuoteChar">
    <w:name w:val="Intense Quote Char"/>
    <w:basedOn w:val="DefaultParagraphFont"/>
    <w:link w:val="IntenseQuote"/>
    <w:uiPriority w:val="30"/>
    <w:rsid w:val="0091560B"/>
    <w:rPr>
      <w:i/>
      <w:iCs/>
      <w:color w:val="0F4761" w:themeColor="accent1" w:themeShade="BF"/>
    </w:rPr>
  </w:style>
  <w:style w:type="character" w:styleId="IntenseReference">
    <w:name w:val="Intense Reference"/>
    <w:basedOn w:val="DefaultParagraphFont"/>
    <w:uiPriority w:val="32"/>
    <w:qFormat/>
    <w:rsid w:val="0091560B"/>
    <w:rPr>
      <w:b/>
      <w:bCs/>
      <w:smallCaps/>
      <w:color w:val="0F4761" w:themeColor="accent1" w:themeShade="BF"/>
      <w:spacing w:val="5"/>
    </w:rPr>
  </w:style>
  <w:style w:type="character" w:styleId="Hyperlink">
    <w:name w:val="Hyperlink"/>
    <w:basedOn w:val="DefaultParagraphFont"/>
    <w:uiPriority w:val="99"/>
    <w:unhideWhenUsed/>
    <w:rsid w:val="0091560B"/>
    <w:rPr>
      <w:color w:val="467886" w:themeColor="hyperlink"/>
      <w:u w:val="single"/>
    </w:rPr>
  </w:style>
  <w:style w:type="paragraph" w:styleId="TOCHeading">
    <w:name w:val="TOC Heading"/>
    <w:basedOn w:val="Heading1"/>
    <w:next w:val="Normal"/>
    <w:uiPriority w:val="39"/>
    <w:unhideWhenUsed/>
    <w:qFormat/>
    <w:rsid w:val="0091560B"/>
    <w:pPr>
      <w:spacing w:before="240" w:after="0"/>
      <w:outlineLvl w:val="9"/>
    </w:pPr>
    <w:rPr>
      <w:sz w:val="32"/>
      <w:szCs w:val="32"/>
      <w:lang w:val="en-US"/>
    </w:rPr>
  </w:style>
  <w:style w:type="paragraph" w:styleId="TOC1">
    <w:name w:val="toc 1"/>
    <w:basedOn w:val="Normal"/>
    <w:next w:val="Normal"/>
    <w:autoRedefine/>
    <w:uiPriority w:val="39"/>
    <w:unhideWhenUsed/>
    <w:rsid w:val="0091560B"/>
    <w:pPr>
      <w:spacing w:after="100"/>
    </w:pPr>
  </w:style>
  <w:style w:type="paragraph" w:styleId="TOC2">
    <w:name w:val="toc 2"/>
    <w:basedOn w:val="Normal"/>
    <w:next w:val="Normal"/>
    <w:autoRedefine/>
    <w:uiPriority w:val="39"/>
    <w:unhideWhenUsed/>
    <w:rsid w:val="0091560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8333583231154624"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3390/su14063311" TargetMode="External"/><Relationship Id="rId12" Type="http://schemas.openxmlformats.org/officeDocument/2006/relationships/hyperlink" Target="https://doi.org/10.12968/bjhc.2025.00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jhin.2023.07.024" TargetMode="External"/><Relationship Id="rId11" Type="http://schemas.openxmlformats.org/officeDocument/2006/relationships/hyperlink" Target="https://doi.org/10.1111/1467-9566.13591" TargetMode="External"/><Relationship Id="rId5" Type="http://schemas.openxmlformats.org/officeDocument/2006/relationships/hyperlink" Target="https://doi.org/10.1177/01622439211055697" TargetMode="External"/><Relationship Id="rId10" Type="http://schemas.openxmlformats.org/officeDocument/2006/relationships/hyperlink" Target="https://doi.org/10.1504/IJEBR.2025.144288" TargetMode="External"/><Relationship Id="rId4" Type="http://schemas.openxmlformats.org/officeDocument/2006/relationships/hyperlink" Target="https://doi.org/10.1016/j.ejca.2025.115705" TargetMode="External"/><Relationship Id="rId9" Type="http://schemas.openxmlformats.org/officeDocument/2006/relationships/hyperlink" Target="https://doi.org/10.1016/j.healthpol.2023.10475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11</Pages>
  <Words>3029</Words>
  <Characters>17270</Characters>
  <Application>Microsoft Office Word</Application>
  <DocSecurity>0</DocSecurity>
  <Lines>143</Lines>
  <Paragraphs>40</Paragraphs>
  <ScaleCrop>false</ScaleCrop>
  <Company/>
  <LinksUpToDate>false</LinksUpToDate>
  <CharactersWithSpaces>20259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Bertha Quarschie Ep Amoah (2324071)</dc:creator>
  <cp:keywords/>
  <dc:description/>
  <cp:lastModifiedBy>Bertha Quarschie Ep Amoah (2324071)</cp:lastModifiedBy>
  <cp:revision>12</cp:revision>
  <dcterms:created xsi:type="dcterms:W3CDTF">2026-02-07T14:26:00Z</dcterms:created>
  <dcterms:modified xsi:type="dcterms:W3CDTF">2026-02-15T20:49:00Z</dcterms:modified>
</cp:coreProperties>
</file>