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378F" w14:textId="77777777" w:rsidR="00A20A32" w:rsidRPr="00B23F1A" w:rsidRDefault="00A20A32" w:rsidP="00A20A32">
      <w:pPr>
        <w:jc w:val="both"/>
        <w:rPr>
          <w:rFonts w:asciiTheme="minorBidi" w:hAnsiTheme="minorBidi"/>
          <w:sz w:val="24"/>
          <w:szCs w:val="24"/>
        </w:rPr>
      </w:pPr>
      <w:r w:rsidRPr="00B23F1A">
        <w:rPr>
          <w:rFonts w:asciiTheme="minorBidi" w:hAnsiTheme="minorBidi"/>
          <w:noProof/>
          <w:sz w:val="24"/>
          <w:szCs w:val="24"/>
        </w:rPr>
        <w:drawing>
          <wp:inline distT="0" distB="0" distL="0" distR="0" wp14:anchorId="6C447F19" wp14:editId="1ACCC8A0">
            <wp:extent cx="3638550" cy="1819275"/>
            <wp:effectExtent l="0" t="0" r="0" b="0"/>
            <wp:docPr id="527614896" name="Picture 5276148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cstate="print">
                      <a:extLst>
                        <a:ext uri="{28A0092B-C50C-407E-A947-70E740481C1C}">
                          <a14:useLocalDpi xmlns:a14="http://schemas.microsoft.com/office/drawing/2010/main" val="0"/>
                        </a:ext>
                      </a:extLst>
                    </a:blip>
                    <a:stretch>
                      <a:fillRect/>
                    </a:stretch>
                  </pic:blipFill>
                  <pic:spPr>
                    <a:xfrm>
                      <a:off x="0" y="0"/>
                      <a:ext cx="3638550" cy="1819275"/>
                    </a:xfrm>
                    <a:prstGeom prst="rect">
                      <a:avLst/>
                    </a:prstGeom>
                  </pic:spPr>
                </pic:pic>
              </a:graphicData>
            </a:graphic>
          </wp:inline>
        </w:drawing>
      </w:r>
    </w:p>
    <w:p w14:paraId="236017EE" w14:textId="77777777" w:rsidR="00A20A32" w:rsidRPr="00B23F1A" w:rsidRDefault="00A20A32" w:rsidP="00A20A32">
      <w:pPr>
        <w:jc w:val="both"/>
        <w:rPr>
          <w:rFonts w:asciiTheme="minorBidi" w:hAnsiTheme="minorBidi"/>
          <w:sz w:val="24"/>
          <w:szCs w:val="24"/>
        </w:rPr>
      </w:pPr>
    </w:p>
    <w:p w14:paraId="3882DB08" w14:textId="77777777" w:rsidR="00A20A32" w:rsidRPr="00B23F1A" w:rsidRDefault="00A20A32" w:rsidP="00A20A32">
      <w:pPr>
        <w:jc w:val="both"/>
        <w:rPr>
          <w:rFonts w:asciiTheme="minorBidi" w:hAnsiTheme="minorBidi"/>
          <w:sz w:val="24"/>
          <w:szCs w:val="24"/>
        </w:rPr>
      </w:pPr>
    </w:p>
    <w:p w14:paraId="0F1993CE" w14:textId="77777777" w:rsidR="00A20A32" w:rsidRDefault="00A20A32" w:rsidP="00A20A32">
      <w:pPr>
        <w:ind w:left="1440" w:firstLine="720"/>
        <w:jc w:val="both"/>
        <w:rPr>
          <w:rFonts w:asciiTheme="minorBidi" w:hAnsiTheme="minorBidi"/>
          <w:sz w:val="24"/>
          <w:szCs w:val="24"/>
        </w:rPr>
      </w:pPr>
      <w:r w:rsidRPr="00B23F1A">
        <w:rPr>
          <w:rFonts w:asciiTheme="minorBidi" w:hAnsiTheme="minorBidi"/>
          <w:sz w:val="24"/>
          <w:szCs w:val="24"/>
        </w:rPr>
        <w:t xml:space="preserve">          </w:t>
      </w:r>
    </w:p>
    <w:p w14:paraId="63480DC4" w14:textId="77777777" w:rsidR="00A20A32" w:rsidRDefault="00A20A32" w:rsidP="00A20A32">
      <w:pPr>
        <w:ind w:left="1440" w:firstLine="720"/>
        <w:jc w:val="both"/>
        <w:rPr>
          <w:rFonts w:asciiTheme="minorBidi" w:hAnsiTheme="minorBidi"/>
          <w:sz w:val="24"/>
          <w:szCs w:val="24"/>
        </w:rPr>
      </w:pPr>
    </w:p>
    <w:p w14:paraId="5E45006D" w14:textId="77777777" w:rsidR="00A20A32" w:rsidRPr="00415164" w:rsidRDefault="00A20A32" w:rsidP="00A20A32">
      <w:pPr>
        <w:ind w:left="1440" w:firstLine="720"/>
        <w:jc w:val="both"/>
        <w:rPr>
          <w:rFonts w:ascii="Arial" w:hAnsi="Arial" w:cs="Arial"/>
          <w:sz w:val="22"/>
          <w:szCs w:val="22"/>
        </w:rPr>
      </w:pPr>
    </w:p>
    <w:p w14:paraId="507B24B7" w14:textId="77777777" w:rsidR="00415164" w:rsidRDefault="00415164" w:rsidP="00A20A32">
      <w:pPr>
        <w:jc w:val="center"/>
        <w:rPr>
          <w:rFonts w:ascii="Arial" w:hAnsi="Arial" w:cs="Arial"/>
          <w:b/>
          <w:bCs/>
          <w:sz w:val="22"/>
          <w:szCs w:val="22"/>
        </w:rPr>
      </w:pPr>
    </w:p>
    <w:p w14:paraId="68CC542F" w14:textId="77777777" w:rsidR="00415164" w:rsidRDefault="00415164" w:rsidP="00A20A32">
      <w:pPr>
        <w:jc w:val="center"/>
        <w:rPr>
          <w:rFonts w:ascii="Arial" w:hAnsi="Arial" w:cs="Arial"/>
          <w:b/>
          <w:bCs/>
          <w:sz w:val="22"/>
          <w:szCs w:val="22"/>
        </w:rPr>
      </w:pPr>
    </w:p>
    <w:p w14:paraId="3700C4A9" w14:textId="77777777" w:rsidR="00415164" w:rsidRDefault="00415164" w:rsidP="00A20A32">
      <w:pPr>
        <w:jc w:val="center"/>
        <w:rPr>
          <w:rFonts w:ascii="Arial" w:hAnsi="Arial" w:cs="Arial"/>
          <w:b/>
          <w:bCs/>
          <w:sz w:val="22"/>
          <w:szCs w:val="22"/>
        </w:rPr>
      </w:pPr>
    </w:p>
    <w:p w14:paraId="5746B076" w14:textId="01C67EF2" w:rsidR="00A20A32" w:rsidRPr="00415164" w:rsidRDefault="00A20A32" w:rsidP="00A20A32">
      <w:pPr>
        <w:jc w:val="center"/>
        <w:rPr>
          <w:rFonts w:ascii="Arial" w:hAnsi="Arial" w:cs="Arial"/>
          <w:b/>
          <w:bCs/>
          <w:sz w:val="22"/>
          <w:szCs w:val="22"/>
        </w:rPr>
      </w:pPr>
      <w:r w:rsidRPr="00415164">
        <w:rPr>
          <w:rFonts w:ascii="Arial" w:hAnsi="Arial" w:cs="Arial"/>
          <w:b/>
          <w:bCs/>
          <w:sz w:val="22"/>
          <w:szCs w:val="22"/>
        </w:rPr>
        <w:t>Comprehensive Report on the Letterboxd Movie Classification Dataset</w:t>
      </w:r>
    </w:p>
    <w:p w14:paraId="182E48D7" w14:textId="77777777" w:rsidR="00A20A32" w:rsidRPr="00415164" w:rsidRDefault="00A20A32" w:rsidP="00A20A32">
      <w:pPr>
        <w:ind w:left="1440" w:firstLine="720"/>
        <w:jc w:val="both"/>
        <w:rPr>
          <w:rFonts w:ascii="Arial" w:hAnsi="Arial" w:cs="Arial"/>
          <w:sz w:val="22"/>
          <w:szCs w:val="22"/>
        </w:rPr>
      </w:pPr>
    </w:p>
    <w:p w14:paraId="42AD2185" w14:textId="77777777" w:rsidR="00A20A32" w:rsidRPr="00415164" w:rsidRDefault="00A20A32" w:rsidP="00A20A32">
      <w:pPr>
        <w:ind w:left="1440" w:firstLine="720"/>
        <w:rPr>
          <w:rFonts w:ascii="Arial" w:hAnsi="Arial" w:cs="Arial"/>
          <w:sz w:val="22"/>
          <w:szCs w:val="22"/>
        </w:rPr>
      </w:pPr>
    </w:p>
    <w:p w14:paraId="06EBB4C0" w14:textId="77777777" w:rsidR="00A20A32" w:rsidRPr="00415164" w:rsidRDefault="00A20A32" w:rsidP="00A20A32">
      <w:pPr>
        <w:ind w:left="1440" w:firstLine="720"/>
        <w:rPr>
          <w:rFonts w:ascii="Arial" w:hAnsi="Arial" w:cs="Arial"/>
          <w:b/>
          <w:bCs/>
          <w:sz w:val="22"/>
          <w:szCs w:val="22"/>
        </w:rPr>
      </w:pPr>
    </w:p>
    <w:p w14:paraId="601C4B39" w14:textId="77777777" w:rsidR="00A20A32" w:rsidRPr="00415164" w:rsidRDefault="00A20A32" w:rsidP="00A20A32">
      <w:pPr>
        <w:ind w:left="1440" w:firstLine="720"/>
        <w:rPr>
          <w:rFonts w:ascii="Arial" w:hAnsi="Arial" w:cs="Arial"/>
          <w:sz w:val="22"/>
          <w:szCs w:val="22"/>
        </w:rPr>
      </w:pPr>
    </w:p>
    <w:p w14:paraId="387EB8FA" w14:textId="77777777" w:rsidR="00A20A32" w:rsidRPr="00415164" w:rsidRDefault="00A20A32" w:rsidP="00A20A32">
      <w:pPr>
        <w:ind w:left="1440" w:firstLine="720"/>
        <w:rPr>
          <w:rFonts w:ascii="Arial" w:hAnsi="Arial" w:cs="Arial"/>
          <w:sz w:val="22"/>
          <w:szCs w:val="22"/>
        </w:rPr>
      </w:pPr>
    </w:p>
    <w:p w14:paraId="708B1E8B" w14:textId="77777777" w:rsidR="00A20A32" w:rsidRPr="00415164" w:rsidRDefault="00A20A32" w:rsidP="00A20A32">
      <w:pPr>
        <w:jc w:val="both"/>
        <w:rPr>
          <w:rFonts w:ascii="Arial" w:hAnsi="Arial" w:cs="Arial"/>
          <w:sz w:val="22"/>
          <w:szCs w:val="22"/>
        </w:rPr>
      </w:pPr>
    </w:p>
    <w:p w14:paraId="241F9E87" w14:textId="77777777" w:rsidR="00A20A32" w:rsidRPr="00415164" w:rsidRDefault="00A20A32" w:rsidP="00A20A32">
      <w:pPr>
        <w:jc w:val="both"/>
        <w:rPr>
          <w:rFonts w:ascii="Arial" w:hAnsi="Arial" w:cs="Arial"/>
          <w:sz w:val="22"/>
          <w:szCs w:val="22"/>
        </w:rPr>
      </w:pPr>
    </w:p>
    <w:p w14:paraId="6C116766" w14:textId="77777777" w:rsidR="00A20A32" w:rsidRPr="00415164" w:rsidRDefault="00A20A32" w:rsidP="00A20A32">
      <w:pPr>
        <w:jc w:val="both"/>
        <w:rPr>
          <w:rFonts w:ascii="Arial" w:hAnsi="Arial" w:cs="Arial"/>
          <w:sz w:val="22"/>
          <w:szCs w:val="22"/>
        </w:rPr>
      </w:pPr>
    </w:p>
    <w:p w14:paraId="72B8A365" w14:textId="77777777" w:rsidR="00A20A32" w:rsidRPr="00415164" w:rsidRDefault="00A20A32" w:rsidP="00A20A32">
      <w:pPr>
        <w:jc w:val="both"/>
        <w:rPr>
          <w:rFonts w:ascii="Arial" w:hAnsi="Arial" w:cs="Arial"/>
          <w:sz w:val="22"/>
          <w:szCs w:val="22"/>
        </w:rPr>
      </w:pPr>
      <w:r w:rsidRPr="00415164">
        <w:rPr>
          <w:rFonts w:ascii="Arial" w:hAnsi="Arial" w:cs="Arial"/>
          <w:sz w:val="22"/>
          <w:szCs w:val="22"/>
        </w:rPr>
        <w:t>Name: Laszlo Balogh</w:t>
      </w:r>
    </w:p>
    <w:p w14:paraId="306156E6" w14:textId="77777777" w:rsidR="00A20A32" w:rsidRPr="00415164" w:rsidRDefault="00A20A32" w:rsidP="00A20A32">
      <w:pPr>
        <w:jc w:val="both"/>
        <w:rPr>
          <w:rFonts w:ascii="Arial" w:hAnsi="Arial" w:cs="Arial"/>
          <w:sz w:val="22"/>
          <w:szCs w:val="22"/>
        </w:rPr>
      </w:pPr>
      <w:r w:rsidRPr="00415164">
        <w:rPr>
          <w:rFonts w:ascii="Arial" w:hAnsi="Arial" w:cs="Arial"/>
          <w:sz w:val="22"/>
          <w:szCs w:val="22"/>
        </w:rPr>
        <w:t>Student ID: 2441884</w:t>
      </w:r>
    </w:p>
    <w:p w14:paraId="214F7D1D" w14:textId="2E752A46" w:rsidR="00A20A32" w:rsidRPr="00415164" w:rsidRDefault="00A20A32" w:rsidP="00A20A32">
      <w:pPr>
        <w:jc w:val="both"/>
        <w:rPr>
          <w:rFonts w:ascii="Arial" w:hAnsi="Arial" w:cs="Arial"/>
          <w:sz w:val="22"/>
          <w:szCs w:val="22"/>
        </w:rPr>
      </w:pPr>
      <w:r w:rsidRPr="00415164">
        <w:rPr>
          <w:rFonts w:ascii="Arial" w:hAnsi="Arial" w:cs="Arial"/>
          <w:sz w:val="22"/>
          <w:szCs w:val="22"/>
        </w:rPr>
        <w:t>Module code: LCBB501</w:t>
      </w:r>
      <w:r w:rsidR="00415164" w:rsidRPr="00415164">
        <w:rPr>
          <w:rFonts w:ascii="Arial" w:hAnsi="Arial" w:cs="Arial"/>
          <w:sz w:val="22"/>
          <w:szCs w:val="22"/>
        </w:rPr>
        <w:t>4</w:t>
      </w:r>
    </w:p>
    <w:p w14:paraId="017F86EC" w14:textId="6C67A6FA" w:rsidR="00A20A32" w:rsidRPr="00415164" w:rsidRDefault="00A20A32" w:rsidP="00A20A32">
      <w:pPr>
        <w:jc w:val="both"/>
        <w:rPr>
          <w:rFonts w:ascii="Arial" w:hAnsi="Arial" w:cs="Arial"/>
          <w:sz w:val="22"/>
          <w:szCs w:val="22"/>
        </w:rPr>
      </w:pPr>
      <w:r w:rsidRPr="00415164">
        <w:rPr>
          <w:rFonts w:ascii="Arial" w:hAnsi="Arial" w:cs="Arial"/>
          <w:sz w:val="22"/>
          <w:szCs w:val="22"/>
        </w:rPr>
        <w:t>Module name: Data Handling and Business Intelligence</w:t>
      </w:r>
    </w:p>
    <w:p w14:paraId="1467C6DB" w14:textId="2BF23A48" w:rsidR="00A20A32" w:rsidRPr="00415164" w:rsidRDefault="00A20A32" w:rsidP="00A20A32">
      <w:pPr>
        <w:jc w:val="both"/>
        <w:rPr>
          <w:rFonts w:ascii="Arial" w:hAnsi="Arial" w:cs="Arial"/>
          <w:sz w:val="22"/>
          <w:szCs w:val="22"/>
        </w:rPr>
      </w:pPr>
      <w:r w:rsidRPr="00415164">
        <w:rPr>
          <w:rFonts w:ascii="Arial" w:hAnsi="Arial" w:cs="Arial"/>
          <w:sz w:val="22"/>
          <w:szCs w:val="22"/>
        </w:rPr>
        <w:t>Lecturer: Dr Xavier Matieni</w:t>
      </w:r>
    </w:p>
    <w:p w14:paraId="302B3354" w14:textId="77777777" w:rsidR="00B87F6C" w:rsidRDefault="00B87F6C" w:rsidP="00832ED9">
      <w:pPr>
        <w:rPr>
          <w:rFonts w:ascii="Arial" w:hAnsi="Arial" w:cs="Arial"/>
          <w:b/>
          <w:bCs/>
          <w:sz w:val="22"/>
          <w:szCs w:val="22"/>
        </w:rPr>
      </w:pPr>
    </w:p>
    <w:p w14:paraId="79629F94" w14:textId="77777777" w:rsidR="00B87F6C" w:rsidRDefault="00B87F6C" w:rsidP="00832ED9">
      <w:pPr>
        <w:rPr>
          <w:rFonts w:ascii="Arial" w:hAnsi="Arial" w:cs="Arial"/>
          <w:b/>
          <w:bCs/>
          <w:sz w:val="22"/>
          <w:szCs w:val="22"/>
        </w:rPr>
      </w:pPr>
    </w:p>
    <w:p w14:paraId="6CF23D6D" w14:textId="77777777" w:rsidR="00B87F6C" w:rsidRDefault="00B87F6C" w:rsidP="00832ED9">
      <w:pPr>
        <w:rPr>
          <w:rFonts w:ascii="Arial" w:hAnsi="Arial" w:cs="Arial"/>
          <w:b/>
          <w:bCs/>
          <w:sz w:val="22"/>
          <w:szCs w:val="22"/>
        </w:rPr>
      </w:pPr>
    </w:p>
    <w:p w14:paraId="32677EE9" w14:textId="77777777" w:rsidR="00B87F6C" w:rsidRDefault="00B87F6C" w:rsidP="00832ED9">
      <w:pPr>
        <w:rPr>
          <w:rFonts w:ascii="Arial" w:hAnsi="Arial" w:cs="Arial"/>
          <w:b/>
          <w:bCs/>
          <w:sz w:val="22"/>
          <w:szCs w:val="22"/>
        </w:rPr>
      </w:pPr>
    </w:p>
    <w:p w14:paraId="0CEB4A7A" w14:textId="77777777" w:rsidR="00B87F6C" w:rsidRDefault="00B87F6C" w:rsidP="00832ED9">
      <w:pPr>
        <w:rPr>
          <w:rFonts w:ascii="Arial" w:hAnsi="Arial" w:cs="Arial"/>
          <w:b/>
          <w:bCs/>
          <w:sz w:val="22"/>
          <w:szCs w:val="22"/>
        </w:rPr>
      </w:pPr>
    </w:p>
    <w:p w14:paraId="1F330B1A" w14:textId="77777777" w:rsidR="00B87F6C" w:rsidRDefault="00B87F6C" w:rsidP="00832ED9">
      <w:pPr>
        <w:rPr>
          <w:rFonts w:ascii="Arial" w:hAnsi="Arial" w:cs="Arial"/>
          <w:b/>
          <w:bCs/>
          <w:sz w:val="22"/>
          <w:szCs w:val="22"/>
        </w:rPr>
      </w:pPr>
    </w:p>
    <w:p w14:paraId="3627F6DB" w14:textId="77777777" w:rsidR="00832ED9" w:rsidRPr="00B87F6C" w:rsidRDefault="00832ED9" w:rsidP="00832ED9">
      <w:pPr>
        <w:rPr>
          <w:rFonts w:ascii="Arial" w:hAnsi="Arial" w:cs="Arial"/>
          <w:b/>
          <w:bCs/>
          <w:sz w:val="22"/>
          <w:szCs w:val="22"/>
        </w:rPr>
      </w:pPr>
      <w:r w:rsidRPr="00B87F6C">
        <w:rPr>
          <w:rFonts w:ascii="Arial" w:hAnsi="Arial" w:cs="Arial"/>
          <w:b/>
          <w:bCs/>
          <w:sz w:val="22"/>
          <w:szCs w:val="22"/>
        </w:rPr>
        <w:lastRenderedPageBreak/>
        <w:t>1. Introduction</w:t>
      </w:r>
    </w:p>
    <w:p w14:paraId="2AA0179A" w14:textId="3537E2CE" w:rsidR="00635FAD" w:rsidRPr="00B87F6C" w:rsidRDefault="00635FAD" w:rsidP="00635FAD">
      <w:pPr>
        <w:rPr>
          <w:rFonts w:ascii="Arial" w:hAnsi="Arial" w:cs="Arial"/>
          <w:sz w:val="22"/>
          <w:szCs w:val="22"/>
        </w:rPr>
      </w:pPr>
      <w:r w:rsidRPr="00B87F6C">
        <w:rPr>
          <w:rFonts w:ascii="Arial" w:hAnsi="Arial" w:cs="Arial"/>
          <w:sz w:val="22"/>
          <w:szCs w:val="22"/>
        </w:rPr>
        <w:t>To</w:t>
      </w:r>
      <w:r w:rsidRPr="00B87F6C">
        <w:rPr>
          <w:rFonts w:ascii="Arial" w:hAnsi="Arial" w:cs="Arial"/>
          <w:sz w:val="22"/>
          <w:szCs w:val="22"/>
        </w:rPr>
        <w:t xml:space="preserve"> derive significant operational insights for the media and entertainment sector, this paper offers an organised, data-driven examination of the Letterboxd Movie Classification Dataset. Organisations largely rely on Business Intelligence (BI) tools to reduce financial risks and maximise audience engagement in an increasingly competitive streaming and production market</w:t>
      </w:r>
      <w:r w:rsidR="00F432D4" w:rsidRPr="00B87F6C">
        <w:rPr>
          <w:rFonts w:ascii="Arial" w:hAnsi="Arial" w:cs="Arial"/>
          <w:sz w:val="22"/>
          <w:szCs w:val="22"/>
        </w:rPr>
        <w:t xml:space="preserve"> </w:t>
      </w:r>
      <w:r w:rsidR="00F432D4" w:rsidRPr="00B87F6C">
        <w:rPr>
          <w:rFonts w:ascii="Arial" w:hAnsi="Arial" w:cs="Arial"/>
          <w:sz w:val="22"/>
          <w:szCs w:val="22"/>
        </w:rPr>
        <w:t>(Loshin, 2013).</w:t>
      </w:r>
      <w:r w:rsidRPr="00B87F6C">
        <w:rPr>
          <w:rFonts w:ascii="Arial" w:hAnsi="Arial" w:cs="Arial"/>
          <w:sz w:val="22"/>
          <w:szCs w:val="22"/>
        </w:rPr>
        <w:t xml:space="preserve"> This analysis's main goals are to pinpoint important viewer behaviour trends, assess structural movie patterns, and uncover certain factors that contribute to high customer ratings and popularity metrics</w:t>
      </w:r>
      <w:r w:rsidR="00F432D4" w:rsidRPr="00B87F6C">
        <w:rPr>
          <w:rFonts w:ascii="Arial" w:hAnsi="Arial" w:cs="Arial"/>
          <w:sz w:val="22"/>
          <w:szCs w:val="22"/>
        </w:rPr>
        <w:t xml:space="preserve"> </w:t>
      </w:r>
      <w:r w:rsidR="00F432D4" w:rsidRPr="00B87F6C">
        <w:rPr>
          <w:rFonts w:ascii="Arial" w:hAnsi="Arial" w:cs="Arial"/>
          <w:sz w:val="22"/>
          <w:szCs w:val="22"/>
        </w:rPr>
        <w:t>(Gunter, 2018).</w:t>
      </w:r>
    </w:p>
    <w:p w14:paraId="20A33888" w14:textId="5AE72DC2" w:rsidR="00635FAD" w:rsidRPr="00B87F6C" w:rsidRDefault="00635FAD" w:rsidP="00635FAD">
      <w:pPr>
        <w:rPr>
          <w:rFonts w:ascii="Arial" w:hAnsi="Arial" w:cs="Arial"/>
          <w:sz w:val="22"/>
          <w:szCs w:val="22"/>
        </w:rPr>
      </w:pPr>
      <w:r w:rsidRPr="00B87F6C">
        <w:rPr>
          <w:rFonts w:ascii="Arial" w:hAnsi="Arial" w:cs="Arial"/>
          <w:sz w:val="22"/>
          <w:szCs w:val="22"/>
        </w:rPr>
        <w:t xml:space="preserve">Key operational benchmarks are matched to the analytical objectives. To ensure an uncorrupted dataset for upstream systems, the data is first verified and prepared in Microsoft Excel to fix formatting errors and missing fields. Second, </w:t>
      </w:r>
      <w:r w:rsidR="00F432D4" w:rsidRPr="00B87F6C">
        <w:rPr>
          <w:rFonts w:ascii="Arial" w:hAnsi="Arial" w:cs="Arial"/>
          <w:sz w:val="22"/>
          <w:szCs w:val="22"/>
        </w:rPr>
        <w:t>to</w:t>
      </w:r>
      <w:r w:rsidRPr="00B87F6C">
        <w:rPr>
          <w:rFonts w:ascii="Arial" w:hAnsi="Arial" w:cs="Arial"/>
          <w:sz w:val="22"/>
          <w:szCs w:val="22"/>
        </w:rPr>
        <w:t xml:space="preserve"> establish structural baselines, important descriptive statistics are assessed across continuous metrics including average ratings, runtimes, watch counts, and total fans</w:t>
      </w:r>
      <w:r w:rsidR="007A5CB5" w:rsidRPr="00B87F6C">
        <w:rPr>
          <w:rFonts w:ascii="Arial" w:hAnsi="Arial" w:cs="Arial"/>
          <w:sz w:val="22"/>
          <w:szCs w:val="22"/>
        </w:rPr>
        <w:t xml:space="preserve"> </w:t>
      </w:r>
      <w:r w:rsidR="007A5CB5" w:rsidRPr="00B87F6C">
        <w:rPr>
          <w:rFonts w:ascii="Arial" w:hAnsi="Arial" w:cs="Arial"/>
          <w:sz w:val="22"/>
          <w:szCs w:val="22"/>
        </w:rPr>
        <w:t xml:space="preserve">(Saunders </w:t>
      </w:r>
      <w:r w:rsidR="007A5CB5" w:rsidRPr="00B87F6C">
        <w:rPr>
          <w:rFonts w:ascii="Arial" w:hAnsi="Arial" w:cs="Arial"/>
          <w:i/>
          <w:iCs/>
          <w:sz w:val="22"/>
          <w:szCs w:val="22"/>
        </w:rPr>
        <w:t>et al.</w:t>
      </w:r>
      <w:r w:rsidR="007A5CB5" w:rsidRPr="00B87F6C">
        <w:rPr>
          <w:rFonts w:ascii="Arial" w:hAnsi="Arial" w:cs="Arial"/>
          <w:sz w:val="22"/>
          <w:szCs w:val="22"/>
        </w:rPr>
        <w:t>, 2023).</w:t>
      </w:r>
      <w:r w:rsidRPr="00B87F6C">
        <w:rPr>
          <w:rFonts w:ascii="Arial" w:hAnsi="Arial" w:cs="Arial"/>
          <w:sz w:val="22"/>
          <w:szCs w:val="22"/>
        </w:rPr>
        <w:t xml:space="preserve"> Third, a cross-categorical trend analysis is used to examine how core user engagement levels are determined by various film genres and originating languages</w:t>
      </w:r>
      <w:r w:rsidR="007A5CB5" w:rsidRPr="00B87F6C">
        <w:rPr>
          <w:rFonts w:ascii="Arial" w:hAnsi="Arial" w:cs="Arial"/>
          <w:sz w:val="22"/>
          <w:szCs w:val="22"/>
        </w:rPr>
        <w:t xml:space="preserve"> </w:t>
      </w:r>
      <w:r w:rsidR="007A5CB5" w:rsidRPr="00B87F6C">
        <w:rPr>
          <w:rFonts w:ascii="Arial" w:hAnsi="Arial" w:cs="Arial"/>
          <w:sz w:val="22"/>
          <w:szCs w:val="22"/>
        </w:rPr>
        <w:t>(Harrington, 2025).</w:t>
      </w:r>
      <w:r w:rsidRPr="00B87F6C">
        <w:rPr>
          <w:rFonts w:ascii="Arial" w:hAnsi="Arial" w:cs="Arial"/>
          <w:sz w:val="22"/>
          <w:szCs w:val="22"/>
        </w:rPr>
        <w:t xml:space="preserve"> Lastly, SPSS is used to carry out sophisticated inferential statistical models, such as multiple linear regression modelling, independent-samples t-tests, and Pearson correlation analyses, </w:t>
      </w:r>
      <w:r w:rsidR="00F432D4" w:rsidRPr="00B87F6C">
        <w:rPr>
          <w:rFonts w:ascii="Arial" w:hAnsi="Arial" w:cs="Arial"/>
          <w:sz w:val="22"/>
          <w:szCs w:val="22"/>
        </w:rPr>
        <w:t>to</w:t>
      </w:r>
      <w:r w:rsidRPr="00B87F6C">
        <w:rPr>
          <w:rFonts w:ascii="Arial" w:hAnsi="Arial" w:cs="Arial"/>
          <w:sz w:val="22"/>
          <w:szCs w:val="22"/>
        </w:rPr>
        <w:t xml:space="preserve"> confirm the statistical significance of observed patterns and create a trustworthy predictive framework for movie performance</w:t>
      </w:r>
      <w:r w:rsidR="007A5CB5" w:rsidRPr="00B87F6C">
        <w:rPr>
          <w:rFonts w:ascii="Arial" w:hAnsi="Arial" w:cs="Arial"/>
          <w:sz w:val="22"/>
          <w:szCs w:val="22"/>
        </w:rPr>
        <w:t xml:space="preserve"> </w:t>
      </w:r>
      <w:r w:rsidR="007A5CB5" w:rsidRPr="00B87F6C">
        <w:rPr>
          <w:rFonts w:ascii="Arial" w:hAnsi="Arial" w:cs="Arial"/>
          <w:sz w:val="22"/>
          <w:szCs w:val="22"/>
        </w:rPr>
        <w:t>(Field, 2024).</w:t>
      </w:r>
    </w:p>
    <w:p w14:paraId="1FADFA02" w14:textId="77777777" w:rsidR="00635FAD" w:rsidRPr="00B87F6C" w:rsidRDefault="00635FAD" w:rsidP="00832ED9">
      <w:pPr>
        <w:rPr>
          <w:rFonts w:ascii="Arial" w:hAnsi="Arial" w:cs="Arial"/>
          <w:b/>
          <w:bCs/>
          <w:sz w:val="22"/>
          <w:szCs w:val="22"/>
        </w:rPr>
      </w:pPr>
    </w:p>
    <w:p w14:paraId="144A242E" w14:textId="7B5AB10E" w:rsidR="00635FAD" w:rsidRPr="00B87F6C" w:rsidRDefault="00832ED9" w:rsidP="00832ED9">
      <w:pPr>
        <w:rPr>
          <w:rFonts w:ascii="Arial" w:hAnsi="Arial" w:cs="Arial"/>
          <w:b/>
          <w:bCs/>
          <w:sz w:val="22"/>
          <w:szCs w:val="22"/>
        </w:rPr>
      </w:pPr>
      <w:r w:rsidRPr="00B87F6C">
        <w:rPr>
          <w:rFonts w:ascii="Arial" w:hAnsi="Arial" w:cs="Arial"/>
          <w:b/>
          <w:bCs/>
          <w:sz w:val="22"/>
          <w:szCs w:val="22"/>
        </w:rPr>
        <w:t>2. Data Cleaning and Preparation</w:t>
      </w:r>
    </w:p>
    <w:p w14:paraId="27DBB4C4" w14:textId="18A2BE8F" w:rsidR="00635FAD" w:rsidRPr="00B87F6C" w:rsidRDefault="00635FAD" w:rsidP="00832ED9">
      <w:pPr>
        <w:rPr>
          <w:rFonts w:ascii="Arial" w:hAnsi="Arial" w:cs="Arial"/>
          <w:sz w:val="22"/>
          <w:szCs w:val="22"/>
        </w:rPr>
      </w:pPr>
      <w:r w:rsidRPr="00B87F6C">
        <w:rPr>
          <w:rFonts w:ascii="Arial" w:hAnsi="Arial" w:cs="Arial"/>
          <w:sz w:val="22"/>
          <w:szCs w:val="22"/>
        </w:rPr>
        <w:t xml:space="preserve">Any trustworthy BI architecture is built on data quality. The Letterboxd dataset has significant structural irregularities and missing records before analysis, necessitating methodical preparation in Microsoft Excel to prevent statistical results from being distorted. The cleaning procedure gave priority to the Runtime, Fans, and </w:t>
      </w:r>
      <w:proofErr w:type="gramStart"/>
      <w:r w:rsidRPr="00B87F6C">
        <w:rPr>
          <w:rFonts w:ascii="Arial" w:hAnsi="Arial" w:cs="Arial"/>
          <w:sz w:val="22"/>
          <w:szCs w:val="22"/>
        </w:rPr>
        <w:t>Genres</w:t>
      </w:r>
      <w:proofErr w:type="gramEnd"/>
      <w:r w:rsidRPr="00B87F6C">
        <w:rPr>
          <w:rFonts w:ascii="Arial" w:hAnsi="Arial" w:cs="Arial"/>
          <w:sz w:val="22"/>
          <w:szCs w:val="22"/>
        </w:rPr>
        <w:t xml:space="preserve"> columns that had crucial missing information. </w:t>
      </w:r>
      <w:r w:rsidRPr="00B87F6C">
        <w:rPr>
          <w:rFonts w:ascii="Arial" w:hAnsi="Arial" w:cs="Arial"/>
          <w:sz w:val="22"/>
          <w:szCs w:val="22"/>
        </w:rPr>
        <w:t>To</w:t>
      </w:r>
      <w:r w:rsidRPr="00B87F6C">
        <w:rPr>
          <w:rFonts w:ascii="Arial" w:hAnsi="Arial" w:cs="Arial"/>
          <w:sz w:val="22"/>
          <w:szCs w:val="22"/>
        </w:rPr>
        <w:t xml:space="preserve"> maintain the structural variance of film durations without altering the overall metric distribution, records with blank fields or extreme structural anomalies were addressed using mean imputation based on their major genre cohort for the Runtime variable</w:t>
      </w:r>
      <w:r w:rsidR="00CC4DF8" w:rsidRPr="00B87F6C">
        <w:rPr>
          <w:rFonts w:ascii="Arial" w:hAnsi="Arial" w:cs="Arial"/>
          <w:sz w:val="22"/>
          <w:szCs w:val="22"/>
        </w:rPr>
        <w:t xml:space="preserve"> </w:t>
      </w:r>
      <w:r w:rsidR="00CC4DF8" w:rsidRPr="00B87F6C">
        <w:rPr>
          <w:rFonts w:ascii="Arial" w:hAnsi="Arial" w:cs="Arial"/>
          <w:sz w:val="22"/>
          <w:szCs w:val="22"/>
        </w:rPr>
        <w:t xml:space="preserve">(Saunders </w:t>
      </w:r>
      <w:r w:rsidR="00CC4DF8" w:rsidRPr="00B87F6C">
        <w:rPr>
          <w:rFonts w:ascii="Arial" w:hAnsi="Arial" w:cs="Arial"/>
          <w:i/>
          <w:iCs/>
          <w:sz w:val="22"/>
          <w:szCs w:val="22"/>
        </w:rPr>
        <w:t>et al.</w:t>
      </w:r>
      <w:r w:rsidR="00CC4DF8" w:rsidRPr="00B87F6C">
        <w:rPr>
          <w:rFonts w:ascii="Arial" w:hAnsi="Arial" w:cs="Arial"/>
          <w:sz w:val="22"/>
          <w:szCs w:val="22"/>
        </w:rPr>
        <w:t>, 2023)</w:t>
      </w:r>
      <w:r w:rsidR="00CC4DF8" w:rsidRPr="00B87F6C">
        <w:rPr>
          <w:rFonts w:ascii="Arial" w:hAnsi="Arial" w:cs="Arial"/>
          <w:sz w:val="22"/>
          <w:szCs w:val="22"/>
        </w:rPr>
        <w:t>.</w:t>
      </w:r>
      <w:r w:rsidRPr="00B87F6C">
        <w:rPr>
          <w:rFonts w:ascii="Arial" w:hAnsi="Arial" w:cs="Arial"/>
          <w:sz w:val="22"/>
          <w:szCs w:val="22"/>
        </w:rPr>
        <w:t xml:space="preserve"> </w:t>
      </w:r>
      <w:r w:rsidRPr="00B87F6C">
        <w:rPr>
          <w:rFonts w:ascii="Arial" w:hAnsi="Arial" w:cs="Arial"/>
          <w:sz w:val="22"/>
          <w:szCs w:val="22"/>
        </w:rPr>
        <w:t xml:space="preserve">On the other hand, zero-imputation was used to resolve missing values in the Fans column, based on the logical operational assumption that missing data indicated a complete absence of fan registration rather than a system error. Because some genre properties (such as "Drama, Romance, Comedy") were string-concatenated inside single arrays, the Genres field posed significant formatting issues. Excel's "Text to Columns" feature was used to implement a single primary classification rule that isolated the first specified genre as the baseline category </w:t>
      </w:r>
      <w:r w:rsidRPr="00B87F6C">
        <w:rPr>
          <w:rFonts w:ascii="Arial" w:hAnsi="Arial" w:cs="Arial"/>
          <w:sz w:val="22"/>
          <w:szCs w:val="22"/>
        </w:rPr>
        <w:t>to</w:t>
      </w:r>
      <w:r w:rsidRPr="00B87F6C">
        <w:rPr>
          <w:rFonts w:ascii="Arial" w:hAnsi="Arial" w:cs="Arial"/>
          <w:sz w:val="22"/>
          <w:szCs w:val="22"/>
        </w:rPr>
        <w:t xml:space="preserve"> enable clear group distributions. By converting various codes into a </w:t>
      </w:r>
      <w:r w:rsidRPr="00B87F6C">
        <w:rPr>
          <w:rFonts w:ascii="Arial" w:hAnsi="Arial" w:cs="Arial"/>
          <w:sz w:val="22"/>
          <w:szCs w:val="22"/>
        </w:rPr>
        <w:t>c</w:t>
      </w:r>
      <w:r w:rsidRPr="00B87F6C">
        <w:rPr>
          <w:rFonts w:ascii="Arial" w:hAnsi="Arial" w:cs="Arial"/>
          <w:sz w:val="22"/>
          <w:szCs w:val="22"/>
        </w:rPr>
        <w:t>onsistent character format, language IDs were standardised.</w:t>
      </w:r>
    </w:p>
    <w:p w14:paraId="44888521" w14:textId="2615A806" w:rsidR="006644AF" w:rsidRDefault="00A60927" w:rsidP="00832ED9">
      <w:r>
        <w:rPr>
          <w:noProof/>
        </w:rPr>
        <w:lastRenderedPageBreak/>
        <w:drawing>
          <wp:inline distT="0" distB="0" distL="0" distR="0" wp14:anchorId="7B4EBD36" wp14:editId="5EF0F1AC">
            <wp:extent cx="5731510" cy="3472815"/>
            <wp:effectExtent l="0" t="0" r="2540" b="0"/>
            <wp:docPr id="17330069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3006937" name="Picture 1733006937"/>
                    <pic:cNvPicPr/>
                  </pic:nvPicPr>
                  <pic:blipFill>
                    <a:blip r:embed="rId6">
                      <a:extLst>
                        <a:ext uri="{28A0092B-C50C-407E-A947-70E740481C1C}">
                          <a14:useLocalDpi xmlns:a14="http://schemas.microsoft.com/office/drawing/2010/main" val="0"/>
                        </a:ext>
                      </a:extLst>
                    </a:blip>
                    <a:stretch>
                      <a:fillRect/>
                    </a:stretch>
                  </pic:blipFill>
                  <pic:spPr>
                    <a:xfrm>
                      <a:off x="0" y="0"/>
                      <a:ext cx="5731510" cy="3472815"/>
                    </a:xfrm>
                    <a:prstGeom prst="rect">
                      <a:avLst/>
                    </a:prstGeom>
                  </pic:spPr>
                </pic:pic>
              </a:graphicData>
            </a:graphic>
          </wp:inline>
        </w:drawing>
      </w:r>
    </w:p>
    <w:p w14:paraId="72B33B86" w14:textId="1F5BF1FB" w:rsidR="00A60927" w:rsidRPr="00832ED9" w:rsidRDefault="00A60927" w:rsidP="00832ED9">
      <w:r>
        <w:rPr>
          <w:noProof/>
        </w:rPr>
        <w:drawing>
          <wp:inline distT="0" distB="0" distL="0" distR="0" wp14:anchorId="255EF15E" wp14:editId="7ED386B6">
            <wp:extent cx="5731510" cy="3325495"/>
            <wp:effectExtent l="0" t="0" r="2540" b="8255"/>
            <wp:docPr id="133365466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3654669" name="Picture 1333654669"/>
                    <pic:cNvPicPr/>
                  </pic:nvPicPr>
                  <pic:blipFill>
                    <a:blip r:embed="rId7">
                      <a:extLst>
                        <a:ext uri="{28A0092B-C50C-407E-A947-70E740481C1C}">
                          <a14:useLocalDpi xmlns:a14="http://schemas.microsoft.com/office/drawing/2010/main" val="0"/>
                        </a:ext>
                      </a:extLst>
                    </a:blip>
                    <a:stretch>
                      <a:fillRect/>
                    </a:stretch>
                  </pic:blipFill>
                  <pic:spPr>
                    <a:xfrm>
                      <a:off x="0" y="0"/>
                      <a:ext cx="5731510" cy="3325495"/>
                    </a:xfrm>
                    <a:prstGeom prst="rect">
                      <a:avLst/>
                    </a:prstGeom>
                  </pic:spPr>
                </pic:pic>
              </a:graphicData>
            </a:graphic>
          </wp:inline>
        </w:drawing>
      </w:r>
    </w:p>
    <w:p w14:paraId="5A8B6DA7" w14:textId="0AA98366" w:rsidR="00635FAD" w:rsidRPr="00B87F6C" w:rsidRDefault="00635FAD" w:rsidP="00635FAD">
      <w:pPr>
        <w:rPr>
          <w:rFonts w:ascii="Arial" w:hAnsi="Arial" w:cs="Arial"/>
          <w:sz w:val="22"/>
          <w:szCs w:val="22"/>
        </w:rPr>
      </w:pPr>
      <w:r w:rsidRPr="00B87F6C">
        <w:rPr>
          <w:rFonts w:ascii="Arial" w:hAnsi="Arial" w:cs="Arial"/>
          <w:sz w:val="22"/>
          <w:szCs w:val="22"/>
        </w:rPr>
        <w:t>The "Garbage In, Garbage Out" problem in BI systems is avoided by ensuring clean data</w:t>
      </w:r>
      <w:r w:rsidR="00CC4DF8" w:rsidRPr="00B87F6C">
        <w:rPr>
          <w:rFonts w:ascii="Arial" w:hAnsi="Arial" w:cs="Arial"/>
          <w:sz w:val="22"/>
          <w:szCs w:val="22"/>
        </w:rPr>
        <w:t xml:space="preserve"> </w:t>
      </w:r>
      <w:r w:rsidR="00CC4DF8" w:rsidRPr="00B87F6C">
        <w:rPr>
          <w:rFonts w:ascii="Arial" w:hAnsi="Arial" w:cs="Arial"/>
          <w:sz w:val="22"/>
          <w:szCs w:val="22"/>
        </w:rPr>
        <w:t xml:space="preserve">(Labosova </w:t>
      </w:r>
      <w:r w:rsidR="00CC4DF8" w:rsidRPr="00B87F6C">
        <w:rPr>
          <w:rFonts w:ascii="Arial" w:hAnsi="Arial" w:cs="Arial"/>
          <w:i/>
          <w:iCs/>
          <w:sz w:val="22"/>
          <w:szCs w:val="22"/>
        </w:rPr>
        <w:t>et al.</w:t>
      </w:r>
      <w:r w:rsidR="00CC4DF8" w:rsidRPr="00B87F6C">
        <w:rPr>
          <w:rFonts w:ascii="Arial" w:hAnsi="Arial" w:cs="Arial"/>
          <w:sz w:val="22"/>
          <w:szCs w:val="22"/>
        </w:rPr>
        <w:t>, 2026).</w:t>
      </w:r>
      <w:r w:rsidRPr="00B87F6C">
        <w:rPr>
          <w:rFonts w:ascii="Arial" w:hAnsi="Arial" w:cs="Arial"/>
          <w:sz w:val="22"/>
          <w:szCs w:val="22"/>
        </w:rPr>
        <w:t xml:space="preserve"> In the absence of this stage, defective entry rows would introduce significant systemic bias, leading to inaccurate SPSS regression weights and distorted descriptive distributions</w:t>
      </w:r>
      <w:r w:rsidR="00CC4DF8" w:rsidRPr="00B87F6C">
        <w:rPr>
          <w:rFonts w:ascii="Arial" w:hAnsi="Arial" w:cs="Arial"/>
          <w:sz w:val="22"/>
          <w:szCs w:val="22"/>
        </w:rPr>
        <w:t xml:space="preserve"> </w:t>
      </w:r>
      <w:r w:rsidR="00CC4DF8" w:rsidRPr="00B87F6C">
        <w:rPr>
          <w:rFonts w:ascii="Arial" w:hAnsi="Arial" w:cs="Arial"/>
          <w:sz w:val="22"/>
          <w:szCs w:val="22"/>
        </w:rPr>
        <w:t>(Field, 2024).</w:t>
      </w:r>
    </w:p>
    <w:p w14:paraId="7C037F60" w14:textId="77777777" w:rsidR="00635FAD" w:rsidRPr="00B87F6C" w:rsidRDefault="00635FAD" w:rsidP="00832ED9">
      <w:pPr>
        <w:rPr>
          <w:rFonts w:ascii="Arial" w:hAnsi="Arial" w:cs="Arial"/>
          <w:b/>
          <w:bCs/>
          <w:sz w:val="22"/>
          <w:szCs w:val="22"/>
        </w:rPr>
      </w:pPr>
    </w:p>
    <w:p w14:paraId="7F36DF8F" w14:textId="1CD6EB09" w:rsidR="00832ED9" w:rsidRPr="00B87F6C" w:rsidRDefault="00832ED9" w:rsidP="00832ED9">
      <w:pPr>
        <w:rPr>
          <w:rFonts w:ascii="Arial" w:hAnsi="Arial" w:cs="Arial"/>
          <w:b/>
          <w:bCs/>
          <w:sz w:val="22"/>
          <w:szCs w:val="22"/>
        </w:rPr>
      </w:pPr>
      <w:r w:rsidRPr="00B87F6C">
        <w:rPr>
          <w:rFonts w:ascii="Arial" w:hAnsi="Arial" w:cs="Arial"/>
          <w:b/>
          <w:bCs/>
          <w:sz w:val="22"/>
          <w:szCs w:val="22"/>
        </w:rPr>
        <w:t>3. Descriptive Statistics and Summary</w:t>
      </w:r>
    </w:p>
    <w:p w14:paraId="36064261" w14:textId="3D8375EA" w:rsidR="00F5750F" w:rsidRPr="00B87F6C" w:rsidRDefault="00F5750F" w:rsidP="00F5750F">
      <w:pPr>
        <w:rPr>
          <w:rFonts w:ascii="Arial" w:hAnsi="Arial" w:cs="Arial"/>
          <w:sz w:val="22"/>
          <w:szCs w:val="22"/>
        </w:rPr>
      </w:pPr>
      <w:r w:rsidRPr="00B87F6C">
        <w:rPr>
          <w:rFonts w:ascii="Arial" w:hAnsi="Arial" w:cs="Arial"/>
          <w:sz w:val="22"/>
          <w:szCs w:val="22"/>
        </w:rPr>
        <w:t xml:space="preserve">Descriptive summary metrics were computed for the main continuous and categorical features </w:t>
      </w:r>
      <w:proofErr w:type="gramStart"/>
      <w:r w:rsidRPr="00B87F6C">
        <w:rPr>
          <w:rFonts w:ascii="Arial" w:hAnsi="Arial" w:cs="Arial"/>
          <w:sz w:val="22"/>
          <w:szCs w:val="22"/>
        </w:rPr>
        <w:t>in order to</w:t>
      </w:r>
      <w:proofErr w:type="gramEnd"/>
      <w:r w:rsidRPr="00B87F6C">
        <w:rPr>
          <w:rFonts w:ascii="Arial" w:hAnsi="Arial" w:cs="Arial"/>
          <w:sz w:val="22"/>
          <w:szCs w:val="22"/>
        </w:rPr>
        <w:t xml:space="preserve"> understand the basic structure of the Letterboxd dataset. Clear </w:t>
      </w:r>
      <w:r w:rsidRPr="00B87F6C">
        <w:rPr>
          <w:rFonts w:ascii="Arial" w:hAnsi="Arial" w:cs="Arial"/>
          <w:sz w:val="22"/>
          <w:szCs w:val="22"/>
        </w:rPr>
        <w:lastRenderedPageBreak/>
        <w:t>behavioural baselines among moviegoers were found thru quantitative study of the structural numerical indicators</w:t>
      </w:r>
      <w:r w:rsidR="00CC4DF8" w:rsidRPr="00B87F6C">
        <w:rPr>
          <w:rFonts w:ascii="Arial" w:hAnsi="Arial" w:cs="Arial"/>
          <w:sz w:val="22"/>
          <w:szCs w:val="22"/>
        </w:rPr>
        <w:t xml:space="preserve"> </w:t>
      </w:r>
      <w:r w:rsidR="00CC4DF8" w:rsidRPr="00B87F6C">
        <w:rPr>
          <w:rFonts w:ascii="Arial" w:hAnsi="Arial" w:cs="Arial"/>
          <w:sz w:val="22"/>
          <w:szCs w:val="22"/>
        </w:rPr>
        <w:t>(Wallner, 2019).</w:t>
      </w:r>
      <w:r w:rsidRPr="00B87F6C">
        <w:rPr>
          <w:rFonts w:ascii="Arial" w:hAnsi="Arial" w:cs="Arial"/>
          <w:sz w:val="22"/>
          <w:szCs w:val="22"/>
        </w:rPr>
        <w:t xml:space="preserve"> With a standard variation of 18.3 minutes and an average length of around 106.5 minutes, the dataset shows a strong concentration around the conventional 90- to 120-minute theatrical threshold</w:t>
      </w:r>
      <w:r w:rsidR="00CC4DF8" w:rsidRPr="00B87F6C">
        <w:rPr>
          <w:rFonts w:ascii="Arial" w:hAnsi="Arial" w:cs="Arial"/>
          <w:sz w:val="22"/>
          <w:szCs w:val="22"/>
        </w:rPr>
        <w:t xml:space="preserve"> </w:t>
      </w:r>
      <w:r w:rsidR="00CC4DF8" w:rsidRPr="00B87F6C">
        <w:rPr>
          <w:rFonts w:ascii="Arial" w:hAnsi="Arial" w:cs="Arial"/>
          <w:sz w:val="22"/>
          <w:szCs w:val="22"/>
        </w:rPr>
        <w:t xml:space="preserve">(Vogel, 2001). </w:t>
      </w:r>
      <w:r w:rsidRPr="00B87F6C">
        <w:rPr>
          <w:rFonts w:ascii="Arial" w:hAnsi="Arial" w:cs="Arial"/>
          <w:sz w:val="22"/>
          <w:szCs w:val="22"/>
        </w:rPr>
        <w:t xml:space="preserve"> With a standard deviation of 0.45 and a bell-shaped distribution that is rather consistent, the Average Rating metric </w:t>
      </w:r>
      <w:proofErr w:type="spellStart"/>
      <w:r w:rsidRPr="00B87F6C">
        <w:rPr>
          <w:rFonts w:ascii="Arial" w:hAnsi="Arial" w:cs="Arial"/>
          <w:sz w:val="22"/>
          <w:szCs w:val="22"/>
        </w:rPr>
        <w:t>centers</w:t>
      </w:r>
      <w:proofErr w:type="spellEnd"/>
      <w:r w:rsidRPr="00B87F6C">
        <w:rPr>
          <w:rFonts w:ascii="Arial" w:hAnsi="Arial" w:cs="Arial"/>
          <w:sz w:val="22"/>
          <w:szCs w:val="22"/>
        </w:rPr>
        <w:t xml:space="preserve"> around 3.42 out of 5.0. The distribution of user activity indicators, particularly Watch Counts and Likes, was significantly biased to the right.</w:t>
      </w:r>
      <w:r w:rsidRPr="00B87F6C">
        <w:rPr>
          <w:rFonts w:ascii="Arial" w:hAnsi="Arial" w:cs="Arial"/>
          <w:sz w:val="22"/>
          <w:szCs w:val="22"/>
        </w:rPr>
        <w:t xml:space="preserve"> </w:t>
      </w:r>
      <w:r w:rsidRPr="00B87F6C">
        <w:rPr>
          <w:rFonts w:ascii="Arial" w:hAnsi="Arial" w:cs="Arial"/>
          <w:sz w:val="22"/>
          <w:szCs w:val="22"/>
        </w:rPr>
        <w:t xml:space="preserve">The median Watch Count remained much lower at 12,800, despite the mean Watch Count reaching 42,500 views per title. This indicates that </w:t>
      </w:r>
      <w:r w:rsidRPr="00B87F6C">
        <w:rPr>
          <w:rFonts w:ascii="Arial" w:hAnsi="Arial" w:cs="Arial"/>
          <w:sz w:val="22"/>
          <w:szCs w:val="22"/>
        </w:rPr>
        <w:t>most of the</w:t>
      </w:r>
      <w:r w:rsidRPr="00B87F6C">
        <w:rPr>
          <w:rFonts w:ascii="Arial" w:hAnsi="Arial" w:cs="Arial"/>
          <w:sz w:val="22"/>
          <w:szCs w:val="22"/>
        </w:rPr>
        <w:t xml:space="preserve"> general audience traffic is drawn to a small number of popular blockbusters</w:t>
      </w:r>
      <w:r w:rsidR="00CC4DF8" w:rsidRPr="00B87F6C">
        <w:rPr>
          <w:rFonts w:ascii="Arial" w:hAnsi="Arial" w:cs="Arial"/>
          <w:sz w:val="22"/>
          <w:szCs w:val="22"/>
        </w:rPr>
        <w:t xml:space="preserve"> </w:t>
      </w:r>
      <w:r w:rsidR="00CC4DF8" w:rsidRPr="00B87F6C">
        <w:rPr>
          <w:rFonts w:ascii="Arial" w:hAnsi="Arial" w:cs="Arial"/>
          <w:sz w:val="22"/>
          <w:szCs w:val="22"/>
        </w:rPr>
        <w:t>(Gunter, 2018).</w:t>
      </w:r>
    </w:p>
    <w:p w14:paraId="1068FD9D" w14:textId="77777777" w:rsidR="00F5750F" w:rsidRPr="00F5750F" w:rsidRDefault="00F5750F" w:rsidP="00F5750F"/>
    <w:p w14:paraId="7632426D" w14:textId="74ACE849" w:rsidR="00A60927" w:rsidRPr="00832ED9" w:rsidRDefault="00A60927" w:rsidP="00832ED9">
      <w:r>
        <w:rPr>
          <w:noProof/>
        </w:rPr>
        <w:drawing>
          <wp:inline distT="0" distB="0" distL="0" distR="0" wp14:anchorId="285824DE" wp14:editId="7A365B3F">
            <wp:extent cx="5731510" cy="3234055"/>
            <wp:effectExtent l="0" t="0" r="2540" b="4445"/>
            <wp:docPr id="74987125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9871252" name="Picture 749871252"/>
                    <pic:cNvPicPr/>
                  </pic:nvPicPr>
                  <pic:blipFill>
                    <a:blip r:embed="rId8">
                      <a:extLst>
                        <a:ext uri="{28A0092B-C50C-407E-A947-70E740481C1C}">
                          <a14:useLocalDpi xmlns:a14="http://schemas.microsoft.com/office/drawing/2010/main" val="0"/>
                        </a:ext>
                      </a:extLst>
                    </a:blip>
                    <a:stretch>
                      <a:fillRect/>
                    </a:stretch>
                  </pic:blipFill>
                  <pic:spPr>
                    <a:xfrm>
                      <a:off x="0" y="0"/>
                      <a:ext cx="5731510" cy="3234055"/>
                    </a:xfrm>
                    <a:prstGeom prst="rect">
                      <a:avLst/>
                    </a:prstGeom>
                  </pic:spPr>
                </pic:pic>
              </a:graphicData>
            </a:graphic>
          </wp:inline>
        </w:drawing>
      </w:r>
    </w:p>
    <w:p w14:paraId="0CA8C876" w14:textId="39B1DC9A" w:rsidR="00A60927" w:rsidRDefault="00A60927" w:rsidP="00832ED9">
      <w:r>
        <w:rPr>
          <w:noProof/>
        </w:rPr>
        <w:lastRenderedPageBreak/>
        <w:drawing>
          <wp:inline distT="0" distB="0" distL="0" distR="0" wp14:anchorId="7768CF11" wp14:editId="7C9C16EB">
            <wp:extent cx="5731510" cy="3030855"/>
            <wp:effectExtent l="0" t="0" r="2540" b="0"/>
            <wp:docPr id="166045735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0457351" name="Picture 1660457351"/>
                    <pic:cNvPicPr/>
                  </pic:nvPicPr>
                  <pic:blipFill>
                    <a:blip r:embed="rId9">
                      <a:extLst>
                        <a:ext uri="{28A0092B-C50C-407E-A947-70E740481C1C}">
                          <a14:useLocalDpi xmlns:a14="http://schemas.microsoft.com/office/drawing/2010/main" val="0"/>
                        </a:ext>
                      </a:extLst>
                    </a:blip>
                    <a:stretch>
                      <a:fillRect/>
                    </a:stretch>
                  </pic:blipFill>
                  <pic:spPr>
                    <a:xfrm>
                      <a:off x="0" y="0"/>
                      <a:ext cx="5731510" cy="3030855"/>
                    </a:xfrm>
                    <a:prstGeom prst="rect">
                      <a:avLst/>
                    </a:prstGeom>
                  </pic:spPr>
                </pic:pic>
              </a:graphicData>
            </a:graphic>
          </wp:inline>
        </w:drawing>
      </w:r>
    </w:p>
    <w:p w14:paraId="66A841AA" w14:textId="242E3188" w:rsidR="00F40C7F" w:rsidRPr="00B87F6C" w:rsidRDefault="00F40C7F" w:rsidP="00F40C7F">
      <w:pPr>
        <w:rPr>
          <w:rFonts w:ascii="Arial" w:hAnsi="Arial" w:cs="Arial"/>
          <w:sz w:val="22"/>
          <w:szCs w:val="22"/>
        </w:rPr>
      </w:pPr>
      <w:r w:rsidRPr="00B87F6C">
        <w:rPr>
          <w:rFonts w:ascii="Arial" w:hAnsi="Arial" w:cs="Arial"/>
          <w:sz w:val="22"/>
          <w:szCs w:val="22"/>
        </w:rPr>
        <w:t>To comprehend structural availability by genre and original language, categorical metric distributions were analysed using SPSS frequency diagnostics</w:t>
      </w:r>
      <w:r w:rsidR="00F70853" w:rsidRPr="00B87F6C">
        <w:rPr>
          <w:rFonts w:ascii="Arial" w:hAnsi="Arial" w:cs="Arial"/>
          <w:sz w:val="22"/>
          <w:szCs w:val="22"/>
        </w:rPr>
        <w:t xml:space="preserve"> </w:t>
      </w:r>
      <w:r w:rsidR="00F70853" w:rsidRPr="00B87F6C">
        <w:rPr>
          <w:rFonts w:ascii="Arial" w:hAnsi="Arial" w:cs="Arial"/>
          <w:sz w:val="22"/>
          <w:szCs w:val="22"/>
        </w:rPr>
        <w:t>(Field, 2024).</w:t>
      </w:r>
      <w:r w:rsidRPr="00B87F6C">
        <w:rPr>
          <w:rFonts w:ascii="Arial" w:hAnsi="Arial" w:cs="Arial"/>
          <w:sz w:val="22"/>
          <w:szCs w:val="22"/>
        </w:rPr>
        <w:t xml:space="preserve"> Comedy and drama together accounted for more than 48% of all dataset observations, making them the most prevalent genres. Science Fiction and horror remained stable sub-clusters, accounting for around 9% and 12% of the total. When it came to linguistic concentration, English-language films made up the vast bulk of the dataset</w:t>
      </w:r>
      <w:r w:rsidRPr="00B87F6C">
        <w:rPr>
          <w:rFonts w:ascii="Arial" w:hAnsi="Arial" w:cs="Arial"/>
          <w:sz w:val="22"/>
          <w:szCs w:val="22"/>
        </w:rPr>
        <w:t xml:space="preserve">, </w:t>
      </w:r>
      <w:r w:rsidRPr="00B87F6C">
        <w:rPr>
          <w:rFonts w:ascii="Arial" w:hAnsi="Arial" w:cs="Arial"/>
          <w:sz w:val="22"/>
          <w:szCs w:val="22"/>
        </w:rPr>
        <w:t>roughly 76%</w:t>
      </w:r>
      <w:r w:rsidRPr="00B87F6C">
        <w:rPr>
          <w:rFonts w:ascii="Arial" w:hAnsi="Arial" w:cs="Arial"/>
          <w:sz w:val="22"/>
          <w:szCs w:val="22"/>
        </w:rPr>
        <w:t xml:space="preserve">, </w:t>
      </w:r>
      <w:r w:rsidRPr="00B87F6C">
        <w:rPr>
          <w:rFonts w:ascii="Arial" w:hAnsi="Arial" w:cs="Arial"/>
          <w:sz w:val="22"/>
          <w:szCs w:val="22"/>
        </w:rPr>
        <w:t>while the most common non-English segments were French, Japanese, and Spanish films.</w:t>
      </w:r>
      <w:r w:rsidR="00F70853" w:rsidRPr="00B87F6C">
        <w:rPr>
          <w:rFonts w:ascii="Arial" w:hAnsi="Arial" w:cs="Arial"/>
          <w:sz w:val="22"/>
          <w:szCs w:val="22"/>
        </w:rPr>
        <w:t xml:space="preserve"> </w:t>
      </w:r>
      <w:r w:rsidRPr="00B87F6C">
        <w:rPr>
          <w:rFonts w:ascii="Arial" w:hAnsi="Arial" w:cs="Arial"/>
          <w:sz w:val="22"/>
          <w:szCs w:val="22"/>
        </w:rPr>
        <w:t>Explicit structural features were emphasised by using boxplots and frequency distributions to depict these measures. Users seldom award very low scores consistently, according to the boxplot for Average Ratings, which revealed a narrow interquartile range with slight outlier activity below the 2.0 border. On the other hand, boxplots for Watch Counts and Fan Lists displayed large upper-bound outliers, indicating the exponential popularity of contemporary viral movies or timeless classics</w:t>
      </w:r>
      <w:r w:rsidR="00F70853" w:rsidRPr="00B87F6C">
        <w:rPr>
          <w:rFonts w:ascii="Arial" w:hAnsi="Arial" w:cs="Arial"/>
          <w:sz w:val="22"/>
          <w:szCs w:val="22"/>
        </w:rPr>
        <w:t xml:space="preserve"> </w:t>
      </w:r>
      <w:r w:rsidR="00F70853" w:rsidRPr="00B87F6C">
        <w:rPr>
          <w:rFonts w:ascii="Arial" w:hAnsi="Arial" w:cs="Arial"/>
          <w:sz w:val="22"/>
          <w:szCs w:val="22"/>
        </w:rPr>
        <w:t>(Wallner, 2019).</w:t>
      </w:r>
    </w:p>
    <w:p w14:paraId="41F3A2DD" w14:textId="77777777" w:rsidR="00A60927" w:rsidRPr="00B87F6C" w:rsidRDefault="00A60927" w:rsidP="00832ED9">
      <w:pPr>
        <w:rPr>
          <w:rFonts w:ascii="Arial" w:hAnsi="Arial" w:cs="Arial"/>
          <w:sz w:val="22"/>
          <w:szCs w:val="22"/>
        </w:rPr>
      </w:pPr>
    </w:p>
    <w:p w14:paraId="2257A809" w14:textId="77777777" w:rsidR="00832ED9" w:rsidRPr="00B87F6C" w:rsidRDefault="00832ED9" w:rsidP="00832ED9">
      <w:pPr>
        <w:rPr>
          <w:rFonts w:ascii="Arial" w:hAnsi="Arial" w:cs="Arial"/>
          <w:b/>
          <w:bCs/>
          <w:sz w:val="22"/>
          <w:szCs w:val="22"/>
        </w:rPr>
      </w:pPr>
      <w:r w:rsidRPr="00B87F6C">
        <w:rPr>
          <w:rFonts w:ascii="Arial" w:hAnsi="Arial" w:cs="Arial"/>
          <w:b/>
          <w:bCs/>
          <w:sz w:val="22"/>
          <w:szCs w:val="22"/>
        </w:rPr>
        <w:t>4. Trend Analysis and Visualization</w:t>
      </w:r>
    </w:p>
    <w:p w14:paraId="2C3ECC40" w14:textId="02574B8B" w:rsidR="00F40C7F" w:rsidRPr="00B87F6C" w:rsidRDefault="00F40C7F" w:rsidP="00F40C7F">
      <w:pPr>
        <w:rPr>
          <w:rFonts w:ascii="Arial" w:hAnsi="Arial" w:cs="Arial"/>
          <w:sz w:val="22"/>
          <w:szCs w:val="22"/>
        </w:rPr>
      </w:pPr>
      <w:r w:rsidRPr="00B87F6C">
        <w:rPr>
          <w:rFonts w:ascii="Arial" w:hAnsi="Arial" w:cs="Arial"/>
          <w:sz w:val="22"/>
          <w:szCs w:val="22"/>
        </w:rPr>
        <w:t xml:space="preserve">To investigate behavioural interactions between </w:t>
      </w:r>
      <w:r w:rsidRPr="00B87F6C">
        <w:rPr>
          <w:rFonts w:ascii="Arial" w:hAnsi="Arial" w:cs="Arial"/>
          <w:sz w:val="22"/>
          <w:szCs w:val="22"/>
        </w:rPr>
        <w:t>structural</w:t>
      </w:r>
      <w:r w:rsidRPr="00B87F6C">
        <w:rPr>
          <w:rFonts w:ascii="Arial" w:hAnsi="Arial" w:cs="Arial"/>
          <w:sz w:val="22"/>
          <w:szCs w:val="22"/>
        </w:rPr>
        <w:t xml:space="preserve"> formats (Genre and Language) and audience engagement measures, a cross-categorical trend analysis was carried out in Microsoft Excel. Several distinct market dependencies were shown </w:t>
      </w:r>
      <w:r w:rsidRPr="00B87F6C">
        <w:rPr>
          <w:rFonts w:ascii="Arial" w:hAnsi="Arial" w:cs="Arial"/>
          <w:sz w:val="22"/>
          <w:szCs w:val="22"/>
        </w:rPr>
        <w:t>using</w:t>
      </w:r>
      <w:r w:rsidRPr="00B87F6C">
        <w:rPr>
          <w:rFonts w:ascii="Arial" w:hAnsi="Arial" w:cs="Arial"/>
          <w:sz w:val="22"/>
          <w:szCs w:val="22"/>
        </w:rPr>
        <w:t xml:space="preserve"> pivot tables and multi-axis visualisations</w:t>
      </w:r>
      <w:r w:rsidR="00F70853" w:rsidRPr="00B87F6C">
        <w:rPr>
          <w:rFonts w:ascii="Arial" w:hAnsi="Arial" w:cs="Arial"/>
          <w:sz w:val="22"/>
          <w:szCs w:val="22"/>
        </w:rPr>
        <w:t xml:space="preserve"> </w:t>
      </w:r>
      <w:r w:rsidR="00F70853" w:rsidRPr="00B87F6C">
        <w:rPr>
          <w:rFonts w:ascii="Arial" w:hAnsi="Arial" w:cs="Arial"/>
          <w:sz w:val="22"/>
          <w:szCs w:val="22"/>
        </w:rPr>
        <w:t>(Gunter, 2018).</w:t>
      </w:r>
    </w:p>
    <w:p w14:paraId="0C10B202" w14:textId="77777777" w:rsidR="00F40C7F" w:rsidRPr="00832ED9" w:rsidRDefault="00F40C7F" w:rsidP="00832ED9">
      <w:pPr>
        <w:rPr>
          <w:b/>
          <w:bCs/>
        </w:rPr>
      </w:pPr>
    </w:p>
    <w:p w14:paraId="529885E0" w14:textId="76FA44EB" w:rsidR="00A60927" w:rsidRDefault="00B55938" w:rsidP="00832ED9">
      <w:r>
        <w:rPr>
          <w:noProof/>
        </w:rPr>
        <w:lastRenderedPageBreak/>
        <w:drawing>
          <wp:inline distT="0" distB="0" distL="0" distR="0" wp14:anchorId="7A32E966" wp14:editId="19356B4F">
            <wp:extent cx="5731510" cy="4003040"/>
            <wp:effectExtent l="0" t="0" r="2540" b="0"/>
            <wp:docPr id="146493425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4934254" name="Picture 1464934254"/>
                    <pic:cNvPicPr/>
                  </pic:nvPicPr>
                  <pic:blipFill>
                    <a:blip r:embed="rId10">
                      <a:extLst>
                        <a:ext uri="{28A0092B-C50C-407E-A947-70E740481C1C}">
                          <a14:useLocalDpi xmlns:a14="http://schemas.microsoft.com/office/drawing/2010/main" val="0"/>
                        </a:ext>
                      </a:extLst>
                    </a:blip>
                    <a:stretch>
                      <a:fillRect/>
                    </a:stretch>
                  </pic:blipFill>
                  <pic:spPr>
                    <a:xfrm>
                      <a:off x="0" y="0"/>
                      <a:ext cx="5731510" cy="4003040"/>
                    </a:xfrm>
                    <a:prstGeom prst="rect">
                      <a:avLst/>
                    </a:prstGeom>
                  </pic:spPr>
                </pic:pic>
              </a:graphicData>
            </a:graphic>
          </wp:inline>
        </w:drawing>
      </w:r>
    </w:p>
    <w:p w14:paraId="27A6124E" w14:textId="43D81ECE" w:rsidR="00B55938" w:rsidRDefault="00B55938" w:rsidP="00832ED9">
      <w:r>
        <w:rPr>
          <w:noProof/>
        </w:rPr>
        <w:drawing>
          <wp:inline distT="0" distB="0" distL="0" distR="0" wp14:anchorId="5522A9E0" wp14:editId="142362B5">
            <wp:extent cx="5731510" cy="2263775"/>
            <wp:effectExtent l="0" t="0" r="2540" b="3175"/>
            <wp:docPr id="66669190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6691901" name="Picture 666691901"/>
                    <pic:cNvPicPr/>
                  </pic:nvPicPr>
                  <pic:blipFill>
                    <a:blip r:embed="rId11">
                      <a:extLst>
                        <a:ext uri="{28A0092B-C50C-407E-A947-70E740481C1C}">
                          <a14:useLocalDpi xmlns:a14="http://schemas.microsoft.com/office/drawing/2010/main" val="0"/>
                        </a:ext>
                      </a:extLst>
                    </a:blip>
                    <a:stretch>
                      <a:fillRect/>
                    </a:stretch>
                  </pic:blipFill>
                  <pic:spPr>
                    <a:xfrm>
                      <a:off x="0" y="0"/>
                      <a:ext cx="5731510" cy="2263775"/>
                    </a:xfrm>
                    <a:prstGeom prst="rect">
                      <a:avLst/>
                    </a:prstGeom>
                  </pic:spPr>
                </pic:pic>
              </a:graphicData>
            </a:graphic>
          </wp:inline>
        </w:drawing>
      </w:r>
    </w:p>
    <w:p w14:paraId="4767104D" w14:textId="2955BA26" w:rsidR="00090616" w:rsidRPr="00832ED9" w:rsidRDefault="00090616" w:rsidP="00832ED9">
      <w:r>
        <w:rPr>
          <w:noProof/>
        </w:rPr>
        <w:lastRenderedPageBreak/>
        <w:drawing>
          <wp:inline distT="0" distB="0" distL="0" distR="0" wp14:anchorId="58D30EA8" wp14:editId="6714A39B">
            <wp:extent cx="5731510" cy="2654300"/>
            <wp:effectExtent l="0" t="0" r="2540" b="0"/>
            <wp:docPr id="200405072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4050725" name="Picture 2004050725"/>
                    <pic:cNvPicPr/>
                  </pic:nvPicPr>
                  <pic:blipFill>
                    <a:blip r:embed="rId12">
                      <a:extLst>
                        <a:ext uri="{28A0092B-C50C-407E-A947-70E740481C1C}">
                          <a14:useLocalDpi xmlns:a14="http://schemas.microsoft.com/office/drawing/2010/main" val="0"/>
                        </a:ext>
                      </a:extLst>
                    </a:blip>
                    <a:stretch>
                      <a:fillRect/>
                    </a:stretch>
                  </pic:blipFill>
                  <pic:spPr>
                    <a:xfrm>
                      <a:off x="0" y="0"/>
                      <a:ext cx="5731510" cy="2654300"/>
                    </a:xfrm>
                    <a:prstGeom prst="rect">
                      <a:avLst/>
                    </a:prstGeom>
                  </pic:spPr>
                </pic:pic>
              </a:graphicData>
            </a:graphic>
          </wp:inline>
        </w:drawing>
      </w:r>
    </w:p>
    <w:p w14:paraId="17CF67B4" w14:textId="3257ADD4" w:rsidR="00832ED9" w:rsidRPr="00B87F6C" w:rsidRDefault="00F40C7F" w:rsidP="00832ED9">
      <w:pPr>
        <w:rPr>
          <w:rFonts w:ascii="Arial" w:hAnsi="Arial" w:cs="Arial"/>
          <w:sz w:val="22"/>
          <w:szCs w:val="22"/>
        </w:rPr>
      </w:pPr>
      <w:r w:rsidRPr="00B87F6C">
        <w:rPr>
          <w:rFonts w:ascii="Arial" w:hAnsi="Arial" w:cs="Arial"/>
          <w:sz w:val="22"/>
          <w:szCs w:val="22"/>
        </w:rPr>
        <w:t>Niche and high-art genres including documentaries, history, and animation regularly obtained higher average baselines, sometimes ranging between 3.65 and 3.90, when looking at average ratings across different genres. On the other hand, large commercial genres like as Action and Horror showed lower average score baselines, with a center around 3.15. This implies that whereas mass-market genres are subject to more scrutiny from general viewers, specialised cinema styles benefit from devoted, highly involved target audiences who score highly</w:t>
      </w:r>
      <w:r w:rsidR="00F70853" w:rsidRPr="00B87F6C">
        <w:rPr>
          <w:rFonts w:ascii="Arial" w:hAnsi="Arial" w:cs="Arial"/>
          <w:sz w:val="22"/>
          <w:szCs w:val="22"/>
        </w:rPr>
        <w:t xml:space="preserve"> </w:t>
      </w:r>
      <w:r w:rsidR="00F70853" w:rsidRPr="00B87F6C">
        <w:rPr>
          <w:rFonts w:ascii="Arial" w:hAnsi="Arial" w:cs="Arial"/>
          <w:sz w:val="22"/>
          <w:szCs w:val="22"/>
        </w:rPr>
        <w:t>(Gunter, 2018).</w:t>
      </w:r>
      <w:r w:rsidRPr="00B87F6C">
        <w:rPr>
          <w:rFonts w:ascii="Arial" w:hAnsi="Arial" w:cs="Arial"/>
          <w:sz w:val="22"/>
          <w:szCs w:val="22"/>
        </w:rPr>
        <w:t xml:space="preserve"> However, analysing the total number of likes shows an inverted trend: comedies, sci-fi, and action films account for </w:t>
      </w:r>
      <w:r w:rsidR="00F70853" w:rsidRPr="00B87F6C">
        <w:rPr>
          <w:rFonts w:ascii="Arial" w:hAnsi="Arial" w:cs="Arial"/>
          <w:sz w:val="22"/>
          <w:szCs w:val="22"/>
        </w:rPr>
        <w:t>most</w:t>
      </w:r>
      <w:r w:rsidRPr="00B87F6C">
        <w:rPr>
          <w:rFonts w:ascii="Arial" w:hAnsi="Arial" w:cs="Arial"/>
          <w:sz w:val="22"/>
          <w:szCs w:val="22"/>
        </w:rPr>
        <w:t xml:space="preserve"> total likes. This shows that a low average rating does not always mean that a movie cannot achieve great awareness and significant audience involvement</w:t>
      </w:r>
      <w:r w:rsidR="00F70853" w:rsidRPr="00B87F6C">
        <w:rPr>
          <w:rFonts w:ascii="Arial" w:hAnsi="Arial" w:cs="Arial"/>
          <w:sz w:val="22"/>
          <w:szCs w:val="22"/>
        </w:rPr>
        <w:t xml:space="preserve"> </w:t>
      </w:r>
      <w:r w:rsidR="00F70853" w:rsidRPr="00B87F6C">
        <w:rPr>
          <w:rFonts w:ascii="Arial" w:hAnsi="Arial" w:cs="Arial"/>
          <w:sz w:val="22"/>
          <w:szCs w:val="22"/>
        </w:rPr>
        <w:t>(Wallner, 2019).</w:t>
      </w:r>
      <w:r w:rsidRPr="00B87F6C">
        <w:rPr>
          <w:rFonts w:ascii="Arial" w:hAnsi="Arial" w:cs="Arial"/>
          <w:sz w:val="22"/>
          <w:szCs w:val="22"/>
        </w:rPr>
        <w:t xml:space="preserve"> </w:t>
      </w:r>
      <w:r w:rsidRPr="00B87F6C">
        <w:rPr>
          <w:rFonts w:ascii="Arial" w:hAnsi="Arial" w:cs="Arial"/>
          <w:sz w:val="22"/>
          <w:szCs w:val="22"/>
        </w:rPr>
        <w:t>A substantial cultural gap is shown by language-based trends.</w:t>
      </w:r>
      <w:r w:rsidRPr="00B87F6C">
        <w:rPr>
          <w:rFonts w:ascii="Arial" w:hAnsi="Arial" w:cs="Arial"/>
          <w:sz w:val="22"/>
          <w:szCs w:val="22"/>
        </w:rPr>
        <w:t xml:space="preserve"> </w:t>
      </w:r>
      <w:r w:rsidRPr="00B87F6C">
        <w:rPr>
          <w:rFonts w:ascii="Arial" w:hAnsi="Arial" w:cs="Arial"/>
          <w:sz w:val="22"/>
          <w:szCs w:val="22"/>
        </w:rPr>
        <w:t>Due to worldwide distribution networks, English-language films receive the greatest raw view volumes and total likes</w:t>
      </w:r>
      <w:r w:rsidR="00F70853" w:rsidRPr="00B87F6C">
        <w:rPr>
          <w:rFonts w:ascii="Arial" w:hAnsi="Arial" w:cs="Arial"/>
          <w:sz w:val="22"/>
          <w:szCs w:val="22"/>
        </w:rPr>
        <w:t xml:space="preserve"> </w:t>
      </w:r>
      <w:r w:rsidR="00F70853" w:rsidRPr="00B87F6C">
        <w:rPr>
          <w:rFonts w:ascii="Arial" w:hAnsi="Arial" w:cs="Arial"/>
          <w:sz w:val="22"/>
          <w:szCs w:val="22"/>
        </w:rPr>
        <w:t>(Vogel, 2001).</w:t>
      </w:r>
      <w:r w:rsidRPr="00B87F6C">
        <w:rPr>
          <w:rFonts w:ascii="Arial" w:hAnsi="Arial" w:cs="Arial"/>
          <w:sz w:val="22"/>
          <w:szCs w:val="22"/>
        </w:rPr>
        <w:t xml:space="preserve"> Nonetheless, non-English titles</w:t>
      </w:r>
      <w:r w:rsidRPr="00B87F6C">
        <w:rPr>
          <w:rFonts w:ascii="Arial" w:hAnsi="Arial" w:cs="Arial"/>
          <w:sz w:val="22"/>
          <w:szCs w:val="22"/>
        </w:rPr>
        <w:t xml:space="preserve">, </w:t>
      </w:r>
      <w:r w:rsidRPr="00B87F6C">
        <w:rPr>
          <w:rFonts w:ascii="Arial" w:hAnsi="Arial" w:cs="Arial"/>
          <w:sz w:val="22"/>
          <w:szCs w:val="22"/>
        </w:rPr>
        <w:t>more especially, Korean and Japanese productions</w:t>
      </w:r>
      <w:r w:rsidRPr="00B87F6C">
        <w:rPr>
          <w:rFonts w:ascii="Arial" w:hAnsi="Arial" w:cs="Arial"/>
          <w:sz w:val="22"/>
          <w:szCs w:val="22"/>
        </w:rPr>
        <w:t xml:space="preserve"> </w:t>
      </w:r>
      <w:r w:rsidRPr="00B87F6C">
        <w:rPr>
          <w:rFonts w:ascii="Arial" w:hAnsi="Arial" w:cs="Arial"/>
          <w:sz w:val="22"/>
          <w:szCs w:val="22"/>
        </w:rPr>
        <w:t>often receive higher average scores. This pattern indicates a unique market dynamic in which foreign-language films encounter more obstacles to worldwide audience discovery; but, those that do succeed are of outstanding quality, leading to considerable positive emotion among international cinema consumers</w:t>
      </w:r>
      <w:r w:rsidR="00F70853" w:rsidRPr="00B87F6C">
        <w:rPr>
          <w:rFonts w:ascii="Arial" w:hAnsi="Arial" w:cs="Arial"/>
          <w:sz w:val="22"/>
          <w:szCs w:val="22"/>
        </w:rPr>
        <w:t xml:space="preserve"> </w:t>
      </w:r>
      <w:r w:rsidR="00F70853" w:rsidRPr="00B87F6C">
        <w:rPr>
          <w:rFonts w:ascii="Arial" w:hAnsi="Arial" w:cs="Arial"/>
          <w:sz w:val="22"/>
          <w:szCs w:val="22"/>
        </w:rPr>
        <w:t>(Gunter, 2018).</w:t>
      </w:r>
      <w:r w:rsidRPr="00B87F6C">
        <w:rPr>
          <w:rFonts w:ascii="Arial" w:hAnsi="Arial" w:cs="Arial"/>
          <w:sz w:val="22"/>
          <w:szCs w:val="22"/>
        </w:rPr>
        <w:t xml:space="preserve"> A robust, positive linear trend may be shown in scatter plots that quantify the absolute interaction between Watch Counts (X-axis) and Likes (Y-axis). The visual cluster shows that a film's baseline of expressive appreciation scales closely with its level of public exposure. However, there are certain exceptional high-performing outliers, such as cult films that retain small viewing brackets but receive a disproportionately large number of likes and fans.</w:t>
      </w:r>
    </w:p>
    <w:p w14:paraId="6DD36FAF" w14:textId="77777777" w:rsidR="00B55938" w:rsidRPr="00B87F6C" w:rsidRDefault="00B55938" w:rsidP="00832ED9">
      <w:pPr>
        <w:rPr>
          <w:rFonts w:ascii="Arial" w:hAnsi="Arial" w:cs="Arial"/>
          <w:sz w:val="22"/>
          <w:szCs w:val="22"/>
        </w:rPr>
      </w:pPr>
    </w:p>
    <w:p w14:paraId="0ACA10E7" w14:textId="77777777" w:rsidR="00832ED9" w:rsidRPr="00B87F6C" w:rsidRDefault="00832ED9" w:rsidP="00832ED9">
      <w:pPr>
        <w:rPr>
          <w:rFonts w:ascii="Arial" w:hAnsi="Arial" w:cs="Arial"/>
          <w:b/>
          <w:bCs/>
          <w:sz w:val="22"/>
          <w:szCs w:val="22"/>
        </w:rPr>
      </w:pPr>
      <w:r w:rsidRPr="00B87F6C">
        <w:rPr>
          <w:rFonts w:ascii="Arial" w:hAnsi="Arial" w:cs="Arial"/>
          <w:b/>
          <w:bCs/>
          <w:sz w:val="22"/>
          <w:szCs w:val="22"/>
        </w:rPr>
        <w:t>5. Statistical Analysis using SPSS</w:t>
      </w:r>
    </w:p>
    <w:p w14:paraId="39958BEB" w14:textId="3CB75815" w:rsidR="00F40C7F" w:rsidRPr="00B87F6C" w:rsidRDefault="00F40C7F" w:rsidP="00F40C7F">
      <w:pPr>
        <w:rPr>
          <w:rFonts w:ascii="Arial" w:hAnsi="Arial" w:cs="Arial"/>
          <w:sz w:val="22"/>
          <w:szCs w:val="22"/>
        </w:rPr>
      </w:pPr>
      <w:r w:rsidRPr="00B87F6C">
        <w:rPr>
          <w:rFonts w:ascii="Arial" w:hAnsi="Arial" w:cs="Arial"/>
          <w:sz w:val="22"/>
          <w:szCs w:val="22"/>
        </w:rPr>
        <w:lastRenderedPageBreak/>
        <w:t>Inferential testing models were built inside SPSS to verify if these apparent visual trends represent true market rules rather than random dataset variance</w:t>
      </w:r>
      <w:r w:rsidR="00F70853" w:rsidRPr="00B87F6C">
        <w:rPr>
          <w:rFonts w:ascii="Arial" w:hAnsi="Arial" w:cs="Arial"/>
          <w:sz w:val="22"/>
          <w:szCs w:val="22"/>
        </w:rPr>
        <w:t xml:space="preserve"> </w:t>
      </w:r>
      <w:r w:rsidR="00F70853" w:rsidRPr="00B87F6C">
        <w:rPr>
          <w:rFonts w:ascii="Arial" w:hAnsi="Arial" w:cs="Arial"/>
          <w:sz w:val="22"/>
          <w:szCs w:val="22"/>
        </w:rPr>
        <w:t>(Bryman, 2023).</w:t>
      </w:r>
      <w:r w:rsidRPr="00B87F6C">
        <w:rPr>
          <w:rFonts w:ascii="Arial" w:hAnsi="Arial" w:cs="Arial"/>
          <w:sz w:val="22"/>
          <w:szCs w:val="22"/>
        </w:rPr>
        <w:t xml:space="preserve"> T</w:t>
      </w:r>
      <w:r w:rsidRPr="00B87F6C">
        <w:rPr>
          <w:rFonts w:ascii="Arial" w:hAnsi="Arial" w:cs="Arial"/>
          <w:sz w:val="22"/>
          <w:szCs w:val="22"/>
        </w:rPr>
        <w:t>o determine if there is a statistically significant difference in average ratings between English-language and non-English films, an Independent-Samples T-Test was first performed. Language origin has no effect on average viewer scores, according to the null hypothesis (H</w:t>
      </w:r>
      <w:r w:rsidRPr="00B87F6C">
        <w:rPr>
          <w:rFonts w:ascii="Cambria Math" w:hAnsi="Cambria Math" w:cs="Cambria Math"/>
          <w:sz w:val="22"/>
          <w:szCs w:val="22"/>
        </w:rPr>
        <w:t>₀</w:t>
      </w:r>
      <w:r w:rsidRPr="00B87F6C">
        <w:rPr>
          <w:rFonts w:ascii="Arial" w:hAnsi="Arial" w:cs="Arial"/>
          <w:sz w:val="22"/>
          <w:szCs w:val="22"/>
        </w:rPr>
        <w:t>). The equal variances not assumed row must be used since the test produced a Levene's Test significance value below 0.05</w:t>
      </w:r>
      <w:r w:rsidR="00786395" w:rsidRPr="00B87F6C">
        <w:rPr>
          <w:rFonts w:ascii="Arial" w:hAnsi="Arial" w:cs="Arial"/>
          <w:sz w:val="22"/>
          <w:szCs w:val="22"/>
        </w:rPr>
        <w:t xml:space="preserve"> </w:t>
      </w:r>
      <w:r w:rsidR="00786395" w:rsidRPr="00B87F6C">
        <w:rPr>
          <w:rFonts w:ascii="Arial" w:hAnsi="Arial" w:cs="Arial"/>
          <w:sz w:val="22"/>
          <w:szCs w:val="22"/>
        </w:rPr>
        <w:t>(Field, 2024)</w:t>
      </w:r>
      <w:r w:rsidR="00786395" w:rsidRPr="00B87F6C">
        <w:rPr>
          <w:rFonts w:ascii="Arial" w:hAnsi="Arial" w:cs="Arial"/>
          <w:sz w:val="22"/>
          <w:szCs w:val="22"/>
        </w:rPr>
        <w:t>.</w:t>
      </w:r>
      <w:r w:rsidRPr="00B87F6C">
        <w:rPr>
          <w:rFonts w:ascii="Arial" w:hAnsi="Arial" w:cs="Arial"/>
          <w:sz w:val="22"/>
          <w:szCs w:val="22"/>
        </w:rPr>
        <w:t xml:space="preserve"> At p = 0.012, the final two-tailed significance value was determined to be far below the conventional alpha level (α = 0.05). The null hypothesis was therefore disproved. Non-English films have a significantly higher average rating (μ = 3.54) than English movies (μ = 3.39), according to the empirical means. The idea that non-English films go thru a rigorous cross-border selection process, eliminating lower-tier movies before they reach global tracking indices, is supported by this data validation.</w:t>
      </w:r>
    </w:p>
    <w:p w14:paraId="3C96F79A" w14:textId="560CEB0E" w:rsidR="00B55938" w:rsidRPr="00832ED9" w:rsidRDefault="00090616" w:rsidP="00832ED9">
      <w:r>
        <w:rPr>
          <w:noProof/>
        </w:rPr>
        <w:drawing>
          <wp:inline distT="0" distB="0" distL="0" distR="0" wp14:anchorId="48A258F8" wp14:editId="16FEA106">
            <wp:extent cx="5731510" cy="2612390"/>
            <wp:effectExtent l="0" t="0" r="2540" b="0"/>
            <wp:docPr id="11353948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539486" name="Picture 113539486"/>
                    <pic:cNvPicPr/>
                  </pic:nvPicPr>
                  <pic:blipFill>
                    <a:blip r:embed="rId13">
                      <a:extLst>
                        <a:ext uri="{28A0092B-C50C-407E-A947-70E740481C1C}">
                          <a14:useLocalDpi xmlns:a14="http://schemas.microsoft.com/office/drawing/2010/main" val="0"/>
                        </a:ext>
                      </a:extLst>
                    </a:blip>
                    <a:stretch>
                      <a:fillRect/>
                    </a:stretch>
                  </pic:blipFill>
                  <pic:spPr>
                    <a:xfrm>
                      <a:off x="0" y="0"/>
                      <a:ext cx="5731510" cy="2612390"/>
                    </a:xfrm>
                    <a:prstGeom prst="rect">
                      <a:avLst/>
                    </a:prstGeom>
                  </pic:spPr>
                </pic:pic>
              </a:graphicData>
            </a:graphic>
          </wp:inline>
        </w:drawing>
      </w:r>
    </w:p>
    <w:p w14:paraId="12F1184A" w14:textId="1B0051F9" w:rsidR="00F40C7F" w:rsidRPr="00B87F6C" w:rsidRDefault="00F40C7F" w:rsidP="00F40C7F">
      <w:pPr>
        <w:rPr>
          <w:rFonts w:ascii="Arial" w:hAnsi="Arial" w:cs="Arial"/>
          <w:sz w:val="22"/>
          <w:szCs w:val="22"/>
        </w:rPr>
      </w:pPr>
      <w:r w:rsidRPr="00B87F6C">
        <w:rPr>
          <w:rFonts w:ascii="Arial" w:hAnsi="Arial" w:cs="Arial"/>
          <w:sz w:val="22"/>
          <w:szCs w:val="22"/>
        </w:rPr>
        <w:t>Second, scale dependencies between structural runtime metrics and public engagement parameters were assessed using a Pearson Correlation Analysis</w:t>
      </w:r>
      <w:r w:rsidR="00786395" w:rsidRPr="00B87F6C">
        <w:rPr>
          <w:rFonts w:ascii="Arial" w:hAnsi="Arial" w:cs="Arial"/>
          <w:sz w:val="22"/>
          <w:szCs w:val="22"/>
        </w:rPr>
        <w:t xml:space="preserve"> </w:t>
      </w:r>
      <w:r w:rsidR="00786395" w:rsidRPr="00B87F6C">
        <w:rPr>
          <w:rFonts w:ascii="Arial" w:hAnsi="Arial" w:cs="Arial"/>
          <w:sz w:val="22"/>
          <w:szCs w:val="22"/>
        </w:rPr>
        <w:t>(Field, 2024)</w:t>
      </w:r>
      <w:r w:rsidR="00786395" w:rsidRPr="00B87F6C">
        <w:rPr>
          <w:rFonts w:ascii="Arial" w:hAnsi="Arial" w:cs="Arial"/>
          <w:sz w:val="22"/>
          <w:szCs w:val="22"/>
        </w:rPr>
        <w:t>.</w:t>
      </w:r>
      <w:r w:rsidRPr="00B87F6C">
        <w:rPr>
          <w:rFonts w:ascii="Arial" w:hAnsi="Arial" w:cs="Arial"/>
          <w:sz w:val="22"/>
          <w:szCs w:val="22"/>
        </w:rPr>
        <w:t xml:space="preserve"> A small, nearly zero positive correlation (r = 0.08, p = 0.14) was found between runtime and fan count, indicating that there is no significant baseline link between a movie's duration and its capacity to create devoted fan groups</w:t>
      </w:r>
      <w:r w:rsidR="00786395" w:rsidRPr="00B87F6C">
        <w:rPr>
          <w:rFonts w:ascii="Arial" w:hAnsi="Arial" w:cs="Arial"/>
          <w:sz w:val="22"/>
          <w:szCs w:val="22"/>
        </w:rPr>
        <w:t xml:space="preserve"> </w:t>
      </w:r>
      <w:r w:rsidR="00786395" w:rsidRPr="00B87F6C">
        <w:rPr>
          <w:rFonts w:ascii="Arial" w:hAnsi="Arial" w:cs="Arial"/>
          <w:sz w:val="22"/>
          <w:szCs w:val="22"/>
        </w:rPr>
        <w:t>(Wallner, 2019)</w:t>
      </w:r>
      <w:r w:rsidR="00786395" w:rsidRPr="00B87F6C">
        <w:rPr>
          <w:rFonts w:ascii="Arial" w:hAnsi="Arial" w:cs="Arial"/>
          <w:sz w:val="22"/>
          <w:szCs w:val="22"/>
        </w:rPr>
        <w:t>.</w:t>
      </w:r>
      <w:r w:rsidRPr="00B87F6C">
        <w:rPr>
          <w:rFonts w:ascii="Arial" w:hAnsi="Arial" w:cs="Arial"/>
          <w:sz w:val="22"/>
          <w:szCs w:val="22"/>
        </w:rPr>
        <w:t xml:space="preserve"> On the other hand, a strong, extremely significant positive correlation (r = 0.89, p &lt; 0.001) was found when the association between Watch Counts and Likes was tested. This demonstrates that platform exposure is a dependable cause of tangible user appreciation, confirming an extraordinarily strong link.</w:t>
      </w:r>
    </w:p>
    <w:p w14:paraId="6A816B63" w14:textId="1B09DE78" w:rsidR="006C7A12" w:rsidRDefault="00090616" w:rsidP="00832ED9">
      <w:r>
        <w:rPr>
          <w:noProof/>
        </w:rPr>
        <w:lastRenderedPageBreak/>
        <w:drawing>
          <wp:inline distT="0" distB="0" distL="0" distR="0" wp14:anchorId="64A86E52" wp14:editId="1CF783BF">
            <wp:extent cx="5731510" cy="4298315"/>
            <wp:effectExtent l="0" t="0" r="2540" b="6985"/>
            <wp:docPr id="127537042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5370421" name="Picture 1275370421"/>
                    <pic:cNvPicPr/>
                  </pic:nvPicPr>
                  <pic:blipFill>
                    <a:blip r:embed="rId14">
                      <a:extLst>
                        <a:ext uri="{28A0092B-C50C-407E-A947-70E740481C1C}">
                          <a14:useLocalDpi xmlns:a14="http://schemas.microsoft.com/office/drawing/2010/main" val="0"/>
                        </a:ext>
                      </a:extLst>
                    </a:blip>
                    <a:stretch>
                      <a:fillRect/>
                    </a:stretch>
                  </pic:blipFill>
                  <pic:spPr>
                    <a:xfrm>
                      <a:off x="0" y="0"/>
                      <a:ext cx="5731510" cy="4298315"/>
                    </a:xfrm>
                    <a:prstGeom prst="rect">
                      <a:avLst/>
                    </a:prstGeom>
                  </pic:spPr>
                </pic:pic>
              </a:graphicData>
            </a:graphic>
          </wp:inline>
        </w:drawing>
      </w:r>
    </w:p>
    <w:p w14:paraId="7AC02D0D" w14:textId="11978066" w:rsidR="00F40C7F" w:rsidRPr="00B87F6C" w:rsidRDefault="00F40C7F" w:rsidP="00F40C7F">
      <w:pPr>
        <w:rPr>
          <w:rFonts w:ascii="Arial" w:hAnsi="Arial" w:cs="Arial"/>
          <w:sz w:val="22"/>
          <w:szCs w:val="22"/>
        </w:rPr>
      </w:pPr>
      <w:r w:rsidRPr="00B87F6C">
        <w:rPr>
          <w:rFonts w:ascii="Arial" w:hAnsi="Arial" w:cs="Arial"/>
          <w:sz w:val="22"/>
          <w:szCs w:val="22"/>
        </w:rPr>
        <w:t>Lastly, three continuous variables</w:t>
      </w:r>
      <w:r w:rsidR="00786395" w:rsidRPr="00B87F6C">
        <w:rPr>
          <w:rFonts w:ascii="Arial" w:hAnsi="Arial" w:cs="Arial"/>
          <w:sz w:val="22"/>
          <w:szCs w:val="22"/>
        </w:rPr>
        <w:t xml:space="preserve"> such as </w:t>
      </w:r>
      <w:r w:rsidRPr="00B87F6C">
        <w:rPr>
          <w:rFonts w:ascii="Arial" w:hAnsi="Arial" w:cs="Arial"/>
          <w:sz w:val="22"/>
          <w:szCs w:val="22"/>
        </w:rPr>
        <w:t>runtime, likes (measured in thousands), and total fans</w:t>
      </w:r>
      <w:r w:rsidR="00786395" w:rsidRPr="00B87F6C">
        <w:rPr>
          <w:rFonts w:ascii="Arial" w:hAnsi="Arial" w:cs="Arial"/>
          <w:sz w:val="22"/>
          <w:szCs w:val="22"/>
        </w:rPr>
        <w:t xml:space="preserve"> </w:t>
      </w:r>
      <w:r w:rsidRPr="00B87F6C">
        <w:rPr>
          <w:rFonts w:ascii="Arial" w:hAnsi="Arial" w:cs="Arial"/>
          <w:sz w:val="22"/>
          <w:szCs w:val="22"/>
        </w:rPr>
        <w:t>were used in a Multiple Linear Regression Analysis to predict a movie's average rating</w:t>
      </w:r>
      <w:r w:rsidR="00786395" w:rsidRPr="00B87F6C">
        <w:rPr>
          <w:rFonts w:ascii="Arial" w:hAnsi="Arial" w:cs="Arial"/>
          <w:sz w:val="22"/>
          <w:szCs w:val="22"/>
        </w:rPr>
        <w:t xml:space="preserve"> </w:t>
      </w:r>
      <w:r w:rsidR="00786395" w:rsidRPr="00B87F6C">
        <w:rPr>
          <w:rFonts w:ascii="Arial" w:hAnsi="Arial" w:cs="Arial"/>
          <w:sz w:val="22"/>
          <w:szCs w:val="22"/>
        </w:rPr>
        <w:t>(Bryman, 2023)</w:t>
      </w:r>
      <w:r w:rsidR="00786395" w:rsidRPr="00B87F6C">
        <w:rPr>
          <w:rFonts w:ascii="Arial" w:hAnsi="Arial" w:cs="Arial"/>
          <w:sz w:val="22"/>
          <w:szCs w:val="22"/>
        </w:rPr>
        <w:t>.</w:t>
      </w:r>
      <w:r w:rsidRPr="00B87F6C">
        <w:rPr>
          <w:rFonts w:ascii="Arial" w:hAnsi="Arial" w:cs="Arial"/>
          <w:sz w:val="22"/>
          <w:szCs w:val="22"/>
        </w:rPr>
        <w:t xml:space="preserve"> With a substantial percentage of variation explained (R2 = 0.412, </w:t>
      </w:r>
      <w:proofErr w:type="gramStart"/>
      <w:r w:rsidRPr="00B87F6C">
        <w:rPr>
          <w:rFonts w:ascii="Arial" w:hAnsi="Arial" w:cs="Arial"/>
          <w:sz w:val="22"/>
          <w:szCs w:val="22"/>
        </w:rPr>
        <w:t>F(</w:t>
      </w:r>
      <w:proofErr w:type="gramEnd"/>
      <w:r w:rsidRPr="00B87F6C">
        <w:rPr>
          <w:rFonts w:ascii="Arial" w:hAnsi="Arial" w:cs="Arial"/>
          <w:sz w:val="22"/>
          <w:szCs w:val="22"/>
        </w:rPr>
        <w:t xml:space="preserve">3, 480) = 112.4, p &lt; 0.001), the model demonstrated statistical viability. All three measures are substantial positive predictors of a movie's score, according to the individual </w:t>
      </w:r>
      <w:r w:rsidR="00786395" w:rsidRPr="00B87F6C">
        <w:rPr>
          <w:rFonts w:ascii="Arial" w:hAnsi="Arial" w:cs="Arial"/>
          <w:sz w:val="22"/>
          <w:szCs w:val="22"/>
        </w:rPr>
        <w:t xml:space="preserve">coefficients F, </w:t>
      </w:r>
      <w:r w:rsidRPr="00B87F6C">
        <w:rPr>
          <w:rFonts w:ascii="Arial" w:hAnsi="Arial" w:cs="Arial"/>
          <w:sz w:val="22"/>
          <w:szCs w:val="22"/>
        </w:rPr>
        <w:t>which showed the largest relative predictive weight. This demonstrates that lengthier, more purposefully paced films still have a little statistical edge in obtaining better critical ratings on the platform, even if engagement measures are the best predictors of quality scores</w:t>
      </w:r>
      <w:r w:rsidR="00786395" w:rsidRPr="00B87F6C">
        <w:rPr>
          <w:rFonts w:ascii="Arial" w:hAnsi="Arial" w:cs="Arial"/>
          <w:sz w:val="22"/>
          <w:szCs w:val="22"/>
        </w:rPr>
        <w:t xml:space="preserve"> </w:t>
      </w:r>
      <w:r w:rsidR="00786395" w:rsidRPr="00B87F6C">
        <w:rPr>
          <w:rFonts w:ascii="Arial" w:hAnsi="Arial" w:cs="Arial"/>
          <w:sz w:val="22"/>
          <w:szCs w:val="22"/>
        </w:rPr>
        <w:t>(Vogel, 2020).</w:t>
      </w:r>
    </w:p>
    <w:p w14:paraId="2089FAB1" w14:textId="77777777" w:rsidR="00090616" w:rsidRPr="00B87F6C" w:rsidRDefault="00090616" w:rsidP="00832ED9">
      <w:pPr>
        <w:rPr>
          <w:rFonts w:ascii="Arial" w:hAnsi="Arial" w:cs="Arial"/>
          <w:sz w:val="22"/>
          <w:szCs w:val="22"/>
        </w:rPr>
      </w:pPr>
    </w:p>
    <w:p w14:paraId="715B87C5" w14:textId="77777777" w:rsidR="00832ED9" w:rsidRPr="00B87F6C" w:rsidRDefault="00832ED9" w:rsidP="00832ED9">
      <w:pPr>
        <w:rPr>
          <w:rFonts w:ascii="Arial" w:hAnsi="Arial" w:cs="Arial"/>
          <w:b/>
          <w:bCs/>
          <w:sz w:val="22"/>
          <w:szCs w:val="22"/>
        </w:rPr>
      </w:pPr>
      <w:r w:rsidRPr="00B87F6C">
        <w:rPr>
          <w:rFonts w:ascii="Arial" w:hAnsi="Arial" w:cs="Arial"/>
          <w:b/>
          <w:bCs/>
          <w:sz w:val="22"/>
          <w:szCs w:val="22"/>
        </w:rPr>
        <w:t>6. Insights and Recommendations</w:t>
      </w:r>
    </w:p>
    <w:p w14:paraId="399B0D5F" w14:textId="4F9FA4E1" w:rsidR="0001667A" w:rsidRPr="00B87F6C" w:rsidRDefault="0001667A" w:rsidP="00786395">
      <w:pPr>
        <w:tabs>
          <w:tab w:val="num" w:pos="720"/>
        </w:tabs>
        <w:rPr>
          <w:rFonts w:ascii="Arial" w:hAnsi="Arial" w:cs="Arial"/>
          <w:sz w:val="22"/>
          <w:szCs w:val="22"/>
        </w:rPr>
      </w:pPr>
      <w:r w:rsidRPr="00B87F6C">
        <w:rPr>
          <w:rFonts w:ascii="Arial" w:hAnsi="Arial" w:cs="Arial"/>
          <w:sz w:val="22"/>
          <w:szCs w:val="22"/>
        </w:rPr>
        <w:t>The empirical results obtained from the Letterboxd dataset offer crucial practical insights for scheduling decisions, media operations, and content acquisition tactics in corporate entertainment frameworks</w:t>
      </w:r>
      <w:r w:rsidR="00786395" w:rsidRPr="00B87F6C">
        <w:rPr>
          <w:rFonts w:ascii="Arial" w:hAnsi="Arial" w:cs="Arial"/>
          <w:sz w:val="22"/>
          <w:szCs w:val="22"/>
        </w:rPr>
        <w:t xml:space="preserve"> </w:t>
      </w:r>
      <w:r w:rsidR="00786395" w:rsidRPr="00B87F6C">
        <w:rPr>
          <w:rFonts w:ascii="Arial" w:hAnsi="Arial" w:cs="Arial"/>
          <w:sz w:val="22"/>
          <w:szCs w:val="22"/>
        </w:rPr>
        <w:t xml:space="preserve">(Harrington, 2025). </w:t>
      </w:r>
      <w:r w:rsidRPr="00B87F6C">
        <w:rPr>
          <w:rFonts w:ascii="Arial" w:hAnsi="Arial" w:cs="Arial"/>
          <w:sz w:val="22"/>
          <w:szCs w:val="22"/>
        </w:rPr>
        <w:t>The study makes it very evident that there are two different operating regions where customer contact occurs</w:t>
      </w:r>
      <w:r w:rsidR="00786395" w:rsidRPr="00B87F6C">
        <w:rPr>
          <w:rFonts w:ascii="Arial" w:hAnsi="Arial" w:cs="Arial"/>
          <w:sz w:val="22"/>
          <w:szCs w:val="22"/>
        </w:rPr>
        <w:t xml:space="preserve"> </w:t>
      </w:r>
      <w:r w:rsidR="00786395" w:rsidRPr="00B87F6C">
        <w:rPr>
          <w:rFonts w:ascii="Arial" w:hAnsi="Arial" w:cs="Arial"/>
          <w:sz w:val="22"/>
          <w:szCs w:val="22"/>
        </w:rPr>
        <w:t>(Ueland, 2025).</w:t>
      </w:r>
      <w:r w:rsidRPr="00B87F6C">
        <w:rPr>
          <w:rFonts w:ascii="Arial" w:hAnsi="Arial" w:cs="Arial"/>
          <w:sz w:val="22"/>
          <w:szCs w:val="22"/>
        </w:rPr>
        <w:t xml:space="preserve"> Action, comedy, and horror are examples of highly accessible, broad-interest genres that generate mass commercial monetisation</w:t>
      </w:r>
      <w:r w:rsidR="00786395" w:rsidRPr="00B87F6C">
        <w:rPr>
          <w:rFonts w:ascii="Arial" w:hAnsi="Arial" w:cs="Arial"/>
          <w:sz w:val="22"/>
          <w:szCs w:val="22"/>
        </w:rPr>
        <w:t xml:space="preserve"> </w:t>
      </w:r>
      <w:r w:rsidR="00786395" w:rsidRPr="00B87F6C">
        <w:rPr>
          <w:rFonts w:ascii="Arial" w:hAnsi="Arial" w:cs="Arial"/>
          <w:sz w:val="22"/>
          <w:szCs w:val="22"/>
        </w:rPr>
        <w:t>(Vogel, 2020).</w:t>
      </w:r>
      <w:r w:rsidRPr="00B87F6C">
        <w:rPr>
          <w:rFonts w:ascii="Arial" w:hAnsi="Arial" w:cs="Arial"/>
          <w:sz w:val="22"/>
          <w:szCs w:val="22"/>
        </w:rPr>
        <w:t xml:space="preserve"> Despite having lower average rating scores, these genres consistently earn high Watch Counts and Extensive Like volumes. On the </w:t>
      </w:r>
      <w:r w:rsidRPr="00B87F6C">
        <w:rPr>
          <w:rFonts w:ascii="Arial" w:hAnsi="Arial" w:cs="Arial"/>
          <w:sz w:val="22"/>
          <w:szCs w:val="22"/>
        </w:rPr>
        <w:lastRenderedPageBreak/>
        <w:t>other hand, specialist genres (such documentaries and animation) and carefully chosen foreign-language repertoire purchases are what fuel critical acclaim and long-term viewer retention</w:t>
      </w:r>
      <w:r w:rsidR="00786395" w:rsidRPr="00B87F6C">
        <w:rPr>
          <w:rFonts w:ascii="Arial" w:hAnsi="Arial" w:cs="Arial"/>
          <w:sz w:val="22"/>
          <w:szCs w:val="22"/>
        </w:rPr>
        <w:t xml:space="preserve"> </w:t>
      </w:r>
      <w:r w:rsidR="00786395" w:rsidRPr="00B87F6C">
        <w:rPr>
          <w:rFonts w:ascii="Arial" w:hAnsi="Arial" w:cs="Arial"/>
          <w:sz w:val="22"/>
          <w:szCs w:val="22"/>
        </w:rPr>
        <w:t>(Wallner, 2019).</w:t>
      </w:r>
      <w:r w:rsidR="00786395" w:rsidRPr="00B87F6C">
        <w:rPr>
          <w:rFonts w:ascii="Arial" w:hAnsi="Arial" w:cs="Arial"/>
          <w:sz w:val="22"/>
          <w:szCs w:val="22"/>
        </w:rPr>
        <w:t xml:space="preserve"> </w:t>
      </w:r>
      <w:r w:rsidRPr="00B87F6C">
        <w:rPr>
          <w:rFonts w:ascii="Arial" w:hAnsi="Arial" w:cs="Arial"/>
          <w:sz w:val="22"/>
          <w:szCs w:val="22"/>
        </w:rPr>
        <w:t xml:space="preserve">Distribution studios and streaming companies should implement a multi-tiered BI approach </w:t>
      </w:r>
      <w:r w:rsidRPr="00B87F6C">
        <w:rPr>
          <w:rFonts w:ascii="Arial" w:hAnsi="Arial" w:cs="Arial"/>
          <w:sz w:val="22"/>
          <w:szCs w:val="22"/>
        </w:rPr>
        <w:t>considering</w:t>
      </w:r>
      <w:r w:rsidRPr="00B87F6C">
        <w:rPr>
          <w:rFonts w:ascii="Arial" w:hAnsi="Arial" w:cs="Arial"/>
          <w:sz w:val="22"/>
          <w:szCs w:val="22"/>
        </w:rPr>
        <w:t xml:space="preserve"> these findings</w:t>
      </w:r>
      <w:r w:rsidR="00786395" w:rsidRPr="00B87F6C">
        <w:rPr>
          <w:rFonts w:ascii="Arial" w:hAnsi="Arial" w:cs="Arial"/>
          <w:sz w:val="22"/>
          <w:szCs w:val="22"/>
        </w:rPr>
        <w:t xml:space="preserve"> </w:t>
      </w:r>
      <w:r w:rsidR="00786395" w:rsidRPr="00B87F6C">
        <w:rPr>
          <w:rFonts w:ascii="Arial" w:hAnsi="Arial" w:cs="Arial"/>
          <w:sz w:val="22"/>
          <w:szCs w:val="22"/>
        </w:rPr>
        <w:t>(Loshin, 2013)</w:t>
      </w:r>
      <w:r w:rsidRPr="00B87F6C">
        <w:rPr>
          <w:rFonts w:ascii="Arial" w:hAnsi="Arial" w:cs="Arial"/>
          <w:sz w:val="22"/>
          <w:szCs w:val="22"/>
        </w:rPr>
        <w:t xml:space="preserve">: </w:t>
      </w:r>
      <w:r w:rsidRPr="00B87F6C">
        <w:rPr>
          <w:rFonts w:ascii="Arial" w:hAnsi="Arial" w:cs="Arial"/>
          <w:sz w:val="22"/>
          <w:szCs w:val="22"/>
        </w:rPr>
        <w:br/>
        <w:t>Runtime Optimisation: For large-scale commercial initiatives, media companies should impose typical runtime restrictions between 95 and 115 minutes</w:t>
      </w:r>
      <w:r w:rsidR="00786395" w:rsidRPr="00B87F6C">
        <w:rPr>
          <w:rFonts w:ascii="Arial" w:hAnsi="Arial" w:cs="Arial"/>
          <w:sz w:val="22"/>
          <w:szCs w:val="22"/>
        </w:rPr>
        <w:t xml:space="preserve"> </w:t>
      </w:r>
      <w:r w:rsidR="00786395" w:rsidRPr="00B87F6C">
        <w:rPr>
          <w:rFonts w:ascii="Arial" w:hAnsi="Arial" w:cs="Arial"/>
          <w:sz w:val="22"/>
          <w:szCs w:val="22"/>
        </w:rPr>
        <w:t>(Harrington, 2025)</w:t>
      </w:r>
      <w:r w:rsidR="00786395" w:rsidRPr="00B87F6C">
        <w:rPr>
          <w:rFonts w:ascii="Arial" w:hAnsi="Arial" w:cs="Arial"/>
          <w:sz w:val="22"/>
          <w:szCs w:val="22"/>
        </w:rPr>
        <w:t>.</w:t>
      </w:r>
      <w:r w:rsidRPr="00B87F6C">
        <w:rPr>
          <w:rFonts w:ascii="Arial" w:hAnsi="Arial" w:cs="Arial"/>
          <w:sz w:val="22"/>
          <w:szCs w:val="22"/>
        </w:rPr>
        <w:t xml:space="preserve"> Longer runtimes needlessly raise production expense and reduce daily theatre rotation capacity, according to the regression and descriptive models, which demonstrate that exceeding this threshold does not result in increased audience engagement or fan creation. </w:t>
      </w:r>
      <w:r w:rsidRPr="00B87F6C">
        <w:rPr>
          <w:rFonts w:ascii="Arial" w:hAnsi="Arial" w:cs="Arial"/>
          <w:sz w:val="22"/>
          <w:szCs w:val="22"/>
        </w:rPr>
        <w:br/>
        <w:t>Targeted Language &amp; Subtitle Investment: Distribution executives need to broaden their frameworks for acquiring other languages, with a focus on high-performing non-English hubs such as South Korea and Japan</w:t>
      </w:r>
      <w:r w:rsidR="00786395" w:rsidRPr="00B87F6C">
        <w:rPr>
          <w:rFonts w:ascii="Arial" w:hAnsi="Arial" w:cs="Arial"/>
          <w:sz w:val="22"/>
          <w:szCs w:val="22"/>
        </w:rPr>
        <w:t xml:space="preserve"> </w:t>
      </w:r>
      <w:r w:rsidR="00786395" w:rsidRPr="00B87F6C">
        <w:rPr>
          <w:rFonts w:ascii="Arial" w:hAnsi="Arial" w:cs="Arial"/>
          <w:sz w:val="22"/>
          <w:szCs w:val="22"/>
        </w:rPr>
        <w:t>(Gunter, 2018).</w:t>
      </w:r>
      <w:r w:rsidRPr="00B87F6C">
        <w:rPr>
          <w:rFonts w:ascii="Arial" w:hAnsi="Arial" w:cs="Arial"/>
          <w:sz w:val="22"/>
          <w:szCs w:val="22"/>
        </w:rPr>
        <w:t xml:space="preserve"> Investing extensively in professional dubbing, contextual subtitling, and high-quality localisation would immediately increase customer platform happiness and lower subscription churn, as non-English films have statistically higher consumer scores</w:t>
      </w:r>
      <w:r w:rsidR="00786395" w:rsidRPr="00B87F6C">
        <w:rPr>
          <w:rFonts w:ascii="Arial" w:hAnsi="Arial" w:cs="Arial"/>
          <w:sz w:val="22"/>
          <w:szCs w:val="22"/>
        </w:rPr>
        <w:t xml:space="preserve"> </w:t>
      </w:r>
      <w:r w:rsidR="00786395" w:rsidRPr="00B87F6C">
        <w:rPr>
          <w:rFonts w:ascii="Arial" w:hAnsi="Arial" w:cs="Arial"/>
          <w:sz w:val="22"/>
          <w:szCs w:val="22"/>
        </w:rPr>
        <w:t>(Ueland, 2025).</w:t>
      </w:r>
    </w:p>
    <w:p w14:paraId="73A437E9" w14:textId="6806D457" w:rsidR="004740D2" w:rsidRPr="00B87F6C" w:rsidRDefault="0001667A" w:rsidP="004740D2">
      <w:pPr>
        <w:rPr>
          <w:rFonts w:ascii="Arial" w:hAnsi="Arial" w:cs="Arial"/>
          <w:sz w:val="22"/>
          <w:szCs w:val="22"/>
        </w:rPr>
      </w:pPr>
      <w:r w:rsidRPr="00B87F6C">
        <w:rPr>
          <w:rFonts w:ascii="Arial" w:hAnsi="Arial" w:cs="Arial"/>
          <w:sz w:val="22"/>
          <w:szCs w:val="22"/>
        </w:rPr>
        <w:t>Dual Portfolio Management: A data-driven model should be used by portfolio managers to allocate capital</w:t>
      </w:r>
      <w:r w:rsidR="004740D2" w:rsidRPr="00B87F6C">
        <w:rPr>
          <w:rFonts w:ascii="Arial" w:hAnsi="Arial" w:cs="Arial"/>
          <w:sz w:val="22"/>
          <w:szCs w:val="22"/>
        </w:rPr>
        <w:t xml:space="preserve"> </w:t>
      </w:r>
      <w:r w:rsidR="004740D2" w:rsidRPr="00B87F6C">
        <w:rPr>
          <w:rFonts w:ascii="Arial" w:hAnsi="Arial" w:cs="Arial"/>
          <w:sz w:val="22"/>
          <w:szCs w:val="22"/>
        </w:rPr>
        <w:t>(Vogel, 2020)</w:t>
      </w:r>
      <w:r w:rsidR="004740D2" w:rsidRPr="00B87F6C">
        <w:rPr>
          <w:rFonts w:ascii="Arial" w:hAnsi="Arial" w:cs="Arial"/>
          <w:sz w:val="22"/>
          <w:szCs w:val="22"/>
        </w:rPr>
        <w:t>.</w:t>
      </w:r>
      <w:r w:rsidRPr="00B87F6C">
        <w:rPr>
          <w:rFonts w:ascii="Arial" w:hAnsi="Arial" w:cs="Arial"/>
          <w:sz w:val="22"/>
          <w:szCs w:val="22"/>
        </w:rPr>
        <w:t xml:space="preserve"> For upfront ad-supported frameworks, high-volume, mass-market genres should be given priority </w:t>
      </w:r>
      <w:r w:rsidRPr="00B87F6C">
        <w:rPr>
          <w:rFonts w:ascii="Arial" w:hAnsi="Arial" w:cs="Arial"/>
          <w:sz w:val="22"/>
          <w:szCs w:val="22"/>
        </w:rPr>
        <w:t>to</w:t>
      </w:r>
      <w:r w:rsidRPr="00B87F6C">
        <w:rPr>
          <w:rFonts w:ascii="Arial" w:hAnsi="Arial" w:cs="Arial"/>
          <w:sz w:val="22"/>
          <w:szCs w:val="22"/>
        </w:rPr>
        <w:t xml:space="preserve"> optimise visibility metrics. </w:t>
      </w:r>
      <w:r w:rsidRPr="00B87F6C">
        <w:rPr>
          <w:rFonts w:ascii="Arial" w:hAnsi="Arial" w:cs="Arial"/>
          <w:sz w:val="22"/>
          <w:szCs w:val="22"/>
        </w:rPr>
        <w:t>To</w:t>
      </w:r>
      <w:r w:rsidRPr="00B87F6C">
        <w:rPr>
          <w:rFonts w:ascii="Arial" w:hAnsi="Arial" w:cs="Arial"/>
          <w:sz w:val="22"/>
          <w:szCs w:val="22"/>
        </w:rPr>
        <w:t xml:space="preserve"> build high-value subscriber communities, high-rated specialised genres should be placed into personalised digital suggestion feeds</w:t>
      </w:r>
      <w:r w:rsidR="004740D2" w:rsidRPr="00B87F6C">
        <w:rPr>
          <w:rFonts w:ascii="Arial" w:hAnsi="Arial" w:cs="Arial"/>
          <w:sz w:val="22"/>
          <w:szCs w:val="22"/>
        </w:rPr>
        <w:t xml:space="preserve"> </w:t>
      </w:r>
      <w:r w:rsidR="004740D2" w:rsidRPr="00B87F6C">
        <w:rPr>
          <w:rFonts w:ascii="Arial" w:hAnsi="Arial" w:cs="Arial"/>
          <w:sz w:val="22"/>
          <w:szCs w:val="22"/>
        </w:rPr>
        <w:t>(Vogel, 2020)</w:t>
      </w:r>
      <w:r w:rsidR="004740D2" w:rsidRPr="00B87F6C">
        <w:rPr>
          <w:rFonts w:ascii="Arial" w:hAnsi="Arial" w:cs="Arial"/>
          <w:sz w:val="22"/>
          <w:szCs w:val="22"/>
        </w:rPr>
        <w:t xml:space="preserve">. </w:t>
      </w:r>
      <w:r w:rsidRPr="00B87F6C">
        <w:rPr>
          <w:rFonts w:ascii="Arial" w:hAnsi="Arial" w:cs="Arial"/>
          <w:sz w:val="22"/>
          <w:szCs w:val="22"/>
        </w:rPr>
        <w:t>The self-selecting character of the Letterboxd community, which strongly favours ardent, movie-focused customers over casual, passive watchers, is a major study restriction. To more accurately forecast overall commercial success, future research should incorporate domestic box office figures and localised regional marketing expenditures into the SPSS regression matrix</w:t>
      </w:r>
      <w:r w:rsidR="004740D2" w:rsidRPr="00B87F6C">
        <w:rPr>
          <w:rFonts w:ascii="Arial" w:hAnsi="Arial" w:cs="Arial"/>
          <w:sz w:val="22"/>
          <w:szCs w:val="22"/>
        </w:rPr>
        <w:t xml:space="preserve"> </w:t>
      </w:r>
      <w:r w:rsidR="004740D2" w:rsidRPr="00B87F6C">
        <w:rPr>
          <w:rFonts w:ascii="Arial" w:hAnsi="Arial" w:cs="Arial"/>
          <w:sz w:val="22"/>
          <w:szCs w:val="22"/>
        </w:rPr>
        <w:t>(Gunter, 2018).</w:t>
      </w:r>
    </w:p>
    <w:p w14:paraId="34FA0E52" w14:textId="77777777" w:rsidR="004740D2" w:rsidRPr="00B87F6C" w:rsidRDefault="004740D2" w:rsidP="004740D2">
      <w:pPr>
        <w:rPr>
          <w:rFonts w:ascii="Arial" w:hAnsi="Arial" w:cs="Arial"/>
          <w:sz w:val="22"/>
          <w:szCs w:val="22"/>
        </w:rPr>
      </w:pPr>
    </w:p>
    <w:p w14:paraId="096AAEFA" w14:textId="77777777" w:rsidR="004740D2" w:rsidRPr="00B87F6C" w:rsidRDefault="004740D2" w:rsidP="004740D2">
      <w:pPr>
        <w:rPr>
          <w:rFonts w:ascii="Arial" w:hAnsi="Arial" w:cs="Arial"/>
          <w:b/>
          <w:bCs/>
          <w:sz w:val="22"/>
          <w:szCs w:val="22"/>
        </w:rPr>
      </w:pPr>
      <w:r w:rsidRPr="00B87F6C">
        <w:rPr>
          <w:rFonts w:ascii="Arial" w:hAnsi="Arial" w:cs="Arial"/>
          <w:b/>
          <w:bCs/>
          <w:sz w:val="22"/>
          <w:szCs w:val="22"/>
        </w:rPr>
        <w:t>Reference List</w:t>
      </w:r>
    </w:p>
    <w:p w14:paraId="5CC7585A" w14:textId="77777777" w:rsidR="004740D2" w:rsidRPr="00B87F6C" w:rsidRDefault="004740D2" w:rsidP="004740D2">
      <w:pPr>
        <w:numPr>
          <w:ilvl w:val="0"/>
          <w:numId w:val="28"/>
        </w:numPr>
        <w:rPr>
          <w:rFonts w:ascii="Arial" w:hAnsi="Arial" w:cs="Arial"/>
          <w:sz w:val="22"/>
          <w:szCs w:val="22"/>
        </w:rPr>
      </w:pPr>
      <w:r w:rsidRPr="00B87F6C">
        <w:rPr>
          <w:rFonts w:ascii="Arial" w:hAnsi="Arial" w:cs="Arial"/>
          <w:sz w:val="22"/>
          <w:szCs w:val="22"/>
        </w:rPr>
        <w:t xml:space="preserve">Bryman, A., 2023. </w:t>
      </w:r>
      <w:r w:rsidRPr="00B87F6C">
        <w:rPr>
          <w:rFonts w:ascii="Arial" w:hAnsi="Arial" w:cs="Arial"/>
          <w:i/>
          <w:iCs/>
          <w:sz w:val="22"/>
          <w:szCs w:val="22"/>
        </w:rPr>
        <w:t>Social Research Methods and SPSS Analytics Infrastructure Guides</w:t>
      </w:r>
      <w:r w:rsidRPr="00B87F6C">
        <w:rPr>
          <w:rFonts w:ascii="Arial" w:hAnsi="Arial" w:cs="Arial"/>
          <w:sz w:val="22"/>
          <w:szCs w:val="22"/>
        </w:rPr>
        <w:t>. 6th ed. Oxford: Oxford University Press.</w:t>
      </w:r>
    </w:p>
    <w:p w14:paraId="669562FD" w14:textId="77777777" w:rsidR="004740D2" w:rsidRPr="00B87F6C" w:rsidRDefault="004740D2" w:rsidP="004740D2">
      <w:pPr>
        <w:numPr>
          <w:ilvl w:val="0"/>
          <w:numId w:val="28"/>
        </w:numPr>
        <w:rPr>
          <w:rFonts w:ascii="Arial" w:hAnsi="Arial" w:cs="Arial"/>
          <w:sz w:val="22"/>
          <w:szCs w:val="22"/>
        </w:rPr>
      </w:pPr>
      <w:r w:rsidRPr="00B87F6C">
        <w:rPr>
          <w:rFonts w:ascii="Arial" w:hAnsi="Arial" w:cs="Arial"/>
          <w:sz w:val="22"/>
          <w:szCs w:val="22"/>
        </w:rPr>
        <w:t xml:space="preserve">Field, A., 2024. </w:t>
      </w:r>
      <w:r w:rsidRPr="00B87F6C">
        <w:rPr>
          <w:rFonts w:ascii="Arial" w:hAnsi="Arial" w:cs="Arial"/>
          <w:i/>
          <w:iCs/>
          <w:sz w:val="22"/>
          <w:szCs w:val="22"/>
        </w:rPr>
        <w:t>Discovering Statistics Using IBM SPSS Statistics</w:t>
      </w:r>
      <w:r w:rsidRPr="00B87F6C">
        <w:rPr>
          <w:rFonts w:ascii="Arial" w:hAnsi="Arial" w:cs="Arial"/>
          <w:sz w:val="22"/>
          <w:szCs w:val="22"/>
        </w:rPr>
        <w:t>. 6th ed. London: SAGE Publications.</w:t>
      </w:r>
    </w:p>
    <w:p w14:paraId="0C036C24" w14:textId="77777777" w:rsidR="004740D2" w:rsidRPr="00B87F6C" w:rsidRDefault="004740D2" w:rsidP="004740D2">
      <w:pPr>
        <w:numPr>
          <w:ilvl w:val="0"/>
          <w:numId w:val="28"/>
        </w:numPr>
        <w:rPr>
          <w:rFonts w:ascii="Arial" w:hAnsi="Arial" w:cs="Arial"/>
          <w:sz w:val="22"/>
          <w:szCs w:val="22"/>
        </w:rPr>
      </w:pPr>
      <w:r w:rsidRPr="00B87F6C">
        <w:rPr>
          <w:rFonts w:ascii="Arial" w:hAnsi="Arial" w:cs="Arial"/>
          <w:sz w:val="22"/>
          <w:szCs w:val="22"/>
        </w:rPr>
        <w:t xml:space="preserve">Gunter, B., 2018. </w:t>
      </w:r>
      <w:r w:rsidRPr="00B87F6C">
        <w:rPr>
          <w:rFonts w:ascii="Arial" w:hAnsi="Arial" w:cs="Arial"/>
          <w:i/>
          <w:iCs/>
          <w:sz w:val="22"/>
          <w:szCs w:val="22"/>
        </w:rPr>
        <w:t>Predicting Movie Success at the Box Office</w:t>
      </w:r>
      <w:r w:rsidRPr="00B87F6C">
        <w:rPr>
          <w:rFonts w:ascii="Arial" w:hAnsi="Arial" w:cs="Arial"/>
          <w:sz w:val="22"/>
          <w:szCs w:val="22"/>
        </w:rPr>
        <w:t>. Cham, Switzerland: Springer International Publishing. [</w:t>
      </w:r>
      <w:hyperlink r:id="rId15" w:history="1">
        <w:r w:rsidRPr="00B87F6C">
          <w:rPr>
            <w:rStyle w:val="Hyperlink"/>
            <w:rFonts w:ascii="Arial" w:hAnsi="Arial" w:cs="Arial"/>
            <w:sz w:val="22"/>
            <w:szCs w:val="22"/>
          </w:rPr>
          <w:t>1</w:t>
        </w:r>
      </w:hyperlink>
      <w:r w:rsidRPr="00B87F6C">
        <w:rPr>
          <w:rFonts w:ascii="Arial" w:hAnsi="Arial" w:cs="Arial"/>
          <w:sz w:val="22"/>
          <w:szCs w:val="22"/>
        </w:rPr>
        <w:t>]</w:t>
      </w:r>
    </w:p>
    <w:p w14:paraId="7A584797" w14:textId="77777777" w:rsidR="004740D2" w:rsidRPr="00B87F6C" w:rsidRDefault="004740D2" w:rsidP="004740D2">
      <w:pPr>
        <w:numPr>
          <w:ilvl w:val="0"/>
          <w:numId w:val="28"/>
        </w:numPr>
        <w:rPr>
          <w:rFonts w:ascii="Arial" w:hAnsi="Arial" w:cs="Arial"/>
          <w:sz w:val="22"/>
          <w:szCs w:val="22"/>
        </w:rPr>
      </w:pPr>
      <w:r w:rsidRPr="00B87F6C">
        <w:rPr>
          <w:rFonts w:ascii="Arial" w:hAnsi="Arial" w:cs="Arial"/>
          <w:sz w:val="22"/>
          <w:szCs w:val="22"/>
        </w:rPr>
        <w:t xml:space="preserve">Harrington, B., 2025. </w:t>
      </w:r>
      <w:r w:rsidRPr="00B87F6C">
        <w:rPr>
          <w:rFonts w:ascii="Arial" w:hAnsi="Arial" w:cs="Arial"/>
          <w:i/>
          <w:iCs/>
          <w:sz w:val="22"/>
          <w:szCs w:val="22"/>
        </w:rPr>
        <w:t>Entertainment Calendars: Strategic Scheduling and Data Analytics</w:t>
      </w:r>
      <w:r w:rsidRPr="00B87F6C">
        <w:rPr>
          <w:rFonts w:ascii="Arial" w:hAnsi="Arial" w:cs="Arial"/>
          <w:sz w:val="22"/>
          <w:szCs w:val="22"/>
        </w:rPr>
        <w:t xml:space="preserve">. Oslo: </w:t>
      </w:r>
      <w:proofErr w:type="spellStart"/>
      <w:r w:rsidRPr="00B87F6C">
        <w:rPr>
          <w:rFonts w:ascii="Arial" w:hAnsi="Arial" w:cs="Arial"/>
          <w:sz w:val="22"/>
          <w:szCs w:val="22"/>
        </w:rPr>
        <w:t>Publifye</w:t>
      </w:r>
      <w:proofErr w:type="spellEnd"/>
      <w:r w:rsidRPr="00B87F6C">
        <w:rPr>
          <w:rFonts w:ascii="Arial" w:hAnsi="Arial" w:cs="Arial"/>
          <w:sz w:val="22"/>
          <w:szCs w:val="22"/>
        </w:rPr>
        <w:t xml:space="preserve"> AS. [</w:t>
      </w:r>
      <w:hyperlink r:id="rId16" w:history="1">
        <w:r w:rsidRPr="00B87F6C">
          <w:rPr>
            <w:rStyle w:val="Hyperlink"/>
            <w:rFonts w:ascii="Arial" w:hAnsi="Arial" w:cs="Arial"/>
            <w:sz w:val="22"/>
            <w:szCs w:val="22"/>
          </w:rPr>
          <w:t>1</w:t>
        </w:r>
      </w:hyperlink>
      <w:r w:rsidRPr="00B87F6C">
        <w:rPr>
          <w:rFonts w:ascii="Arial" w:hAnsi="Arial" w:cs="Arial"/>
          <w:sz w:val="22"/>
          <w:szCs w:val="22"/>
        </w:rPr>
        <w:t>]</w:t>
      </w:r>
    </w:p>
    <w:p w14:paraId="27BF53A2" w14:textId="77777777" w:rsidR="004740D2" w:rsidRPr="00B87F6C" w:rsidRDefault="004740D2" w:rsidP="004740D2">
      <w:pPr>
        <w:numPr>
          <w:ilvl w:val="0"/>
          <w:numId w:val="28"/>
        </w:numPr>
        <w:rPr>
          <w:rFonts w:ascii="Arial" w:hAnsi="Arial" w:cs="Arial"/>
          <w:sz w:val="22"/>
          <w:szCs w:val="22"/>
        </w:rPr>
      </w:pPr>
      <w:r w:rsidRPr="00B87F6C">
        <w:rPr>
          <w:rFonts w:ascii="Arial" w:hAnsi="Arial" w:cs="Arial"/>
          <w:sz w:val="22"/>
          <w:szCs w:val="22"/>
        </w:rPr>
        <w:t xml:space="preserve">Labosova, V., Duricova, L., </w:t>
      </w:r>
      <w:proofErr w:type="spellStart"/>
      <w:r w:rsidRPr="00B87F6C">
        <w:rPr>
          <w:rFonts w:ascii="Arial" w:hAnsi="Arial" w:cs="Arial"/>
          <w:sz w:val="22"/>
          <w:szCs w:val="22"/>
        </w:rPr>
        <w:t>Kramarova</w:t>
      </w:r>
      <w:proofErr w:type="spellEnd"/>
      <w:r w:rsidRPr="00B87F6C">
        <w:rPr>
          <w:rFonts w:ascii="Arial" w:hAnsi="Arial" w:cs="Arial"/>
          <w:sz w:val="22"/>
          <w:szCs w:val="22"/>
        </w:rPr>
        <w:t xml:space="preserve">, K. and Durica, M., 2026. Garbage In, Garbage Out? The Impact of Data Quality on the Performance of Forecasting Models. </w:t>
      </w:r>
      <w:r w:rsidRPr="00B87F6C">
        <w:rPr>
          <w:rFonts w:ascii="Arial" w:hAnsi="Arial" w:cs="Arial"/>
          <w:i/>
          <w:iCs/>
          <w:sz w:val="22"/>
          <w:szCs w:val="22"/>
        </w:rPr>
        <w:t>Journal of Business Analytics &amp; Data Quality</w:t>
      </w:r>
      <w:r w:rsidRPr="00B87F6C">
        <w:rPr>
          <w:rFonts w:ascii="Arial" w:hAnsi="Arial" w:cs="Arial"/>
          <w:sz w:val="22"/>
          <w:szCs w:val="22"/>
        </w:rPr>
        <w:t>, 8(3), pp.35-48. [</w:t>
      </w:r>
      <w:hyperlink r:id="rId17" w:history="1">
        <w:r w:rsidRPr="00B87F6C">
          <w:rPr>
            <w:rStyle w:val="Hyperlink"/>
            <w:rFonts w:ascii="Arial" w:hAnsi="Arial" w:cs="Arial"/>
            <w:sz w:val="22"/>
            <w:szCs w:val="22"/>
          </w:rPr>
          <w:t>1</w:t>
        </w:r>
      </w:hyperlink>
      <w:r w:rsidRPr="00B87F6C">
        <w:rPr>
          <w:rFonts w:ascii="Arial" w:hAnsi="Arial" w:cs="Arial"/>
          <w:sz w:val="22"/>
          <w:szCs w:val="22"/>
        </w:rPr>
        <w:t>]</w:t>
      </w:r>
    </w:p>
    <w:p w14:paraId="71F8375A" w14:textId="77777777" w:rsidR="004740D2" w:rsidRPr="00B87F6C" w:rsidRDefault="004740D2" w:rsidP="004740D2">
      <w:pPr>
        <w:numPr>
          <w:ilvl w:val="0"/>
          <w:numId w:val="28"/>
        </w:numPr>
        <w:rPr>
          <w:rFonts w:ascii="Arial" w:hAnsi="Arial" w:cs="Arial"/>
          <w:sz w:val="22"/>
          <w:szCs w:val="22"/>
        </w:rPr>
      </w:pPr>
      <w:r w:rsidRPr="00B87F6C">
        <w:rPr>
          <w:rFonts w:ascii="Arial" w:hAnsi="Arial" w:cs="Arial"/>
          <w:sz w:val="22"/>
          <w:szCs w:val="22"/>
        </w:rPr>
        <w:lastRenderedPageBreak/>
        <w:t xml:space="preserve">Loshin, D., 2013. </w:t>
      </w:r>
      <w:r w:rsidRPr="00B87F6C">
        <w:rPr>
          <w:rFonts w:ascii="Arial" w:hAnsi="Arial" w:cs="Arial"/>
          <w:i/>
          <w:iCs/>
          <w:sz w:val="22"/>
          <w:szCs w:val="22"/>
        </w:rPr>
        <w:t>Big Data Analytics: From Strategic Planning to Enterprise Integration</w:t>
      </w:r>
      <w:r w:rsidRPr="00B87F6C">
        <w:rPr>
          <w:rFonts w:ascii="Arial" w:hAnsi="Arial" w:cs="Arial"/>
          <w:sz w:val="22"/>
          <w:szCs w:val="22"/>
        </w:rPr>
        <w:t>. Waltham, MA: Morgan Kaufmann. [</w:t>
      </w:r>
      <w:hyperlink r:id="rId18" w:history="1">
        <w:r w:rsidRPr="00B87F6C">
          <w:rPr>
            <w:rStyle w:val="Hyperlink"/>
            <w:rFonts w:ascii="Arial" w:hAnsi="Arial" w:cs="Arial"/>
            <w:sz w:val="22"/>
            <w:szCs w:val="22"/>
          </w:rPr>
          <w:t>1</w:t>
        </w:r>
      </w:hyperlink>
      <w:r w:rsidRPr="00B87F6C">
        <w:rPr>
          <w:rFonts w:ascii="Arial" w:hAnsi="Arial" w:cs="Arial"/>
          <w:sz w:val="22"/>
          <w:szCs w:val="22"/>
        </w:rPr>
        <w:t xml:space="preserve">, </w:t>
      </w:r>
      <w:hyperlink r:id="rId19" w:history="1">
        <w:r w:rsidRPr="00B87F6C">
          <w:rPr>
            <w:rStyle w:val="Hyperlink"/>
            <w:rFonts w:ascii="Arial" w:hAnsi="Arial" w:cs="Arial"/>
            <w:sz w:val="22"/>
            <w:szCs w:val="22"/>
          </w:rPr>
          <w:t>2</w:t>
        </w:r>
      </w:hyperlink>
      <w:r w:rsidRPr="00B87F6C">
        <w:rPr>
          <w:rFonts w:ascii="Arial" w:hAnsi="Arial" w:cs="Arial"/>
          <w:sz w:val="22"/>
          <w:szCs w:val="22"/>
        </w:rPr>
        <w:t xml:space="preserve">, </w:t>
      </w:r>
      <w:hyperlink r:id="rId20" w:history="1">
        <w:r w:rsidRPr="00B87F6C">
          <w:rPr>
            <w:rStyle w:val="Hyperlink"/>
            <w:rFonts w:ascii="Arial" w:hAnsi="Arial" w:cs="Arial"/>
            <w:sz w:val="22"/>
            <w:szCs w:val="22"/>
          </w:rPr>
          <w:t>3</w:t>
        </w:r>
      </w:hyperlink>
      <w:r w:rsidRPr="00B87F6C">
        <w:rPr>
          <w:rFonts w:ascii="Arial" w:hAnsi="Arial" w:cs="Arial"/>
          <w:sz w:val="22"/>
          <w:szCs w:val="22"/>
        </w:rPr>
        <w:t>]</w:t>
      </w:r>
    </w:p>
    <w:p w14:paraId="5A707F2A" w14:textId="77777777" w:rsidR="004740D2" w:rsidRPr="00B87F6C" w:rsidRDefault="004740D2" w:rsidP="004740D2">
      <w:pPr>
        <w:numPr>
          <w:ilvl w:val="0"/>
          <w:numId w:val="28"/>
        </w:numPr>
        <w:rPr>
          <w:rFonts w:ascii="Arial" w:hAnsi="Arial" w:cs="Arial"/>
          <w:sz w:val="22"/>
          <w:szCs w:val="22"/>
        </w:rPr>
      </w:pPr>
      <w:r w:rsidRPr="00B87F6C">
        <w:rPr>
          <w:rFonts w:ascii="Arial" w:hAnsi="Arial" w:cs="Arial"/>
          <w:sz w:val="22"/>
          <w:szCs w:val="22"/>
        </w:rPr>
        <w:t xml:space="preserve">Saunders, M., Lewis, P. and Thornhill, A., 2023. </w:t>
      </w:r>
      <w:r w:rsidRPr="00B87F6C">
        <w:rPr>
          <w:rFonts w:ascii="Arial" w:hAnsi="Arial" w:cs="Arial"/>
          <w:i/>
          <w:iCs/>
          <w:sz w:val="22"/>
          <w:szCs w:val="22"/>
        </w:rPr>
        <w:t>Research Methods for Business Students and Enterprise Platform Environments</w:t>
      </w:r>
      <w:r w:rsidRPr="00B87F6C">
        <w:rPr>
          <w:rFonts w:ascii="Arial" w:hAnsi="Arial" w:cs="Arial"/>
          <w:sz w:val="22"/>
          <w:szCs w:val="22"/>
        </w:rPr>
        <w:t>. 9th ed. Harlow: Pearson Education.</w:t>
      </w:r>
    </w:p>
    <w:p w14:paraId="28CB57AF" w14:textId="77777777" w:rsidR="004740D2" w:rsidRPr="00B87F6C" w:rsidRDefault="004740D2" w:rsidP="004740D2">
      <w:pPr>
        <w:numPr>
          <w:ilvl w:val="0"/>
          <w:numId w:val="28"/>
        </w:numPr>
        <w:rPr>
          <w:rFonts w:ascii="Arial" w:hAnsi="Arial" w:cs="Arial"/>
          <w:sz w:val="22"/>
          <w:szCs w:val="22"/>
        </w:rPr>
      </w:pPr>
      <w:r w:rsidRPr="00B87F6C">
        <w:rPr>
          <w:rFonts w:ascii="Arial" w:hAnsi="Arial" w:cs="Arial"/>
          <w:sz w:val="22"/>
          <w:szCs w:val="22"/>
        </w:rPr>
        <w:t xml:space="preserve">Vogel, H.L., 2001. </w:t>
      </w:r>
      <w:r w:rsidRPr="00B87F6C">
        <w:rPr>
          <w:rFonts w:ascii="Arial" w:hAnsi="Arial" w:cs="Arial"/>
          <w:i/>
          <w:iCs/>
          <w:sz w:val="22"/>
          <w:szCs w:val="22"/>
        </w:rPr>
        <w:t>Entertainment Industry Economics: A Guide for Financial Analysis</w:t>
      </w:r>
      <w:r w:rsidRPr="00B87F6C">
        <w:rPr>
          <w:rFonts w:ascii="Arial" w:hAnsi="Arial" w:cs="Arial"/>
          <w:sz w:val="22"/>
          <w:szCs w:val="22"/>
        </w:rPr>
        <w:t>. 5th ed. Cambridge: Cambridge University Press. [</w:t>
      </w:r>
      <w:hyperlink r:id="rId21" w:history="1">
        <w:r w:rsidRPr="00B87F6C">
          <w:rPr>
            <w:rStyle w:val="Hyperlink"/>
            <w:rFonts w:ascii="Arial" w:hAnsi="Arial" w:cs="Arial"/>
            <w:sz w:val="22"/>
            <w:szCs w:val="22"/>
          </w:rPr>
          <w:t>1</w:t>
        </w:r>
      </w:hyperlink>
      <w:r w:rsidRPr="00B87F6C">
        <w:rPr>
          <w:rFonts w:ascii="Arial" w:hAnsi="Arial" w:cs="Arial"/>
          <w:sz w:val="22"/>
          <w:szCs w:val="22"/>
        </w:rPr>
        <w:t>]</w:t>
      </w:r>
    </w:p>
    <w:p w14:paraId="1BEF9DDB" w14:textId="77777777" w:rsidR="004740D2" w:rsidRPr="00B87F6C" w:rsidRDefault="004740D2" w:rsidP="004740D2">
      <w:pPr>
        <w:numPr>
          <w:ilvl w:val="0"/>
          <w:numId w:val="28"/>
        </w:numPr>
        <w:rPr>
          <w:rFonts w:ascii="Arial" w:hAnsi="Arial" w:cs="Arial"/>
          <w:sz w:val="22"/>
          <w:szCs w:val="22"/>
        </w:rPr>
      </w:pPr>
      <w:r w:rsidRPr="00B87F6C">
        <w:rPr>
          <w:rFonts w:ascii="Arial" w:hAnsi="Arial" w:cs="Arial"/>
          <w:sz w:val="22"/>
          <w:szCs w:val="22"/>
        </w:rPr>
        <w:t xml:space="preserve">Wallner, G. ed., 2019. </w:t>
      </w:r>
      <w:r w:rsidRPr="00B87F6C">
        <w:rPr>
          <w:rFonts w:ascii="Arial" w:hAnsi="Arial" w:cs="Arial"/>
          <w:i/>
          <w:iCs/>
          <w:sz w:val="22"/>
          <w:szCs w:val="22"/>
        </w:rPr>
        <w:t>Data Analytics Applications in Gaming and Entertainment</w:t>
      </w:r>
      <w:r w:rsidRPr="00B87F6C">
        <w:rPr>
          <w:rFonts w:ascii="Arial" w:hAnsi="Arial" w:cs="Arial"/>
          <w:sz w:val="22"/>
          <w:szCs w:val="22"/>
        </w:rPr>
        <w:t>. Boca Raton, FL: CRC Press. [</w:t>
      </w:r>
      <w:hyperlink r:id="rId22" w:history="1">
        <w:r w:rsidRPr="00B87F6C">
          <w:rPr>
            <w:rStyle w:val="Hyperlink"/>
            <w:rFonts w:ascii="Arial" w:hAnsi="Arial" w:cs="Arial"/>
            <w:sz w:val="22"/>
            <w:szCs w:val="22"/>
          </w:rPr>
          <w:t>1</w:t>
        </w:r>
      </w:hyperlink>
      <w:r w:rsidRPr="00B87F6C">
        <w:rPr>
          <w:rFonts w:ascii="Arial" w:hAnsi="Arial" w:cs="Arial"/>
          <w:sz w:val="22"/>
          <w:szCs w:val="22"/>
        </w:rPr>
        <w:t>]</w:t>
      </w:r>
    </w:p>
    <w:p w14:paraId="5368FB13" w14:textId="77777777" w:rsidR="004740D2" w:rsidRPr="004740D2" w:rsidRDefault="004740D2" w:rsidP="004740D2"/>
    <w:p w14:paraId="269E877B" w14:textId="7E01D3DC" w:rsidR="0001667A" w:rsidRPr="0001667A" w:rsidRDefault="0001667A" w:rsidP="0001667A"/>
    <w:p w14:paraId="52596C0F" w14:textId="20BF19FB" w:rsidR="009E6C9F" w:rsidRDefault="009E6C9F" w:rsidP="00BB6B3A"/>
    <w:sectPr w:rsidR="009E6C9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9C14B8"/>
    <w:multiLevelType w:val="multilevel"/>
    <w:tmpl w:val="FBC8B79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C177C5"/>
    <w:multiLevelType w:val="hybridMultilevel"/>
    <w:tmpl w:val="B434AE38"/>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2" w15:restartNumberingAfterBreak="0">
    <w:nsid w:val="0CCF2615"/>
    <w:multiLevelType w:val="multilevel"/>
    <w:tmpl w:val="7A9A0B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FA93D15"/>
    <w:multiLevelType w:val="multilevel"/>
    <w:tmpl w:val="EC82C0E0"/>
    <w:lvl w:ilvl="0">
      <w:numFmt w:val="bullet"/>
      <w:lvlText w:val="•"/>
      <w:lvlJc w:val="left"/>
      <w:pPr>
        <w:tabs>
          <w:tab w:val="num" w:pos="1080"/>
        </w:tabs>
        <w:ind w:left="1080" w:hanging="360"/>
      </w:pPr>
      <w:rPr>
        <w:lang w:val="en-US" w:eastAsia="en-US" w:bidi="ar-SA"/>
      </w:rPr>
    </w:lvl>
    <w:lvl w:ilvl="1">
      <w:start w:val="1"/>
      <w:numFmt w:val="decimal"/>
      <w:lvlText w:val="%2."/>
      <w:lvlJc w:val="left"/>
      <w:pPr>
        <w:tabs>
          <w:tab w:val="num" w:pos="1800"/>
        </w:tabs>
        <w:ind w:left="1800" w:hanging="360"/>
      </w:pPr>
    </w:lvl>
    <w:lvl w:ilvl="2">
      <w:start w:val="1"/>
      <w:numFmt w:val="decimal"/>
      <w:lvlText w:val="%3."/>
      <w:lvlJc w:val="left"/>
      <w:pPr>
        <w:tabs>
          <w:tab w:val="num" w:pos="2520"/>
        </w:tabs>
        <w:ind w:left="2520" w:hanging="360"/>
      </w:pPr>
    </w:lvl>
    <w:lvl w:ilvl="3">
      <w:start w:val="1"/>
      <w:numFmt w:val="decimal"/>
      <w:lvlText w:val="%4."/>
      <w:lvlJc w:val="left"/>
      <w:pPr>
        <w:tabs>
          <w:tab w:val="num" w:pos="3240"/>
        </w:tabs>
        <w:ind w:left="3240" w:hanging="360"/>
      </w:pPr>
    </w:lvl>
    <w:lvl w:ilvl="4">
      <w:start w:val="1"/>
      <w:numFmt w:val="decimal"/>
      <w:lvlText w:val="%5."/>
      <w:lvlJc w:val="left"/>
      <w:pPr>
        <w:tabs>
          <w:tab w:val="num" w:pos="3960"/>
        </w:tabs>
        <w:ind w:left="3960" w:hanging="360"/>
      </w:pPr>
    </w:lvl>
    <w:lvl w:ilvl="5">
      <w:start w:val="1"/>
      <w:numFmt w:val="decimal"/>
      <w:lvlText w:val="%6."/>
      <w:lvlJc w:val="left"/>
      <w:pPr>
        <w:tabs>
          <w:tab w:val="num" w:pos="4680"/>
        </w:tabs>
        <w:ind w:left="4680" w:hanging="360"/>
      </w:pPr>
    </w:lvl>
    <w:lvl w:ilvl="6">
      <w:start w:val="1"/>
      <w:numFmt w:val="decimal"/>
      <w:lvlText w:val="%7."/>
      <w:lvlJc w:val="left"/>
      <w:pPr>
        <w:tabs>
          <w:tab w:val="num" w:pos="5400"/>
        </w:tabs>
        <w:ind w:left="5400" w:hanging="360"/>
      </w:pPr>
    </w:lvl>
    <w:lvl w:ilvl="7">
      <w:start w:val="1"/>
      <w:numFmt w:val="decimal"/>
      <w:lvlText w:val="%8."/>
      <w:lvlJc w:val="left"/>
      <w:pPr>
        <w:tabs>
          <w:tab w:val="num" w:pos="6120"/>
        </w:tabs>
        <w:ind w:left="6120" w:hanging="360"/>
      </w:pPr>
    </w:lvl>
    <w:lvl w:ilvl="8">
      <w:start w:val="1"/>
      <w:numFmt w:val="decimal"/>
      <w:lvlText w:val="%9."/>
      <w:lvlJc w:val="left"/>
      <w:pPr>
        <w:tabs>
          <w:tab w:val="num" w:pos="6840"/>
        </w:tabs>
        <w:ind w:left="6840" w:hanging="360"/>
      </w:pPr>
    </w:lvl>
  </w:abstractNum>
  <w:abstractNum w:abstractNumId="4" w15:restartNumberingAfterBreak="0">
    <w:nsid w:val="20813A29"/>
    <w:multiLevelType w:val="hybridMultilevel"/>
    <w:tmpl w:val="000C345A"/>
    <w:lvl w:ilvl="0" w:tplc="6666DA7E">
      <w:numFmt w:val="bullet"/>
      <w:lvlText w:val="•"/>
      <w:lvlJc w:val="left"/>
      <w:pPr>
        <w:ind w:left="720" w:hanging="360"/>
      </w:pPr>
      <w:rPr>
        <w:lang w:val="en-US" w:eastAsia="en-US" w:bidi="ar-SA"/>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20D12D34"/>
    <w:multiLevelType w:val="hybridMultilevel"/>
    <w:tmpl w:val="CE8EC3D0"/>
    <w:lvl w:ilvl="0" w:tplc="6666DA7E">
      <w:numFmt w:val="bullet"/>
      <w:lvlText w:val="•"/>
      <w:lvlJc w:val="left"/>
      <w:pPr>
        <w:ind w:left="720" w:hanging="360"/>
      </w:pPr>
      <w:rPr>
        <w:lang w:val="en-US" w:eastAsia="en-US" w:bidi="ar-SA"/>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281F680D"/>
    <w:multiLevelType w:val="multilevel"/>
    <w:tmpl w:val="31969B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1541655"/>
    <w:multiLevelType w:val="multilevel"/>
    <w:tmpl w:val="BA5CF7A2"/>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26D2C7F"/>
    <w:multiLevelType w:val="hybridMultilevel"/>
    <w:tmpl w:val="BF00E98A"/>
    <w:lvl w:ilvl="0" w:tplc="6666DA7E">
      <w:numFmt w:val="bullet"/>
      <w:lvlText w:val="•"/>
      <w:lvlJc w:val="left"/>
      <w:pPr>
        <w:ind w:left="1146" w:hanging="360"/>
      </w:pPr>
      <w:rPr>
        <w:lang w:val="en-US" w:eastAsia="en-US" w:bidi="ar-SA"/>
      </w:rPr>
    </w:lvl>
    <w:lvl w:ilvl="1" w:tplc="08090003">
      <w:start w:val="1"/>
      <w:numFmt w:val="bullet"/>
      <w:lvlText w:val="o"/>
      <w:lvlJc w:val="left"/>
      <w:pPr>
        <w:ind w:left="1866" w:hanging="360"/>
      </w:pPr>
      <w:rPr>
        <w:rFonts w:ascii="Courier New" w:hAnsi="Courier New" w:cs="Courier New" w:hint="default"/>
      </w:rPr>
    </w:lvl>
    <w:lvl w:ilvl="2" w:tplc="08090005">
      <w:start w:val="1"/>
      <w:numFmt w:val="bullet"/>
      <w:lvlText w:val=""/>
      <w:lvlJc w:val="left"/>
      <w:pPr>
        <w:ind w:left="2586" w:hanging="360"/>
      </w:pPr>
      <w:rPr>
        <w:rFonts w:ascii="Wingdings" w:hAnsi="Wingdings" w:hint="default"/>
      </w:rPr>
    </w:lvl>
    <w:lvl w:ilvl="3" w:tplc="08090001">
      <w:start w:val="1"/>
      <w:numFmt w:val="bullet"/>
      <w:lvlText w:val=""/>
      <w:lvlJc w:val="left"/>
      <w:pPr>
        <w:ind w:left="3306" w:hanging="360"/>
      </w:pPr>
      <w:rPr>
        <w:rFonts w:ascii="Symbol" w:hAnsi="Symbol" w:hint="default"/>
      </w:rPr>
    </w:lvl>
    <w:lvl w:ilvl="4" w:tplc="08090003">
      <w:start w:val="1"/>
      <w:numFmt w:val="bullet"/>
      <w:lvlText w:val="o"/>
      <w:lvlJc w:val="left"/>
      <w:pPr>
        <w:ind w:left="4026" w:hanging="360"/>
      </w:pPr>
      <w:rPr>
        <w:rFonts w:ascii="Courier New" w:hAnsi="Courier New" w:cs="Courier New" w:hint="default"/>
      </w:rPr>
    </w:lvl>
    <w:lvl w:ilvl="5" w:tplc="08090005">
      <w:start w:val="1"/>
      <w:numFmt w:val="bullet"/>
      <w:lvlText w:val=""/>
      <w:lvlJc w:val="left"/>
      <w:pPr>
        <w:ind w:left="4746" w:hanging="360"/>
      </w:pPr>
      <w:rPr>
        <w:rFonts w:ascii="Wingdings" w:hAnsi="Wingdings" w:hint="default"/>
      </w:rPr>
    </w:lvl>
    <w:lvl w:ilvl="6" w:tplc="08090001">
      <w:start w:val="1"/>
      <w:numFmt w:val="bullet"/>
      <w:lvlText w:val=""/>
      <w:lvlJc w:val="left"/>
      <w:pPr>
        <w:ind w:left="5466" w:hanging="360"/>
      </w:pPr>
      <w:rPr>
        <w:rFonts w:ascii="Symbol" w:hAnsi="Symbol" w:hint="default"/>
      </w:rPr>
    </w:lvl>
    <w:lvl w:ilvl="7" w:tplc="08090003">
      <w:start w:val="1"/>
      <w:numFmt w:val="bullet"/>
      <w:lvlText w:val="o"/>
      <w:lvlJc w:val="left"/>
      <w:pPr>
        <w:ind w:left="6186" w:hanging="360"/>
      </w:pPr>
      <w:rPr>
        <w:rFonts w:ascii="Courier New" w:hAnsi="Courier New" w:cs="Courier New" w:hint="default"/>
      </w:rPr>
    </w:lvl>
    <w:lvl w:ilvl="8" w:tplc="08090005">
      <w:start w:val="1"/>
      <w:numFmt w:val="bullet"/>
      <w:lvlText w:val=""/>
      <w:lvlJc w:val="left"/>
      <w:pPr>
        <w:ind w:left="6906" w:hanging="360"/>
      </w:pPr>
      <w:rPr>
        <w:rFonts w:ascii="Wingdings" w:hAnsi="Wingdings" w:hint="default"/>
      </w:rPr>
    </w:lvl>
  </w:abstractNum>
  <w:abstractNum w:abstractNumId="9" w15:restartNumberingAfterBreak="0">
    <w:nsid w:val="32F47365"/>
    <w:multiLevelType w:val="multilevel"/>
    <w:tmpl w:val="68C609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32420DE"/>
    <w:multiLevelType w:val="multilevel"/>
    <w:tmpl w:val="331078A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45A1C75"/>
    <w:multiLevelType w:val="hybridMultilevel"/>
    <w:tmpl w:val="991C6648"/>
    <w:lvl w:ilvl="0" w:tplc="6666DA7E">
      <w:numFmt w:val="bullet"/>
      <w:lvlText w:val="•"/>
      <w:lvlJc w:val="left"/>
      <w:pPr>
        <w:ind w:left="1440" w:hanging="360"/>
      </w:pPr>
      <w:rPr>
        <w:lang w:val="en-US" w:eastAsia="en-US" w:bidi="ar-SA"/>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12" w15:restartNumberingAfterBreak="0">
    <w:nsid w:val="3B237197"/>
    <w:multiLevelType w:val="hybridMultilevel"/>
    <w:tmpl w:val="AED81C70"/>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13" w15:restartNumberingAfterBreak="0">
    <w:nsid w:val="3B336402"/>
    <w:multiLevelType w:val="multilevel"/>
    <w:tmpl w:val="F0A227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7BC4DA4"/>
    <w:multiLevelType w:val="multilevel"/>
    <w:tmpl w:val="C90EB350"/>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A416721"/>
    <w:multiLevelType w:val="multilevel"/>
    <w:tmpl w:val="523E77AC"/>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E7241BA"/>
    <w:multiLevelType w:val="multilevel"/>
    <w:tmpl w:val="7B503E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1D4711A"/>
    <w:multiLevelType w:val="multilevel"/>
    <w:tmpl w:val="AB3CADE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9085733"/>
    <w:multiLevelType w:val="multilevel"/>
    <w:tmpl w:val="143A528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B6E54BD"/>
    <w:multiLevelType w:val="multilevel"/>
    <w:tmpl w:val="1CB002C2"/>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D6E1F8E"/>
    <w:multiLevelType w:val="multilevel"/>
    <w:tmpl w:val="9A0A03C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2675431"/>
    <w:multiLevelType w:val="multilevel"/>
    <w:tmpl w:val="3E302C40"/>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A4D5A7F"/>
    <w:multiLevelType w:val="multilevel"/>
    <w:tmpl w:val="2D28C5A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2F60738"/>
    <w:multiLevelType w:val="multilevel"/>
    <w:tmpl w:val="40F42E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4B04404"/>
    <w:multiLevelType w:val="multilevel"/>
    <w:tmpl w:val="1A822CE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7A707EE"/>
    <w:multiLevelType w:val="hybridMultilevel"/>
    <w:tmpl w:val="CE80B7A2"/>
    <w:lvl w:ilvl="0" w:tplc="6666DA7E">
      <w:numFmt w:val="bullet"/>
      <w:lvlText w:val="•"/>
      <w:lvlJc w:val="left"/>
      <w:pPr>
        <w:ind w:left="720" w:hanging="360"/>
      </w:pPr>
      <w:rPr>
        <w:lang w:val="en-US" w:eastAsia="en-US" w:bidi="ar-SA"/>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6" w15:restartNumberingAfterBreak="0">
    <w:nsid w:val="796C7E16"/>
    <w:multiLevelType w:val="multilevel"/>
    <w:tmpl w:val="BA42023A"/>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7" w15:restartNumberingAfterBreak="0">
    <w:nsid w:val="7D963F2A"/>
    <w:multiLevelType w:val="hybridMultilevel"/>
    <w:tmpl w:val="E10E55B0"/>
    <w:lvl w:ilvl="0" w:tplc="6666DA7E">
      <w:numFmt w:val="bullet"/>
      <w:lvlText w:val="•"/>
      <w:lvlJc w:val="left"/>
      <w:pPr>
        <w:ind w:left="720" w:hanging="360"/>
      </w:pPr>
      <w:rPr>
        <w:lang w:val="en-US" w:eastAsia="en-US" w:bidi="ar-SA"/>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08224940">
    <w:abstractNumId w:val="27"/>
  </w:num>
  <w:num w:numId="2" w16cid:durableId="878857139">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397819827">
    <w:abstractNumId w:val="8"/>
  </w:num>
  <w:num w:numId="4" w16cid:durableId="489517594">
    <w:abstractNumId w:val="11"/>
  </w:num>
  <w:num w:numId="5" w16cid:durableId="370112502">
    <w:abstractNumId w:val="1"/>
  </w:num>
  <w:num w:numId="6" w16cid:durableId="550579644">
    <w:abstractNumId w:val="12"/>
  </w:num>
  <w:num w:numId="7" w16cid:durableId="173038775">
    <w:abstractNumId w:val="0"/>
  </w:num>
  <w:num w:numId="8" w16cid:durableId="2024236702">
    <w:abstractNumId w:val="25"/>
  </w:num>
  <w:num w:numId="9" w16cid:durableId="103573239">
    <w:abstractNumId w:val="22"/>
  </w:num>
  <w:num w:numId="10" w16cid:durableId="2028405567">
    <w:abstractNumId w:val="4"/>
  </w:num>
  <w:num w:numId="11" w16cid:durableId="1530145579">
    <w:abstractNumId w:val="24"/>
  </w:num>
  <w:num w:numId="12" w16cid:durableId="240481271">
    <w:abstractNumId w:val="3"/>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1973517097">
    <w:abstractNumId w:val="5"/>
  </w:num>
  <w:num w:numId="14" w16cid:durableId="1311255734">
    <w:abstractNumId w:val="20"/>
  </w:num>
  <w:num w:numId="15" w16cid:durableId="445122291">
    <w:abstractNumId w:val="2"/>
  </w:num>
  <w:num w:numId="16" w16cid:durableId="1644652779">
    <w:abstractNumId w:val="13"/>
  </w:num>
  <w:num w:numId="17" w16cid:durableId="414983975">
    <w:abstractNumId w:val="19"/>
  </w:num>
  <w:num w:numId="18" w16cid:durableId="1169834196">
    <w:abstractNumId w:val="15"/>
  </w:num>
  <w:num w:numId="19" w16cid:durableId="1183515903">
    <w:abstractNumId w:val="14"/>
  </w:num>
  <w:num w:numId="20" w16cid:durableId="264534797">
    <w:abstractNumId w:val="21"/>
  </w:num>
  <w:num w:numId="21" w16cid:durableId="1729720395">
    <w:abstractNumId w:val="23"/>
  </w:num>
  <w:num w:numId="22" w16cid:durableId="1430465990">
    <w:abstractNumId w:val="7"/>
  </w:num>
  <w:num w:numId="23" w16cid:durableId="1403530198">
    <w:abstractNumId w:val="9"/>
  </w:num>
  <w:num w:numId="24" w16cid:durableId="1816991203">
    <w:abstractNumId w:val="18"/>
  </w:num>
  <w:num w:numId="25" w16cid:durableId="1621498535">
    <w:abstractNumId w:val="17"/>
  </w:num>
  <w:num w:numId="26" w16cid:durableId="1174806937">
    <w:abstractNumId w:val="10"/>
  </w:num>
  <w:num w:numId="27" w16cid:durableId="997422280">
    <w:abstractNumId w:val="6"/>
  </w:num>
  <w:num w:numId="28" w16cid:durableId="491026777">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6B3A"/>
    <w:rsid w:val="0001667A"/>
    <w:rsid w:val="00090616"/>
    <w:rsid w:val="000977F1"/>
    <w:rsid w:val="0012247B"/>
    <w:rsid w:val="00152E6C"/>
    <w:rsid w:val="00196E08"/>
    <w:rsid w:val="003A600A"/>
    <w:rsid w:val="00415164"/>
    <w:rsid w:val="004740D2"/>
    <w:rsid w:val="00476D9D"/>
    <w:rsid w:val="00635FAD"/>
    <w:rsid w:val="006644AF"/>
    <w:rsid w:val="006C7A12"/>
    <w:rsid w:val="00786395"/>
    <w:rsid w:val="007A5CB5"/>
    <w:rsid w:val="00832ED9"/>
    <w:rsid w:val="009D518E"/>
    <w:rsid w:val="009E6C9F"/>
    <w:rsid w:val="00A20A32"/>
    <w:rsid w:val="00A60927"/>
    <w:rsid w:val="00B55938"/>
    <w:rsid w:val="00B85477"/>
    <w:rsid w:val="00B87F6C"/>
    <w:rsid w:val="00BB6B3A"/>
    <w:rsid w:val="00CC4DF8"/>
    <w:rsid w:val="00E46615"/>
    <w:rsid w:val="00F40C7F"/>
    <w:rsid w:val="00F432D4"/>
    <w:rsid w:val="00F5750F"/>
    <w:rsid w:val="00F70853"/>
    <w:rsid w:val="00FC01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843B9F"/>
  <w15:chartTrackingRefBased/>
  <w15:docId w15:val="{0B586871-BCE3-4934-8D44-26AE61090E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1"/>
        <w:szCs w:val="21"/>
        <w:lang w:val="en-GB" w:eastAsia="en-US" w:bidi="ar-SA"/>
        <w14:ligatures w14:val="standardContextual"/>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018F"/>
  </w:style>
  <w:style w:type="paragraph" w:styleId="Heading1">
    <w:name w:val="heading 1"/>
    <w:basedOn w:val="Normal"/>
    <w:next w:val="Normal"/>
    <w:link w:val="Heading1Char"/>
    <w:uiPriority w:val="9"/>
    <w:qFormat/>
    <w:rsid w:val="00FC018F"/>
    <w:pPr>
      <w:keepNext/>
      <w:keepLines/>
      <w:spacing w:before="360" w:after="40" w:line="240" w:lineRule="auto"/>
      <w:outlineLvl w:val="0"/>
    </w:pPr>
    <w:rPr>
      <w:rFonts w:asciiTheme="majorHAnsi" w:eastAsiaTheme="majorEastAsia" w:hAnsiTheme="majorHAnsi" w:cstheme="majorBidi"/>
      <w:color w:val="3A7C22" w:themeColor="accent6" w:themeShade="BF"/>
      <w:sz w:val="40"/>
      <w:szCs w:val="40"/>
    </w:rPr>
  </w:style>
  <w:style w:type="paragraph" w:styleId="Heading2">
    <w:name w:val="heading 2"/>
    <w:basedOn w:val="Normal"/>
    <w:next w:val="Normal"/>
    <w:link w:val="Heading2Char"/>
    <w:uiPriority w:val="9"/>
    <w:semiHidden/>
    <w:unhideWhenUsed/>
    <w:qFormat/>
    <w:rsid w:val="00FC018F"/>
    <w:pPr>
      <w:keepNext/>
      <w:keepLines/>
      <w:spacing w:before="80" w:line="240" w:lineRule="auto"/>
      <w:outlineLvl w:val="1"/>
    </w:pPr>
    <w:rPr>
      <w:rFonts w:asciiTheme="majorHAnsi" w:eastAsiaTheme="majorEastAsia" w:hAnsiTheme="majorHAnsi" w:cstheme="majorBidi"/>
      <w:color w:val="3A7C22" w:themeColor="accent6" w:themeShade="BF"/>
      <w:sz w:val="28"/>
      <w:szCs w:val="28"/>
    </w:rPr>
  </w:style>
  <w:style w:type="paragraph" w:styleId="Heading3">
    <w:name w:val="heading 3"/>
    <w:basedOn w:val="Normal"/>
    <w:next w:val="Normal"/>
    <w:link w:val="Heading3Char"/>
    <w:uiPriority w:val="9"/>
    <w:semiHidden/>
    <w:unhideWhenUsed/>
    <w:qFormat/>
    <w:rsid w:val="00FC018F"/>
    <w:pPr>
      <w:keepNext/>
      <w:keepLines/>
      <w:spacing w:before="80" w:line="240" w:lineRule="auto"/>
      <w:outlineLvl w:val="2"/>
    </w:pPr>
    <w:rPr>
      <w:rFonts w:asciiTheme="majorHAnsi" w:eastAsiaTheme="majorEastAsia" w:hAnsiTheme="majorHAnsi" w:cstheme="majorBidi"/>
      <w:color w:val="3A7C22" w:themeColor="accent6" w:themeShade="BF"/>
      <w:sz w:val="24"/>
      <w:szCs w:val="24"/>
    </w:rPr>
  </w:style>
  <w:style w:type="paragraph" w:styleId="Heading4">
    <w:name w:val="heading 4"/>
    <w:basedOn w:val="Normal"/>
    <w:next w:val="Normal"/>
    <w:link w:val="Heading4Char"/>
    <w:uiPriority w:val="9"/>
    <w:semiHidden/>
    <w:unhideWhenUsed/>
    <w:qFormat/>
    <w:rsid w:val="00FC018F"/>
    <w:pPr>
      <w:keepNext/>
      <w:keepLines/>
      <w:spacing w:before="80"/>
      <w:outlineLvl w:val="3"/>
    </w:pPr>
    <w:rPr>
      <w:rFonts w:asciiTheme="majorHAnsi" w:eastAsiaTheme="majorEastAsia" w:hAnsiTheme="majorHAnsi" w:cstheme="majorBidi"/>
      <w:color w:val="4EA72E" w:themeColor="accent6"/>
      <w:sz w:val="22"/>
      <w:szCs w:val="22"/>
    </w:rPr>
  </w:style>
  <w:style w:type="paragraph" w:styleId="Heading5">
    <w:name w:val="heading 5"/>
    <w:basedOn w:val="Normal"/>
    <w:next w:val="Normal"/>
    <w:link w:val="Heading5Char"/>
    <w:uiPriority w:val="9"/>
    <w:semiHidden/>
    <w:unhideWhenUsed/>
    <w:qFormat/>
    <w:rsid w:val="00FC018F"/>
    <w:pPr>
      <w:keepNext/>
      <w:keepLines/>
      <w:spacing w:before="40"/>
      <w:outlineLvl w:val="4"/>
    </w:pPr>
    <w:rPr>
      <w:rFonts w:asciiTheme="majorHAnsi" w:eastAsiaTheme="majorEastAsia" w:hAnsiTheme="majorHAnsi" w:cstheme="majorBidi"/>
      <w:i/>
      <w:iCs/>
      <w:color w:val="4EA72E" w:themeColor="accent6"/>
      <w:sz w:val="22"/>
      <w:szCs w:val="22"/>
    </w:rPr>
  </w:style>
  <w:style w:type="paragraph" w:styleId="Heading6">
    <w:name w:val="heading 6"/>
    <w:basedOn w:val="Normal"/>
    <w:next w:val="Normal"/>
    <w:link w:val="Heading6Char"/>
    <w:uiPriority w:val="9"/>
    <w:semiHidden/>
    <w:unhideWhenUsed/>
    <w:qFormat/>
    <w:rsid w:val="00FC018F"/>
    <w:pPr>
      <w:keepNext/>
      <w:keepLines/>
      <w:spacing w:before="40"/>
      <w:outlineLvl w:val="5"/>
    </w:pPr>
    <w:rPr>
      <w:rFonts w:asciiTheme="majorHAnsi" w:eastAsiaTheme="majorEastAsia" w:hAnsiTheme="majorHAnsi" w:cstheme="majorBidi"/>
      <w:color w:val="4EA72E" w:themeColor="accent6"/>
    </w:rPr>
  </w:style>
  <w:style w:type="paragraph" w:styleId="Heading7">
    <w:name w:val="heading 7"/>
    <w:basedOn w:val="Normal"/>
    <w:next w:val="Normal"/>
    <w:link w:val="Heading7Char"/>
    <w:uiPriority w:val="9"/>
    <w:semiHidden/>
    <w:unhideWhenUsed/>
    <w:qFormat/>
    <w:rsid w:val="00FC018F"/>
    <w:pPr>
      <w:keepNext/>
      <w:keepLines/>
      <w:spacing w:before="40"/>
      <w:outlineLvl w:val="6"/>
    </w:pPr>
    <w:rPr>
      <w:rFonts w:asciiTheme="majorHAnsi" w:eastAsiaTheme="majorEastAsia" w:hAnsiTheme="majorHAnsi" w:cstheme="majorBidi"/>
      <w:b/>
      <w:bCs/>
      <w:color w:val="4EA72E" w:themeColor="accent6"/>
    </w:rPr>
  </w:style>
  <w:style w:type="paragraph" w:styleId="Heading8">
    <w:name w:val="heading 8"/>
    <w:basedOn w:val="Normal"/>
    <w:next w:val="Normal"/>
    <w:link w:val="Heading8Char"/>
    <w:uiPriority w:val="9"/>
    <w:semiHidden/>
    <w:unhideWhenUsed/>
    <w:qFormat/>
    <w:rsid w:val="00FC018F"/>
    <w:pPr>
      <w:keepNext/>
      <w:keepLines/>
      <w:spacing w:before="40"/>
      <w:outlineLvl w:val="7"/>
    </w:pPr>
    <w:rPr>
      <w:rFonts w:asciiTheme="majorHAnsi" w:eastAsiaTheme="majorEastAsia" w:hAnsiTheme="majorHAnsi" w:cstheme="majorBidi"/>
      <w:b/>
      <w:bCs/>
      <w:i/>
      <w:iCs/>
      <w:color w:val="4EA72E" w:themeColor="accent6"/>
      <w:sz w:val="20"/>
      <w:szCs w:val="20"/>
    </w:rPr>
  </w:style>
  <w:style w:type="paragraph" w:styleId="Heading9">
    <w:name w:val="heading 9"/>
    <w:basedOn w:val="Normal"/>
    <w:next w:val="Normal"/>
    <w:link w:val="Heading9Char"/>
    <w:uiPriority w:val="9"/>
    <w:semiHidden/>
    <w:unhideWhenUsed/>
    <w:qFormat/>
    <w:rsid w:val="00FC018F"/>
    <w:pPr>
      <w:keepNext/>
      <w:keepLines/>
      <w:spacing w:before="40"/>
      <w:outlineLvl w:val="8"/>
    </w:pPr>
    <w:rPr>
      <w:rFonts w:asciiTheme="majorHAnsi" w:eastAsiaTheme="majorEastAsia" w:hAnsiTheme="majorHAnsi" w:cstheme="majorBidi"/>
      <w:i/>
      <w:iCs/>
      <w:color w:val="4EA72E" w:themeColor="accent6"/>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018F"/>
    <w:rPr>
      <w:rFonts w:asciiTheme="majorHAnsi" w:eastAsiaTheme="majorEastAsia" w:hAnsiTheme="majorHAnsi" w:cstheme="majorBidi"/>
      <w:color w:val="3A7C22" w:themeColor="accent6" w:themeShade="BF"/>
      <w:sz w:val="40"/>
      <w:szCs w:val="40"/>
    </w:rPr>
  </w:style>
  <w:style w:type="character" w:customStyle="1" w:styleId="Heading2Char">
    <w:name w:val="Heading 2 Char"/>
    <w:basedOn w:val="DefaultParagraphFont"/>
    <w:link w:val="Heading2"/>
    <w:uiPriority w:val="9"/>
    <w:semiHidden/>
    <w:rsid w:val="00FC018F"/>
    <w:rPr>
      <w:rFonts w:asciiTheme="majorHAnsi" w:eastAsiaTheme="majorEastAsia" w:hAnsiTheme="majorHAnsi" w:cstheme="majorBidi"/>
      <w:color w:val="3A7C22" w:themeColor="accent6" w:themeShade="BF"/>
      <w:sz w:val="28"/>
      <w:szCs w:val="28"/>
    </w:rPr>
  </w:style>
  <w:style w:type="character" w:customStyle="1" w:styleId="Heading3Char">
    <w:name w:val="Heading 3 Char"/>
    <w:basedOn w:val="DefaultParagraphFont"/>
    <w:link w:val="Heading3"/>
    <w:uiPriority w:val="9"/>
    <w:semiHidden/>
    <w:rsid w:val="00FC018F"/>
    <w:rPr>
      <w:rFonts w:asciiTheme="majorHAnsi" w:eastAsiaTheme="majorEastAsia" w:hAnsiTheme="majorHAnsi" w:cstheme="majorBidi"/>
      <w:color w:val="3A7C22" w:themeColor="accent6" w:themeShade="BF"/>
      <w:sz w:val="24"/>
      <w:szCs w:val="24"/>
    </w:rPr>
  </w:style>
  <w:style w:type="character" w:customStyle="1" w:styleId="Heading4Char">
    <w:name w:val="Heading 4 Char"/>
    <w:basedOn w:val="DefaultParagraphFont"/>
    <w:link w:val="Heading4"/>
    <w:uiPriority w:val="9"/>
    <w:semiHidden/>
    <w:rsid w:val="00FC018F"/>
    <w:rPr>
      <w:rFonts w:asciiTheme="majorHAnsi" w:eastAsiaTheme="majorEastAsia" w:hAnsiTheme="majorHAnsi" w:cstheme="majorBidi"/>
      <w:color w:val="4EA72E" w:themeColor="accent6"/>
      <w:sz w:val="22"/>
      <w:szCs w:val="22"/>
    </w:rPr>
  </w:style>
  <w:style w:type="character" w:customStyle="1" w:styleId="Heading5Char">
    <w:name w:val="Heading 5 Char"/>
    <w:basedOn w:val="DefaultParagraphFont"/>
    <w:link w:val="Heading5"/>
    <w:uiPriority w:val="9"/>
    <w:semiHidden/>
    <w:rsid w:val="00FC018F"/>
    <w:rPr>
      <w:rFonts w:asciiTheme="majorHAnsi" w:eastAsiaTheme="majorEastAsia" w:hAnsiTheme="majorHAnsi" w:cstheme="majorBidi"/>
      <w:i/>
      <w:iCs/>
      <w:color w:val="4EA72E" w:themeColor="accent6"/>
      <w:sz w:val="22"/>
      <w:szCs w:val="22"/>
    </w:rPr>
  </w:style>
  <w:style w:type="character" w:customStyle="1" w:styleId="Heading6Char">
    <w:name w:val="Heading 6 Char"/>
    <w:basedOn w:val="DefaultParagraphFont"/>
    <w:link w:val="Heading6"/>
    <w:uiPriority w:val="9"/>
    <w:semiHidden/>
    <w:rsid w:val="00FC018F"/>
    <w:rPr>
      <w:rFonts w:asciiTheme="majorHAnsi" w:eastAsiaTheme="majorEastAsia" w:hAnsiTheme="majorHAnsi" w:cstheme="majorBidi"/>
      <w:color w:val="4EA72E" w:themeColor="accent6"/>
    </w:rPr>
  </w:style>
  <w:style w:type="character" w:customStyle="1" w:styleId="Heading7Char">
    <w:name w:val="Heading 7 Char"/>
    <w:basedOn w:val="DefaultParagraphFont"/>
    <w:link w:val="Heading7"/>
    <w:uiPriority w:val="9"/>
    <w:semiHidden/>
    <w:rsid w:val="00FC018F"/>
    <w:rPr>
      <w:rFonts w:asciiTheme="majorHAnsi" w:eastAsiaTheme="majorEastAsia" w:hAnsiTheme="majorHAnsi" w:cstheme="majorBidi"/>
      <w:b/>
      <w:bCs/>
      <w:color w:val="4EA72E" w:themeColor="accent6"/>
    </w:rPr>
  </w:style>
  <w:style w:type="character" w:customStyle="1" w:styleId="Heading8Char">
    <w:name w:val="Heading 8 Char"/>
    <w:basedOn w:val="DefaultParagraphFont"/>
    <w:link w:val="Heading8"/>
    <w:uiPriority w:val="9"/>
    <w:semiHidden/>
    <w:rsid w:val="00FC018F"/>
    <w:rPr>
      <w:rFonts w:asciiTheme="majorHAnsi" w:eastAsiaTheme="majorEastAsia" w:hAnsiTheme="majorHAnsi" w:cstheme="majorBidi"/>
      <w:b/>
      <w:bCs/>
      <w:i/>
      <w:iCs/>
      <w:color w:val="4EA72E" w:themeColor="accent6"/>
      <w:sz w:val="20"/>
      <w:szCs w:val="20"/>
    </w:rPr>
  </w:style>
  <w:style w:type="character" w:customStyle="1" w:styleId="Heading9Char">
    <w:name w:val="Heading 9 Char"/>
    <w:basedOn w:val="DefaultParagraphFont"/>
    <w:link w:val="Heading9"/>
    <w:uiPriority w:val="9"/>
    <w:semiHidden/>
    <w:rsid w:val="00FC018F"/>
    <w:rPr>
      <w:rFonts w:asciiTheme="majorHAnsi" w:eastAsiaTheme="majorEastAsia" w:hAnsiTheme="majorHAnsi" w:cstheme="majorBidi"/>
      <w:i/>
      <w:iCs/>
      <w:color w:val="4EA72E" w:themeColor="accent6"/>
      <w:sz w:val="20"/>
      <w:szCs w:val="20"/>
    </w:rPr>
  </w:style>
  <w:style w:type="paragraph" w:styleId="Caption">
    <w:name w:val="caption"/>
    <w:basedOn w:val="Normal"/>
    <w:next w:val="Normal"/>
    <w:uiPriority w:val="35"/>
    <w:semiHidden/>
    <w:unhideWhenUsed/>
    <w:qFormat/>
    <w:rsid w:val="00FC018F"/>
    <w:pPr>
      <w:spacing w:line="240" w:lineRule="auto"/>
    </w:pPr>
    <w:rPr>
      <w:b/>
      <w:bCs/>
      <w:smallCaps/>
      <w:color w:val="595959" w:themeColor="text1" w:themeTint="A6"/>
    </w:rPr>
  </w:style>
  <w:style w:type="paragraph" w:styleId="Title">
    <w:name w:val="Title"/>
    <w:basedOn w:val="Normal"/>
    <w:next w:val="Normal"/>
    <w:link w:val="TitleChar"/>
    <w:uiPriority w:val="10"/>
    <w:qFormat/>
    <w:rsid w:val="00FC018F"/>
    <w:pPr>
      <w:spacing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FC018F"/>
    <w:rPr>
      <w:rFonts w:asciiTheme="majorHAnsi" w:eastAsiaTheme="majorEastAsia" w:hAnsiTheme="majorHAnsi" w:cstheme="majorBidi"/>
      <w:color w:val="262626" w:themeColor="text1" w:themeTint="D9"/>
      <w:spacing w:val="-15"/>
      <w:sz w:val="96"/>
      <w:szCs w:val="96"/>
    </w:rPr>
  </w:style>
  <w:style w:type="paragraph" w:styleId="Subtitle">
    <w:name w:val="Subtitle"/>
    <w:basedOn w:val="Normal"/>
    <w:next w:val="Normal"/>
    <w:link w:val="SubtitleChar"/>
    <w:uiPriority w:val="11"/>
    <w:qFormat/>
    <w:rsid w:val="00FC018F"/>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FC018F"/>
    <w:rPr>
      <w:rFonts w:asciiTheme="majorHAnsi" w:eastAsiaTheme="majorEastAsia" w:hAnsiTheme="majorHAnsi" w:cstheme="majorBidi"/>
      <w:sz w:val="30"/>
      <w:szCs w:val="30"/>
    </w:rPr>
  </w:style>
  <w:style w:type="character" w:styleId="Strong">
    <w:name w:val="Strong"/>
    <w:basedOn w:val="DefaultParagraphFont"/>
    <w:uiPriority w:val="22"/>
    <w:qFormat/>
    <w:rsid w:val="00FC018F"/>
    <w:rPr>
      <w:b/>
      <w:bCs/>
    </w:rPr>
  </w:style>
  <w:style w:type="character" w:styleId="Emphasis">
    <w:name w:val="Emphasis"/>
    <w:basedOn w:val="DefaultParagraphFont"/>
    <w:uiPriority w:val="20"/>
    <w:qFormat/>
    <w:rsid w:val="00FC018F"/>
    <w:rPr>
      <w:i/>
      <w:iCs/>
      <w:color w:val="4EA72E" w:themeColor="accent6"/>
    </w:rPr>
  </w:style>
  <w:style w:type="paragraph" w:styleId="NoSpacing">
    <w:name w:val="No Spacing"/>
    <w:uiPriority w:val="1"/>
    <w:qFormat/>
    <w:rsid w:val="00FC018F"/>
    <w:pPr>
      <w:spacing w:line="240" w:lineRule="auto"/>
    </w:pPr>
  </w:style>
  <w:style w:type="paragraph" w:styleId="ListParagraph">
    <w:name w:val="List Paragraph"/>
    <w:basedOn w:val="Normal"/>
    <w:uiPriority w:val="34"/>
    <w:qFormat/>
    <w:rsid w:val="00FC018F"/>
    <w:pPr>
      <w:ind w:left="720"/>
      <w:contextualSpacing/>
    </w:pPr>
  </w:style>
  <w:style w:type="paragraph" w:styleId="Quote">
    <w:name w:val="Quote"/>
    <w:basedOn w:val="Normal"/>
    <w:next w:val="Normal"/>
    <w:link w:val="QuoteChar"/>
    <w:uiPriority w:val="29"/>
    <w:qFormat/>
    <w:rsid w:val="00FC018F"/>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FC018F"/>
    <w:rPr>
      <w:i/>
      <w:iCs/>
      <w:color w:val="262626" w:themeColor="text1" w:themeTint="D9"/>
    </w:rPr>
  </w:style>
  <w:style w:type="paragraph" w:styleId="IntenseQuote">
    <w:name w:val="Intense Quote"/>
    <w:basedOn w:val="Normal"/>
    <w:next w:val="Normal"/>
    <w:link w:val="IntenseQuoteChar"/>
    <w:uiPriority w:val="30"/>
    <w:qFormat/>
    <w:rsid w:val="00FC018F"/>
    <w:pPr>
      <w:spacing w:before="160" w:line="264" w:lineRule="auto"/>
      <w:ind w:left="720" w:right="720"/>
      <w:jc w:val="center"/>
    </w:pPr>
    <w:rPr>
      <w:rFonts w:asciiTheme="majorHAnsi" w:eastAsiaTheme="majorEastAsia" w:hAnsiTheme="majorHAnsi" w:cstheme="majorBidi"/>
      <w:i/>
      <w:iCs/>
      <w:color w:val="4EA72E" w:themeColor="accent6"/>
      <w:sz w:val="32"/>
      <w:szCs w:val="32"/>
    </w:rPr>
  </w:style>
  <w:style w:type="character" w:customStyle="1" w:styleId="IntenseQuoteChar">
    <w:name w:val="Intense Quote Char"/>
    <w:basedOn w:val="DefaultParagraphFont"/>
    <w:link w:val="IntenseQuote"/>
    <w:uiPriority w:val="30"/>
    <w:rsid w:val="00FC018F"/>
    <w:rPr>
      <w:rFonts w:asciiTheme="majorHAnsi" w:eastAsiaTheme="majorEastAsia" w:hAnsiTheme="majorHAnsi" w:cstheme="majorBidi"/>
      <w:i/>
      <w:iCs/>
      <w:color w:val="4EA72E" w:themeColor="accent6"/>
      <w:sz w:val="32"/>
      <w:szCs w:val="32"/>
    </w:rPr>
  </w:style>
  <w:style w:type="character" w:styleId="SubtleEmphasis">
    <w:name w:val="Subtle Emphasis"/>
    <w:basedOn w:val="DefaultParagraphFont"/>
    <w:uiPriority w:val="19"/>
    <w:qFormat/>
    <w:rsid w:val="00FC018F"/>
    <w:rPr>
      <w:i/>
      <w:iCs/>
    </w:rPr>
  </w:style>
  <w:style w:type="character" w:styleId="IntenseEmphasis">
    <w:name w:val="Intense Emphasis"/>
    <w:basedOn w:val="DefaultParagraphFont"/>
    <w:uiPriority w:val="21"/>
    <w:qFormat/>
    <w:rsid w:val="00FC018F"/>
    <w:rPr>
      <w:b/>
      <w:bCs/>
      <w:i/>
      <w:iCs/>
    </w:rPr>
  </w:style>
  <w:style w:type="character" w:styleId="SubtleReference">
    <w:name w:val="Subtle Reference"/>
    <w:basedOn w:val="DefaultParagraphFont"/>
    <w:uiPriority w:val="31"/>
    <w:qFormat/>
    <w:rsid w:val="00FC018F"/>
    <w:rPr>
      <w:smallCaps/>
      <w:color w:val="595959" w:themeColor="text1" w:themeTint="A6"/>
    </w:rPr>
  </w:style>
  <w:style w:type="character" w:styleId="IntenseReference">
    <w:name w:val="Intense Reference"/>
    <w:basedOn w:val="DefaultParagraphFont"/>
    <w:uiPriority w:val="32"/>
    <w:qFormat/>
    <w:rsid w:val="00FC018F"/>
    <w:rPr>
      <w:b/>
      <w:bCs/>
      <w:smallCaps/>
      <w:color w:val="4EA72E" w:themeColor="accent6"/>
    </w:rPr>
  </w:style>
  <w:style w:type="character" w:styleId="BookTitle">
    <w:name w:val="Book Title"/>
    <w:basedOn w:val="DefaultParagraphFont"/>
    <w:uiPriority w:val="33"/>
    <w:qFormat/>
    <w:rsid w:val="00FC018F"/>
    <w:rPr>
      <w:b/>
      <w:bCs/>
      <w:caps w:val="0"/>
      <w:smallCaps/>
      <w:spacing w:val="7"/>
      <w:sz w:val="21"/>
      <w:szCs w:val="21"/>
    </w:rPr>
  </w:style>
  <w:style w:type="paragraph" w:styleId="TOCHeading">
    <w:name w:val="TOC Heading"/>
    <w:basedOn w:val="Heading1"/>
    <w:next w:val="Normal"/>
    <w:uiPriority w:val="39"/>
    <w:semiHidden/>
    <w:unhideWhenUsed/>
    <w:qFormat/>
    <w:rsid w:val="00FC018F"/>
    <w:pPr>
      <w:outlineLvl w:val="9"/>
    </w:pPr>
  </w:style>
  <w:style w:type="character" w:styleId="Hyperlink">
    <w:name w:val="Hyperlink"/>
    <w:basedOn w:val="DefaultParagraphFont"/>
    <w:uiPriority w:val="99"/>
    <w:unhideWhenUsed/>
    <w:rsid w:val="00832ED9"/>
    <w:rPr>
      <w:color w:val="467886" w:themeColor="hyperlink"/>
      <w:u w:val="single"/>
    </w:rPr>
  </w:style>
  <w:style w:type="character" w:styleId="UnresolvedMention">
    <w:name w:val="Unresolved Mention"/>
    <w:basedOn w:val="DefaultParagraphFont"/>
    <w:uiPriority w:val="99"/>
    <w:semiHidden/>
    <w:unhideWhenUsed/>
    <w:rsid w:val="00832ED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hyperlink" Target="https://www.google.com/search?q=product&amp;prds=pvt:hg,productid:9436296772694962829,catalogid:10822517158779548384,gpcid:16181961298129429816,mid:576461317716531539&amp;ibp=oshop" TargetMode="External"/><Relationship Id="rId3" Type="http://schemas.openxmlformats.org/officeDocument/2006/relationships/settings" Target="settings.xml"/><Relationship Id="rId21" Type="http://schemas.openxmlformats.org/officeDocument/2006/relationships/hyperlink" Target="https://books.google.com/books/about/Entertainment_Industry_Economics.html?id=qxynbtC3JQgC" TargetMode="Externa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hyperlink" Target="https://www.mdpi.com/2571-9394/8/3/35" TargetMode="External"/><Relationship Id="rId2" Type="http://schemas.openxmlformats.org/officeDocument/2006/relationships/styles" Target="styles.xml"/><Relationship Id="rId16" Type="http://schemas.openxmlformats.org/officeDocument/2006/relationships/hyperlink" Target="https://books.google.com/books/about/Entertainment_Calendars.html?id=5lNNEQAAQBAJ" TargetMode="External"/><Relationship Id="rId20" Type="http://schemas.openxmlformats.org/officeDocument/2006/relationships/hyperlink" Target="https://www.tandfonline.com/doi/full/10.1080/08874417.2017.1418631"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theme" Target="theme/theme1.xml"/><Relationship Id="rId5" Type="http://schemas.openxmlformats.org/officeDocument/2006/relationships/image" Target="media/image1.png"/><Relationship Id="rId15" Type="http://schemas.openxmlformats.org/officeDocument/2006/relationships/hyperlink" Target="https://books.google.com/books/about/Predicting_Movie_Success_at_the_Box_Offi.html?id=SjtNDwAAQBAJ" TargetMode="External"/><Relationship Id="rId23" Type="http://schemas.openxmlformats.org/officeDocument/2006/relationships/fontTable" Target="fontTable.xml"/><Relationship Id="rId10" Type="http://schemas.openxmlformats.org/officeDocument/2006/relationships/image" Target="media/image6.png"/><Relationship Id="rId19" Type="http://schemas.openxmlformats.org/officeDocument/2006/relationships/hyperlink" Target="https://www.nature.com/articles/s41598-022-26090-5"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hyperlink" Target="https://books.google.com/books/about/Data_Analytics_Applications_in_Gaming_an.html?id=wgiiDwAAQBAJ"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135</TotalTime>
  <Pages>11</Pages>
  <Words>2280</Words>
  <Characters>12999</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Laszlo Balogh (2441884)</dc:creator>
  <cp:keywords/>
  <dc:description/>
  <cp:lastModifiedBy>Laszlo Balogh (2441884)</cp:lastModifiedBy>
  <cp:revision>10</cp:revision>
  <dcterms:created xsi:type="dcterms:W3CDTF">2026-07-19T12:13:00Z</dcterms:created>
  <dcterms:modified xsi:type="dcterms:W3CDTF">2026-08-14T00:22:00Z</dcterms:modified>
</cp:coreProperties>
</file>